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4C6" w:rsidRDefault="00553930" w:rsidP="00553930">
      <w:pPr>
        <w:jc w:val="right"/>
        <w:rPr>
          <w:rFonts w:ascii="Times New Roman" w:hAnsi="Times New Roman" w:cs="Times New Roman"/>
        </w:rPr>
      </w:pPr>
      <w:bookmarkStart w:id="0" w:name="_GoBack"/>
      <w:bookmarkEnd w:id="0"/>
      <w:r>
        <w:rPr>
          <w:rFonts w:ascii="Times New Roman" w:hAnsi="Times New Roman"/>
        </w:rPr>
        <w:t>Tradus și revizuit de IER (www.ier.ro)</w:t>
      </w:r>
    </w:p>
    <w:p w:rsidR="00553930" w:rsidRDefault="00553930" w:rsidP="00905AF4">
      <w:pPr>
        <w:jc w:val="center"/>
        <w:rPr>
          <w:rFonts w:ascii="Times New Roman" w:hAnsi="Times New Roman" w:cs="Times New Roman"/>
          <w:lang w:val="fr-FR"/>
        </w:rPr>
      </w:pPr>
    </w:p>
    <w:p w:rsidR="00553930" w:rsidRDefault="00553930" w:rsidP="00905AF4">
      <w:pPr>
        <w:jc w:val="center"/>
        <w:rPr>
          <w:rFonts w:ascii="Times New Roman" w:hAnsi="Times New Roman" w:cs="Times New Roman"/>
          <w:lang w:val="fr-FR"/>
        </w:rPr>
      </w:pPr>
    </w:p>
    <w:p w:rsidR="00553930" w:rsidRPr="00905AF4" w:rsidRDefault="00553930" w:rsidP="00905AF4">
      <w:pPr>
        <w:jc w:val="center"/>
        <w:rPr>
          <w:rFonts w:ascii="Times New Roman" w:hAnsi="Times New Roman" w:cs="Times New Roman"/>
          <w:lang w:val="fr-FR"/>
        </w:rPr>
      </w:pPr>
    </w:p>
    <w:p w:rsidR="00CF54C6" w:rsidRPr="00905AF4" w:rsidRDefault="00B66750" w:rsidP="00905AF4">
      <w:pPr>
        <w:jc w:val="center"/>
        <w:rPr>
          <w:rFonts w:ascii="Times New Roman" w:hAnsi="Times New Roman" w:cs="Times New Roman"/>
        </w:rPr>
      </w:pPr>
      <w:r>
        <w:t>CURTEA EUROPEANĂ A DREPTURILOR OMULUI</w:t>
      </w:r>
    </w:p>
    <w:p w:rsidR="00CF54C6" w:rsidRPr="00905AF4" w:rsidRDefault="00CF54C6" w:rsidP="00905AF4">
      <w:pPr>
        <w:jc w:val="center"/>
        <w:outlineLvl w:val="0"/>
        <w:rPr>
          <w:rFonts w:ascii="Times New Roman" w:hAnsi="Times New Roman" w:cs="Times New Roman"/>
        </w:rPr>
      </w:pPr>
      <w:r>
        <w:rPr>
          <w:rFonts w:ascii="Times New Roman" w:hAnsi="Times New Roman"/>
        </w:rPr>
        <w:t>MAREA CAMERĂ</w:t>
      </w: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3424BB" w:rsidRPr="00905AF4" w:rsidRDefault="003424BB"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outlineLvl w:val="0"/>
        <w:rPr>
          <w:rFonts w:ascii="Times New Roman" w:hAnsi="Times New Roman" w:cs="Times New Roman"/>
          <w:b/>
        </w:rPr>
      </w:pPr>
      <w:r>
        <w:rPr>
          <w:b/>
        </w:rPr>
        <w:t>CAUZA PAROHIA GRECO-CATOLICĂ LUPENI ŞI ALŢII ÎMPOTRIVA ROMÂNIEI</w:t>
      </w: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i/>
        </w:rPr>
      </w:pPr>
      <w:r>
        <w:rPr>
          <w:rFonts w:ascii="Times New Roman" w:hAnsi="Times New Roman"/>
          <w:i/>
        </w:rPr>
        <w:t>(Cererea nr. 76943/11)</w:t>
      </w: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outlineLvl w:val="0"/>
        <w:rPr>
          <w:rFonts w:ascii="Times New Roman" w:hAnsi="Times New Roman" w:cs="Times New Roman"/>
        </w:rPr>
      </w:pPr>
      <w:r>
        <w:rPr>
          <w:rFonts w:ascii="Times New Roman" w:hAnsi="Times New Roman"/>
        </w:rPr>
        <w:t>HOTĂRÂRE</w:t>
      </w:r>
    </w:p>
    <w:p w:rsidR="00CF54C6" w:rsidRPr="00905AF4" w:rsidRDefault="00CF54C6" w:rsidP="00905AF4">
      <w:pPr>
        <w:jc w:val="center"/>
        <w:rPr>
          <w:rFonts w:ascii="Times New Roman" w:hAnsi="Times New Roman" w:cs="Times New Roman"/>
          <w:lang w:val="fr-FR"/>
        </w:rPr>
      </w:pPr>
    </w:p>
    <w:p w:rsidR="00F7614C" w:rsidRPr="00905AF4" w:rsidRDefault="00F7614C" w:rsidP="00905AF4">
      <w:pPr>
        <w:jc w:val="center"/>
        <w:rPr>
          <w:rFonts w:ascii="Times New Roman" w:hAnsi="Times New Roman" w:cs="Times New Roman"/>
          <w:lang w:val="fr-FR"/>
        </w:rPr>
      </w:pPr>
    </w:p>
    <w:p w:rsidR="00CF54C6" w:rsidRPr="00905AF4" w:rsidRDefault="00CF54C6" w:rsidP="00905AF4">
      <w:pPr>
        <w:jc w:val="center"/>
        <w:outlineLvl w:val="0"/>
        <w:rPr>
          <w:rFonts w:ascii="Times New Roman" w:hAnsi="Times New Roman" w:cs="Times New Roman"/>
        </w:rPr>
      </w:pPr>
      <w:r>
        <w:rPr>
          <w:rFonts w:ascii="Times New Roman" w:hAnsi="Times New Roman"/>
        </w:rPr>
        <w:t>Strasbourg</w:t>
      </w: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rPr>
      </w:pPr>
      <w:r>
        <w:rPr>
          <w:rFonts w:ascii="Times New Roman" w:hAnsi="Times New Roman"/>
        </w:rPr>
        <w:t>29 noiembrie 2016</w:t>
      </w:r>
    </w:p>
    <w:p w:rsidR="00CF54C6" w:rsidRPr="00905AF4" w:rsidRDefault="00CF54C6"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3424BB" w:rsidRPr="00905AF4" w:rsidRDefault="003424BB" w:rsidP="00905AF4">
      <w:pPr>
        <w:jc w:val="center"/>
        <w:rPr>
          <w:rFonts w:ascii="Times New Roman" w:hAnsi="Times New Roman" w:cs="Times New Roman"/>
          <w:lang w:val="fr-FR"/>
        </w:rPr>
      </w:pPr>
    </w:p>
    <w:p w:rsidR="003424BB" w:rsidRPr="00905AF4" w:rsidRDefault="003424BB" w:rsidP="00905AF4">
      <w:pPr>
        <w:jc w:val="center"/>
        <w:rPr>
          <w:rFonts w:ascii="Times New Roman" w:hAnsi="Times New Roman" w:cs="Times New Roman"/>
          <w:lang w:val="fr-FR"/>
        </w:rPr>
      </w:pPr>
    </w:p>
    <w:p w:rsidR="00CF54C6" w:rsidRPr="00905AF4" w:rsidRDefault="00CF54C6" w:rsidP="00905AF4">
      <w:pPr>
        <w:jc w:val="center"/>
        <w:rPr>
          <w:rFonts w:ascii="Times New Roman" w:hAnsi="Times New Roman" w:cs="Times New Roman"/>
          <w:lang w:val="fr-FR"/>
        </w:rPr>
      </w:pPr>
    </w:p>
    <w:p w:rsidR="00CF54C6" w:rsidRPr="00905AF4" w:rsidRDefault="00CF54C6" w:rsidP="00905AF4">
      <w:pPr>
        <w:rPr>
          <w:rFonts w:ascii="Times New Roman" w:hAnsi="Times New Roman" w:cs="Times New Roman"/>
          <w:i/>
          <w:sz w:val="22"/>
        </w:rPr>
      </w:pPr>
      <w:r>
        <w:rPr>
          <w:rFonts w:ascii="Times New Roman" w:hAnsi="Times New Roman"/>
          <w:i/>
          <w:sz w:val="22"/>
        </w:rPr>
        <w:t>Hotărârea este definitivă. Aceasta poate suferi modificări de formă.</w:t>
      </w:r>
    </w:p>
    <w:p w:rsidR="003424BB" w:rsidRPr="00905AF4" w:rsidRDefault="003424BB" w:rsidP="00905AF4">
      <w:pPr>
        <w:rPr>
          <w:rFonts w:ascii="Times New Roman" w:hAnsi="Times New Roman" w:cs="Times New Roman"/>
          <w:i/>
          <w:sz w:val="22"/>
          <w:lang w:val="fr-FR"/>
        </w:rPr>
      </w:pPr>
    </w:p>
    <w:p w:rsidR="00CF54C6" w:rsidRPr="00905AF4" w:rsidRDefault="00CF54C6" w:rsidP="00905AF4">
      <w:pPr>
        <w:ind w:left="720"/>
        <w:rPr>
          <w:rFonts w:ascii="Times New Roman" w:hAnsi="Times New Roman" w:cs="Times New Roman"/>
          <w:sz w:val="22"/>
          <w:lang w:val="fr-FR"/>
        </w:rPr>
        <w:sectPr w:rsidR="00CF54C6" w:rsidRPr="00905AF4">
          <w:footnotePr>
            <w:numRestart w:val="eachSect"/>
          </w:footnotePr>
          <w:pgSz w:w="11906" w:h="16838" w:code="9"/>
          <w:pgMar w:top="2274" w:right="2274" w:bottom="2274" w:left="2274" w:header="1701" w:footer="720" w:gutter="0"/>
          <w:pgNumType w:start="1"/>
          <w:cols w:space="720"/>
          <w:noEndnote/>
        </w:sectPr>
      </w:pPr>
    </w:p>
    <w:p w:rsidR="00B1178E" w:rsidRPr="00905AF4" w:rsidRDefault="00CF54C6" w:rsidP="00905AF4">
      <w:pPr>
        <w:pStyle w:val="JuCase"/>
      </w:pPr>
      <w:r>
        <w:lastRenderedPageBreak/>
        <w:t>În Cauza Parohia Greco-Catolică Lupeni și alții împotriva României,</w:t>
      </w:r>
    </w:p>
    <w:p w:rsidR="00B1178E" w:rsidRPr="00905AF4" w:rsidRDefault="00B1178E" w:rsidP="00905AF4">
      <w:pPr>
        <w:pStyle w:val="ECHRPara"/>
      </w:pPr>
      <w:r>
        <w:t>Curtea Europeană a Drepturilor Omului, reunită în Marea Cameră compusă din:</w:t>
      </w:r>
    </w:p>
    <w:p w:rsidR="00B1178E" w:rsidRPr="00905AF4" w:rsidRDefault="00741EBD" w:rsidP="00905AF4">
      <w:pPr>
        <w:pStyle w:val="ECHRDecisionBody"/>
      </w:pPr>
      <w:r>
        <w:tab/>
        <w:t xml:space="preserve">Guido Raimondi, </w:t>
      </w:r>
      <w:r>
        <w:rPr>
          <w:i/>
        </w:rPr>
        <w:t>președinte</w:t>
      </w:r>
      <w:r>
        <w:t>,</w:t>
      </w:r>
    </w:p>
    <w:p w:rsidR="00B1178E" w:rsidRPr="00905AF4" w:rsidRDefault="00741EBD" w:rsidP="00905AF4">
      <w:pPr>
        <w:pStyle w:val="ECHRDecisionBody"/>
      </w:pPr>
      <w:r>
        <w:tab/>
        <w:t>András Sajó,</w:t>
      </w:r>
    </w:p>
    <w:p w:rsidR="00B1178E" w:rsidRPr="00905AF4" w:rsidRDefault="00741EBD" w:rsidP="00905AF4">
      <w:pPr>
        <w:pStyle w:val="ECHRDecisionBody"/>
      </w:pPr>
      <w:r>
        <w:tab/>
        <w:t>Işıl Karakaş,</w:t>
      </w:r>
    </w:p>
    <w:p w:rsidR="00B1178E" w:rsidRPr="00905AF4" w:rsidRDefault="00741EBD" w:rsidP="00905AF4">
      <w:pPr>
        <w:pStyle w:val="ECHRDecisionBody"/>
      </w:pPr>
      <w:r>
        <w:tab/>
        <w:t>Mirjana Lazarova Trajkovska,</w:t>
      </w:r>
    </w:p>
    <w:p w:rsidR="00B1178E" w:rsidRPr="00905AF4" w:rsidRDefault="00741EBD" w:rsidP="00905AF4">
      <w:pPr>
        <w:pStyle w:val="ECHRDecisionBody"/>
      </w:pPr>
      <w:r>
        <w:tab/>
        <w:t>Angelika Nußberger,</w:t>
      </w:r>
    </w:p>
    <w:p w:rsidR="00B1178E" w:rsidRPr="00905AF4" w:rsidRDefault="00741EBD" w:rsidP="00905AF4">
      <w:pPr>
        <w:pStyle w:val="ECHRDecisionBody"/>
      </w:pPr>
      <w:r>
        <w:tab/>
        <w:t xml:space="preserve">George Nicolaou, </w:t>
      </w:r>
      <w:r>
        <w:rPr>
          <w:i/>
        </w:rPr>
        <w:t>judecători</w:t>
      </w:r>
    </w:p>
    <w:p w:rsidR="00B1178E" w:rsidRPr="00905AF4" w:rsidRDefault="00741EBD" w:rsidP="00905AF4">
      <w:pPr>
        <w:pStyle w:val="ECHRDecisionBody"/>
      </w:pPr>
      <w:r>
        <w:tab/>
        <w:t xml:space="preserve">Kristina Pardalos, </w:t>
      </w:r>
      <w:r>
        <w:rPr>
          <w:i/>
        </w:rPr>
        <w:t>judecător</w:t>
      </w:r>
      <w:r>
        <w:t xml:space="preserve"> ad hoc</w:t>
      </w:r>
    </w:p>
    <w:p w:rsidR="00B1178E" w:rsidRPr="00905AF4" w:rsidRDefault="00741EBD" w:rsidP="00905AF4">
      <w:pPr>
        <w:pStyle w:val="ECHRDecisionBody"/>
      </w:pPr>
      <w:r>
        <w:tab/>
        <w:t>Paulo Pinto de Albuquerque,</w:t>
      </w:r>
    </w:p>
    <w:p w:rsidR="00B1178E" w:rsidRPr="00905AF4" w:rsidRDefault="00741EBD" w:rsidP="00905AF4">
      <w:pPr>
        <w:pStyle w:val="ECHRDecisionBody"/>
      </w:pPr>
      <w:r>
        <w:tab/>
        <w:t>Egidijus Kūris,</w:t>
      </w:r>
    </w:p>
    <w:p w:rsidR="00B1178E" w:rsidRPr="00905AF4" w:rsidRDefault="00741EBD" w:rsidP="00905AF4">
      <w:pPr>
        <w:pStyle w:val="ECHRDecisionBody"/>
      </w:pPr>
      <w:r>
        <w:tab/>
        <w:t>Robert Spano,</w:t>
      </w:r>
    </w:p>
    <w:p w:rsidR="00B1178E" w:rsidRPr="00905AF4" w:rsidRDefault="00741EBD" w:rsidP="00905AF4">
      <w:pPr>
        <w:pStyle w:val="ECHRDecisionBody"/>
      </w:pPr>
      <w:r>
        <w:tab/>
        <w:t>Síofra O’Leary,</w:t>
      </w:r>
    </w:p>
    <w:p w:rsidR="00B1178E" w:rsidRPr="00905AF4" w:rsidRDefault="00741EBD" w:rsidP="00905AF4">
      <w:pPr>
        <w:pStyle w:val="ECHRDecisionBody"/>
      </w:pPr>
      <w:r>
        <w:tab/>
        <w:t>Carlo Ranzoni,</w:t>
      </w:r>
    </w:p>
    <w:p w:rsidR="00B1178E" w:rsidRPr="00905AF4" w:rsidRDefault="00741EBD" w:rsidP="00905AF4">
      <w:pPr>
        <w:pStyle w:val="ECHRDecisionBody"/>
      </w:pPr>
      <w:r>
        <w:tab/>
        <w:t>Mārtiņš Mits,</w:t>
      </w:r>
    </w:p>
    <w:p w:rsidR="00B1178E" w:rsidRPr="00905AF4" w:rsidRDefault="00741EBD" w:rsidP="00905AF4">
      <w:pPr>
        <w:pStyle w:val="ECHRDecisionBody"/>
      </w:pPr>
      <w:r>
        <w:tab/>
        <w:t>Stéphanie Mourou-Vikström,</w:t>
      </w:r>
    </w:p>
    <w:p w:rsidR="00B1178E" w:rsidRPr="00905AF4" w:rsidRDefault="00741EBD" w:rsidP="00905AF4">
      <w:pPr>
        <w:pStyle w:val="ECHRDecisionBody"/>
      </w:pPr>
      <w:r>
        <w:tab/>
        <w:t>Georges Ravarani,</w:t>
      </w:r>
    </w:p>
    <w:p w:rsidR="00B1178E" w:rsidRPr="00905AF4" w:rsidRDefault="00741EBD" w:rsidP="00905AF4">
      <w:pPr>
        <w:pStyle w:val="ECHRDecisionBody"/>
      </w:pPr>
      <w:r>
        <w:tab/>
        <w:t>Alena Poláčková,</w:t>
      </w:r>
    </w:p>
    <w:p w:rsidR="00B1178E" w:rsidRPr="00905AF4" w:rsidRDefault="00741EBD" w:rsidP="00905AF4">
      <w:pPr>
        <w:pStyle w:val="ECHRDecisionBody"/>
      </w:pPr>
      <w:r>
        <w:tab/>
        <w:t>Pauliine Koskelo</w:t>
      </w:r>
      <w:r>
        <w:rPr>
          <w:i/>
        </w:rPr>
        <w:t>, judecători</w:t>
      </w:r>
    </w:p>
    <w:p w:rsidR="00B1178E" w:rsidRPr="00905AF4" w:rsidRDefault="00B1178E" w:rsidP="00905AF4">
      <w:pPr>
        <w:pStyle w:val="ECHRDecisionBody"/>
      </w:pPr>
      <w:r>
        <w:t xml:space="preserve">și Françoise Elens-Passos, </w:t>
      </w:r>
      <w:r>
        <w:rPr>
          <w:i/>
        </w:rPr>
        <w:t>grefier adjunct</w:t>
      </w:r>
      <w:r>
        <w:t>,</w:t>
      </w:r>
    </w:p>
    <w:p w:rsidR="00B1178E" w:rsidRPr="00905AF4" w:rsidRDefault="00B1178E" w:rsidP="00905AF4">
      <w:pPr>
        <w:pStyle w:val="ECHRPara"/>
      </w:pPr>
      <w:r>
        <w:t>după ce a deliberat în camera de consiliu, la 2 martie și 21 septembrie 2016,</w:t>
      </w:r>
    </w:p>
    <w:p w:rsidR="00B1178E" w:rsidRPr="00905AF4" w:rsidRDefault="00B1178E" w:rsidP="00905AF4">
      <w:pPr>
        <w:pStyle w:val="ECHRPara"/>
      </w:pPr>
      <w:r>
        <w:t>pronunță prezenta hotărâre, adoptată la cea din urmă dată:</w:t>
      </w:r>
    </w:p>
    <w:p w:rsidR="00B1178E" w:rsidRPr="00905AF4" w:rsidRDefault="00B1178E" w:rsidP="00905AF4">
      <w:pPr>
        <w:pStyle w:val="ECHRTitle1"/>
      </w:pPr>
      <w:r>
        <w:t>PROCEDURA</w:t>
      </w:r>
    </w:p>
    <w:p w:rsidR="00B1178E" w:rsidRPr="00905AF4" w:rsidRDefault="00905AF4" w:rsidP="00905AF4">
      <w:pPr>
        <w:pStyle w:val="ECHRPara"/>
      </w:pPr>
      <w:r>
        <w:t>1. La originea cauzei se află cererea nr. 76943/11 îndreptată împotriva României, prin care Parohia Greco-Catolică Lupeni (parohia reclamantă), Episcopia Greco-Catolică Lugoj (episcopia reclamantă) și Protopopiatul Greco-Catolic Lupeni (protopopiatul reclamant), au sesizat Curtea la 14 decembrie 2011, în temeiul art. 34 din Convenția pentru apărarea drepturilor omului și a libertăților fundamentale („Convenția”).</w:t>
      </w:r>
    </w:p>
    <w:p w:rsidR="00B1178E" w:rsidRPr="00905AF4" w:rsidRDefault="00905AF4" w:rsidP="00905AF4">
      <w:pPr>
        <w:pStyle w:val="ECHRPara"/>
      </w:pPr>
      <w:r>
        <w:t>2. Reclamanții au fost reprezentați de D.O. Hatneanu și C.T. Borsanyi, avocați în București și, respectiv, în Timișoara. Guvernul român („Guvernul”) a fost reprezentat de agentul guvernamental, doamna C. Brumar, din cadrul Ministerului Afacerilor Externe.</w:t>
      </w:r>
    </w:p>
    <w:p w:rsidR="00B1178E" w:rsidRPr="00905AF4" w:rsidRDefault="00905AF4" w:rsidP="00905AF4">
      <w:pPr>
        <w:pStyle w:val="ECHRPara"/>
      </w:pPr>
      <w:r>
        <w:t xml:space="preserve">3. Denunțând refuzul instanțelor naționale de a admite cererea de restituire a unui lăcaș de cult pe care au introdus-o în temeiul dreptului comun, reclamanții se plâng în special de încălcarea dreptului lor de acces la o instanță, de nerespectarea principiului securității juridice și de încălcarea dreptului la un proces echitabil într-un termen rezonabil. Pe de altă parte, </w:t>
      </w:r>
      <w:r>
        <w:lastRenderedPageBreak/>
        <w:t>aceștia se consideră victime ale unei discriminări bazate pe religie, corelate cu pretinsa încălcare a dreptului lor de acces la o instanță.</w:t>
      </w:r>
    </w:p>
    <w:p w:rsidR="00B1178E" w:rsidRPr="00905AF4" w:rsidRDefault="00905AF4" w:rsidP="00905AF4">
      <w:pPr>
        <w:pStyle w:val="ECHRPara"/>
      </w:pPr>
      <w:r>
        <w:t>4. Cererea a fost atribuită Secției a treia a Curții (art. 52 § 1 din Regulamentul Curții – „Regulamentul”). La 18 decembrie 2012, cererea a fost comunicată Guvernului.</w:t>
      </w:r>
    </w:p>
    <w:p w:rsidR="00B1178E" w:rsidRPr="00905AF4" w:rsidRDefault="00905AF4" w:rsidP="00905AF4">
      <w:pPr>
        <w:pStyle w:val="ECHRPara"/>
      </w:pPr>
      <w:r>
        <w:rPr>
          <w:color w:val="000000"/>
          <w:szCs w:val="24"/>
        </w:rPr>
        <w:t xml:space="preserve">5. În urma abținerii doamnei Iulia Motoc, judecător ales să reprezinte România (art. 28 din Regulament), președintele a desemnat-o pe doamna Kristina Pardalos în calitate de judecător </w:t>
      </w:r>
      <w:r>
        <w:rPr>
          <w:i/>
          <w:color w:val="000000"/>
          <w:szCs w:val="24"/>
        </w:rPr>
        <w:t>ad-hoc</w:t>
      </w:r>
      <w:r>
        <w:rPr>
          <w:color w:val="000000"/>
          <w:szCs w:val="24"/>
        </w:rPr>
        <w:t xml:space="preserve"> (art. 26 § 4 din Convenție și art. 29 § 1 din Regulament).</w:t>
      </w:r>
    </w:p>
    <w:p w:rsidR="00B1178E" w:rsidRPr="00905AF4" w:rsidRDefault="00905AF4" w:rsidP="00905AF4">
      <w:pPr>
        <w:pStyle w:val="ECHRPara"/>
      </w:pPr>
      <w:r>
        <w:t>6. La 19 mai 2015, o cameră a Secției a treia, compusă din judecătorii: Josep Casadevall, președinte, Luis López Guerra, Ján Šikuta, Kristina Pardalos, Johannes Silvis, Valeriu Grițco, Branko Lubarda, judecători, și Stephen Phillips, grefier de secție, în unanimitate a declarat cererea admisibilă în ceea ce privește capetele de cerere întemeiate pe art. 6 § 1 din Convenție, referitoare la dreptul de acces la o instanță, respectarea principiului securității juridice și durata procesului, precum și în ceea ce privește capătul de cerere întemeiat pe art. 14 din Convenție coroborat cu art. 6 § 1, referitor la dreptul de acces la o instanță, dar inadmisibilă în ceea ce privește celelalte capete de cerere. În unanimitate, Camera a constatat neîncălcarea art. 6 § 1 din Convenție în ceea ce privește dreptul de acces la o instanță și respectarea principiului securității juridice, dar și încălcarea acestei dispoziții în ceea ce privește durata procedurii. Tot în unanimitate, Camera a mai constatat că nu a fost încălcat art. 14 din Convenție coroborat cu art. 6 § 1 din Convenție.</w:t>
      </w:r>
    </w:p>
    <w:p w:rsidR="00B1178E" w:rsidRPr="00905AF4" w:rsidRDefault="00905AF4" w:rsidP="00905AF4">
      <w:pPr>
        <w:pStyle w:val="ECHRPara"/>
      </w:pPr>
      <w:r>
        <w:t>7. La 19 august 2015, reclamanții au solicitat trimiterea cauzei în fața Marii Camere, în temeiul art. 43 din Convenție și al art. 73 din Regulament. La 19 octombrie 2015, Colegiul Marii Camere a admis cererea.</w:t>
      </w:r>
    </w:p>
    <w:p w:rsidR="00B1178E" w:rsidRPr="00905AF4" w:rsidRDefault="00905AF4" w:rsidP="00905AF4">
      <w:pPr>
        <w:pStyle w:val="ECHRPara"/>
        <w:rPr>
          <w:noProof/>
        </w:rPr>
      </w:pPr>
      <w:r>
        <w:t>8. Compunerea Marii Camere a fost stabilită în conformitate cu art. 26 § 4 și § 5 din Convenție și art. 24 din Regulament.</w:t>
      </w:r>
    </w:p>
    <w:p w:rsidR="00B1178E" w:rsidRPr="00905AF4" w:rsidRDefault="00905AF4" w:rsidP="00905AF4">
      <w:pPr>
        <w:pStyle w:val="ECHRPara"/>
      </w:pPr>
      <w:r>
        <w:t>9. Atât reclamanții, cât și Guvernul, au depus observații scrise complementare (art. 59 § 1 din Regulament).</w:t>
      </w:r>
    </w:p>
    <w:p w:rsidR="00B1178E" w:rsidRPr="00905AF4" w:rsidRDefault="00905AF4" w:rsidP="00905AF4">
      <w:pPr>
        <w:pStyle w:val="ECHRPara"/>
      </w:pPr>
      <w:r>
        <w:t>10. La 2 martie 2016, a avut loc o ședință publică la Palatul Drepturilor Omului din Strasbourg (art. 59 § 3 din Regulament).</w:t>
      </w:r>
    </w:p>
    <w:p w:rsidR="00B1178E" w:rsidRPr="00FA220B" w:rsidRDefault="00B1178E" w:rsidP="00905AF4">
      <w:pPr>
        <w:ind w:firstLine="284"/>
      </w:pPr>
    </w:p>
    <w:p w:rsidR="00B1178E" w:rsidRPr="00905AF4" w:rsidRDefault="00CF54C6" w:rsidP="00905AF4">
      <w:pPr>
        <w:pStyle w:val="ECHRPara"/>
      </w:pPr>
      <w:r>
        <w:t>S-au înfățișat:</w:t>
      </w:r>
    </w:p>
    <w:p w:rsidR="00B1178E" w:rsidRPr="00905AF4" w:rsidRDefault="00B1178E" w:rsidP="00905AF4">
      <w:pPr>
        <w:pStyle w:val="JuCourt"/>
      </w:pPr>
      <w:r>
        <w:t>––</w:t>
      </w:r>
      <w:r>
        <w:rPr>
          <w:i/>
        </w:rPr>
        <w:t xml:space="preserve"> pentru Guvern</w:t>
      </w:r>
    </w:p>
    <w:p w:rsidR="00B1178E" w:rsidRPr="00905AF4" w:rsidRDefault="00B1178E" w:rsidP="00905AF4">
      <w:pPr>
        <w:pStyle w:val="JuCourt"/>
        <w:tabs>
          <w:tab w:val="clear" w:pos="907"/>
          <w:tab w:val="clear" w:pos="1701"/>
          <w:tab w:val="left" w:pos="0"/>
        </w:tabs>
        <w:ind w:left="0" w:firstLine="0"/>
      </w:pPr>
      <w:r>
        <w:t xml:space="preserve">dna C. </w:t>
      </w:r>
      <w:r>
        <w:rPr>
          <w:rStyle w:val="JUNAMES"/>
        </w:rPr>
        <w:t>Brumar</w:t>
      </w:r>
      <w:r>
        <w:t>,</w:t>
      </w:r>
      <w:r>
        <w:tab/>
      </w:r>
      <w:r>
        <w:rPr>
          <w:i/>
        </w:rPr>
        <w:t>agent</w:t>
      </w:r>
      <w:r>
        <w:t>,</w:t>
      </w:r>
      <w:r>
        <w:br/>
        <w:t xml:space="preserve">dna O. </w:t>
      </w:r>
      <w:r>
        <w:rPr>
          <w:rStyle w:val="JUNAMES"/>
        </w:rPr>
        <w:t>Ezer</w:t>
      </w:r>
      <w:r>
        <w:t>,</w:t>
      </w:r>
      <w:r>
        <w:tab/>
      </w:r>
      <w:r>
        <w:rPr>
          <w:i/>
        </w:rPr>
        <w:t>consilier,</w:t>
      </w:r>
    </w:p>
    <w:p w:rsidR="00B1178E" w:rsidRPr="00905AF4" w:rsidRDefault="00B1178E" w:rsidP="00905AF4">
      <w:pPr>
        <w:pStyle w:val="JuCourt"/>
        <w:tabs>
          <w:tab w:val="clear" w:pos="907"/>
          <w:tab w:val="clear" w:pos="1701"/>
          <w:tab w:val="left" w:pos="0"/>
        </w:tabs>
        <w:ind w:left="2160" w:hanging="2160"/>
        <w:rPr>
          <w:i/>
        </w:rPr>
      </w:pPr>
      <w:r>
        <w:t xml:space="preserve">dna I. </w:t>
      </w:r>
      <w:r>
        <w:rPr>
          <w:rStyle w:val="JUNAMES"/>
        </w:rPr>
        <w:t>Dumitriu</w:t>
      </w:r>
      <w:r>
        <w:tab/>
      </w:r>
      <w:r>
        <w:rPr>
          <w:i/>
        </w:rPr>
        <w:t>prim secretar la Reprezentanța Permanentă a României la Consiliul Europei,</w:t>
      </w:r>
    </w:p>
    <w:p w:rsidR="00B1178E" w:rsidRPr="00905AF4" w:rsidRDefault="00B1178E" w:rsidP="00905AF4">
      <w:pPr>
        <w:pStyle w:val="JuCourt"/>
      </w:pPr>
      <w:r>
        <w:lastRenderedPageBreak/>
        <w:t xml:space="preserve">dl C. </w:t>
      </w:r>
      <w:r>
        <w:rPr>
          <w:rStyle w:val="JUNAMES"/>
        </w:rPr>
        <w:t>Păvălaşcu</w:t>
      </w:r>
      <w:r>
        <w:rPr>
          <w:rStyle w:val="JUNAMES"/>
        </w:rPr>
        <w:tab/>
      </w:r>
      <w:r w:rsidR="00FA220B">
        <w:rPr>
          <w:rStyle w:val="JUNAMES"/>
        </w:rPr>
        <w:t xml:space="preserve">, </w:t>
      </w:r>
      <w:r>
        <w:rPr>
          <w:i/>
        </w:rPr>
        <w:t>șef de serviciu în cadrul Secretariatului de Stat pentru Culte</w:t>
      </w:r>
      <w:r>
        <w:t>;</w:t>
      </w:r>
    </w:p>
    <w:p w:rsidR="00B1178E" w:rsidRPr="00905AF4" w:rsidRDefault="00B1178E" w:rsidP="00905AF4">
      <w:pPr>
        <w:pStyle w:val="JuCourt"/>
      </w:pPr>
      <w:r>
        <w:t xml:space="preserve">– </w:t>
      </w:r>
      <w:r>
        <w:rPr>
          <w:i/>
        </w:rPr>
        <w:t>pentru reclamanți</w:t>
      </w:r>
    </w:p>
    <w:p w:rsidR="00B1178E" w:rsidRPr="00905AF4" w:rsidRDefault="00B1178E" w:rsidP="00905AF4">
      <w:pPr>
        <w:pStyle w:val="JuCourt"/>
        <w:rPr>
          <w:i/>
        </w:rPr>
      </w:pPr>
      <w:r>
        <w:t xml:space="preserve">D.O. </w:t>
      </w:r>
      <w:r>
        <w:rPr>
          <w:rStyle w:val="JUNAMES"/>
        </w:rPr>
        <w:t>Hatneanu</w:t>
      </w:r>
      <w:r>
        <w:t xml:space="preserve">, avocat, </w:t>
      </w:r>
      <w:r>
        <w:tab/>
      </w:r>
      <w:r>
        <w:rPr>
          <w:i/>
        </w:rPr>
        <w:t>consilier.</w:t>
      </w:r>
    </w:p>
    <w:p w:rsidR="00E81E9C" w:rsidRPr="00905AF4" w:rsidRDefault="00E81E9C" w:rsidP="00905AF4">
      <w:pPr>
        <w:rPr>
          <w:lang w:val="fr-FR" w:bidi="en-US"/>
        </w:rPr>
      </w:pPr>
    </w:p>
    <w:p w:rsidR="00B1178E" w:rsidRPr="00905AF4" w:rsidRDefault="00B1178E" w:rsidP="00905AF4">
      <w:pPr>
        <w:pStyle w:val="ECHRPara"/>
      </w:pPr>
      <w:r>
        <w:t>Curtea ascultat declarațiile făcute de D. O. Hatneanu și apoi de C. Brumar și O. Ezer, precum și răspunsurile acestora la întrebările adresate de judecători.</w:t>
      </w:r>
    </w:p>
    <w:p w:rsidR="00B1178E" w:rsidRPr="00905AF4" w:rsidRDefault="00B1178E" w:rsidP="00905AF4">
      <w:pPr>
        <w:pStyle w:val="ECHRTitle1"/>
      </w:pPr>
      <w:r>
        <w:t>ÎN FAPT</w:t>
      </w:r>
    </w:p>
    <w:p w:rsidR="00B1178E" w:rsidRPr="00905AF4" w:rsidRDefault="00B1178E" w:rsidP="00905AF4">
      <w:pPr>
        <w:pStyle w:val="ECHRHeading1"/>
      </w:pPr>
      <w:r>
        <w:t>I. CIRCUMSTAN</w:t>
      </w:r>
      <w:r w:rsidR="00FA220B">
        <w:t>Ț</w:t>
      </w:r>
      <w:r>
        <w:t>ELE CAUZEI</w:t>
      </w:r>
    </w:p>
    <w:p w:rsidR="00B1178E" w:rsidRPr="00905AF4" w:rsidRDefault="00905AF4" w:rsidP="00905AF4">
      <w:pPr>
        <w:pStyle w:val="ECHRPara"/>
      </w:pPr>
      <w:r>
        <w:t>11. Cei trei reclamanți fac parte din Biserica Română Unită cu Roma, denumită și Biserica Greco-Catolică sau Unită.</w:t>
      </w:r>
    </w:p>
    <w:p w:rsidR="00B1178E" w:rsidRPr="00905AF4" w:rsidRDefault="00B1178E" w:rsidP="00905AF4">
      <w:pPr>
        <w:pStyle w:val="ECHRHeading2"/>
      </w:pPr>
      <w:r>
        <w:t>A. Contextul istoric al cauzei</w:t>
      </w:r>
    </w:p>
    <w:p w:rsidR="00E65D65" w:rsidRPr="00905AF4" w:rsidRDefault="00905AF4" w:rsidP="00905AF4">
      <w:pPr>
        <w:pStyle w:val="ECHRPara"/>
        <w:rPr>
          <w:strike/>
        </w:rPr>
      </w:pPr>
      <w:r>
        <w:t>12. În 1948, prin Decretul nr. 358/1948, Biserica Greco-Catolică a fost desființată, iar averea sa a fost transferată statului, cu excepția averii fostelor parohii, destinația acestora urmând să fie hotărâtă de o comisiune interdepartamentală. Cu toate acestea, comisiunea nu s-a achitat niciodată de această misiune, iar bunurile parohiilor au fost transferate Bisericii Ortodoxe în temeiul Decretului nr. 177/1948.</w:t>
      </w:r>
    </w:p>
    <w:p w:rsidR="00E65D65" w:rsidRPr="00905AF4" w:rsidRDefault="00905AF4" w:rsidP="00905AF4">
      <w:pPr>
        <w:pStyle w:val="ECHRPara"/>
      </w:pPr>
      <w:r>
        <w:t>13. În 1967, ansamblul alcătuit din biserică și curtea aferentă aparținând parohiei reclamante a fost înscris în cartea funciară ca proprietate a Parohiei Ortodoxe Române din Lupeni („parohia ortodoxă”).</w:t>
      </w:r>
    </w:p>
    <w:p w:rsidR="00B1178E" w:rsidRPr="00905AF4" w:rsidRDefault="00905AF4" w:rsidP="00905AF4">
      <w:pPr>
        <w:pStyle w:val="ECHRPara"/>
      </w:pPr>
      <w:r>
        <w:t>14. După căderea regimului comunist, în decembrie 1989, Decretul nr. 358/1948 a fost abrogat prin Decretul-lege nr. 9/1989. Cultul greco-catolic a fost recunoscut oficial prin Decretul-lege nr. 126/1990 privind unele măsuri referitoare la Biserica Română Unită cu Roma. Art. 3 din decretul-lege prevedea că situația juridică a bunurilor care au aparținut parohiilor greco-catolice și au fost preluate de Biserica Ortodoxă Română trebuia stabilită de către comisii mixte, formate din reprezentanți clericali ai celor două culte religioase, greco-catolic și ortodox. La luarea deciziilor, comisiile trebuiau să țină seama de „dorința credincioșilor din comunitățile care dețin aceste bunuri”.</w:t>
      </w:r>
    </w:p>
    <w:p w:rsidR="00B1178E" w:rsidRPr="00905AF4" w:rsidRDefault="00905AF4" w:rsidP="00905AF4">
      <w:pPr>
        <w:pStyle w:val="ECHRPara"/>
      </w:pPr>
      <w:r>
        <w:t xml:space="preserve">15. Art. 3 din Decretul-lege nr. 126/1990 a fost completat prin Ordonanța Guvernului nr. 64/2004 și Legea nr. 182/2005. Dispoziția astfel modificată prevedea că, în cazul în care reprezentanții clericali ai celor două culte nu </w:t>
      </w:r>
      <w:r>
        <w:lastRenderedPageBreak/>
        <w:t xml:space="preserve">ajungeau la niciun rezultat în cadrul unei comisii mixte, partea interesată avea deschisă calea acțiunii în justiție potrivit dreptului comun (a se vedea procedura menționată </w:t>
      </w:r>
      <w:r>
        <w:rPr>
          <w:i/>
        </w:rPr>
        <w:t>infra</w:t>
      </w:r>
      <w:r>
        <w:t>, pct. 41 și pct. 121).</w:t>
      </w:r>
    </w:p>
    <w:p w:rsidR="00E65D65" w:rsidRPr="00905AF4" w:rsidRDefault="00905AF4" w:rsidP="00905AF4">
      <w:pPr>
        <w:pStyle w:val="ECHRPara"/>
      </w:pPr>
      <w:r>
        <w:t>16. Parohia reclamantă a fost reconstituită legal la 12 august 1996, iar reclamanții au început – fără succes – demersurile în fața comisiei mixte pentru restituirea bunurilor.</w:t>
      </w:r>
    </w:p>
    <w:p w:rsidR="00B1178E" w:rsidRPr="00905AF4" w:rsidRDefault="00905AF4" w:rsidP="00905AF4">
      <w:pPr>
        <w:pStyle w:val="ECHRPara"/>
      </w:pPr>
      <w:r>
        <w:t xml:space="preserve">17. Dreptul intern, inclusiv Decretul-lege nr. 126/1990 cu modificările aduse în 2004 și 2005, este prezentat la punctele 39–43 </w:t>
      </w:r>
      <w:r>
        <w:rPr>
          <w:i/>
        </w:rPr>
        <w:t>infra</w:t>
      </w:r>
      <w:r>
        <w:t>.</w:t>
      </w:r>
    </w:p>
    <w:p w:rsidR="00B1178E" w:rsidRPr="00905AF4" w:rsidRDefault="00B1178E" w:rsidP="00905AF4">
      <w:pPr>
        <w:pStyle w:val="ECHRHeading2"/>
      </w:pPr>
      <w:r>
        <w:t>B. Acțiunea în justiție introdusă de reclamanți</w:t>
      </w:r>
    </w:p>
    <w:p w:rsidR="00B1178E" w:rsidRPr="00905AF4" w:rsidRDefault="00B1178E" w:rsidP="00905AF4">
      <w:pPr>
        <w:pStyle w:val="ECHRHeading3"/>
      </w:pPr>
      <w:r>
        <w:t>1. Prima fază a procedurii</w:t>
      </w:r>
    </w:p>
    <w:p w:rsidR="00B1178E" w:rsidRPr="00905AF4" w:rsidRDefault="00905AF4" w:rsidP="00905AF4">
      <w:pPr>
        <w:pStyle w:val="ECHRPara"/>
      </w:pPr>
      <w:r>
        <w:t>18. La 23 mai 2001, episcopia reclamantă a sesizat instanțele interne cu o acțiune împotriva Arhiepiscopiei Ortodoxe a Aradului și a parohiei ortodoxe. Episcopia a solicitat anularea exproprierii bisericii și a cimitirului din Lupeni, efectuate în baza Decretului nr. 358/1948, precum și restituirea acestei biserici către parohia reclamantă. Parohia reclamantă și protopopiatul reclamant au fost menționați în actul de sesizare a instanței în calitate de reprezentanți ai episcopiei reclamante.</w:t>
      </w:r>
    </w:p>
    <w:p w:rsidR="00E65D65" w:rsidRPr="00905AF4" w:rsidRDefault="00905AF4" w:rsidP="00905AF4">
      <w:pPr>
        <w:pStyle w:val="ECHRPara"/>
      </w:pPr>
      <w:r>
        <w:t>19. Prin sentința din 10 octombrie 2001, Tribunalul Hunedoara („tribunalul”) a declarat acțiunea inadmisibilă pe motiv că litigiul trebuia soluționat pe calea procedurii speciale instituite prin Decretul-lege nr. 126/1990, și anume în fața comisiei mixte.</w:t>
      </w:r>
    </w:p>
    <w:p w:rsidR="00E65D65" w:rsidRPr="00905AF4" w:rsidRDefault="00905AF4" w:rsidP="00905AF4">
      <w:pPr>
        <w:pStyle w:val="ECHRPara"/>
      </w:pPr>
      <w:r>
        <w:t>20. Parohia reclamantă și episcopia reclamantă au declarat apel împotriva sentinței. La 22 februarie 2002, acestea au solicitat suspendarea procedurii în vederea soluționării cauzei pe cale amiabilă. La 25 martie 2003, acestea au solicitat repunerea cauzei pe rol. La aceeași dată, Curtea de Apel Alba Iulia („curtea de apel”) a respins apelul, declarând acțiunea prematură. Prin decizia definitivă din 24 noiembrie 2004, Înalta Curte de Casație și Justiție („Înalta Curte”), soluționând recursul declarat de parohia reclamantă și de episcopia reclamantă, a casat decizia curții de apel și a trimis cauza aceleiași curți de apel pentru rejudecarea fondului.</w:t>
      </w:r>
    </w:p>
    <w:p w:rsidR="00E65D65" w:rsidRPr="00905AF4" w:rsidRDefault="00905AF4" w:rsidP="00905AF4">
      <w:pPr>
        <w:pStyle w:val="ECHRPara"/>
        <w:rPr>
          <w:i/>
        </w:rPr>
      </w:pPr>
      <w:r>
        <w:t>21. La 12 mai 2006, în temeiul modificărilor legislative aduse Decretului-lege nr. 126/1990, care confereau instanțelor competența de a judeca pe fond cauzele având ca obiect bunurile care au aparținut parohiilor greco-catolice și care fuseseră preluate de Biserica Ortodoxă (</w:t>
      </w:r>
      <w:r>
        <w:rPr>
          <w:i/>
        </w:rPr>
        <w:t>infra</w:t>
      </w:r>
      <w:r>
        <w:t>, pct. 42), curtea de apel a admis apelul episcopiei reclamante și a retrimis cauza la tribunal.</w:t>
      </w:r>
    </w:p>
    <w:p w:rsidR="00B1178E" w:rsidRPr="00905AF4" w:rsidRDefault="00905AF4" w:rsidP="00905AF4">
      <w:pPr>
        <w:pStyle w:val="ECHRPara"/>
      </w:pPr>
      <w:r>
        <w:t>22. La 27 iulie 2006, atunci când cauza a fost repusă pe rolul tribunalului, cadrul procesual a fost extins în vederea introducerii oficiale în proces în calitate de reclamanți a parohiei reclamante și a protopopiatului reclamant. La 8 noiembrie 2006, reclamanții au completat acțiunea inițială cu o acțiune în revendicarea bunurilor în litigiu întemeiată pe dreptul comun.</w:t>
      </w:r>
    </w:p>
    <w:p w:rsidR="00B1178E" w:rsidRPr="00905AF4" w:rsidRDefault="00905AF4" w:rsidP="00905AF4">
      <w:pPr>
        <w:pStyle w:val="ECHRPara"/>
      </w:pPr>
      <w:r>
        <w:lastRenderedPageBreak/>
        <w:t>23. Tribunalul a solicitat părților să organizeze o întrunire pentru a ajunge la un acord privind atribuirea bisericii în litigiu și să îi comunice rezultatul negocierilor până la data de 25 aprilie 2007. Părțile au avut o întâlnire la 20 aprilie 2007, dar nu au ajuns la niciun rezultat.</w:t>
      </w:r>
    </w:p>
    <w:p w:rsidR="00B1178E" w:rsidRPr="00905AF4" w:rsidRDefault="00905AF4" w:rsidP="00905AF4">
      <w:pPr>
        <w:pStyle w:val="ECHRPara"/>
      </w:pPr>
      <w:r>
        <w:t>24. Prin sentința din 27 februarie 2008, tribunalul a respins acțiunea reclamanților, motivând că parohia ortodoxă devenise în mod legal proprietar al bunului în litigiu în temeiul Decretului nr. 358/1948 și că a acționat în calitate de proprietar, asigurând – printre altele – buna întreținere a bisericii.</w:t>
      </w:r>
    </w:p>
    <w:p w:rsidR="00B1178E" w:rsidRPr="00905AF4" w:rsidRDefault="00905AF4" w:rsidP="00905AF4">
      <w:pPr>
        <w:pStyle w:val="ECHRPara"/>
      </w:pPr>
      <w:r>
        <w:t>25. La 26 septembrie 2008, soluționând apelul reclamanților, curtea de apel a anulat sentința din 27 februarie 2008 pentru viciu de formă și a trimis cauza la tribunal pentru rejudecare.</w:t>
      </w:r>
    </w:p>
    <w:p w:rsidR="00B1178E" w:rsidRPr="00905AF4" w:rsidRDefault="00B1178E" w:rsidP="00905AF4">
      <w:pPr>
        <w:pStyle w:val="ECHRHeading3"/>
      </w:pPr>
      <w:r>
        <w:t>2. Hotărârea pe fond</w:t>
      </w:r>
    </w:p>
    <w:p w:rsidR="00E65D65" w:rsidRPr="00905AF4" w:rsidRDefault="00905AF4" w:rsidP="00905AF4">
      <w:pPr>
        <w:pStyle w:val="ECHRPara"/>
      </w:pPr>
      <w:r>
        <w:t>26. Prin sentința din 13 februarie 2009, tribunalul a admis acțiunea reclamanților și a dispus ca biserica să fie restituită parohiei reclamante. Comparând titlurile de proprietate ale părților, instanța a constatat că partea greco-catolică era înscrisă din 1940 în cartea funciară ca proprietar al bunului și că biserica ortodoxă înscrisese în 1967 în cartea funciară dreptul său de proprietate asupra aceluiași bun, care îi fusese transferat în temeiul Decretului nr. 358/1948. Instanța a hotărât că abrogarea Decretului nr. 358/1948 a avut ca efect, în speță, încetarea dreptului de proprietate al părții ortodoxe asupra bunului în litigiu. De asemenea, instanța a observat că parohia reclamantă nu avea lăcaș de cult și era obligată să oficieze serviciul religios în lăcașurile închiriate de la Biserica Romano-Catolică.</w:t>
      </w:r>
    </w:p>
    <w:p w:rsidR="00B1178E" w:rsidRPr="00905AF4" w:rsidRDefault="00F95851" w:rsidP="00905AF4">
      <w:pPr>
        <w:pStyle w:val="ECHRHeading3"/>
      </w:pPr>
      <w:r>
        <w:t>3. Apelul</w:t>
      </w:r>
    </w:p>
    <w:p w:rsidR="00E65D65" w:rsidRPr="00905AF4" w:rsidRDefault="00905AF4" w:rsidP="00905AF4">
      <w:pPr>
        <w:pStyle w:val="ECHRPara"/>
      </w:pPr>
      <w:r>
        <w:t>27. Prin decizia din 11 iunie 2010, curtea de apel a admis apelul declarat de parohia ortodoxă și a respins acțiunea reclamanților. Pe baza probelor depuse la dosar, instanța a constatat în primul rând că biserica revendicată și două case parohiale din Lupeni fuseseră construite în perioada 1906–1920 de către ortodocși de rit oriental și greco-catolici și că, ulterior construirii, biserica a găzduit alternativ sediile celor două culte. Instanța a reținut că, în 1948, credincioșii greco-catolici au fost obligați să se convertească la cultul ortodox și că lăcașul de cult fusese transferat în patrimoniul Bisericii Ortodoxe, care efectuase lucrări de întreținere și de îmbunătățire.</w:t>
      </w:r>
    </w:p>
    <w:p w:rsidR="00B1178E" w:rsidRPr="00905AF4" w:rsidRDefault="00905AF4" w:rsidP="00905AF4">
      <w:pPr>
        <w:pStyle w:val="ECHRPara"/>
      </w:pPr>
      <w:r>
        <w:t xml:space="preserve">28. Curtea de apel a examinat totodată declarațiile a patru martori luate de tribunal. Aceasta a constatat că declarațiile martorilor confirmau datele statistice, care arătau că în Lupeni numărul ortodocșilor era mai mare decât cel al greco-catolicilor. Instanța a observat că, potrivit ultimului recensământ, în Lupeni existau 24 968 de credincioși ortodocși și 509 credincioși greco-catolici. De asemenea, instanța a comparat declarațiile martorilor, înscrisurile care atestau numărul credincioșilor greco-catolici declarați la data </w:t>
      </w:r>
      <w:r>
        <w:lastRenderedPageBreak/>
        <w:t>reconstituirii Bisericii Greco-Catolice din Lupeni și datele ultimului recensământ efectuat în Lupeni.</w:t>
      </w:r>
    </w:p>
    <w:p w:rsidR="00B1178E" w:rsidRPr="00905AF4" w:rsidRDefault="00905AF4" w:rsidP="00905AF4">
      <w:pPr>
        <w:pStyle w:val="ECHRPara"/>
      </w:pPr>
      <w:r>
        <w:t>29. Aceasta a avut următorul raționament:</w:t>
      </w:r>
    </w:p>
    <w:p w:rsidR="00E65D65" w:rsidRPr="00905AF4" w:rsidRDefault="00CF3002" w:rsidP="00905AF4">
      <w:pPr>
        <w:pStyle w:val="ECHRParaQuote"/>
      </w:pPr>
      <w:r>
        <w:t xml:space="preserve"> „[...] deși acțiunea introductivă se întemeiază pe dispozițiile de drept comun ale art. 480 C. civ., având în vedere obiectul acesteia, nu se poate face abstracție de dispozițiile speciale ale art. 3 alin. (1) din Decretul-lege nr. 126/1990 care prevăd că situația juridică a lăcașurilor de cult și a caselor parohiale (...) se va stabili ținând seama de dorința credincioșilor din comunitățile care dețin aceste bunuri”.</w:t>
      </w:r>
    </w:p>
    <w:p w:rsidR="00B1178E" w:rsidRPr="00905AF4" w:rsidRDefault="00905AF4" w:rsidP="00905AF4">
      <w:pPr>
        <w:pStyle w:val="ECHRPara"/>
      </w:pPr>
      <w:r>
        <w:t>30. Aceasta a considerat că, din moment ce ortodocșii, incluzându-i pe cei convertiți care nu mai doreau să revină la cultul greco-catolic, erau mai numeroși decât greco-catolicii în Lupeni, era necesar să se țină seama de refuzul acestora în momentul soluționării cauzei. Instanța a considerat că „pornind de la aceste realități sociale și istorice, a ignora voința credincioșilor și raportul dintre credincioșii ortodocși, majoritari, și cei greco-catolici, cu o pondere mai puțin semnificativă, înseamnă a aduce grave atingeri stabilității și securității raporturilor juridice”.</w:t>
      </w:r>
    </w:p>
    <w:p w:rsidR="00B1178E" w:rsidRPr="00905AF4" w:rsidRDefault="00905AF4" w:rsidP="00905AF4">
      <w:pPr>
        <w:pStyle w:val="ECHRPara"/>
      </w:pPr>
      <w:r>
        <w:t>31. Curtea de apel s-a pronunțat că abrogarea Decretului nr. 358/1948 nu avea ca efect automat anularea titlului de proprietate al Bisericii Ortodoxe, acest decret constituind legea în vigoare la momentul transferării dreptului de proprietate. Prin urmare, aceasta a considerat că, deși a fost emis în temeiul unui act normativ ulterior declarat abuziv, titlul Bisericii Ortodoxe era valabil începând din data la care a avut loc transferul, astfel încât acțiunea în revendicare este neîntemeiată.</w:t>
      </w:r>
    </w:p>
    <w:p w:rsidR="00E65D65" w:rsidRPr="00905AF4" w:rsidRDefault="00F95851" w:rsidP="00905AF4">
      <w:pPr>
        <w:pStyle w:val="ECHRHeading3"/>
      </w:pPr>
      <w:r>
        <w:t>4. Decizia definitivă a Înaltei Curți</w:t>
      </w:r>
    </w:p>
    <w:p w:rsidR="00E65D65" w:rsidRPr="00905AF4" w:rsidRDefault="00905AF4" w:rsidP="00905AF4">
      <w:pPr>
        <w:pStyle w:val="ECHRPara"/>
      </w:pPr>
      <w:r>
        <w:t>32. Reclamanții au declarat recurs la Înalta Curte, susținând că, în mod eronat, curtea de apel aplicase dispozițiile legale referitoare la acțiunea în revendicare. Aceștia au subliniat că dreptul de proprietate nu poate fi legat de caracterul majoritar al unei religii, proprietatea fiind o noțiune juridică independentă de numărul și dorința părților.</w:t>
      </w:r>
    </w:p>
    <w:p w:rsidR="00E65D65" w:rsidRPr="00905AF4" w:rsidRDefault="00905AF4" w:rsidP="00905AF4">
      <w:pPr>
        <w:ind w:firstLine="284"/>
      </w:pPr>
      <w:r>
        <w:rPr>
          <w:rStyle w:val="ECHRParaChar"/>
        </w:rPr>
        <w:t xml:space="preserve">33. La 15 iunie 2011, Înalta Curte, în majoritate, a pronunțat o decizie definitivă în care a prezentat în detaliu deciziile instanțelor inferioare. Reamintind că acestea erau singurele competente să stabilească faptele, Înalta Curte a confirmat considerațiile lor de fapt. </w:t>
      </w:r>
      <w:r>
        <w:t>Înalta Curte a respins recursul reclamanților și a confirmat decizia pronunțată în apel. Cu privire la chestiunea legii aplicabile, aceasta a precizat în special următoarele:</w:t>
      </w:r>
    </w:p>
    <w:p w:rsidR="00E65D65" w:rsidRPr="00905AF4" w:rsidRDefault="00CF3002" w:rsidP="00905AF4">
      <w:pPr>
        <w:pStyle w:val="ECHRParaQuote"/>
      </w:pPr>
      <w:r>
        <w:t xml:space="preserve">„Conform Decretului-lege nr. 126/1990 […] a fost reglementată modalitatea de restituire a bunurilor preluate de stat […] distingându-se între două situații: a) aceea în care bunurile se află în patrimoniul statului, […] și b) situația lăcașurilor de cult și a celor parohiale, preluate de Biserica Ortodoxă Română, pentru care restituirea se va stabili de către o comisie mixtă, formată din reprezentanți clericali ai celor două culte religioase, </w:t>
      </w:r>
      <w:r>
        <w:rPr>
          <w:i/>
        </w:rPr>
        <w:t>ținând seama de dorința credincioșilor</w:t>
      </w:r>
      <w:r>
        <w:t xml:space="preserve"> din comunitate care dețin aceste bunuri.</w:t>
      </w:r>
    </w:p>
    <w:p w:rsidR="00B1178E" w:rsidRPr="00905AF4" w:rsidRDefault="00B1178E" w:rsidP="00905AF4">
      <w:pPr>
        <w:pStyle w:val="ECHRParaQuote"/>
      </w:pPr>
      <w:r>
        <w:lastRenderedPageBreak/>
        <w:t>Față de această reglementare cu caracter special, în mod corect, întrucât era învestită cu o acțiune în retrocedarea lăcașului de cult, instanța de apel a constatat și a dat eficiență criteriului referitor la dorința credincioșilor (majoritari ortodocși) din comunitatea care deține bunul, statuând totodată asupra caracterului nelegal al raționamentului de primă instanță care a procedat la o simplă comparare de titluri ignorând norma specială. [...]</w:t>
      </w:r>
    </w:p>
    <w:p w:rsidR="00967697" w:rsidRPr="00905AF4" w:rsidRDefault="00023D0F" w:rsidP="00905AF4">
      <w:pPr>
        <w:pStyle w:val="ECHRParaQuote"/>
      </w:pPr>
      <w:r>
        <w:t>Or, sub primul aspect a rezultat că în Lupeni sunt 24.968 credincioși ortodocși și numai 509 credincioși greco-catolici, că cei care au fost nevoiți să treacă în anul 1948 la cultul ortodox nu vor să revină la cultul greco-catolic și că încercarea de rezolvare în cadrul comisiei mixte clericale a avut loc (conform procesului-verbal din 20 aprilie 2007, care a consemnat dialogul dintre Biserica Ortodoxă și Biserica Romano-Catolică, partea ortodoxă arătând că nu poate fi primită solicitarea de retrocedare a lăcașului având în vedere dorința credincioșilor din parohie și faptul că din 1948 până în prezent, ortodocșii au fost cei care au administrat lăcașul de cult). [...]</w:t>
      </w:r>
    </w:p>
    <w:p w:rsidR="00B1178E" w:rsidRPr="00905AF4" w:rsidRDefault="00B1178E" w:rsidP="00905AF4">
      <w:pPr>
        <w:pStyle w:val="ECHRParaQuote"/>
      </w:pPr>
      <w:r>
        <w:t>De aceea, adăugarea la art. 3 [din Decretul-lege nr. 126/1990] a alineatului conform căruia «</w:t>
      </w:r>
      <w:r>
        <w:rPr>
          <w:i/>
        </w:rPr>
        <w:t>dacă la termenul stabilit pentru convocarea comisiei aceasta nu se întrunește sau dacă nu se ajunge la niciun rezultat în cadrul comisiei ori decizia nemulțumește una dintre părți, partea interesată are deschisă calea acțiunii în justiție, potrivit dreptului comun</w:t>
      </w:r>
      <w:r>
        <w:t>», nu poate avea semnificația transformării cererii în retrocedare reglementată de norma specială, într-o cerere în revendicare de drept comun.</w:t>
      </w:r>
    </w:p>
    <w:p w:rsidR="00B1178E" w:rsidRPr="00905AF4" w:rsidRDefault="00B1178E" w:rsidP="00905AF4">
      <w:pPr>
        <w:pStyle w:val="ECHRParaQuote"/>
      </w:pPr>
      <w:r>
        <w:t>Învestită cu o astfel de cerere instanța de judecată nu poate ignora reglementarea specială în materie care impune drept criteriu de care să se țină seama în rezolvarea unor asemenea pretenții, dorința credincioșilor din comunitatea care deține bunurile.</w:t>
      </w:r>
    </w:p>
    <w:p w:rsidR="00E65D65" w:rsidRPr="00905AF4" w:rsidRDefault="00B1178E" w:rsidP="00905AF4">
      <w:pPr>
        <w:pStyle w:val="ECHRParaQuote"/>
      </w:pPr>
      <w:r>
        <w:t>Altfel spus, în virtutea plenitudinii de jurisdicție, instanța este chemată să analizeze în fond o pretenție deși procedura prealabilă nu a fost definitivată prin emiterea unei decizii de către Comisia mixtă clericală, tocmai pentru a nu împiedica accesul la justiție, dar în același timp, fără a putea ieși din limitele impuse de cadrul normativ special.</w:t>
      </w:r>
    </w:p>
    <w:p w:rsidR="00B1178E" w:rsidRPr="00905AF4" w:rsidRDefault="00B1178E" w:rsidP="00905AF4">
      <w:pPr>
        <w:pStyle w:val="ECHRParaQuote"/>
      </w:pPr>
      <w:r>
        <w:t>Faptul că s-a stabilit drept criteriu de preferință dorința credincioșilor este un aspect de opțiune a legiuitorului care a înțeles să reglementeze astfel într-o materie ce vizează imobile cu o anumită afectațiune (lăcașuri de cult), instanței de judecată nefiindu-i permis să cenzureze oportunitatea legii.</w:t>
      </w:r>
    </w:p>
    <w:p w:rsidR="00B1178E" w:rsidRPr="00905AF4" w:rsidRDefault="00B1178E" w:rsidP="00905AF4">
      <w:pPr>
        <w:pStyle w:val="ECHRParaQuote"/>
      </w:pPr>
      <w:r>
        <w:t>De altfel, pronunțându-se asupra neconstituționalității invocate cu referire la art. 3 din Decretul-[lege] nr. 126/1990 și la criteriul voinței credincioșilor în retrocedarea lăcașurilor de cult, Curtea Constituțională a apreciat că textul nu încalcă principiul după care Statul Român este un stat democratic și nici pe cel al libertății cultelor religioase (Decizia Curții Constituționale nr. 23/1993, Decizia Curții Constituționale nr. 49/1995). [...]</w:t>
      </w:r>
    </w:p>
    <w:p w:rsidR="00E65D65" w:rsidRPr="00905AF4" w:rsidRDefault="00B1178E" w:rsidP="00905AF4">
      <w:pPr>
        <w:pStyle w:val="ECHRParaQuote"/>
      </w:pPr>
      <w:r>
        <w:t>Astfel cum a reținut și instanța de apel, o măsură abuzivă cum a fost aceea a preluării de către stat a lăcașurilor de cult în anul 1948, într-un stat de drept nu poate fi reparată printr-un abuz în sens invers, care ar nesocoti opțiunea majorității credincioșilor la data adoptării acelei măsuri. Or, restituirea bunurilor ce au aparținut Bisericii Greco-Catolice fără respectarea condiției impuse de art. 3 alin. (1) din Decretul-lege nr. 126/1990 ar aduce atingere stabilității și securității raporturilor juridice. Aceasta, întrucât reconstituirea dreptului nu se poate face în abstract, ignorând realitățile sociale și istorice, iar atenuarea vechilor prejudicii nu trebuie să creeze noi neajunsuri, disproporționate [...].</w:t>
      </w:r>
    </w:p>
    <w:p w:rsidR="00AB492E" w:rsidRPr="00905AF4" w:rsidRDefault="00AB492E" w:rsidP="00905AF4">
      <w:pPr>
        <w:pStyle w:val="ECHRParaQuote"/>
      </w:pPr>
      <w:r>
        <w:t xml:space="preserve">Pe de altă parte, pentru a putea promova o acțiune în revendicare întemeiată pe dreptul comun, fără a fi nevoiți să urmeze legea specială, reclamanții trebuie să se poată prevala </w:t>
      </w:r>
      <w:r>
        <w:lastRenderedPageBreak/>
        <w:t>de existența unui „bun”, a unui drept de proprietate în patrimoniul lor, pe care să-l poată astfel valorifica.</w:t>
      </w:r>
    </w:p>
    <w:p w:rsidR="00AB492E" w:rsidRPr="00905AF4" w:rsidRDefault="00AB492E" w:rsidP="00905AF4">
      <w:pPr>
        <w:pStyle w:val="ECHRParaQuote"/>
      </w:pPr>
      <w:r>
        <w:t>Or, prin Decretul nr. 358/1948 cultul greco-catolic a fost desființat, iar bunurile din patrimoniul Bisericii Greco-Catolice au fost preluate de stat, imobilul în litigiu fiind intabulat (conform încheierii de carte funciară din 5 decembrie 1967) pe numele Parohiei Ortodoxe Române L.</w:t>
      </w:r>
    </w:p>
    <w:p w:rsidR="00B1178E" w:rsidRPr="00905AF4" w:rsidRDefault="00B1178E" w:rsidP="00905AF4">
      <w:pPr>
        <w:pStyle w:val="ECHRParaQuote"/>
      </w:pPr>
      <w:r>
        <w:t>Faptul că prin Decretul-lege nr. 9/1989 a fost recunoscută oficial Biserica Română Unită cu Roma (Greco-Catolică), urmare a abrogării Decretului nr. 358/1948, nu înseamnă că a renăscut în patrimoniul acesteia vechiul drept de proprietate, câtă vreme reconstituirea proprietății este supusă unei anumite proceduri (date prin dispozițiile Decretului-lege nr. 126/1990, cu modificările ulterioare), speranța de a vedea redobândit dreptul de proprietate neputând fi asimilată noțiunii de bun […]”.</w:t>
      </w:r>
    </w:p>
    <w:p w:rsidR="00B1178E" w:rsidRPr="00905AF4" w:rsidRDefault="00905AF4" w:rsidP="00905AF4">
      <w:pPr>
        <w:pStyle w:val="ECHRPara"/>
      </w:pPr>
      <w:r>
        <w:t>34. Într-o opinie separată, unul dintre judecătorii din completul de judecată a apreciat că referirea la dreptul comun, făcută de legiuitor, nu poate fi redusă la o dimensiune pur procedurală, ci trebuie interpretată ca o aplicare a unei norme de drept material. Referindu-se la normele privind elaborarea actelor normative, judecătorul a precizat că, dacă legiuitorul ar fi dorit să dea o semnificație specifică respectivei referiri la „dreptul comun”, atunci ar fi trebuit să o facă în mod expres. După ce a precizat că acțiunea în revendicare implică o comparație între titlurile de proprietate, judecătorul a concluzionat că Biserica Ortodoxă nu deținea un astfel de titlu pentru lăcașul de cult în litigiu.</w:t>
      </w:r>
    </w:p>
    <w:p w:rsidR="00B1178E" w:rsidRPr="00905AF4" w:rsidRDefault="00B1178E" w:rsidP="00905AF4">
      <w:pPr>
        <w:pStyle w:val="ECHRHeading1"/>
        <w:rPr>
          <w:rFonts w:eastAsia="Times New Roman"/>
        </w:rPr>
      </w:pPr>
      <w:r>
        <w:t>II. DREPTUL ȘI PRACTICA INTERNE RELEVANTE</w:t>
      </w:r>
    </w:p>
    <w:p w:rsidR="00B1178E" w:rsidRPr="00905AF4" w:rsidRDefault="00B1178E" w:rsidP="00905AF4">
      <w:pPr>
        <w:pStyle w:val="ECHRHeading2"/>
      </w:pPr>
      <w:r>
        <w:t>A. Dreptul intern</w:t>
      </w:r>
    </w:p>
    <w:p w:rsidR="00B1178E" w:rsidRPr="00905AF4" w:rsidRDefault="00B1178E" w:rsidP="00905AF4">
      <w:pPr>
        <w:pStyle w:val="ECHRHeading3"/>
      </w:pPr>
      <w:r>
        <w:t>1. Constituția</w:t>
      </w:r>
    </w:p>
    <w:p w:rsidR="00B1178E" w:rsidRPr="00905AF4" w:rsidRDefault="00905AF4" w:rsidP="00905AF4">
      <w:pPr>
        <w:pStyle w:val="ECHRPara"/>
        <w:rPr>
          <w:rFonts w:eastAsia="Times New Roman"/>
        </w:rPr>
      </w:pPr>
      <w:r>
        <w:t>35. Art. 21 din Constituție prevede următoarele:</w:t>
      </w:r>
    </w:p>
    <w:p w:rsidR="00B1178E" w:rsidRPr="00905AF4" w:rsidRDefault="00CF3002" w:rsidP="00905AF4">
      <w:pPr>
        <w:pStyle w:val="ECHRParaQuote"/>
        <w:rPr>
          <w:rFonts w:eastAsiaTheme="majorEastAsia"/>
        </w:rPr>
      </w:pPr>
      <w:r>
        <w:t>„(1) Orice persoană se poate adresa justiției pentru apărarea drepturilor, a libertăților și a intereselor sale legitime.</w:t>
      </w:r>
    </w:p>
    <w:p w:rsidR="00B1178E" w:rsidRPr="00905AF4" w:rsidRDefault="00B1178E" w:rsidP="00905AF4">
      <w:pPr>
        <w:pStyle w:val="ECHRParaQuote"/>
        <w:rPr>
          <w:rFonts w:eastAsiaTheme="majorEastAsia"/>
        </w:rPr>
      </w:pPr>
      <w:r>
        <w:t>(2) Nici o lege nu poate îngrădi exercitarea acestui drept.”</w:t>
      </w:r>
    </w:p>
    <w:p w:rsidR="00B1178E" w:rsidRPr="00905AF4" w:rsidRDefault="00B1178E" w:rsidP="00905AF4">
      <w:pPr>
        <w:pStyle w:val="ECHRHeading3"/>
      </w:pPr>
      <w:r>
        <w:t>2. Dispozițiile interne privind regimul general al cultelor religioase</w:t>
      </w:r>
    </w:p>
    <w:p w:rsidR="00B1178E" w:rsidRPr="00905AF4" w:rsidRDefault="00905AF4" w:rsidP="00905AF4">
      <w:pPr>
        <w:pStyle w:val="JuParaSub"/>
        <w:rPr>
          <w:rFonts w:eastAsiaTheme="majorEastAsia"/>
        </w:rPr>
      </w:pPr>
      <w:r>
        <w:t>36. Art. 37 din Decretul nr. 177/1948 pentru regimul general al cultelor religioase, publicat într-o versiune modificată a Monitorului Oficial nr. 204 din 3 septembrie 1948, prevedea următoarele:</w:t>
      </w:r>
    </w:p>
    <w:p w:rsidR="00B1178E" w:rsidRPr="00905AF4" w:rsidRDefault="00CF3002" w:rsidP="00905AF4">
      <w:pPr>
        <w:pStyle w:val="ECHRParaQuote"/>
        <w:rPr>
          <w:rFonts w:eastAsiaTheme="majorEastAsia"/>
        </w:rPr>
      </w:pPr>
      <w:r>
        <w:t>„(1) Dacă cel puțin 10% din numărul credincioșilor comunității locale a unui cult trec la alt cult, comunitatea locală religioasă a cultului părăsit, pierde de drept o parte din patrimoniul său, proporțională cu numărul credincioșilor care au părăsit-o și această parte proporțională se strămută tot de drept în patrimoniul comunității locale a cultului adoptat de noii credincioși.”</w:t>
      </w:r>
    </w:p>
    <w:p w:rsidR="00E65D65" w:rsidRPr="00905AF4" w:rsidRDefault="00905AF4" w:rsidP="00905AF4">
      <w:pPr>
        <w:pStyle w:val="JuParaSub"/>
        <w:rPr>
          <w:rFonts w:eastAsiaTheme="majorEastAsia"/>
        </w:rPr>
      </w:pPr>
      <w:r>
        <w:lastRenderedPageBreak/>
        <w:t>37. Acest decret a fost abrogat prin Legea nr. 489/2006 privind libertatea religioasă și regimul general al cultelor, publicată în Monitorul Oficial din 8 ianuarie 2007. Conform legii, relația dintre statul român și cultele religioase recunoscute de lege este reglementată de principiul autonomiei cultelor și al recunoașterii de către stat a propriilor statute.</w:t>
      </w:r>
    </w:p>
    <w:p w:rsidR="00B1178E" w:rsidRPr="00905AF4" w:rsidRDefault="00905AF4" w:rsidP="00905AF4">
      <w:pPr>
        <w:pStyle w:val="JuParaSub"/>
      </w:pPr>
      <w:r>
        <w:t>38. Ordonanța de urgență nr. 94/2000 privind retrocedarea unor bunuri imobile care au aparținut cultelor religioase din România, modificată la 25 iulie 2005 și publicată în Monitorul Oficial la 1 septembrie 2005, prevede următoarele:</w:t>
      </w:r>
    </w:p>
    <w:p w:rsidR="00B1178E" w:rsidRPr="00905AF4" w:rsidRDefault="00B1178E" w:rsidP="00905AF4">
      <w:pPr>
        <w:pStyle w:val="ECHRTitleCentre3"/>
      </w:pPr>
      <w:r>
        <w:t>Art. 1</w:t>
      </w:r>
    </w:p>
    <w:p w:rsidR="00B1178E" w:rsidRPr="00905AF4" w:rsidRDefault="00CF3002" w:rsidP="00905AF4">
      <w:pPr>
        <w:pStyle w:val="ECHRParaQuote"/>
      </w:pPr>
      <w:r>
        <w:t>„(2) Regimul juridic al imobilelor care au destinația de lăcaș de cult va fi reglementat prin lege specială.”</w:t>
      </w:r>
    </w:p>
    <w:p w:rsidR="00B1178E" w:rsidRPr="00905AF4" w:rsidRDefault="00B1178E" w:rsidP="00905AF4">
      <w:pPr>
        <w:pStyle w:val="ECHRHeading3"/>
      </w:pPr>
      <w:r>
        <w:t>3. Decretul-lege nr. 126/1990 privind unele măsuri referitoare la Biserica Română Unită cu Roma (Biserica greco-catolică) cu modificările și completările ulterioare</w:t>
      </w:r>
    </w:p>
    <w:p w:rsidR="00E65D65" w:rsidRPr="00905AF4" w:rsidRDefault="00905AF4" w:rsidP="00905AF4">
      <w:pPr>
        <w:pStyle w:val="ECHRPara"/>
        <w:rPr>
          <w:snapToGrid w:val="0"/>
        </w:rPr>
      </w:pPr>
      <w:r>
        <w:rPr>
          <w:snapToGrid w:val="0"/>
        </w:rPr>
        <w:t>39. În urma abrogării Decretului nr. 358/1948, un proiect de act normativ i-a fost prezentat legiuitorului pentru reglementarea situației lăcașurilor de cult care au aparținut Bisericii greco-catolice. În expunerea de motive de motive a textului se recunoștea că problema restituirii lăcașurilor de cult trebuia să fie reglementată de cele două biserici în cauză, prin dialog. La finalul negocierilor, reprezentanții celor două biserici au declarat de comun acord că era necesar să se adopte un act normativ, să se restituie Bisericii greco-catolice bunurile aflate în patrimoniul statului și să se constituie comisii mixte pentru a decide soarta lăcașurilor de cult aflate în patrimoniul Bisericii Ortodoxe. Proiectul de lege elaborat luând în considerare propunerile făcute de cele două părți a fost dezbătut intens în Parlament.</w:t>
      </w:r>
    </w:p>
    <w:p w:rsidR="00B1178E" w:rsidRPr="00905AF4" w:rsidRDefault="00905AF4" w:rsidP="00905AF4">
      <w:pPr>
        <w:pStyle w:val="ECHRPara"/>
      </w:pPr>
      <w:r>
        <w:t>40. La 25 aprilie 1990, Decretul-lege nr. 126/1990 a fost publicat în Monitorul Oficial nr. 54. Părțile relevante în speță sunt redactate după cum urmează:</w:t>
      </w:r>
    </w:p>
    <w:p w:rsidR="00B1178E" w:rsidRPr="00905AF4" w:rsidRDefault="00B1178E" w:rsidP="00905AF4">
      <w:pPr>
        <w:pStyle w:val="ECHRTitleCentre3"/>
      </w:pPr>
      <w:r>
        <w:t>Art. 1</w:t>
      </w:r>
    </w:p>
    <w:p w:rsidR="00B1178E" w:rsidRPr="00905AF4" w:rsidRDefault="00CF3002" w:rsidP="00905AF4">
      <w:pPr>
        <w:pStyle w:val="JuQuotSub"/>
      </w:pPr>
      <w:r>
        <w:t>„Ca urmare a abrogării Decretului nr. 358/1948, prin Decretul-lege nr. 9 din 31 decembrie 1989, Biserica Română Unită cu Roma (greco-catolică) este recunoscută oficial [...]”</w:t>
      </w:r>
    </w:p>
    <w:p w:rsidR="00B1178E" w:rsidRPr="00905AF4" w:rsidRDefault="00B1178E" w:rsidP="00905AF4">
      <w:pPr>
        <w:pStyle w:val="ECHRTitleCentre3"/>
      </w:pPr>
      <w:r>
        <w:t>Art. 3</w:t>
      </w:r>
    </w:p>
    <w:p w:rsidR="00B1178E" w:rsidRPr="00905AF4" w:rsidRDefault="00CF3002" w:rsidP="00905AF4">
      <w:pPr>
        <w:pStyle w:val="JuQuotSub"/>
        <w:rPr>
          <w:rFonts w:cstheme="minorHAnsi"/>
        </w:rPr>
      </w:pPr>
      <w:r>
        <w:t>„Situația juridică a lăcașurilor de cult și a caselor parohiale care au aparținut Bisericii Române Unite cu Roma (greco-catolică) și au fost preluate de Biserica Ortodoxă Română se va stabili de către o comisie mixtă, formată din reprezentanți clericali ai celor două culte religioase, ținând seama de dorința credincioșilor din comunitățile care dețin aceste bunuri.”</w:t>
      </w:r>
    </w:p>
    <w:p w:rsidR="00B1178E" w:rsidRPr="00905AF4" w:rsidRDefault="00B1178E" w:rsidP="00905AF4">
      <w:pPr>
        <w:pStyle w:val="ECHRTitleCentre3"/>
      </w:pPr>
      <w:r>
        <w:lastRenderedPageBreak/>
        <w:t>Art. 4</w:t>
      </w:r>
    </w:p>
    <w:p w:rsidR="00B1178E" w:rsidRPr="00905AF4" w:rsidRDefault="00CF3002" w:rsidP="00905AF4">
      <w:pPr>
        <w:pStyle w:val="JuQuotSub"/>
      </w:pPr>
      <w:r>
        <w:t>„În localitățile în care numărul lăcașurilor de cult este insuficient în raport cu numărul credincioșilor, statul va sprijini construirea de noi lăcașuri de cult, în care scop va pune la dispoziția cultelor respective terenul aferent în cazul în care acestea nu dispun de acest teren și va contribui cu fonduri bănești la constituirea resurselor financiare necesare.”</w:t>
      </w:r>
    </w:p>
    <w:p w:rsidR="00B1178E" w:rsidRPr="00905AF4" w:rsidRDefault="00905AF4" w:rsidP="00905AF4">
      <w:pPr>
        <w:pStyle w:val="ECHRPara"/>
      </w:pPr>
      <w:r>
        <w:t>41. Ordonanța Guvernului nr. 64/2004 din 13 august 2004 („Ordonanța nr. 64/2004), intrată în vigoare la 21 august 2004, a completat art. 3 din decretul-lege menționat anterior introducând un al doilea alineat, formulat astfel:</w:t>
      </w:r>
    </w:p>
    <w:p w:rsidR="00B1178E" w:rsidRPr="00905AF4" w:rsidRDefault="00CF3002" w:rsidP="00905AF4">
      <w:pPr>
        <w:pStyle w:val="ECHRParaQuote"/>
      </w:pPr>
      <w:r>
        <w:t>„În cazul în care reprezentanții clericali ai celor două culte religioase nu ajung la un acord în cadrul comisiei mixte prevăzute la alin. 1, partea interesată are deschisă calea acțiunii în justiție potrivit dreptului comun.”</w:t>
      </w:r>
    </w:p>
    <w:p w:rsidR="00B1178E" w:rsidRPr="00905AF4" w:rsidRDefault="00905AF4" w:rsidP="00905AF4">
      <w:pPr>
        <w:pStyle w:val="JuParaSub"/>
      </w:pPr>
      <w:r>
        <w:t>42. Legea nr. 182/2005 din 13 iunie 2005 („Legea nr. 182/2005”), intrată în vigoare la 17 iunie 2005, a adus noi modificări art. 3 din Decretul nr. 126/1990, după cum urmează:</w:t>
      </w:r>
    </w:p>
    <w:p w:rsidR="00B1178E" w:rsidRPr="00905AF4" w:rsidRDefault="00CF3002" w:rsidP="00905AF4">
      <w:pPr>
        <w:pStyle w:val="ECHRParaQuote"/>
      </w:pPr>
      <w:r>
        <w:t>„Partea interesată va convoca cealaltă parte, comunicându-i în scris pretențiile sale și punându-i la dispoziție dovezile pe care se sprijină aceste pretenții. Convocarea se va face prin scrisoare recomandată cu dovadă de primire sau prin înmânarea scrisorilor sub semnătură de primire. Data convocării comisiei mixte nu se va fixa mai devreme de 30 de zile de la data primirii actelor. Comisia va fi constituită din câte trei reprezentanți ai fiecărui cult. Dacă la termenul stabilit pentru convocarea comisiei aceasta nu se întrunește sau dacă nu se ajunge la nici un rezultat în cadrul comisiei ori decizia nemulțumește una dintre părți, partea interesată are deschisă calea acțiunii în justiție, potrivit dreptului comun.</w:t>
      </w:r>
    </w:p>
    <w:p w:rsidR="00B1178E" w:rsidRPr="00905AF4" w:rsidRDefault="00B1178E" w:rsidP="00905AF4">
      <w:pPr>
        <w:pStyle w:val="ECHRParaQuote"/>
      </w:pPr>
      <w:r>
        <w:t>Soluționarea acestor acțiuni este de competența tribunalelor.</w:t>
      </w:r>
    </w:p>
    <w:p w:rsidR="00B1178E" w:rsidRPr="00905AF4" w:rsidRDefault="00B1178E" w:rsidP="00905AF4">
      <w:pPr>
        <w:pStyle w:val="ECHRParaQuote"/>
      </w:pPr>
      <w:r>
        <w:t>Acțiunile sunt scutite de taxa de timbru.”</w:t>
      </w:r>
    </w:p>
    <w:p w:rsidR="00B1178E" w:rsidRPr="00905AF4" w:rsidRDefault="00905AF4" w:rsidP="00905AF4">
      <w:pPr>
        <w:pStyle w:val="ECHRPara"/>
        <w:rPr>
          <w:rFonts w:eastAsiaTheme="majorEastAsia"/>
        </w:rPr>
      </w:pPr>
      <w:r>
        <w:t>43. Expunerea de motive a Legii nr. 182/2005 este redactată după cum urmează:</w:t>
      </w:r>
    </w:p>
    <w:p w:rsidR="00B1178E" w:rsidRPr="00905AF4" w:rsidRDefault="00CF3002" w:rsidP="00905AF4">
      <w:pPr>
        <w:pStyle w:val="ECHRParaQuote"/>
        <w:rPr>
          <w:rFonts w:eastAsiaTheme="majorEastAsia"/>
        </w:rPr>
      </w:pPr>
      <w:r>
        <w:t>„Decretul-lege nr. 126/1990 privește unele măsuri referitoare la Biserica Română Unită cu Roma (greco-catolică).</w:t>
      </w:r>
    </w:p>
    <w:p w:rsidR="00B1178E" w:rsidRPr="00905AF4" w:rsidRDefault="00B1178E" w:rsidP="00905AF4">
      <w:pPr>
        <w:pStyle w:val="ECHRParaQuote"/>
        <w:rPr>
          <w:rFonts w:eastAsiaTheme="majorEastAsia"/>
        </w:rPr>
      </w:pPr>
      <w:r>
        <w:t>În aplicarea acestui text de lege, practica instanțelor judecătorești a fost neunitară, în sensul că unele instanțe s-au considerat competente să soluționeze acțiunile referitoare la lăcașuri de cult și casele parohiale care au aparținut Bisericii Române Unite cu Roma și au fost preluate de Biserica Ortodoxă Română, în timp ce altele au apreciat că acest gen de litigii iese din sfera competenței generale a instanțelor judiciare, fiind astfel negat liberul acces la justiție.</w:t>
      </w:r>
    </w:p>
    <w:p w:rsidR="00B1178E" w:rsidRPr="00905AF4" w:rsidRDefault="00B1178E" w:rsidP="00905AF4">
      <w:pPr>
        <w:pStyle w:val="ECHRParaQuote"/>
        <w:rPr>
          <w:rFonts w:eastAsiaTheme="majorEastAsia"/>
        </w:rPr>
      </w:pPr>
      <w:r>
        <w:t>Având în vedere standardele existente la nivel european în acest domeniu, [...] inițiate [...] de către Comisia Europeană și Curtea Europeană a Drepturilor Omului prin jurisprudența sa, se impune modificarea legislației române în această materie în vederea asigurării unui acces real la justiție, prin menționarea expresă în lege a posibilității celor interesați de a se adresa instanței.</w:t>
      </w:r>
    </w:p>
    <w:p w:rsidR="00B1178E" w:rsidRPr="00905AF4" w:rsidRDefault="00B1178E" w:rsidP="00905AF4">
      <w:pPr>
        <w:pStyle w:val="ECHRParaQuote"/>
        <w:rPr>
          <w:rFonts w:eastAsiaTheme="majorEastAsia"/>
        </w:rPr>
      </w:pPr>
      <w:r>
        <w:t xml:space="preserve">Prezentul act normativ învestește expres instanțele cu competențe privind judecarea litigiilor ce au ca obiect bunurile care au aparținut Bisericii Române Unite cu Roma, în </w:t>
      </w:r>
      <w:r>
        <w:lastRenderedPageBreak/>
        <w:t>cazul în care comisiile prevăzute la art. 3 din Decretul-lege nr. 126/1990 nu ajung la un acord.</w:t>
      </w:r>
    </w:p>
    <w:p w:rsidR="00B1178E" w:rsidRPr="00905AF4" w:rsidRDefault="00B1178E" w:rsidP="00905AF4">
      <w:pPr>
        <w:pStyle w:val="ECHRParaQuote"/>
        <w:rPr>
          <w:rFonts w:eastAsiaTheme="majorEastAsia"/>
        </w:rPr>
      </w:pPr>
      <w:r>
        <w:t>Pentru a permite ambelor părți să ia măsuri pentru soluționarea problemei lăcașurilor de cult în chestiune, ordonanța permite menținerea activității comisiilor, acordând părților posibilitatea soluționării chestiunii restituirii lăcașurilor de cult pe calea dialogului interconfesional.</w:t>
      </w:r>
    </w:p>
    <w:p w:rsidR="00B1178E" w:rsidRPr="00905AF4" w:rsidRDefault="00B1178E" w:rsidP="00905AF4">
      <w:pPr>
        <w:pStyle w:val="ECHRParaQuote"/>
        <w:rPr>
          <w:rFonts w:eastAsiaTheme="majorEastAsia"/>
        </w:rPr>
      </w:pPr>
      <w:r>
        <w:t>Această nouă reglementare garantează aplicarea principiului liberului acces la justiție, în cazurile vizate de Decretul-lege 126/1990, în conformitate cu art. 6 din Convenție [...] și art. 21 din Constituția României.</w:t>
      </w:r>
    </w:p>
    <w:p w:rsidR="00E65D65" w:rsidRPr="00905AF4" w:rsidRDefault="00B1178E" w:rsidP="00905AF4">
      <w:pPr>
        <w:pStyle w:val="ECHRParaQuote"/>
        <w:rPr>
          <w:rFonts w:eastAsiaTheme="majorEastAsia"/>
          <w:szCs w:val="24"/>
        </w:rPr>
      </w:pPr>
      <w:r>
        <w:t>[...].”</w:t>
      </w:r>
    </w:p>
    <w:p w:rsidR="00B1178E" w:rsidRPr="00905AF4" w:rsidRDefault="00B1178E" w:rsidP="00905AF4">
      <w:pPr>
        <w:pStyle w:val="ECHRHeading3"/>
      </w:pPr>
      <w:r>
        <w:t>4. Codul civil</w:t>
      </w:r>
    </w:p>
    <w:p w:rsidR="00B1178E" w:rsidRPr="00905AF4" w:rsidRDefault="00905AF4" w:rsidP="00905AF4">
      <w:pPr>
        <w:pStyle w:val="ECHRPara"/>
      </w:pPr>
      <w:r>
        <w:t>44. Art. 480 din Codul civil, în vigoare la momentul faptelor, era redactat după cum urmează:</w:t>
      </w:r>
    </w:p>
    <w:p w:rsidR="00B1178E" w:rsidRPr="00905AF4" w:rsidRDefault="00CF3002" w:rsidP="00905AF4">
      <w:pPr>
        <w:pStyle w:val="ECHRParaQuote"/>
      </w:pPr>
      <w:r>
        <w:t>„Proprietatea este dreptul ce are cineva de a se bucura și a dispune de un lucru în mod exclusiv și absolut, însă în limitele determinate de lege.”</w:t>
      </w:r>
    </w:p>
    <w:p w:rsidR="00E65D65" w:rsidRPr="00905AF4" w:rsidRDefault="00905AF4" w:rsidP="00905AF4">
      <w:pPr>
        <w:pStyle w:val="ECHRPara"/>
      </w:pPr>
      <w:r>
        <w:t>45. Acțiunea în revendicare nu este definită prin lege. Conform jurisprudenței, este o acțiune prin care proprietarul unui bun imobil, care a pierdut posesia asupra acestuia în favoarea unui terț, încearcă să-și restabilească dreptul de proprietate asupra bunului și să recapete posesia de la terțul respectiv. Sistemul de carte funciară asigură publicitatea integrală a drepturilor reale referitoare la orice imobil și menționează titularii acestor drepturi.</w:t>
      </w:r>
    </w:p>
    <w:p w:rsidR="00B1178E" w:rsidRPr="00905AF4" w:rsidRDefault="00B1178E" w:rsidP="00905AF4">
      <w:pPr>
        <w:pStyle w:val="ECHRHeading3"/>
      </w:pPr>
      <w:r>
        <w:t>5. Codul de procedură civilă</w:t>
      </w:r>
    </w:p>
    <w:p w:rsidR="00B1178E" w:rsidRPr="00905AF4" w:rsidRDefault="00905AF4" w:rsidP="00905AF4">
      <w:pPr>
        <w:pStyle w:val="ECHRPara"/>
      </w:pPr>
      <w:bookmarkStart w:id="1" w:name="P46"/>
      <w:r>
        <w:t>46</w:t>
      </w:r>
      <w:bookmarkEnd w:id="1"/>
      <w:r>
        <w:t>. Conform art. 329 din Codul de procedură civilă în vigoare în perioada respectivă, procurorul general al Parchetului de pe lângă Înalta Curte de Casație și Justiție, din oficiu sau la cererea ministrului justiției, colegiul de conducere al Înaltei Curți de Casație și Justiție, colegiile de conducere ale curților de apel, precum și Avocatul Poporului au îndatorirea să ceară Înaltei Curți de Casație și Justiție să se pronunțe asupra problemelor de drept care au fost soluționate diferit de instanțele judecătorești. Conform art. 330</w:t>
      </w:r>
      <w:r>
        <w:rPr>
          <w:vertAlign w:val="superscript"/>
        </w:rPr>
        <w:t>7</w:t>
      </w:r>
      <w:r>
        <w:t>din cod, deciziile se pronunță numai în interesul legii, nu au efect asupra hotărârilor judecătorești examinate și nici cu privire la situația părților din acele procese. Dezlegarea dată problemelor de drept judecate este obligatorie pentru instanțe de la data publicării deciziei în Monitorul Oficial al României.</w:t>
      </w:r>
    </w:p>
    <w:p w:rsidR="00B1178E" w:rsidRPr="00905AF4" w:rsidRDefault="00B1178E" w:rsidP="00905AF4">
      <w:pPr>
        <w:pStyle w:val="ECHRHeading2"/>
      </w:pPr>
      <w:r>
        <w:t>B. Jurisprudența instanțelor interne privind acțiunile declanșate de diverse parohii greco-catolice în vederea restituirii lăcașurilor de cult</w:t>
      </w:r>
    </w:p>
    <w:p w:rsidR="00B1178E" w:rsidRPr="00905AF4" w:rsidRDefault="00905AF4" w:rsidP="00905AF4">
      <w:pPr>
        <w:pStyle w:val="ECHRPara"/>
      </w:pPr>
      <w:r>
        <w:t xml:space="preserve">47. Părțile au depus la dosarul cauzei hotărâri judecătorești referitoare la acțiunile introduse de parohiile greco-catolice împotriva parohiilor ortodoxe </w:t>
      </w:r>
      <w:r>
        <w:lastRenderedPageBreak/>
        <w:t>în vederea restituirii lăcașurilor de cult. Acțiunile aveau ca temei, în mare parte, art. 480 C.civ. și aveau ca obiect rectificarea înscrierilor de carte funciară în care parohiile ortodoxe și-au înscris dreptul de proprietate asupra bunurilor în litigiu.</w:t>
      </w:r>
    </w:p>
    <w:p w:rsidR="00B1178E" w:rsidRPr="00905AF4" w:rsidRDefault="00B1178E" w:rsidP="00905AF4">
      <w:pPr>
        <w:pStyle w:val="ECHRHeading3"/>
      </w:pPr>
      <w:r>
        <w:t>1. Deciziile pronunțate de instanțele inferioare</w:t>
      </w:r>
    </w:p>
    <w:p w:rsidR="00B1178E" w:rsidRPr="00905AF4" w:rsidRDefault="00905AF4" w:rsidP="00905AF4">
      <w:pPr>
        <w:pStyle w:val="ECHRPara"/>
      </w:pPr>
      <w:r>
        <w:t>48. Într-o serie de hotărâri pronunțate înainte de 2013, instanțele inferioare (tribunale și curți de apel) au soluționat – în primă instanță, în apel sau în recurs – acțiunile în revendicare după ce au examinat validitatea titlurilor părților și mai ales modul în care bunul în litigiu a intrat în patrimoniul Bisericii Ortodoxe (deciziile Curții de Apel Timișoara din 20 iunie 2006, 24 noiembrie 2010 și 15 septembrie 2011; sentințele Tribunalului Hunedoara din 27 februarie 2008 și 8 iulie 2009; sentințele Tribunalului Bihor din 6 martie 2008 și 3 septembrie 2010; decizia definitivă a Curții de Apel Brașov din 11 martie 2008; sentința Tribunalului Brașov din 28 martie 2011; decizia Curții de Apel Târgu-Mureș din 11 noiembrie 2010; și decizia Curții de Apel Oradea din 22 februarie 2012).</w:t>
      </w:r>
    </w:p>
    <w:p w:rsidR="00E65D65" w:rsidRPr="00905AF4" w:rsidRDefault="00905AF4" w:rsidP="00905AF4">
      <w:pPr>
        <w:pStyle w:val="ECHRPara"/>
      </w:pPr>
      <w:r>
        <w:t>49. În hotărâri pronunțate de asemenea înainte de 2013, alte instanțe inferioare au soluționat acțiunile în revendicare examinând titlurile părților și făcând trimitere la criteriul dorinței credincioșilor (decizia pronunțată în apel de Curtea de Apel Alba-Iulia la 14 ianuarie 2010 și decizia pronunțată în apel de Curtea de Apel Cluj la 28 martie 2012).</w:t>
      </w:r>
    </w:p>
    <w:p w:rsidR="00B1178E" w:rsidRPr="00905AF4" w:rsidRDefault="00905AF4" w:rsidP="00905AF4">
      <w:pPr>
        <w:pStyle w:val="ECHRPara"/>
      </w:pPr>
      <w:r>
        <w:t>50. Guvernul a depus la dosarul cauzei decizii pronunțate în 2015, în care instanțele inferioare au aplicat art. 3 din Decretul-lege nr. 126/1990 (deciziile pronunțate în apel de Curtea de Apel Cluj la 11 și 17 martie 2015 și la 9 octombrie 2015, de Curtea de Apel Timișoara la 18 iunie și 29 octombrie 2015, precum și de Curtea de Apel Târgu-Mureș la 17 iunie 2015; sentința Tribunalului Sălaj din 29 ianuarie 2015).</w:t>
      </w:r>
    </w:p>
    <w:p w:rsidR="00B1178E" w:rsidRPr="00905AF4" w:rsidRDefault="00B1178E" w:rsidP="00905AF4">
      <w:pPr>
        <w:pStyle w:val="ECHRHeading3"/>
      </w:pPr>
      <w:r>
        <w:t>2. Deciziile pronunțate de Înalta Curte</w:t>
      </w:r>
    </w:p>
    <w:p w:rsidR="00B1178E" w:rsidRPr="00905AF4" w:rsidRDefault="00905AF4" w:rsidP="00905AF4">
      <w:pPr>
        <w:pStyle w:val="ECHRPara"/>
      </w:pPr>
      <w:r>
        <w:t>51. Printr-o decizie definitivă din 25 noiembrie 2008, Înalta Curte, pe atunci denumită Curtea Supremă de Justiție, a trimis cauza spre rejudecare la instanțele inferioare după ce a constatat că Biserica Ortodoxă era înscrisă în cartea funciară în calitate de proprietar și că criteriul dorinței credincioșilor se aplica doar în timpul procedurii prealabile în fața comisiilor mixte.</w:t>
      </w:r>
    </w:p>
    <w:p w:rsidR="00B1178E" w:rsidRPr="00905AF4" w:rsidRDefault="00905AF4" w:rsidP="00905AF4">
      <w:pPr>
        <w:pStyle w:val="ECHRPara"/>
      </w:pPr>
      <w:r>
        <w:t xml:space="preserve">52. Într-o altă serie de decizii, Înalta Curte a casat deciziile instanțelor inferioare și a trimis cauzele spre rejudecare, pe motiv că nu fusese aplicat criteriul stabilit prin Decretul-lege nr. 126/1990 (a se vedea, de exemplu, deciziile din 24 martie 2009, 9 noiembrie 2010, 14 noiembrie 2012 și 11 decembrie 2012, precum și decizia din 7 februarie 2013). Într-o altă serie de decizii, definitive, Înalta Curte a decis că, deși partea greco-catolică sesizase instanțele cu o acțiune în revendicare întemeiată pe dreptul comun, nu se putea ignora criteriul dorinței credincioșilor din comunitatea care deține </w:t>
      </w:r>
      <w:r>
        <w:lastRenderedPageBreak/>
        <w:t>bunurile, stabilit prin Decretul-lege nr. 126/1990 (a se vedea, de exemplu, deciziile Înaltei Curți din 29 mai 2007, 26 ianuarie 2011, 24 noiembrie 2011, 16 mai 2012 și 12 decembrie 2012).</w:t>
      </w:r>
    </w:p>
    <w:p w:rsidR="00E65D65" w:rsidRPr="00905AF4" w:rsidRDefault="00905AF4" w:rsidP="00905AF4">
      <w:pPr>
        <w:pStyle w:val="ECHRPara"/>
      </w:pPr>
      <w:r>
        <w:t>53. În unele decizii, Înalta Curte a soluționat acțiunea în revendicare prin compararea titlurilor părților înscrise în cartea funciară (a se vedea, de exemplu, deciziile din 10 martie 2011, 16 mai 2012, 2 octombrie 2012, 21 noiembrie 2012, precum și 1 octombrie 2013).</w:t>
      </w:r>
    </w:p>
    <w:p w:rsidR="00B1178E" w:rsidRPr="00905AF4" w:rsidRDefault="00905AF4" w:rsidP="00905AF4">
      <w:pPr>
        <w:pStyle w:val="ECHRPara"/>
      </w:pPr>
      <w:r>
        <w:t>54. Guvernul a depus la dosarul cauzei 27 de decizii definitive pronunțate între 2013 și 2015, în care Înalta Curte a aplicat criteriul dorinței credincioșilor. Printr-o decizie din 20 iunie 2013, Înalta Curte a admis acțiunea în revendicare formulată de o biserică greco-catolică într-un context în care în localitate existau două biserici și în care, deși din populația de 90 de persoane doar 2 erau credincioși greco-catolici, biserica revendicată nu era folosită de credincioșii ortodocși.</w:t>
      </w:r>
    </w:p>
    <w:p w:rsidR="00B1178E" w:rsidRPr="00905AF4" w:rsidRDefault="00B1178E" w:rsidP="00905AF4">
      <w:pPr>
        <w:pStyle w:val="ECHRHeading3"/>
      </w:pPr>
      <w:r>
        <w:t>3. Deciziile Curții Constituționale</w:t>
      </w:r>
    </w:p>
    <w:p w:rsidR="00B1178E" w:rsidRPr="00905AF4" w:rsidRDefault="00905AF4" w:rsidP="00905AF4">
      <w:pPr>
        <w:pStyle w:val="ECHRPara"/>
        <w:rPr>
          <w:rFonts w:eastAsiaTheme="majorEastAsia"/>
          <w:szCs w:val="24"/>
        </w:rPr>
      </w:pPr>
      <w:r>
        <w:t>55. Sesizată cu o excepție de neconstituționalitate cu privire la prevederile art. 3 din Decretul- lege nr. 126/1990, Curtea Constituțională a statuat în Decizia nr. 23 din 27 aprilie 1993 că criteriul contestat, prevăzut la art. 3 și aplicat de comisiile mixte, este în concordanță cu prevederile constituționale. În urma unei noi sesizări, instanța și-a reconfirmat poziția în Decizia nr. 49 din 19 mai 1995.</w:t>
      </w:r>
    </w:p>
    <w:p w:rsidR="00B1178E" w:rsidRPr="00905AF4" w:rsidRDefault="00905AF4" w:rsidP="00905AF4">
      <w:pPr>
        <w:pStyle w:val="ECHRPara"/>
        <w:rPr>
          <w:rFonts w:eastAsiaTheme="majorEastAsia"/>
          <w:szCs w:val="24"/>
        </w:rPr>
      </w:pPr>
      <w:r>
        <w:t>56. La 19 ianuarie 2012, Curtea Constituțională a fost sesizată cu o nouă excepție de neconstituționalitate cu privire la art. 3 alin. 1 din Decretul-lege nr. 126/1990, în cadrul unei acțiuni în restituire a unui lăcaș de cult, alta decât acțiunea reclamanților, care în acel moment era pendinte la Curtea de Apel Alba-Iulia.</w:t>
      </w:r>
    </w:p>
    <w:p w:rsidR="00B1178E" w:rsidRPr="00905AF4" w:rsidRDefault="00905AF4" w:rsidP="00905AF4">
      <w:pPr>
        <w:pStyle w:val="ECHRPara"/>
        <w:rPr>
          <w:rFonts w:eastAsiaTheme="majorEastAsia"/>
        </w:rPr>
      </w:pPr>
      <w:r>
        <w:t>57. Prin Decizia nr. 804 din 27 septembrie 2012, Curtea Constituțională a respins excepția pentru motivele următoare:</w:t>
      </w:r>
    </w:p>
    <w:p w:rsidR="00B1178E" w:rsidRPr="00905AF4" w:rsidRDefault="00CF3002" w:rsidP="00905AF4">
      <w:pPr>
        <w:pStyle w:val="ECHRParaQuote"/>
        <w:rPr>
          <w:rFonts w:eastAsiaTheme="majorEastAsia"/>
        </w:rPr>
      </w:pPr>
      <w:r>
        <w:t>„[...] Reglementările art. 3 din Decretul-lege nr. 126/1990 privind abrogarea unor acte normative nu încalcă prevederile constituționale invocate ci, dimpotrivă, respectă atât principiul general înscris în art. 1 alin. (3) din Constituție, conform căruia statul roman este un «stat de drept, democratic și social», cât și principiul libertății cultelor religioase consacrat prin dispozițiile constituționale ale art. 29 alin. (3).</w:t>
      </w:r>
    </w:p>
    <w:p w:rsidR="00B1178E" w:rsidRPr="00905AF4" w:rsidRDefault="00B1178E" w:rsidP="00905AF4">
      <w:pPr>
        <w:pStyle w:val="ECHRParaQuote"/>
        <w:rPr>
          <w:rFonts w:eastAsiaTheme="majorEastAsia"/>
        </w:rPr>
      </w:pPr>
      <w:r>
        <w:t>Prin aceeași decizie [nr. 23 din 27 aprilie 1993], Curtea [constituțională] a statuat că democrația presupune și aplicarea principiului majorității, or, din teza ultimă a art. 3, «ținând seama de dorința credincioșilor din comunitățile care dețin aceste bunuri», rezultă chiar aplicarea acestui principiu, prin instituirea unui criteriu social, cel al opțiunii majorității enoriașilor.</w:t>
      </w:r>
    </w:p>
    <w:p w:rsidR="00B1178E" w:rsidRPr="00905AF4" w:rsidRDefault="00B1178E" w:rsidP="00905AF4">
      <w:pPr>
        <w:pStyle w:val="ECHRParaQuote"/>
        <w:rPr>
          <w:rFonts w:eastAsiaTheme="majorEastAsia"/>
        </w:rPr>
      </w:pPr>
      <w:r>
        <w:t xml:space="preserve">[...] În condițiile în care în aceeași comunitate locală există credincioși ortodocși și greco-catolici, criteriul social al opțiunii majorității enoriașilor pentru determinarea destinației lăcașurilor de cult și a caselor parohiale corespunde principiului democratic al determinării folosinței religioase a acestui bun, în funcție de voința majoritară a celor care sunt beneficiarii acestei folosințe. Altminteri ar însemna ca, în mod nejustificat, </w:t>
      </w:r>
      <w:r>
        <w:lastRenderedPageBreak/>
        <w:t>credincioșii ortodocși majoritari să fie împiedicați să-și poată practica religia, dacă nu trec la cultul greco-catolic, printr-o măsură luată împotriva voinței lor [...]</w:t>
      </w:r>
    </w:p>
    <w:p w:rsidR="00B1178E" w:rsidRPr="00905AF4" w:rsidRDefault="00B1178E" w:rsidP="00905AF4">
      <w:pPr>
        <w:pStyle w:val="ECHRParaQuote"/>
        <w:rPr>
          <w:rFonts w:eastAsiaTheme="majorEastAsia"/>
        </w:rPr>
      </w:pPr>
      <w:r>
        <w:t>Întrucât nu au fost aduse elemente noi, de natură a determina schimbarea jurisprudenței Curții Constituționale, atât soluția, cât și considerentele deciziei menționate, își mențin valabilitatea și în cauza de față [...].”</w:t>
      </w:r>
    </w:p>
    <w:p w:rsidR="00E65D65" w:rsidRPr="00905AF4" w:rsidRDefault="00B1178E" w:rsidP="00905AF4">
      <w:pPr>
        <w:pStyle w:val="ECHRHeading1"/>
      </w:pPr>
      <w:r>
        <w:t>III. RAPOARTELE CONSILIULUI EUROPEI</w:t>
      </w:r>
    </w:p>
    <w:p w:rsidR="00B1178E" w:rsidRPr="00905AF4" w:rsidRDefault="00905AF4" w:rsidP="00905AF4">
      <w:pPr>
        <w:pStyle w:val="ECHRPara"/>
      </w:pPr>
      <w:r>
        <w:t xml:space="preserve">58. Al Treilea Raport despre România al Comisiei Europene împotriva rasismului și intoleranței (ECRI – </w:t>
      </w:r>
      <w:r>
        <w:rPr>
          <w:i/>
        </w:rPr>
        <w:t>European Commission against Racism and Intolerance</w:t>
      </w:r>
      <w:r>
        <w:t>), adoptat la 24 iunie 2005 și publicat la 21 februarie 2006, menționează următoarele:</w:t>
      </w:r>
    </w:p>
    <w:p w:rsidR="00B1178E" w:rsidRPr="00905AF4" w:rsidRDefault="00CF3002" w:rsidP="00905AF4">
      <w:pPr>
        <w:pStyle w:val="ECHRParaQuote"/>
      </w:pPr>
      <w:r>
        <w:t>„Legislația privind instituțiile religioase</w:t>
      </w:r>
    </w:p>
    <w:p w:rsidR="00B1178E" w:rsidRPr="00905AF4" w:rsidRDefault="00B1178E" w:rsidP="00905AF4">
      <w:pPr>
        <w:pStyle w:val="ECHRParaQuote"/>
      </w:pPr>
      <w:r>
        <w:t>[...]</w:t>
      </w:r>
    </w:p>
    <w:p w:rsidR="00B1178E" w:rsidRPr="00905AF4" w:rsidRDefault="00B1178E" w:rsidP="00905AF4">
      <w:pPr>
        <w:pStyle w:val="ECHRParaQuote"/>
      </w:pPr>
      <w:r>
        <w:t>15. ECRI notează cu îngrijorare că, deși nu are statutul unei religii de stat, Biserica Ortodoxă, care constituie religia majoritară în România, deține poziția dominantă în societatea românească. Celelalte religii consideră astfel că Biserica Ortodoxă are o influență prea mare asupra politicii autorităților. Ea pare de asemenea să primească beneficii de care celelalte religii nu se bucură, precum deținerea de capele în închisori și centre de detenție. Se mai spune că această Biserică exercită o mare influență asupra deciziilor guvernamentale precum acordarea statutului de cult religios pentru asociațiile religioase. ECRI mai notează că, dat fiind numărul și diversitatea cultelor oficial recunoscute și practicate în România, dialogul inter-religios între Biserica Ortodoxă și alte instituții religioase ar putea fi îmbunătățit. În special, dialogul dintre această Biserică și Biserica Greco-Catolică suferă în aparență, mai ales din cauza modului în care autoritățile abordează problema restituirii proprietăților confiscate în perioada comunistă.</w:t>
      </w:r>
    </w:p>
    <w:p w:rsidR="00B1178E" w:rsidRPr="00905AF4" w:rsidRDefault="00B1178E" w:rsidP="00905AF4">
      <w:pPr>
        <w:pStyle w:val="ECHRParaQuote"/>
      </w:pPr>
      <w:r>
        <w:t>16. ECRI mai notează că a primit cu îngrijorare raporturi despre membri ai Bisericii Ortodoxe care au fost angajați în tot felul de cazuri de hărțuire împotriva adepților Bisericii Greco-Catolice, sub ochiul îngăduitor al autorităților.</w:t>
      </w:r>
    </w:p>
    <w:p w:rsidR="00B1178E" w:rsidRPr="00905AF4" w:rsidRDefault="00B1178E" w:rsidP="00905AF4">
      <w:pPr>
        <w:pStyle w:val="ECHRParaQuote"/>
      </w:pPr>
      <w:r>
        <w:t>[...]</w:t>
      </w:r>
    </w:p>
    <w:p w:rsidR="00B1178E" w:rsidRPr="00905AF4" w:rsidRDefault="00B1178E" w:rsidP="00905AF4">
      <w:pPr>
        <w:pStyle w:val="ECHRParaQuote"/>
      </w:pPr>
      <w:r>
        <w:t>45. ECRI notează cu îngrijorare că restituirea bisericilor aparținând în trecut Bisericii Greco-Catolice a devenit o sursă de tensiune între aceasta din urmă și Biserica Ortodoxă. În ciuda încercărilor de a ajunge la o rezolvare amiabilă, Biserica Ortodoxă refuză să înapoieze aceste lăcașe de cult Bisericii Greco-Catolice, iar autoritățile nu par să ia măsuri pentru a aplica legea. ECRI speră prin urmare că autoritățile vor juca un rol mai activ în rezolvarea problemelor privind restituirea bisericilor greco-catolice, pentru a asigura aplicarea corectă a legii într-un spirit de toleranță și respect reciproc [...]”</w:t>
      </w:r>
    </w:p>
    <w:p w:rsidR="00B1178E" w:rsidRPr="00905AF4" w:rsidRDefault="00905AF4" w:rsidP="00905AF4">
      <w:pPr>
        <w:pStyle w:val="ECHRPara"/>
      </w:pPr>
      <w:r>
        <w:t>59. Al Patrulea Raport privind România al ECRI, adoptat la 19 martie 2014 și publicat la 3 iunie 2014, menționează următoarele:</w:t>
      </w:r>
    </w:p>
    <w:p w:rsidR="00B1178E" w:rsidRPr="00905AF4" w:rsidRDefault="00CF3002" w:rsidP="00905AF4">
      <w:pPr>
        <w:spacing w:before="120" w:after="120"/>
        <w:ind w:left="425" w:firstLine="142"/>
        <w:rPr>
          <w:sz w:val="20"/>
        </w:rPr>
      </w:pPr>
      <w:r>
        <w:rPr>
          <w:sz w:val="20"/>
        </w:rPr>
        <w:t xml:space="preserve">„22. În al treilea raport al său, ECRI recomanda autorităților române să pună în aplicare legea care guvernează restituirea proprietății și să încurajeze cultele religioase, în special Biserica Ortodoxă și alte minorități religioase, în promovarea unui dialog constructiv pe acest subiect. A mai recomandat ca autoritățile să introducă aranjamente </w:t>
      </w:r>
      <w:r>
        <w:rPr>
          <w:sz w:val="20"/>
        </w:rPr>
        <w:lastRenderedPageBreak/>
        <w:t>de mediere, să organizeze colocvii și seminarii interreligioase și să inițieze campanii de informare pentru promovarea ideii de societate multi-confesională.</w:t>
      </w:r>
    </w:p>
    <w:p w:rsidR="00B1178E" w:rsidRPr="00905AF4" w:rsidRDefault="00B1178E" w:rsidP="00905AF4">
      <w:pPr>
        <w:spacing w:before="120" w:after="120"/>
        <w:ind w:left="425" w:firstLine="142"/>
        <w:rPr>
          <w:sz w:val="20"/>
        </w:rPr>
      </w:pPr>
      <w:r>
        <w:rPr>
          <w:sz w:val="20"/>
        </w:rPr>
        <w:t>23. Autoritățile au confirmat că disputele pe motivul proprietății între Biserica Ortodoxă și Biserica Greco-Catolică au dus la tensiuni între cele două confesiuni. Într-o notă generală, Biserica Ortodoxă a înapoiat cu întârziere bisericile Greco-Catolice primite în 1948 de la stat și adesea a refuzat să facă acest lucru.</w:t>
      </w:r>
    </w:p>
    <w:p w:rsidR="00B1178E" w:rsidRPr="00905AF4" w:rsidRDefault="00B1178E" w:rsidP="00905AF4">
      <w:pPr>
        <w:spacing w:before="120" w:after="120"/>
        <w:ind w:left="425" w:firstLine="142"/>
        <w:rPr>
          <w:sz w:val="20"/>
        </w:rPr>
      </w:pPr>
      <w:r>
        <w:rPr>
          <w:sz w:val="20"/>
        </w:rPr>
        <w:t>24. O comisie comună, compusă din reprezentanți ai clerului din cele două biserici, lucrează din 1999 pentru rezolvarea acestor dispute legate de proprietate; totuși, activitatea acestei comisii nu pare să fi produs rezultate semnificative. Autoritatea Națională pentru Restituirea Proprietăților a informat ECRI că, începând cu 2005, din cele 6 723 de cereri de restituire, au fost procesate 1 100. [...].” A fost înființat de asemenea un Consiliu consultativ al Bisericilor și Cultelor, în aprilie 2011, pentru a promova solidaritatea și cooperarea și pentru a preveni conflictele între diferite religii din România; acesta se întâlnește de două ori pe an. ECRI salută eforturile menționate mai sus și încurajează autoritățile să-și asume un rol conducător în rezolvarea acestor dispute, care, încă o dată, se referă la proprietăți confiscate de stat.”</w:t>
      </w:r>
    </w:p>
    <w:p w:rsidR="00B1178E" w:rsidRPr="00905AF4" w:rsidRDefault="00905AF4" w:rsidP="00905AF4">
      <w:pPr>
        <w:pStyle w:val="ECHRPara"/>
        <w:rPr>
          <w:rFonts w:ascii="Times New Roman" w:hAnsi="Times New Roman" w:cs="Times New Roman"/>
          <w:szCs w:val="24"/>
        </w:rPr>
      </w:pPr>
      <w:r>
        <w:t>60. În partea relevantă pentru cauză, răspunsul guvernului român la al Patrulea Raport ECRI este redactat după cum urmează (traducere realizată de Grefă):</w:t>
      </w:r>
    </w:p>
    <w:p w:rsidR="00B1178E" w:rsidRPr="00905AF4" w:rsidRDefault="00CF3002" w:rsidP="00905AF4">
      <w:pPr>
        <w:pStyle w:val="ECHRParaQuote"/>
      </w:pPr>
      <w:r>
        <w:t>„Referitor la paragrafele 22–25, Secretariatul de Stat pentru Culte a căutat constant să acționeze ca mediator pentru dezamorsarea tensiunilor dintre Biserica Ortodoxă Română și Biserica Română Unită cu Roma (greco-catolică) și a avut un rol activ în găsirea unor soluții convenabile pentru ambele părți în litigiul lor patrimonial; Secretariatul de Stat pentru problemele cultelor religioase finanțează proiecte pentru construirea unor noi lăcașuri de cult în locurile în care una dintre părți devine irevocabil proprietara lăcașului de cult anterior în litigiu.</w:t>
      </w:r>
    </w:p>
    <w:p w:rsidR="00B1178E" w:rsidRPr="00905AF4" w:rsidRDefault="00B1178E" w:rsidP="00905AF4">
      <w:pPr>
        <w:pStyle w:val="ECHRParaQuote"/>
      </w:pPr>
      <w:r>
        <w:t>De asemenea, Autoritatea Națională pentru Restituirea Proprietăților a continuat seria de întrevederi cu reprezentanții celor două biserici, în cadrul cărora s-au discutat aspecte legate de stadiul soluționării cererilor depuse la Comisia specială de retrocedare și dificultățile întâmpinate la procesul de restituire.</w:t>
      </w:r>
    </w:p>
    <w:p w:rsidR="00B1178E" w:rsidRPr="00905AF4" w:rsidRDefault="00B1178E" w:rsidP="00905AF4">
      <w:pPr>
        <w:pStyle w:val="ECHRParaQuote"/>
      </w:pPr>
      <w:r>
        <w:t>În cadrul acestor întrevederi, s-au mai discutat aspecte legate de situația proprietăților care au aparținut Bisericii Greco-Catolice și care sunt deținute în prezent de Biserica Ortodoxă Română, precum și încurajarea dialogului între cele două biserici în vederea unei soluționări amiabile a litigiului patrimonial.</w:t>
      </w:r>
    </w:p>
    <w:p w:rsidR="00B1178E" w:rsidRPr="00905AF4" w:rsidRDefault="00B1178E" w:rsidP="00905AF4">
      <w:pPr>
        <w:pStyle w:val="ECHRParaQuote"/>
      </w:pPr>
      <w:r>
        <w:t>În ceea ce privește stadiul actual al soluționării cererilor de restituire depuse de Biserica Greco-Catolică la Comisia specială de retrocedare, trebuie subliniat că din cele 6 723 de cereri de restituire, au fost soluționate 1 100 (un procent de 16,51 %).</w:t>
      </w:r>
    </w:p>
    <w:p w:rsidR="00B1178E" w:rsidRPr="00905AF4" w:rsidRDefault="00B1178E" w:rsidP="00905AF4">
      <w:pPr>
        <w:pStyle w:val="ECHRParaQuote"/>
      </w:pPr>
      <w:r>
        <w:t>Situația cererilor de restituire finalizate în funcție de modul de soluționare:</w:t>
      </w:r>
    </w:p>
    <w:p w:rsidR="00B1178E" w:rsidRPr="00905AF4" w:rsidRDefault="00B1178E" w:rsidP="00905AF4">
      <w:pPr>
        <w:pStyle w:val="ECHRParaQuote"/>
      </w:pPr>
      <w:r>
        <w:t>Restituire în natură: 139</w:t>
      </w:r>
    </w:p>
    <w:p w:rsidR="00B1178E" w:rsidRPr="00905AF4" w:rsidRDefault="00B1178E" w:rsidP="00905AF4">
      <w:pPr>
        <w:pStyle w:val="ECHRParaQuote"/>
      </w:pPr>
      <w:r>
        <w:t>Propunere de despăgubire: 52</w:t>
      </w:r>
    </w:p>
    <w:p w:rsidR="00B1178E" w:rsidRPr="00905AF4" w:rsidRDefault="00B1178E" w:rsidP="00905AF4">
      <w:pPr>
        <w:pStyle w:val="ECHRParaQuote"/>
      </w:pPr>
      <w:r>
        <w:t>Respingere: 66</w:t>
      </w:r>
    </w:p>
    <w:p w:rsidR="00B1178E" w:rsidRPr="00905AF4" w:rsidRDefault="00B1178E" w:rsidP="00905AF4">
      <w:pPr>
        <w:pStyle w:val="ECHRParaQuote"/>
      </w:pPr>
      <w:r>
        <w:t>Alte soluții (redirecționare, renunțare): 853”</w:t>
      </w:r>
    </w:p>
    <w:p w:rsidR="00B1178E" w:rsidRPr="00905AF4" w:rsidRDefault="00B1178E" w:rsidP="00905AF4">
      <w:pPr>
        <w:pStyle w:val="ECHRTitle1"/>
      </w:pPr>
      <w:r>
        <w:lastRenderedPageBreak/>
        <w:t>ÎN DREPT</w:t>
      </w:r>
    </w:p>
    <w:p w:rsidR="00B1178E" w:rsidRPr="00905AF4" w:rsidRDefault="00B1178E" w:rsidP="00905AF4">
      <w:pPr>
        <w:pStyle w:val="ECHRHeading1"/>
        <w:rPr>
          <w:caps/>
        </w:rPr>
      </w:pPr>
      <w:r>
        <w:t>I. CU PRIVIRE LA OBIECTUL LITIGIULUI ÎN FAȚA MARII CAMERE</w:t>
      </w:r>
    </w:p>
    <w:p w:rsidR="00B1178E" w:rsidRPr="00905AF4" w:rsidRDefault="00905AF4" w:rsidP="00905AF4">
      <w:pPr>
        <w:pStyle w:val="ECHRPara"/>
      </w:pPr>
      <w:r>
        <w:t>61. Conform jurisprudenței Curții, „cauza” trimisă la Marea Cameră este cererea așa cum a fost declarată admisibilă de Cameră [</w:t>
      </w:r>
      <w:r>
        <w:rPr>
          <w:i/>
        </w:rPr>
        <w:t>Blokhin împotriva Rusiei</w:t>
      </w:r>
      <w:r>
        <w:t xml:space="preserve"> (MC), nr. 47152/06, pct. 91, 23 martie 2016; și </w:t>
      </w:r>
      <w:r>
        <w:rPr>
          <w:i/>
        </w:rPr>
        <w:t>D.H. și alții împotriva Republicii Cehe</w:t>
      </w:r>
      <w:r>
        <w:t xml:space="preserve"> (MC), nr. 57325/00, pct. 109, 13 noiembrie 2007].</w:t>
      </w:r>
    </w:p>
    <w:p w:rsidR="00B1178E" w:rsidRPr="00905AF4" w:rsidRDefault="00905AF4" w:rsidP="00905AF4">
      <w:pPr>
        <w:pStyle w:val="ECHRPara"/>
      </w:pPr>
      <w:bookmarkStart w:id="2" w:name="P62"/>
      <w:r>
        <w:t>62</w:t>
      </w:r>
      <w:bookmarkEnd w:id="2"/>
      <w:r>
        <w:t>. Curtea observă că, în hotărârea sa din 19 mai 2015, Camera a declarat inadmisibile, pe de o parte, capetele de cerere întemeiate de reclamanți pe art. 9 din Convenție și art. 1 din Protocolul nr. 1, considerate individual și coroborate cu art. 13 și art. 14 din Convenție, iar pe de altă parte, capetele de cerere întemeiate pe art. 6 din Convenție, în legătură cu lipsa de independență și imparțialitate a instanțelor și lipsa de echitate a procesului ca urmare a schimbării membrilor completului în cursul procesului.</w:t>
      </w:r>
    </w:p>
    <w:p w:rsidR="00B1178E" w:rsidRPr="00905AF4" w:rsidRDefault="00905AF4" w:rsidP="00905AF4">
      <w:pPr>
        <w:pStyle w:val="ECHRPara"/>
        <w:rPr>
          <w:i/>
        </w:rPr>
      </w:pPr>
      <w:bookmarkStart w:id="3" w:name="P63"/>
      <w:r>
        <w:t>63</w:t>
      </w:r>
      <w:bookmarkEnd w:id="3"/>
      <w:r>
        <w:t>. Rezultă că respectivele capete de cerere nu fac obiectul litigiului care trebuie să fie examinat de Marea Cameră.</w:t>
      </w:r>
    </w:p>
    <w:p w:rsidR="00B1178E" w:rsidRPr="00905AF4" w:rsidRDefault="00B1178E" w:rsidP="00905AF4">
      <w:pPr>
        <w:pStyle w:val="ECHRHeading1"/>
      </w:pPr>
      <w:r>
        <w:t>II. CU PRIVIRE LA PRETINSA ÎNCĂLCARE A ART. 6 § 1 DIN CONVENŢIE</w:t>
      </w:r>
    </w:p>
    <w:p w:rsidR="00B1178E" w:rsidRPr="00905AF4" w:rsidRDefault="00905AF4" w:rsidP="00905AF4">
      <w:pPr>
        <w:pStyle w:val="ECHRPara"/>
      </w:pPr>
      <w:r>
        <w:rPr>
          <w:rStyle w:val="ECHRParaChar"/>
        </w:rPr>
        <w:t xml:space="preserve">64. Invocând art. 6 § 1 și art. 13 din Convenție, reclamanții formulează, în esență, trei capete de cerere. </w:t>
      </w:r>
      <w:r>
        <w:t>În primul rând, aceștia se plâng de o atingere adusă dreptului lor de acces la o instanță, acuzând instanțele naționale că au soluționat litigiul nu prin aplicarea normelor de drept comun, ci în conformitate cu criteriul stabilit prin Decretul-lege nr. 126/1990 aplicabil în cadrul procedurii amiabile, și anume dorința credincioșilor din comunitatea care deține bunul. În al doilea rând, reclamanții susțin, fără a se referi în mod explicit la principiul securității juridice, că aplicarea acestui criteriu nu a fost previzibilă și a avut ca efect faptul că dreptul lor de acces la o instanță a devenit iluzoriu. În al treilea rând, reclamanții se plâng de durata procesului.</w:t>
      </w:r>
    </w:p>
    <w:p w:rsidR="00B1178E" w:rsidRPr="00905AF4" w:rsidRDefault="00905AF4" w:rsidP="00905AF4">
      <w:pPr>
        <w:pStyle w:val="ECHRPara"/>
      </w:pPr>
      <w:r>
        <w:t>65. Pentru început, trebuie amintit că examinarea capetelor de cerere ale reclamanților a fost realizată de Cameră exclusiv din perspectiva art. 6 § 1 din Convenție, care a apreciat că garanțiile prevăzute la art. 13 sunt înglobate în garanțiile mai stricte prevăzute la art. 6. Curtea este de acord cu această abordare și va proceda la fel.</w:t>
      </w:r>
    </w:p>
    <w:p w:rsidR="00E65D65" w:rsidRPr="00905AF4" w:rsidRDefault="00905AF4" w:rsidP="00905AF4">
      <w:pPr>
        <w:pStyle w:val="ECHRPara"/>
      </w:pPr>
      <w:r>
        <w:t>66. De asemenea, trebuie amintit că, în opinia Camerei, era necesară examinarea argumentelor reclamanților privind aplicarea criteriului dorinței majorității credincioșilor în cadrul unei acțiuni în revendicare întemeiate pe dreptul comun atât din perspectiva dreptului de acces la o instanță, cât și din perspectiva respectării principiului securității juridice.</w:t>
      </w:r>
    </w:p>
    <w:p w:rsidR="00E65D65" w:rsidRPr="00905AF4" w:rsidRDefault="00905AF4" w:rsidP="00905AF4">
      <w:pPr>
        <w:pStyle w:val="ECHRPara"/>
        <w:rPr>
          <w:b/>
        </w:rPr>
      </w:pPr>
      <w:r>
        <w:t>67. Reamintind jurisprudența sa consacrată în legătură cu competența sa privind încadrarea faptelor care îi sunt prezentate (</w:t>
      </w:r>
      <w:r>
        <w:rPr>
          <w:i/>
        </w:rPr>
        <w:t>Guerra și alții împotriva Italiei</w:t>
      </w:r>
      <w:r>
        <w:t xml:space="preserve">, 19 februarie 1998, pct. 44, </w:t>
      </w:r>
      <w:r>
        <w:rPr>
          <w:i/>
        </w:rPr>
        <w:t>Culegere de hotărâri și decizii</w:t>
      </w:r>
      <w:r>
        <w:t xml:space="preserve"> 1998-I), </w:t>
      </w:r>
      <w:r>
        <w:lastRenderedPageBreak/>
        <w:t>Curtea consideră că nu există niciun motiv să se îndepărteze de abordarea Camerei și, prin urmare, va examina argumentele reclamanților și în ceea ce privește respectarea acestui principiu.</w:t>
      </w:r>
    </w:p>
    <w:p w:rsidR="00E65D65" w:rsidRPr="00905AF4" w:rsidRDefault="00905AF4" w:rsidP="00905AF4">
      <w:pPr>
        <w:pStyle w:val="ECHRPara"/>
      </w:pPr>
      <w:r>
        <w:t>68. Părțile relevante în speță ale art. 6 § 1 din Convenție sunt redactate după cum urmează:</w:t>
      </w:r>
    </w:p>
    <w:p w:rsidR="00B1178E" w:rsidRPr="00905AF4" w:rsidRDefault="00CF3002" w:rsidP="00905AF4">
      <w:pPr>
        <w:pStyle w:val="ECHRParaQuote"/>
      </w:pPr>
      <w:r>
        <w:t>„Orice persoană are dreptul la judecarea în mod echitabil a cauzei sale [...] într-un termen rezonabil, de către o instanță [...], care va hotărî [...] asupra încălcării drepturilor și obligațiilor sale cu caracter civil [...]”</w:t>
      </w:r>
    </w:p>
    <w:p w:rsidR="00B1178E" w:rsidRPr="00905AF4" w:rsidRDefault="00B1178E" w:rsidP="00905AF4">
      <w:pPr>
        <w:pStyle w:val="ECHRHeading2"/>
      </w:pPr>
      <w:r>
        <w:t>A. Cu privire la aplicabilitatea art. 6 § 1 din Convenție</w:t>
      </w:r>
    </w:p>
    <w:p w:rsidR="00E65D65" w:rsidRPr="00905AF4" w:rsidRDefault="00905AF4" w:rsidP="00905AF4">
      <w:pPr>
        <w:pStyle w:val="ECHRPara"/>
      </w:pPr>
      <w:r>
        <w:t>69. În hotărârea sa din 19 mai 2015, Camera a constatat că acțiunea reclamanților intra sub incidența art. 6 § 1 din Convenție pe latura lui civilă întrucât urmărea să obțină recunoașterea dreptului lor de proprietate asupra unui imobil, drept cu caracter patrimonial.</w:t>
      </w:r>
    </w:p>
    <w:p w:rsidR="00B1178E" w:rsidRPr="00905AF4" w:rsidRDefault="00905AF4" w:rsidP="00905AF4">
      <w:pPr>
        <w:pStyle w:val="ECHRPara"/>
      </w:pPr>
      <w:r>
        <w:t>70. Această constatare nu a fost contestată de părți.</w:t>
      </w:r>
    </w:p>
    <w:p w:rsidR="00E65D65" w:rsidRPr="00905AF4" w:rsidRDefault="00905AF4" w:rsidP="00905AF4">
      <w:pPr>
        <w:pStyle w:val="ECHRPara"/>
        <w:rPr>
          <w:snapToGrid w:val="0"/>
        </w:rPr>
      </w:pPr>
      <w:bookmarkStart w:id="4" w:name="P71"/>
      <w:r>
        <w:t>71</w:t>
      </w:r>
      <w:bookmarkEnd w:id="4"/>
      <w:r>
        <w:t xml:space="preserve">. Curtea reamintește că, pentru ca latura „civilă” a art. 6 § 1 să fie aplicabilă, trebuie să fi existat „încălcarea” unui „drept” care să poată fi pretins în dreptul intern, cel puțin în mod credibil, indiferent dacă acesta este protejat sau nu de Convenție. Încălcarea trebuie să fie reală și serioasă; aceasta poate privi atât existența însăși a unui drept, cât și întinderea lui sau modalitățile de exercitare ale acestuia; în cele din urmă, rezultatul procedurii trebuie să fie în mod direct decisiv pentru dreptul respectiv, o legătură slabă ori consecințe îndepărtate nefiind suficiente pentru ca art. 6 § 1 să fie aplicabil [a se vedea, printre multe alte hotărâri anterioare, </w:t>
      </w:r>
      <w:r>
        <w:rPr>
          <w:i/>
        </w:rPr>
        <w:t>Bochan împotriva Ucrainei (nr. 2)</w:t>
      </w:r>
      <w:r>
        <w:t xml:space="preserve"> (MC), nr. 22251/08, pct. 42, CEDO 2015; </w:t>
      </w:r>
      <w:r>
        <w:rPr>
          <w:i/>
        </w:rPr>
        <w:t>Micallef împotriva Maltei</w:t>
      </w:r>
      <w:r>
        <w:t xml:space="preserve"> (MC), nr. 22251/08, pct. 74, CEDO 2015; și </w:t>
      </w:r>
      <w:r>
        <w:rPr>
          <w:i/>
        </w:rPr>
        <w:t>Boulois împotriva Luxemburgului</w:t>
      </w:r>
      <w:r>
        <w:t xml:space="preserve"> (MC), nr. 37575/04, pct. 90, CEDO 2012].</w:t>
      </w:r>
    </w:p>
    <w:p w:rsidR="00B1178E" w:rsidRPr="00905AF4" w:rsidRDefault="00905AF4" w:rsidP="00905AF4">
      <w:pPr>
        <w:pStyle w:val="ECHRPara"/>
      </w:pPr>
      <w:r>
        <w:t>72. Curtea reține că dreptul invocat de reclamanți, fiind întemeiat pe dreptul intern în materie de revendicare, prezenta caracter civil. Este neîndoielnic faptul că exista o încălcare a unui drept, că aceasta era suficient de gravă și că finalitatea procesului respectiv era direct decisivă pentru dreptul în litigiu. Având în vedere prevederile art. 480 din Codul civil (</w:t>
      </w:r>
      <w:r>
        <w:rPr>
          <w:i/>
        </w:rPr>
        <w:t>supra</w:t>
      </w:r>
      <w:r>
        <w:t>, pct. 44 și 45), reclamanții puteau susține în mod justificat că aveau, conform legislației românești, dreptul de a solicita restabilirea dreptului lor de proprietate asupra imobilului în litigiu.</w:t>
      </w:r>
    </w:p>
    <w:p w:rsidR="00B1178E" w:rsidRPr="00905AF4" w:rsidRDefault="00905AF4" w:rsidP="00905AF4">
      <w:pPr>
        <w:pStyle w:val="ECHRPara"/>
      </w:pPr>
      <w:r>
        <w:t>73. Prin urmare, Curtea subscrie pe deplin la considerațiile Camerei cu privire la aplicabilitatea art. 6 § 1 și constată că procesul inițiat de reclamanți are ca obiect un drept cu caracter civil și vizează stabilirea, pe cale judiciară, a unui drept de proprietate, chiar dacă obiectul litigiului îl constituie un lăcaș de cult.</w:t>
      </w:r>
    </w:p>
    <w:p w:rsidR="00B1178E" w:rsidRPr="00905AF4" w:rsidRDefault="00905AF4" w:rsidP="00905AF4">
      <w:pPr>
        <w:pStyle w:val="ECHRPara"/>
        <w:rPr>
          <w:snapToGrid w:val="0"/>
        </w:rPr>
      </w:pPr>
      <w:r>
        <w:t xml:space="preserve">74. Această abordare este în concordanță și cu jurisprudența consacrată a Curții în materie. Astfel, în cauzele </w:t>
      </w:r>
      <w:r>
        <w:rPr>
          <w:i/>
        </w:rPr>
        <w:t>Parohia Greco-Catolică Sâmbăta Bihor împotriva României</w:t>
      </w:r>
      <w:r>
        <w:t xml:space="preserve"> (nr. 48107/99, pct. 65, 12 ianuarie 2010), </w:t>
      </w:r>
      <w:r>
        <w:rPr>
          <w:i/>
        </w:rPr>
        <w:t xml:space="preserve">Parohia </w:t>
      </w:r>
      <w:r>
        <w:rPr>
          <w:i/>
        </w:rPr>
        <w:lastRenderedPageBreak/>
        <w:t>Greco-Catolică Sfântul Vasile Polonă împotriva României</w:t>
      </w:r>
      <w:r>
        <w:t xml:space="preserve"> (nr. 65965/01, pct. 67 și 76, 7 aprilie 2009), </w:t>
      </w:r>
      <w:r>
        <w:rPr>
          <w:i/>
        </w:rPr>
        <w:t>Parohia Greco-Catolică Bogdan Vodă împotriva României</w:t>
      </w:r>
      <w:r>
        <w:t xml:space="preserve"> (nr. 26270/04, pct. 41, 19 noiembrie 2013) și </w:t>
      </w:r>
      <w:r>
        <w:rPr>
          <w:i/>
        </w:rPr>
        <w:t>Parohia Greco-Catolică Sisești împotriva României</w:t>
      </w:r>
      <w:r>
        <w:t xml:space="preserve"> (nr. 32419/04, pct. 27, 3 noiembrie 2015), Curtea a examinat, din perspectiva art. 6 § 1 din Convenție, capetele de cerere formulate de parohiile reclamante cu privire la acțiunile în restituirea lăcașurilor de cult sau executarea hotărârilor definitive prin care s-a dispus partajul de folosință în privința unui lăcaș de cult.</w:t>
      </w:r>
    </w:p>
    <w:p w:rsidR="00E65D65" w:rsidRPr="00905AF4" w:rsidRDefault="00905AF4" w:rsidP="00905AF4">
      <w:pPr>
        <w:pStyle w:val="ECHRPara"/>
        <w:rPr>
          <w:snapToGrid w:val="0"/>
        </w:rPr>
      </w:pPr>
      <w:r>
        <w:rPr>
          <w:snapToGrid w:val="0"/>
        </w:rPr>
        <w:t>75. Pe de altă parte, Curtea a statuat deja că „unul din mijloacele de a exercita dreptul de manifestare a religiei, în special pentru o comunitate religioasă, în dimensiunea sa colectivă, îl reprezintă posibilitatea de a asigura protecția juridică a comunității, a membrilor săi și a bunurilor sale, în așa fel încât art. 9 să fie citit [...] în lumina art. 6” (</w:t>
      </w:r>
      <w:r>
        <w:rPr>
          <w:i/>
          <w:snapToGrid w:val="0"/>
        </w:rPr>
        <w:t>Mitropolia Basarabiei și alții împotriva Moldovei</w:t>
      </w:r>
      <w:r>
        <w:rPr>
          <w:snapToGrid w:val="0"/>
        </w:rPr>
        <w:t>, nr. 45701/99, pct. 118, CEDO 2001-XII).</w:t>
      </w:r>
    </w:p>
    <w:p w:rsidR="00E65D65" w:rsidRPr="00905AF4" w:rsidRDefault="00905AF4" w:rsidP="00905AF4">
      <w:pPr>
        <w:pStyle w:val="ECHRPara"/>
        <w:rPr>
          <w:snapToGrid w:val="0"/>
        </w:rPr>
      </w:pPr>
      <w:r>
        <w:rPr>
          <w:snapToGrid w:val="0"/>
        </w:rPr>
        <w:t>76. Prin urmare, art. 6 § 1 din Convenție este aplicabil în prezenta cauză. Pentru a verifica dacă au fost îndeplinite cerințele acestei dispoziții, Curtea va examina cauza sub următoarele trei aspecte: dreptul de acces la o instanță, respectarea principiului securității juridice și dreptul la un proces echitabil într-un termen rezonabil.</w:t>
      </w:r>
    </w:p>
    <w:p w:rsidR="00B1178E" w:rsidRPr="00905AF4" w:rsidRDefault="00B1178E" w:rsidP="00905AF4">
      <w:pPr>
        <w:pStyle w:val="ECHRHeading2"/>
      </w:pPr>
      <w:r>
        <w:t>B. Cu privire la respectarea cerințelor art. 6 § 1 din Convenție</w:t>
      </w:r>
    </w:p>
    <w:p w:rsidR="00B1178E" w:rsidRPr="00905AF4" w:rsidRDefault="00B1178E" w:rsidP="00905AF4">
      <w:pPr>
        <w:pStyle w:val="ECHRHeading3"/>
      </w:pPr>
      <w:r>
        <w:t>1. Cu privire la dreptul de acces la o instanță</w:t>
      </w:r>
    </w:p>
    <w:p w:rsidR="00B1178E" w:rsidRPr="00905AF4" w:rsidRDefault="00B1178E" w:rsidP="00905AF4">
      <w:pPr>
        <w:pStyle w:val="ECHRHeading4"/>
      </w:pPr>
      <w:r>
        <w:t>a) Hotărârea Camerei</w:t>
      </w:r>
    </w:p>
    <w:p w:rsidR="00E65D65" w:rsidRPr="00905AF4" w:rsidRDefault="00905AF4" w:rsidP="00905AF4">
      <w:pPr>
        <w:pStyle w:val="ECHRPara"/>
      </w:pPr>
      <w:r>
        <w:t>77. În hotărârea sa, Camera a făcut mai întâi trimitere la principiile care reies din jurisprudența Curții referitoare la art. 6 § 1 din Convenție privind dreptul de acces la o instanță. Acesta a luat act de caracterul sensibil al problemei restituirii lăcașurilor de cult și a reamintit jurisprudența sa conform căreia, și într-un astfel de context, o excludere generală din competența instanțelor a litigiilor având ca obiect lăcașurile de cult este în sine contrară dreptului de acces la o instanță (</w:t>
      </w:r>
      <w:r>
        <w:rPr>
          <w:i/>
        </w:rPr>
        <w:t>Parohia Greco-Catolică Sâmbăta Bihor</w:t>
      </w:r>
      <w:r>
        <w:t>, citată anterior, pct. 66-75). Aceasta a reținut că modificările aduse prin Legea nr. 182/2005 art. 3 din Decretul-lege nr. 126/1990 au oferit reclamanților dreptul la acțiune în justiție.</w:t>
      </w:r>
    </w:p>
    <w:p w:rsidR="00B1178E" w:rsidRPr="00905AF4" w:rsidRDefault="00905AF4" w:rsidP="00905AF4">
      <w:pPr>
        <w:pStyle w:val="ECHRPara"/>
      </w:pPr>
      <w:r>
        <w:t xml:space="preserve">78. Camera a mai reținut că nu este sarcina sa să aprecieze ca atare, din perspectiva art. 6 § 1 din Convenție, nici sistemul legislativ introdus de autoritățile române pentru restituirea bisericilor, nici conținutul legii materiale aplicate în prezenta cauză de instanțele naționale. Aceasta a constatat că reclamanții aveau dreptul de a introduce o acțiune în justiție, că ambele părți în litigiu au aceleași drepturi procedurale și că instanțele sesizate au plenitudine de jurisdicție pentru aplicarea și interpretarea legislației interne fără ca refuzul formulat de partea ortodoxă în procedura amiabilă să fie </w:t>
      </w:r>
      <w:r>
        <w:lastRenderedPageBreak/>
        <w:t>obligatoriu pentru acestea. Camera a constatat că nu s-a încălcat art. 6 § 1 din Convenție în această privință.</w:t>
      </w:r>
    </w:p>
    <w:p w:rsidR="00B1178E" w:rsidRPr="00905AF4" w:rsidRDefault="00B1178E" w:rsidP="00905AF4">
      <w:pPr>
        <w:pStyle w:val="ECHRHeading4"/>
      </w:pPr>
      <w:r>
        <w:t>b) Observațiile părților în fața Marii Camere</w:t>
      </w:r>
    </w:p>
    <w:p w:rsidR="00B1178E" w:rsidRPr="00905AF4" w:rsidRDefault="00B1178E" w:rsidP="00905AF4">
      <w:pPr>
        <w:pStyle w:val="ECHRHeading5"/>
      </w:pPr>
      <w:r>
        <w:t>i. Reclamanții</w:t>
      </w:r>
    </w:p>
    <w:p w:rsidR="00E65D65" w:rsidRPr="00905AF4" w:rsidRDefault="00905AF4" w:rsidP="00905AF4">
      <w:pPr>
        <w:pStyle w:val="ECHRPara"/>
        <w:rPr>
          <w:rFonts w:eastAsiaTheme="majorEastAsia"/>
        </w:rPr>
      </w:pPr>
      <w:r>
        <w:t xml:space="preserve">79. Reclamanții au reamintit că dreptul de acces la o instanță presupune dreptul efectiv la pronunțarea unei decizii pe fondul cauzei, fără niciun element </w:t>
      </w:r>
      <w:r>
        <w:rPr>
          <w:i/>
        </w:rPr>
        <w:t>a priori</w:t>
      </w:r>
      <w:r>
        <w:t xml:space="preserve"> sau arbitrar din partea instanțelor naționale. Cu toate acestea, decizia instanțelor interne pronunțată în baza dorinței credincioșilor, criteriu despre care reclamanții consideră că în realitate trebuie înțeles ca cel al „dorinței majorității ortodoxe”, a avut ca efect faptul că dreptul lor de acces la o instanță a devenit iluzoriu.</w:t>
      </w:r>
    </w:p>
    <w:p w:rsidR="00E65D65" w:rsidRPr="00905AF4" w:rsidRDefault="00905AF4" w:rsidP="00905AF4">
      <w:pPr>
        <w:pStyle w:val="ECHRPara"/>
      </w:pPr>
      <w:r>
        <w:t xml:space="preserve">80. Potrivit reclamanților, în vederea aplicării dreptului comun, așa cum prevede art. 3 alin. (2) din Decretul-lege nr. 126/1990, instanțele ar fi trebuit să examineze titlurile de proprietate ale părților implicate, respectiv ale lor și cele ale părții ortodoxe (inexistente în opinia lor). În schimb, judecătorii au adoptat o concepție strict formală a rolului lor, considerând că trebuie aplicată dorința majorității și că lăcașul de cult nu poate fi așadar restituit. Referindu-se la hotărârea </w:t>
      </w:r>
      <w:r>
        <w:rPr>
          <w:i/>
        </w:rPr>
        <w:t>Parohia Greco-Catolică Sâmbăta Bihor împotriva României</w:t>
      </w:r>
      <w:r>
        <w:t>, citată anterior, reclamanții susțin că rolul instanțelor pare cu atât mai mult formal, în prezenta cauză, cu cât dorința majorității nu a fost în niciun fel pusă în discuție de judecători, simplul fapt că ortodocșii sunt mai numeroși decât greco-catolicii fiind considerat suficient pentru a le respinge pretențiile.</w:t>
      </w:r>
    </w:p>
    <w:p w:rsidR="00B1178E" w:rsidRPr="00905AF4" w:rsidRDefault="00905AF4" w:rsidP="00905AF4">
      <w:pPr>
        <w:pStyle w:val="ECHRPara"/>
      </w:pPr>
      <w:r>
        <w:t>81. Reclamanții consideră că instanțele naționale nu au realizat o examinare corespunzătoare a fondului cauzei. Aceștia explică în acest sens că unul dintre elementele luate în considerare pentru a se pronunța pe fondul acțiunii a constat în contribuțiile făcute de fiecare dintre cele două biserici la construirea lăcașului de cult. Dar aceștia contestă concluzia instanțelor interne cu privire la acest aspect, considerând că nu este conformă cu mijloacele de probă depuse la dosar.</w:t>
      </w:r>
    </w:p>
    <w:p w:rsidR="00B1178E" w:rsidRPr="00905AF4" w:rsidRDefault="00B1178E" w:rsidP="00905AF4">
      <w:pPr>
        <w:pStyle w:val="ECHRHeading5"/>
      </w:pPr>
      <w:r>
        <w:t>ii. Guvernul</w:t>
      </w:r>
    </w:p>
    <w:p w:rsidR="00B1178E" w:rsidRPr="00905AF4" w:rsidRDefault="00905AF4" w:rsidP="00905AF4">
      <w:pPr>
        <w:pStyle w:val="ECHRPara"/>
      </w:pPr>
      <w:r>
        <w:t>82. Guvernul amintește mai întâi că prezenta cauză este unică prin faptul că are ca obiect lăcașuri de cult și că litigiul are loc între comunități religioase care, în opinia sa, sunt caracterizate de principiile toleranței și înțelegerii interconfesionale și se bucură de o anumită autonomie.</w:t>
      </w:r>
    </w:p>
    <w:p w:rsidR="00E65D65" w:rsidRPr="00905AF4" w:rsidRDefault="00905AF4" w:rsidP="00905AF4">
      <w:pPr>
        <w:pStyle w:val="ECHRPara"/>
      </w:pPr>
      <w:r>
        <w:t xml:space="preserve">83. Acesta mai subliniază că reclamanții au avut posibilitatea de a depune cererea de restituire a unui lăcaș de cult la instanțele interne și că acestea, după examinarea în fapt și în drept, au declarat-o nu inadmisibilă, ci vădit nefondată. Pentru a ajunge la această concluzie, judecătorii au examinat atât titlurile de proprietate, cât și dorința credincioșilor. Pentru a stabili dorința acestora, judecătorii au luat în considerare aspecte istorice și sociale, nu numai aspectele statistice. Guvernul precizează în acest sens că dorința </w:t>
      </w:r>
      <w:r>
        <w:lastRenderedPageBreak/>
        <w:t>credincioșilor trebuia stabilită pe baza unor elemente concrete și nu putea fi arbitrară și nejustificată.</w:t>
      </w:r>
    </w:p>
    <w:p w:rsidR="00B1178E" w:rsidRPr="00905AF4" w:rsidRDefault="00B1178E" w:rsidP="00905AF4">
      <w:pPr>
        <w:pStyle w:val="ECHRHeading4"/>
      </w:pPr>
      <w:r>
        <w:t>c) Motivarea Curții</w:t>
      </w:r>
    </w:p>
    <w:p w:rsidR="00B1178E" w:rsidRPr="00905AF4" w:rsidRDefault="00B1178E" w:rsidP="00905AF4">
      <w:pPr>
        <w:pStyle w:val="ECHRHeading5"/>
      </w:pPr>
      <w:r>
        <w:t>i. Principii generale</w:t>
      </w:r>
    </w:p>
    <w:p w:rsidR="00B1178E" w:rsidRPr="00905AF4" w:rsidRDefault="00905AF4" w:rsidP="00905AF4">
      <w:pPr>
        <w:pStyle w:val="ECHRPara"/>
      </w:pPr>
      <w:r>
        <w:rPr>
          <w:rStyle w:val="ECHRParaChar"/>
        </w:rPr>
        <w:t>84</w:t>
      </w:r>
      <w:r>
        <w:t>.</w:t>
      </w:r>
      <w:r>
        <w:rPr>
          <w:rStyle w:val="ECHRParaChar"/>
        </w:rPr>
        <w:t xml:space="preserve"> Dreptul de acces la o instanță în sensul art. 6 a fost definit în hotărârea Golder (</w:t>
      </w:r>
      <w:r>
        <w:rPr>
          <w:rStyle w:val="ECHRParaChar"/>
          <w:i/>
        </w:rPr>
        <w:t>Golder împotriva Regatului Unit</w:t>
      </w:r>
      <w:r>
        <w:rPr>
          <w:rStyle w:val="ECHRParaChar"/>
        </w:rPr>
        <w:t xml:space="preserve">, 21 februarie 1975, pct. 28-36, seria A nr. 18). Referindu-se la principiile preeminenței dreptului și interzicerii puterii arbitrare care stau la baza Convenției în general, Curtea a ajuns la concluzia că dreptul de acces la o instanță este un element inerent al garanțiilor consacrate de art. 6. </w:t>
      </w:r>
      <w:r>
        <w:t>Astfel, art. 6 § 1 garantează oricărei persoane dreptul la judecarea cauzei sale de către o instanță care va hotărî asupra încălcării drepturilor și obligațiilor sale cu caracter civil [</w:t>
      </w:r>
      <w:r>
        <w:rPr>
          <w:i/>
        </w:rPr>
        <w:t>Roche împotriva Regatului Unit</w:t>
      </w:r>
      <w:r>
        <w:t xml:space="preserve"> (MC), nr. 32555/96, pct. 116; a se vedea de asemenea </w:t>
      </w:r>
      <w:r>
        <w:rPr>
          <w:i/>
        </w:rPr>
        <w:t>Z și alții împotriva Regatului Unit</w:t>
      </w:r>
      <w:r>
        <w:t xml:space="preserve"> (MC), nr. 29392/95, pct. 91, CEDO 2001-V și </w:t>
      </w:r>
      <w:r>
        <w:rPr>
          <w:i/>
        </w:rPr>
        <w:t>Cudak împotriva Lituaniei</w:t>
      </w:r>
      <w:r>
        <w:t xml:space="preserve"> (MC), nr. 15869/02, pct. 54, CEDO 2010].</w:t>
      </w:r>
    </w:p>
    <w:p w:rsidR="00E65D65" w:rsidRPr="00905AF4" w:rsidRDefault="00905AF4" w:rsidP="00905AF4">
      <w:pPr>
        <w:pStyle w:val="ECHRPara"/>
      </w:pPr>
      <w:r>
        <w:t>85. Art. 6 § 1 poate fi așadar invocat de orice persoană care, considerând nelegală ingerința în exercitarea unuia dintre drepturile sale cu caracter civil, se plânge că nu a avut posibilitatea să se adreseze în privința unei asemenea încălcări unei instanțe ce corespunde cerințelor art. 6 § 1. Atunci când există, cu privire la legalitatea unei astfel de ingerințe, o încălcare reală și serioasă referitoare fie la existența, fie la întinderea dreptului invocat, justițiabilul are dreptul, în temeiul art. 6 § 1, ca „instanța să soluționeze această chestiune de drept intern” [</w:t>
      </w:r>
      <w:r>
        <w:rPr>
          <w:i/>
        </w:rPr>
        <w:t>Z și alții</w:t>
      </w:r>
      <w:r>
        <w:t xml:space="preserve">, citată anterior, pct. 92; a se vedea, de asemenea, </w:t>
      </w:r>
      <w:r>
        <w:rPr>
          <w:i/>
        </w:rPr>
        <w:t>Markovic și alții împotriva Italiei</w:t>
      </w:r>
      <w:r>
        <w:t xml:space="preserve"> (MC), nr. 1398/03, pct. 98, CEDO 2006-XIV].</w:t>
      </w:r>
    </w:p>
    <w:p w:rsidR="00F50009" w:rsidRPr="00905AF4" w:rsidRDefault="00905AF4" w:rsidP="00905AF4">
      <w:pPr>
        <w:pStyle w:val="ECHRPara"/>
      </w:pPr>
      <w:r>
        <w:t xml:space="preserve">86. Dreptul de acces la o instanță trebuie să fie „concret și efectiv”, nu teoretic și iluzoriu (a se vedea în acest sens </w:t>
      </w:r>
      <w:r>
        <w:rPr>
          <w:i/>
        </w:rPr>
        <w:t>Bellet împotriva Franței</w:t>
      </w:r>
      <w:r>
        <w:t>, 4 decembrie 1995, pct. 36, seria A nr. 333-B). Observația este valabilă mai ales pentru garanțiile prevăzute la art. 6, având în vedere locul important pe care îl ocupă dreptul la un proces echitabil într-o societate democratică [</w:t>
      </w:r>
      <w:r>
        <w:rPr>
          <w:i/>
        </w:rPr>
        <w:t>Prințul Hans-Adam II de Liechtenstein împotriva Germaniei</w:t>
      </w:r>
      <w:r>
        <w:t xml:space="preserve"> (MC), nr. 42527/98, pct. 45, CEDO 2001-VIII]. Efectivitatea dreptului de acces impune ca o persoană să beneficieze de o posibilitate clară și concretă de a contesta un act ce constituie o ingerință în exercitarea drepturilor sale [</w:t>
      </w:r>
      <w:r>
        <w:rPr>
          <w:i/>
        </w:rPr>
        <w:t>Nunes Dias, împotriva Portugaliei</w:t>
      </w:r>
      <w:r>
        <w:t xml:space="preserve"> (dec.), nr. 69829/01 și nr. 2672/03, CEDO 2003-IV; și </w:t>
      </w:r>
      <w:r>
        <w:rPr>
          <w:i/>
        </w:rPr>
        <w:t>Bellet</w:t>
      </w:r>
      <w:r>
        <w:t xml:space="preserve">, citată anterior, pct. 36]. În mod similar, dreptul de acces la o instanță include nu numai dreptul de a iniția o acțiune, ci și dreptul la soluționarea litigiului de către o instanță (a se vedea, de exemplu, </w:t>
      </w:r>
      <w:r>
        <w:rPr>
          <w:i/>
        </w:rPr>
        <w:t>Fălie împotriva României</w:t>
      </w:r>
      <w:r>
        <w:t xml:space="preserve">, nr. 23257/04, pct. 22 și pct. 24, 19 mai 2015; și </w:t>
      </w:r>
      <w:r>
        <w:rPr>
          <w:i/>
        </w:rPr>
        <w:t>Kutić împotriva Croației</w:t>
      </w:r>
      <w:r>
        <w:t>, nr. 48778/99, pct. 25, CEDO 2002-II).</w:t>
      </w:r>
    </w:p>
    <w:p w:rsidR="004F1ABC" w:rsidRPr="00905AF4" w:rsidRDefault="00905AF4" w:rsidP="00905AF4">
      <w:pPr>
        <w:pStyle w:val="ECHRPara"/>
      </w:pPr>
      <w:r>
        <w:t xml:space="preserve">87. Faptul că o persoană are, la nivel intern, o pretenție care poate da naștere unei acțiuni în justiție poate depinde nu doar de conținutul material </w:t>
      </w:r>
      <w:r>
        <w:lastRenderedPageBreak/>
        <w:t>propriu-zis al dreptului cu caracter civil în discuție, astfel cum este definit în dreptul național, ci și de existența unor bariere procedurale care împiedică sau limitează posibilitățile de sesizare a unei instanțe cu eventuale plângeri [</w:t>
      </w:r>
      <w:r>
        <w:rPr>
          <w:i/>
        </w:rPr>
        <w:t>McElhinney împotriva Irlandei</w:t>
      </w:r>
      <w:r>
        <w:t xml:space="preserve"> (MC), nr. 31253/96, pct. 24, 21 noiembrie 2001].</w:t>
      </w:r>
    </w:p>
    <w:p w:rsidR="00DE2F96" w:rsidRPr="00905AF4" w:rsidRDefault="00905AF4" w:rsidP="00905AF4">
      <w:pPr>
        <w:pStyle w:val="ECHRPara"/>
      </w:pPr>
      <w:r>
        <w:t>88. Cu toate acestea, este important să se sublinieze, așa cum Curtea a făcut în mai multe rânduri, că art. 6 § 1 nu asigură „drepturilor” cu caracter civil niciun conținut material specific în ordinea juridică a statelor contractante: Curtea nu poate crea, prin interpretarea art. 6 § 1, un drept material care nu are niciun temei legal în statul respectiv (</w:t>
      </w:r>
      <w:r>
        <w:rPr>
          <w:i/>
        </w:rPr>
        <w:t>Roche</w:t>
      </w:r>
      <w:r>
        <w:t xml:space="preserve">, citată anterior, pct. 117; </w:t>
      </w:r>
      <w:r>
        <w:rPr>
          <w:i/>
        </w:rPr>
        <w:t>Z și alții</w:t>
      </w:r>
      <w:r>
        <w:t xml:space="preserve">, citată anterior, pct. 87 și pct. 98; și </w:t>
      </w:r>
      <w:r>
        <w:rPr>
          <w:i/>
        </w:rPr>
        <w:t>Fayed împotriva Regatului Unit</w:t>
      </w:r>
      <w:r>
        <w:t>, 21 septembrie 1994, pct. 65, seria A nr. 294-B).</w:t>
      </w:r>
    </w:p>
    <w:p w:rsidR="00311F5C" w:rsidRPr="00905AF4" w:rsidRDefault="00905AF4" w:rsidP="00905AF4">
      <w:pPr>
        <w:pStyle w:val="ECHRPara"/>
      </w:pPr>
      <w:r>
        <w:t>89. Întrucât dreptul de acces la instanță nu este absolut, se poate preta la limitări admise implicit deoarece acest drept, prin natura sa, presupune reglementarea de către stat, reglementare care poate varia în timp și spațiu, în concordanță cu nevoile și resursele comunității și ale persoanelor [</w:t>
      </w:r>
      <w:r>
        <w:rPr>
          <w:i/>
        </w:rPr>
        <w:t>Stanev împotriva Bulgariei</w:t>
      </w:r>
      <w:r>
        <w:t xml:space="preserve"> (MC), nr. 36760/06, pct. 230, CEDO 2012]. În procesul de elaborare a unei astfel de reglementări, statele contractante se bucură de o anumită marjă de apreciere. Deși este de competența Curții să se pronunțe în ultimă cu privire la respectarea cerințelor Convenției, aceasta nu are calitatea de a substitui aprecierii autorităților naționale o altă apreciere privind ceea ce ar putea constitui cea mai bună politică în materie. Totuși, limitările aplicate nu trebuie să restrângă accesul liber al persoanei într-o asemenea măsură sau până la un asemenea nivel încât să fie afectată însăși substanța dreptului. Mai mult, limitările sunt compatibile cu art. 6 § 1 doar dacă urmăresc un scop legitim și dacă există un raport rezonabil de proporționalitate între mijloacele folosite și scopul urmărit [</w:t>
      </w:r>
      <w:r>
        <w:rPr>
          <w:i/>
        </w:rPr>
        <w:t>ibidem</w:t>
      </w:r>
      <w:r>
        <w:t xml:space="preserve">, a se vedea totodată </w:t>
      </w:r>
      <w:r>
        <w:rPr>
          <w:i/>
        </w:rPr>
        <w:t>Cordova împotriva Italiei (nr. 1)</w:t>
      </w:r>
      <w:r>
        <w:t xml:space="preserve">, nr. 40877/98, pct. 54, CEDO 2003-I, precum și recapitularea principiilor relevante în </w:t>
      </w:r>
      <w:r>
        <w:rPr>
          <w:i/>
        </w:rPr>
        <w:t>Fayed</w:t>
      </w:r>
      <w:r>
        <w:t>, citată anterior, pct. 65].</w:t>
      </w:r>
    </w:p>
    <w:p w:rsidR="00E65D65" w:rsidRPr="00905AF4" w:rsidRDefault="00905AF4" w:rsidP="00905AF4">
      <w:pPr>
        <w:pStyle w:val="ECHRPara"/>
      </w:pPr>
      <w:bookmarkStart w:id="5" w:name="P90"/>
      <w:r>
        <w:t>90</w:t>
      </w:r>
      <w:bookmarkEnd w:id="5"/>
      <w:r>
        <w:t xml:space="preserve">. În cele din urmă, Curtea reamintește că nu este de competența sa să se pronunțe asupra erorilor de fapt sau de drept eventual comise de o instanță națională, cu excepția cazului în care și în măsura în care este posibil ca acestea să fi adus atingere drepturilor și libertăților protejate de Convenție [a se vedea, de exemplu, </w:t>
      </w:r>
      <w:r>
        <w:rPr>
          <w:i/>
        </w:rPr>
        <w:t>García Ruiz împotriva Spaniei</w:t>
      </w:r>
      <w:r>
        <w:t xml:space="preserve"> (MC), nr. 30544/96, pct. 28, CEDO 1999-I; și </w:t>
      </w:r>
      <w:r>
        <w:rPr>
          <w:i/>
        </w:rPr>
        <w:t>Perez împotriva Franței</w:t>
      </w:r>
      <w:r>
        <w:t xml:space="preserve"> (MC), nr. 47287/99, pct. 82, CEDO 2004-I]. În principiu, chestiuni precum importanța acordată de instanțele naționale diverselor mijloace de probă, concluzii sau aprecieri pe care le-au examinat nu intră în sfera controlului exercitat de Curte. Aceasta nu are obligația să țină locul unei instanțe de al patrulea grad de jurisdicție și să conteste aprecierea instanțelor interne, în temeiul art. 6 § 1, cu excepția cazurilor în care concluziile acestora pot fi considerate arbitrare sau vădit nerezonabile [</w:t>
      </w:r>
      <w:r>
        <w:rPr>
          <w:i/>
        </w:rPr>
        <w:t>Bochan (nr. 2)</w:t>
      </w:r>
      <w:r>
        <w:t>, citată anterior, pct. 61].</w:t>
      </w:r>
    </w:p>
    <w:p w:rsidR="00FF684D" w:rsidRPr="00905AF4" w:rsidRDefault="00FF0485" w:rsidP="00905AF4">
      <w:pPr>
        <w:pStyle w:val="ECHRHeading5"/>
      </w:pPr>
      <w:r>
        <w:lastRenderedPageBreak/>
        <w:t>ii. Aplicare în prezenta cauză</w:t>
      </w:r>
    </w:p>
    <w:p w:rsidR="00E65D65" w:rsidRPr="00905AF4" w:rsidRDefault="00905AF4" w:rsidP="00905AF4">
      <w:pPr>
        <w:pStyle w:val="ECHRPara"/>
      </w:pPr>
      <w:r>
        <w:t>91. Pentru început, Curtea observă că specificitatea bunurilor și a părților în litigiu, și anume un lăcaș de cult asupra căruia se dispută dreptul de proprietate între o biserică ortodoxă și o biserică greco-catolică, trebuie luată în considerare la stabilirea contextului cauzei, dar nu este decisivă pentru a soluționa prezentul capăt de cerere.</w:t>
      </w:r>
    </w:p>
    <w:p w:rsidR="00E65D65" w:rsidRPr="00905AF4" w:rsidRDefault="00905AF4" w:rsidP="00905AF4">
      <w:pPr>
        <w:pStyle w:val="ECHRPara"/>
      </w:pPr>
      <w:r>
        <w:t xml:space="preserve">92. Astfel cum rezultă din pct. 79 </w:t>
      </w:r>
      <w:r>
        <w:rPr>
          <w:i/>
        </w:rPr>
        <w:t>supra</w:t>
      </w:r>
      <w:r>
        <w:t>, reclamanții susțin că aplicarea, în cadrul acțiunii lor în revendicare, a criteriului dorinței credincioșilor prevăzut de Decretul-lege nr. 126/1990 constituie o limitare care are ca efect transformarea dreptului lor de acces la o instanță într-un drept iluzoriu.</w:t>
      </w:r>
    </w:p>
    <w:p w:rsidR="006F5EC6" w:rsidRPr="00905AF4" w:rsidRDefault="00905AF4" w:rsidP="00905AF4">
      <w:pPr>
        <w:pStyle w:val="ECHRPara"/>
      </w:pPr>
      <w:r>
        <w:t>93. Curtea constată că reclamanții nu au fost împiedicați să introducă acțiunea în restituirea lăcașului de cult în fața instanțelor interne. Cauza lor a parcurs trei grade de jurisdicție și, după ce acțiunea a fost declarată admisibilă în 2004, nu li s-a opus niciun obstacol procedural și niciun termen de prescripție.</w:t>
      </w:r>
    </w:p>
    <w:p w:rsidR="00264DC6" w:rsidRPr="00905AF4" w:rsidRDefault="00905AF4" w:rsidP="00905AF4">
      <w:pPr>
        <w:pStyle w:val="ECHRPara"/>
      </w:pPr>
      <w:r>
        <w:t>94. În mod similar, reclamanții au putut să propună probe și au beneficiat de o procedură contradictorie, la finalul căreia instanțele interne au examinat probele și au pronunțat decizii motivate.</w:t>
      </w:r>
    </w:p>
    <w:p w:rsidR="008A2EFE" w:rsidRPr="00905AF4" w:rsidRDefault="00905AF4" w:rsidP="00905AF4">
      <w:pPr>
        <w:pStyle w:val="ECHRPara"/>
      </w:pPr>
      <w:r>
        <w:t xml:space="preserve">95. Instanțele naționale au examinat așadar acțiunea cu care au fost sesizate de reclamanți realizând o analiză a faptelor și a dreptului aplicabile. Acestea au ținut seama de particularitățile obiectului litigiului și au aplicat în mod coroborat dispozițiile dreptului comun și ale legii speciale în materie. De asemenea, au explicat, prezentând motive convingătoare, aplicarea de către acestea a dreptului material în prezenta cauză, astfel încât această aplicare să nu poată fi considerată ca fiind vădit arbitrară (a se vedea, ca exemple contrare privind „vădita eroare de apreciere”, </w:t>
      </w:r>
      <w:r>
        <w:rPr>
          <w:i/>
        </w:rPr>
        <w:t>Dulaurans împotriva Franței</w:t>
      </w:r>
      <w:r>
        <w:t xml:space="preserve">, nr. 34553/97, pct. 33-34 și 38, 21 martie 2000; </w:t>
      </w:r>
      <w:r>
        <w:rPr>
          <w:i/>
        </w:rPr>
        <w:t>Khamidov împotriva Rusiei</w:t>
      </w:r>
      <w:r>
        <w:t xml:space="preserve">, nr. 72118/01, pct. 170, 15 noiembrie 2007; și </w:t>
      </w:r>
      <w:r>
        <w:rPr>
          <w:i/>
        </w:rPr>
        <w:t>Anđelković împotriva Serbiei</w:t>
      </w:r>
      <w:r>
        <w:t>, nr. 1401/08, pct. 24, 9 aprilie 2013).</w:t>
      </w:r>
    </w:p>
    <w:p w:rsidR="00E65D65" w:rsidRPr="00905AF4" w:rsidRDefault="00905AF4" w:rsidP="00905AF4">
      <w:pPr>
        <w:pStyle w:val="ECHRPara"/>
      </w:pPr>
      <w:r>
        <w:t xml:space="preserve">96. Curtea observă în continuare că instanțele interne au cercetat, pe baza probelor de mai sus, elementele care i-au determinat pe cei care dețineau lăcașul de cult să refuze restituirea bunului și au stabilit care era vorba de dorința credincioșilor. În acest scop, curtea de apel, ale cărei considerații de fapt au fost confirmate de Înalta Curte, a examinat circumstanțele specifice construirii lăcașului de cult în litigiu, contribuțiile financiare ale diferitelor părți, modul în care imobilul a fost folosit și evoluția structurii comunității din Lupeni [a se vedea, </w:t>
      </w:r>
      <w:r>
        <w:rPr>
          <w:i/>
        </w:rPr>
        <w:t>a contrario</w:t>
      </w:r>
      <w:r>
        <w:t xml:space="preserve">, </w:t>
      </w:r>
      <w:r>
        <w:rPr>
          <w:i/>
        </w:rPr>
        <w:t>Tinnelly &amp; Sons Ltd și alții și McElduff și alții împotriva Regatului Unit</w:t>
      </w:r>
      <w:r>
        <w:t xml:space="preserve">, 10 iulie 1998, pct. 73 și 74, </w:t>
      </w:r>
      <w:r>
        <w:rPr>
          <w:i/>
        </w:rPr>
        <w:t>Culegere</w:t>
      </w:r>
      <w:r>
        <w:t xml:space="preserve"> 1998-IV]. Astfel, instanțele interne s-au asigurat că dorința credincioșilor are o bază reală în fapt, au luat în considerare aspecte istorice și sociale, nu doar aspecte statistice, și au verificat dacă criteriul dorinței credincioșilor a fost aplicat sau nu reclamanților în mod arbitrar în prezenta speță.</w:t>
      </w:r>
    </w:p>
    <w:p w:rsidR="00E65D65" w:rsidRPr="00905AF4" w:rsidRDefault="00905AF4" w:rsidP="00905AF4">
      <w:pPr>
        <w:pStyle w:val="ECHRPara"/>
        <w:rPr>
          <w:b/>
        </w:rPr>
      </w:pPr>
      <w:r>
        <w:t xml:space="preserve">97. După cum reiese din cuprinsul pct. 54 </w:t>
      </w:r>
      <w:r>
        <w:rPr>
          <w:i/>
        </w:rPr>
        <w:t>supra</w:t>
      </w:r>
      <w:r>
        <w:t xml:space="preserve">, atunci când instanțele interne, într-o altă cauză, au constatat că refuzul unei parohii ortodoxe de a </w:t>
      </w:r>
      <w:r>
        <w:lastRenderedPageBreak/>
        <w:t>restitui o biserică pe care nu o folosea este arbitrar, acestea au admis acțiunea în revendicare a parohiei greco-catolice, în pofida criteriului în litigiu.</w:t>
      </w:r>
    </w:p>
    <w:p w:rsidR="00AA61D0" w:rsidRPr="00905AF4" w:rsidRDefault="00905AF4" w:rsidP="00905AF4">
      <w:pPr>
        <w:pStyle w:val="ECHRPara"/>
      </w:pPr>
      <w:r>
        <w:t>98. Instanțele naționale, independente și imparțiale în sensul jurisprudenței Curții, în exercitarea competenței lor jurisdicționale, au dispus în mod evident de o putere de apreciere și rolul lor nu s-a limitat la confirmarea unui rezultat determinat anterior sesizării sale.</w:t>
      </w:r>
    </w:p>
    <w:p w:rsidR="005F4277" w:rsidRPr="00905AF4" w:rsidRDefault="00905AF4" w:rsidP="00905AF4">
      <w:pPr>
        <w:pStyle w:val="ECHRPara"/>
      </w:pPr>
      <w:r>
        <w:t>99. Având în vedere cele de mai sus, Curtea consideră că, în prezenta cauză, este vorba nu de un obstacol procedural care a împiedicat accesul reclamanților la justiție, ci de o dispoziție materială care, deși este de natură a avea impact asupra rezultatului procedurii, nu se opune examinării pe fond a litigiului de către o instanță. În realitate, reclamanții se plâng de dificultatea de a îndeplini condițiile impuse de dreptul material pentru a obține restituirea lăcașului de cult respectiv.</w:t>
      </w:r>
    </w:p>
    <w:p w:rsidR="00E65D65" w:rsidRPr="00905AF4" w:rsidRDefault="00905AF4" w:rsidP="00905AF4">
      <w:pPr>
        <w:pStyle w:val="ECHRPara"/>
      </w:pPr>
      <w:r>
        <w:t xml:space="preserve">100. Or, astfel cum reiese din jurisprudența consacrată a Curții, este necesar să se mențină distincția între ceea ce este de ordin procedural și ceea ce este de ordin material: oricât de subtilă ar fi aceasta într-o reglementare națională specifică, nu este mai puțin adevărat că această distincție determină aplicabilitatea și, după caz, domeniul de aplicare a garanțiilor prevăzute la art. 6 din Convenție, care, în principiu, nu se poate aplica limitărilor materiale ale unui drept consacrat în legislația internă (a se vedea în acest sens, </w:t>
      </w:r>
      <w:r>
        <w:rPr>
          <w:i/>
        </w:rPr>
        <w:t>Roche</w:t>
      </w:r>
      <w:r>
        <w:t xml:space="preserve">, citată anterior, pct. 119; </w:t>
      </w:r>
      <w:r>
        <w:rPr>
          <w:i/>
        </w:rPr>
        <w:t>Z și alții</w:t>
      </w:r>
      <w:r>
        <w:t xml:space="preserve">, citată anterior, pct. 98; și </w:t>
      </w:r>
      <w:r>
        <w:rPr>
          <w:i/>
        </w:rPr>
        <w:t>Markovic și alții</w:t>
      </w:r>
      <w:r>
        <w:t>, citată anterior, pct. 94).</w:t>
      </w:r>
    </w:p>
    <w:p w:rsidR="003112DB" w:rsidRPr="00905AF4" w:rsidRDefault="00905AF4" w:rsidP="00905AF4">
      <w:pPr>
        <w:pStyle w:val="ECHRPara"/>
      </w:pPr>
      <w:r>
        <w:t xml:space="preserve">101. Contrar argumentelor reclamanților, criteriul dorinței credincioșilor în discuție în prezenta cauză nu poate fi considerat ca o limitare oarecare a competenței instanțelor de a soluționa acțiunile în revendicare referitoare la lăcașuri de cult, ci ca o atenuare a unui drept material (a se vedea, </w:t>
      </w:r>
      <w:r>
        <w:rPr>
          <w:i/>
        </w:rPr>
        <w:t>mutatis mutandis</w:t>
      </w:r>
      <w:r>
        <w:t xml:space="preserve">, </w:t>
      </w:r>
      <w:r>
        <w:rPr>
          <w:i/>
        </w:rPr>
        <w:t>Fayed</w:t>
      </w:r>
      <w:r>
        <w:t xml:space="preserve">, citată anterior, pct. 65; </w:t>
      </w:r>
      <w:r>
        <w:rPr>
          <w:i/>
        </w:rPr>
        <w:t>Cudak</w:t>
      </w:r>
      <w:r>
        <w:t xml:space="preserve">, citată anterior, pct. 58; și </w:t>
      </w:r>
      <w:r>
        <w:rPr>
          <w:i/>
        </w:rPr>
        <w:t>McElhinney</w:t>
      </w:r>
      <w:r>
        <w:t>, citată anterior, pct. 25). În prezenta cauză, instanțele interne au avut competență de plină jurisdicție pentru aplicarea și interpretarea legii interne, fără ca refuzul formulat de parohia ortodoxă în procedura amiabilă în fața comisiei mixte să fie obligatoriu pentru acestea.</w:t>
      </w:r>
    </w:p>
    <w:p w:rsidR="00E65D65" w:rsidRPr="00905AF4" w:rsidRDefault="00905AF4" w:rsidP="00905AF4">
      <w:pPr>
        <w:pStyle w:val="ECHRPara"/>
      </w:pPr>
      <w:r>
        <w:t xml:space="preserve">102. În mod similar, nu este de competența Curții, atunci când examinează o cauză din perspectiva art. 6 din Convenție, să substituie opinia sa celei a legiuitorului național cu privire la legislația optimă care trebuie adoptată și aplicată pentru a soluționa litigiile, în special atunci când este vorba de litigii între diferite comunități religioase cu privire la lăcașuri de cult. Pe de o parte, astfel cum reiese de la pct. 89 </w:t>
      </w:r>
      <w:r>
        <w:rPr>
          <w:i/>
        </w:rPr>
        <w:t>supra</w:t>
      </w:r>
      <w:r>
        <w:t>, statele membre se bucură de o anumită marjă de apreciere atunci când elaborează norme privind dreptul de acces la o instanță. Pe de altă parte, în exercitarea acestei marje, în prezenta cauză, criteriul în litigiu a dus la dezbateri intense în momentul adoptării sale în Parlament (</w:t>
      </w:r>
      <w:r>
        <w:rPr>
          <w:i/>
        </w:rPr>
        <w:t>supra</w:t>
      </w:r>
      <w:r>
        <w:t xml:space="preserve">, pct. 39 </w:t>
      </w:r>
      <w:r>
        <w:rPr>
          <w:i/>
        </w:rPr>
        <w:t>in fine</w:t>
      </w:r>
      <w:r>
        <w:t>), dar și cu ocazia modificărilor aduse Decretului-lege nr. 126/1990 prin Legea nr. 182/2005. De asemenea, cele două biserici au fost consultate în cadrul procesului legislativ finalizat cu adoptarea criteriului în litigiu (</w:t>
      </w:r>
      <w:r>
        <w:rPr>
          <w:i/>
        </w:rPr>
        <w:t>supra</w:t>
      </w:r>
      <w:r>
        <w:t xml:space="preserve">, pct. 39). Curtea Constituțională s-a </w:t>
      </w:r>
      <w:r>
        <w:lastRenderedPageBreak/>
        <w:t>pronunțat constant în jurisprudența sa privind compatibilitatea acestui criteriu cu Constituția, atât atunci când a fost aplicat de comisiile mixte, cât și atunci când a fost aplicat în cadrul acțiunilor în justiție întemeiate pe dispozițiile dreptului comun (</w:t>
      </w:r>
      <w:r>
        <w:rPr>
          <w:i/>
        </w:rPr>
        <w:t>supra</w:t>
      </w:r>
      <w:r>
        <w:t>, pct. 55-57).</w:t>
      </w:r>
    </w:p>
    <w:p w:rsidR="005F4277" w:rsidRPr="00905AF4" w:rsidRDefault="00905AF4" w:rsidP="00905AF4">
      <w:pPr>
        <w:pStyle w:val="ECHRPara"/>
      </w:pPr>
      <w:r>
        <w:t>103. Pe de altă parte, învestită cu examinarea exemplelor de decizii prezentate de către părți în cauze similare din România, Curtea a statuat recent că „[i]ndiferent care este criteriul aplicat de instanțele interne, din deciziile respective reiese că o examinare a fondului cauzei a fost într-adevăr realizată” și că „[...] o acțiune în revendicare bazată pe dreptul comun ar fi condus în mod cert la o examinare pe fond a cauzei, fie în aplicarea normelor care reglementează acțiunea în revendicare clasică, fie prin aplicarea criteriului legii speciale” [</w:t>
      </w:r>
      <w:r>
        <w:rPr>
          <w:i/>
        </w:rPr>
        <w:t>Parohia Greco-Catolică Pruniș împotriva României</w:t>
      </w:r>
      <w:r>
        <w:t xml:space="preserve"> (dec.), nr. 38134/02, pct. 37 și 40, 8 aprilie 2014].</w:t>
      </w:r>
    </w:p>
    <w:p w:rsidR="00933690" w:rsidRPr="00905AF4" w:rsidRDefault="00905AF4" w:rsidP="00905AF4">
      <w:pPr>
        <w:pStyle w:val="ECHRPara"/>
      </w:pPr>
      <w:r>
        <w:t xml:space="preserve">104. Desigur, reclamanții invocă hotărârea </w:t>
      </w:r>
      <w:r>
        <w:rPr>
          <w:i/>
        </w:rPr>
        <w:t>Parohia Greco-Catolică Sâmbăta Bihor împotriva României</w:t>
      </w:r>
      <w:r>
        <w:t>, din care reiese, în opinia lor, că acest control exercitat de instanțe cu privire la deciziile comisiilor mixte încălca dreptul de acces la o instanță prin aceea că se limita la a verifica dacă criteriul dorinței credincioșilor a fost respectat. Cu toate acestea, Curtea reține că, în prezenta cauză, a examinat cadrul legislativ existent înainte de modificările aduse textului art. 3 din Decretul-lege nr. 126/1990 prin Ordonanța nr. 64/2004 și Legea nr. 182/2005 și așadar înainte de deschiderea posibilității prevăzute în mod clar de aceste modificări de a introduce acțiuni în justiție întemeiate pe dispozițiile dreptului comun. Raționamentul său s-a bazat astfel în principal pe faptul că, anterior modificărilor respective, unele instanțe naționale au considerat că nu erau competente să se pronunțe cu privire la temeinicia unei decizii pronunțate de o comisie mixtă și nu au luat așadar în considerare în mod corespunzător interesele și drepturile protejate care se aflau în joc. În consecință, controlul jurisdicțional exercitat de aceste instanțe a fost considerat insuficient în sensul art. 6 § 1 din Convenție. Cu toate acestea, Curtea a luat act de faptul că modificările aduse decretului-lege au făcut posibilă sesizarea instanțelor naționale, care erau pe viitor competente să soluționeze litigiile având ca obiect lăcașuri de cult și a salutat modificările legislative, menționând totodată că acestea au survenit la mult timp după faptele denunțate în respectiva cauză (</w:t>
      </w:r>
      <w:r>
        <w:rPr>
          <w:i/>
        </w:rPr>
        <w:t>Parohia Greco-Catolică Sâmbăta Bihor</w:t>
      </w:r>
      <w:r>
        <w:t>, citată anterior, pct. 72-75).</w:t>
      </w:r>
    </w:p>
    <w:p w:rsidR="001B0CD5" w:rsidRPr="00905AF4" w:rsidRDefault="00905AF4" w:rsidP="00905AF4">
      <w:pPr>
        <w:pStyle w:val="ECHRPara"/>
      </w:pPr>
      <w:bookmarkStart w:id="6" w:name="P105"/>
      <w:r>
        <w:t>105</w:t>
      </w:r>
      <w:bookmarkEnd w:id="6"/>
      <w:r>
        <w:t>. Reclamanții sunt surprinși de interpretarea dreptului intern dată de curtea de apel și Înalta Curte cu privire la sensul noțiunii de drept comun. Aceste instanțe au considerat că, deși reclamanții și-au întemeiat acțiunea pe dispozițiile Codului civil, aceasta trebuia să fie soluționată luând în considerare criteriul stabilit la art. 3 din Decretul-lege nr. 126/1990. Cu toate acestea, deși această interpretare a dreptului intern – care a evoluat în timp sau în funcție de instanța respectivă (</w:t>
      </w:r>
      <w:r>
        <w:rPr>
          <w:i/>
        </w:rPr>
        <w:t>supra</w:t>
      </w:r>
      <w:r>
        <w:t xml:space="preserve">, pct. 48-54) – este de natură să ridice o problemă ce intră sub incidența Convenției, Curtea consideră că acest </w:t>
      </w:r>
      <w:r>
        <w:lastRenderedPageBreak/>
        <w:t>aspect trebuie să fie examinat din perspectiva principiului securității juridice, nu din perspectiva accesului la instanță.</w:t>
      </w:r>
    </w:p>
    <w:p w:rsidR="00E65D65" w:rsidRPr="00905AF4" w:rsidRDefault="00905AF4" w:rsidP="00905AF4">
      <w:pPr>
        <w:pStyle w:val="ECHRPara"/>
      </w:pPr>
      <w:r>
        <w:t>106. Având în vedere considerațiile expuse mai sus, Curtea consideră că reclamanții nu au fost lipsiți de dreptul de a obține o hotărâre cu privire la temeinicia pretențiilor lor în legătură cu dreptul lor de proprietate asupra unui lăcaș de cult. Dificultățile întâmpinate de reclamanți în eforturile lor pentru restituirea lăcașului de cult în litigiu au fost o consecință a dreptului material aplicabil și nu au fost legate de vreo limitare a dreptului de acces la o instanță.</w:t>
      </w:r>
    </w:p>
    <w:p w:rsidR="00BB64B6" w:rsidRPr="00905AF4" w:rsidRDefault="00905AF4" w:rsidP="00905AF4">
      <w:pPr>
        <w:pStyle w:val="ECHRPara"/>
      </w:pPr>
      <w:r>
        <w:t>107. Prin urmare, Curtea constată că dreptul de acces la o instanță a fost respectat în prezenta cauză și că nu a fost încălcat art. 6 § 1 din Convenție.</w:t>
      </w:r>
    </w:p>
    <w:p w:rsidR="00FF684D" w:rsidRPr="00905AF4" w:rsidRDefault="001B76A2" w:rsidP="00905AF4">
      <w:pPr>
        <w:pStyle w:val="ECHRHeading3"/>
      </w:pPr>
      <w:r>
        <w:t>2. Cu privire la respectarea principiului securității juridice</w:t>
      </w:r>
    </w:p>
    <w:p w:rsidR="00E75266" w:rsidRPr="00905AF4" w:rsidRDefault="001B76A2" w:rsidP="00905AF4">
      <w:pPr>
        <w:pStyle w:val="ECHRHeading4"/>
      </w:pPr>
      <w:r>
        <w:t>a) Hotărârea Camerei</w:t>
      </w:r>
    </w:p>
    <w:p w:rsidR="00E65D65" w:rsidRPr="00905AF4" w:rsidRDefault="00905AF4" w:rsidP="00905AF4">
      <w:pPr>
        <w:pStyle w:val="ECHRPara"/>
      </w:pPr>
      <w:r>
        <w:t>108. În hotărârea sa, Camera a făcut trimitere la principiile care decurg din jurisprudența Curții referitoare la art. 6 § 1 din Convenție în ceea ce privește respectarea principiului securității juridice. Camera a observat că instanțele naționale trebuiau să soluționeze litigiile privind restituirea lăcașurilor de cult deși nu dispuneau de un cadru legislativ suficient de clar și previzibil în ceea ce privește interpretarea noțiunii de „drept comun” menționate la art. 3 din Decretul-lege nr. 126/1990, cu modificările aduse prin Legea nr. 182/2005 și că, în consecință, instanțele naționale au ajuns la concluzii juridice diferite cu privire la aceeași problemă de drept cu care au fost sesizate. Astfel, sesizate cu o acțiune în revendicare întemeiată pe art. 480 din Codul civil, instanțele naționale, inclusiv Înalta Curte, au interpretat această noțiune în două moduri: unele au considerat că trebuie să examineze acțiunea în revendicare în mod convențional prin compararea titlurilor de proprietate; altele, ca de exemplu în prezenta cauză, au considerat că trebuie să soluționeze acțiunea în revendicare aplicând criteriul stabilit în Decretul-lege nr. 126/1990. Cu toate acestea, Camera a considerat că, deși nu s-a folosit mecanismul recursului în interesul legii, cele mai înalte instanțe ale țării, și anume Înalta Curte și Curtea Constituțională, au îndreptat această divergență de jurisprudență aliniindu-și pozițiile cu privire la legislația aplicabilă.</w:t>
      </w:r>
    </w:p>
    <w:p w:rsidR="00AB4398" w:rsidRPr="00905AF4" w:rsidRDefault="00905AF4" w:rsidP="00905AF4">
      <w:pPr>
        <w:pStyle w:val="ECHRPara"/>
      </w:pPr>
      <w:r>
        <w:t>109. Camera a mai constatat că divergența de jurisprudență a persistat mai mulți ani, fără a dispune de elemente pentru a stabili durata exactă a acestei situații. Aceasta a ținut seama de complexitatea problemei juridice ridicate, de impactul ei social și de faptul că era nevoie de o decizie pe cale jurisprudențială cu privire la modul în care trebuie aplicate două legi diferite. Reținând că instanțele naționale au motivat corespunzător deciziile lor în fapt și în drept și că interpretarea circumstanțelor care le-au fost înaintate spre examinare nu a fost arbitrară, nerezonabilă sau de natură să vicieze caracterul echitabil al procesului, aceasta a constatat că nu a fost încălcat art. 6 § 1 din Convenție în această privință.</w:t>
      </w:r>
    </w:p>
    <w:p w:rsidR="00E75266" w:rsidRPr="00905AF4" w:rsidRDefault="001B76A2" w:rsidP="00905AF4">
      <w:pPr>
        <w:pStyle w:val="ECHRHeading4"/>
      </w:pPr>
      <w:r>
        <w:lastRenderedPageBreak/>
        <w:t>b) Observațiile părților în fața Marii Camere</w:t>
      </w:r>
    </w:p>
    <w:p w:rsidR="00E75266" w:rsidRPr="00905AF4" w:rsidRDefault="001B76A2" w:rsidP="00905AF4">
      <w:pPr>
        <w:pStyle w:val="ECHRHeading5"/>
      </w:pPr>
      <w:r>
        <w:t>i. Reclamanții</w:t>
      </w:r>
    </w:p>
    <w:p w:rsidR="00E65D65" w:rsidRPr="00905AF4" w:rsidRDefault="00905AF4" w:rsidP="00905AF4">
      <w:pPr>
        <w:pStyle w:val="ECHRPara"/>
      </w:pPr>
      <w:r>
        <w:t>110.</w:t>
      </w:r>
      <w:r>
        <w:rPr>
          <w:b/>
        </w:rPr>
        <w:t xml:space="preserve"> </w:t>
      </w:r>
      <w:r>
        <w:t>Potrivit reclamanților, criteriul dorinței credincioșilor trebuia să fie aplicat numai de comisiile mixte, nu de instanțe. În această privință, reclamanții precizează că respectivul criteriu este menționat doar la alin. (1) de la art. 3 din Decretul-lege nr. 126/1990, care reglementează procedura în fața comisiilor mixte, nu la alin. (2) al acestui articol, care deschide greco-catolicilor calea acțiunii în justiție potrivit dreptului comun.</w:t>
      </w:r>
    </w:p>
    <w:p w:rsidR="00E65D65" w:rsidRPr="00905AF4" w:rsidRDefault="00905AF4" w:rsidP="00905AF4">
      <w:pPr>
        <w:pStyle w:val="ECHRPara"/>
      </w:pPr>
      <w:r>
        <w:t>111.</w:t>
      </w:r>
      <w:r>
        <w:rPr>
          <w:b/>
        </w:rPr>
        <w:t xml:space="preserve"> </w:t>
      </w:r>
      <w:r>
        <w:t>Aceștia susțin că, în jurisprudența și doctrina românească, s-a consacrat faptul că dreptul comun în materia dreptului de proprietate este Codul civil. Aceștia consideră că dispozițiile de drept comun în materie nu pot fi asimilate celor ale unei legi speciale, cum este Decretul-lege nr. 126/1990, și că, într-un astfel de caz, alin. (2) de la art. 3 sus-menționat ar fi fost formulat diferit și ar fi făcut trimitere la alin. (1). Potrivit acestora, instanțele naționale au adoptat așadar o interpretare extensivă, arbitrară și contrară legii în privința noțiunii de „drept comun” prin faptul că au considerat că instanțele trebuie, la rândul lor, să statueze conform criteriului dorinței credincioșilor.</w:t>
      </w:r>
    </w:p>
    <w:p w:rsidR="00E86683" w:rsidRPr="00905AF4" w:rsidRDefault="00905AF4" w:rsidP="00905AF4">
      <w:pPr>
        <w:pStyle w:val="ECHRPara"/>
      </w:pPr>
      <w:r>
        <w:t>112. Reclamanții consideră că, deși a trecut o perioadă lungă de timp de la adoptarea Decretului-lege nr. 126/1990 și modificarea acestuia în 2005, nu reiese din lege și jurisprudență nicio abordare clară care să împace aplicarea dreptului comun și criteriul dorinței credincioșilor: instanțele inferioare au considerat că este necesar să se facă abstracție de dorința credincioșilor deoarece aceasta împiedică accesul la justiție, în timp ce Înalta Curte a decis că este necesar să se înlăture aplicarea dreptului comun pentru a acorda prioritate dorinței majorității. Potrivit reclamanților, acestea sunt două poziții diametral opuse, care arată în mod clar că cele două dispoziții legale sunt ireconciliabile.</w:t>
      </w:r>
    </w:p>
    <w:p w:rsidR="00E75266" w:rsidRPr="00905AF4" w:rsidRDefault="001B76A2" w:rsidP="00905AF4">
      <w:pPr>
        <w:pStyle w:val="ECHRHeading5"/>
      </w:pPr>
      <w:r>
        <w:t>ii. Guvernul</w:t>
      </w:r>
    </w:p>
    <w:p w:rsidR="00E65D65" w:rsidRPr="00905AF4" w:rsidRDefault="00905AF4" w:rsidP="00905AF4">
      <w:pPr>
        <w:pStyle w:val="ECHRPara"/>
      </w:pPr>
      <w:r>
        <w:t>113. Potrivit Guvernului, criteriul prevăzut de Decretul-lege nr. 126/1990 reflectă o concepție cu fundamente sociale și istorice profunde: credincioșii fiind cei care au contribuit la construirea lăcașului de cult și care fac posibilă utilizarea lui în scopuri religioase, este firesc, în opinia sa, ca lăcașul de cult să îi urmeze pe aceștia în caz de restructurare a comunității religioase. Importanța acestui criteriu, conformitatea sa cu Constituția și concordanța sa cu realitatea socială au fost confirmate de Curtea Constituțională.</w:t>
      </w:r>
    </w:p>
    <w:p w:rsidR="00BC0B95" w:rsidRPr="00905AF4" w:rsidRDefault="00905AF4" w:rsidP="00905AF4">
      <w:pPr>
        <w:pStyle w:val="ECHRPara"/>
      </w:pPr>
      <w:r>
        <w:t xml:space="preserve">114. Guvernul a mai explicat că modificările aduse prin Legea nr. 182/2005 Decretului-lege nr. 126/1990 se limitează la asigurarea expresă a accesului la justiție, indicând instanța competentă și cheltuielile de judecată, și că acestea nu afectează nicicum dreptul material aplicabil acestui tip de litigiu. Guvernul afirmă în această privință că percepția generală care reiese din dezbaterile din Senat și Camera Deputaților la momentul adoptării Legii </w:t>
      </w:r>
      <w:r>
        <w:lastRenderedPageBreak/>
        <w:t>nr. 182/2005 era aceea că modificările respective nu vizau decât recunoașterea accesului la justiție și nu ofereau o perspectivă diferită asupra raporturilor dintre drepturile patrimoniale ale diferitelor comunități religioase.</w:t>
      </w:r>
    </w:p>
    <w:p w:rsidR="00363443" w:rsidRPr="00905AF4" w:rsidRDefault="00905AF4" w:rsidP="00905AF4">
      <w:pPr>
        <w:pStyle w:val="ECHRPara"/>
      </w:pPr>
      <w:r>
        <w:t>115. Evoluția jurisprudenței interne demonstrează capacitatea sistemului juridic românesc de a absorbi divergențele inițiale de jurisprudență, chiar dacă nu s-a introdus recurs în interesul legii în materie. Astfel, Curtea Constituțională începând din 1995 și Înalta Curte începând din 2009 au luat o poziție clară cu privire la problema aplicabilității criteriului dorinței credincioșilor. Începând din 2011 și 2012, în majoritatea cauzelor cu care a fost sesizată, Înalta Curte a procedat la aplicarea în mod coroborat a dispozițiilor dreptului comun și a dispozițiilor Decretului-lege nr. 126/1990. Potrivit Guvernului, dacă acum s-ar reveni asupra aplicării acestui criteriu nu s-ar realiza decât o destabilizare a unei situații în care practica națională este deja unitară și în care interesele comunităților de credincioși sunt deja clar stabilite. De asemenea, simplul fapt că decizia în litigiu în prezenta cauză a fost pronunțată înainte de uniformizarea jurisprudenței în acest domeniu nu ar putea submina de unul singur principiul previzibilității și cel al securității juridice, sistemul judiciar intern reușind să pună capăt incertitudinii prin mijloace proprii.</w:t>
      </w:r>
    </w:p>
    <w:p w:rsidR="00E75266" w:rsidRPr="00905AF4" w:rsidRDefault="00287862" w:rsidP="00905AF4">
      <w:pPr>
        <w:pStyle w:val="ECHRHeading4"/>
      </w:pPr>
      <w:r>
        <w:t>c) Motivarea Curții</w:t>
      </w:r>
    </w:p>
    <w:p w:rsidR="00E75266" w:rsidRPr="00905AF4" w:rsidRDefault="001B76A2" w:rsidP="00905AF4">
      <w:pPr>
        <w:pStyle w:val="ECHRHeading5"/>
      </w:pPr>
      <w:r>
        <w:t>i. Principii generale</w:t>
      </w:r>
    </w:p>
    <w:p w:rsidR="004E5412" w:rsidRPr="00905AF4" w:rsidRDefault="00905AF4" w:rsidP="00905AF4">
      <w:pPr>
        <w:pStyle w:val="ECHRPara"/>
      </w:pPr>
      <w:r>
        <w:t xml:space="preserve">116. Curtea reamintește pentru început hotărârea sa </w:t>
      </w:r>
      <w:r>
        <w:rPr>
          <w:i/>
        </w:rPr>
        <w:t>Nejdet Șahin și Perihan Șahin împotriva Turciei</w:t>
      </w:r>
      <w:r>
        <w:t xml:space="preserve"> ([MC), nr. 13279/05, pct. 49-58 și 61, 20 octombrie 2011], în care au fost introduse principiile aplicabile în cauzele care implică divergențe de jurisprudență. Aceste principii, care intră sub incidența art. 6 § 1 din Convenție, pot fi rezumate după cum urmează:</w:t>
      </w:r>
    </w:p>
    <w:p w:rsidR="009F1670" w:rsidRPr="00905AF4" w:rsidRDefault="00332273" w:rsidP="00905AF4">
      <w:pPr>
        <w:pStyle w:val="ECHRPara"/>
        <w:rPr>
          <w:i/>
        </w:rPr>
      </w:pPr>
      <w:r>
        <w:t>a) În astfel de cauze, motivarea Curții se bazează constant pe principiul securității juridice, care este implicit în toate articolele din Convenție și care constituie unul dintre elementele fundamentale ale statului de drept (</w:t>
      </w:r>
      <w:r>
        <w:rPr>
          <w:i/>
        </w:rPr>
        <w:t>Nejdet Șahin și Perihan Șahin</w:t>
      </w:r>
      <w:r>
        <w:t>, citată anterior, pct. 56). Scopul acest principiu este în special acela de a garanta stabilitatea situațiilor juridice și de a promova încrederea publicului în justiție. Orice persistență a divergențelor de jurisprudență riscă să ducă la o stare de incertitudine juridică de natură să reducă încrederea publicului în sistemul judiciar, chiar dacă această încredere este una dintre componentele fundamentale ale statului de drept (</w:t>
      </w:r>
      <w:r>
        <w:rPr>
          <w:i/>
        </w:rPr>
        <w:t>Hayati Çelebi și alții împotriva Turciei</w:t>
      </w:r>
      <w:r>
        <w:t xml:space="preserve">, nr. 582/05, pct. 52, 9 februarie 2016; și </w:t>
      </w:r>
      <w:r>
        <w:rPr>
          <w:i/>
        </w:rPr>
        <w:t>Ferreira Santos Pardal împotriva Portugaliei</w:t>
      </w:r>
      <w:r>
        <w:t>, nr. 30123/10, pct. 42, 30 iulie 2015).</w:t>
      </w:r>
    </w:p>
    <w:p w:rsidR="00332273" w:rsidRPr="00905AF4" w:rsidRDefault="00332273" w:rsidP="00905AF4">
      <w:pPr>
        <w:pStyle w:val="ECHRPara"/>
      </w:pPr>
      <w:r>
        <w:t xml:space="preserve">b) Cu toate acestea, eventualitatea unor divergențe de jurisprudență este inerentă, în mod firesc, oricărui sistem judiciar care are la bază ansamblul instanțelor de fond cu competență teritorială. Astfel de divergențe pot apărea </w:t>
      </w:r>
      <w:r>
        <w:lastRenderedPageBreak/>
        <w:t>și în cadrul aceleiași instanțe. Acest lucru în sine nu poate fi considerat ca fiind contrar Convenției (</w:t>
      </w:r>
      <w:r>
        <w:rPr>
          <w:i/>
        </w:rPr>
        <w:t>Nejdet Șahin și Perihan Șahin</w:t>
      </w:r>
      <w:r>
        <w:t xml:space="preserve">, citată anterior, pct. 51; și </w:t>
      </w:r>
      <w:r>
        <w:rPr>
          <w:i/>
        </w:rPr>
        <w:t>Albu și alții împotriva României</w:t>
      </w:r>
      <w:r>
        <w:t>, nr. 34796/09 și alte 63 de cereri, pct. 34, 10 mai 2012).</w:t>
      </w:r>
    </w:p>
    <w:p w:rsidR="007F03D2" w:rsidRPr="00905AF4" w:rsidRDefault="009F1670" w:rsidP="00905AF4">
      <w:pPr>
        <w:pStyle w:val="ECHRPara"/>
        <w:rPr>
          <w:i/>
        </w:rPr>
      </w:pPr>
      <w:r>
        <w:t>c) Cerințele securității juridice și protecției încrederii legitime a justițiabililor nu consacră așadar un drept dobândit unei jurisprudențe constante. Astfel, evoluția jurisprudenței nu este, în sine, contrară bunei administrări a justiției întrucât lipsa unei abordări dinamice și progresive ar risca să împiedice orice modificare sau îmbunătățire [</w:t>
      </w:r>
      <w:r>
        <w:rPr>
          <w:i/>
        </w:rPr>
        <w:t>Nejdet Șahin și Perihan Șahin</w:t>
      </w:r>
      <w:r>
        <w:t xml:space="preserve">, citată anterior, pct. 58; și </w:t>
      </w:r>
      <w:r>
        <w:rPr>
          <w:i/>
        </w:rPr>
        <w:t>Albu și alții</w:t>
      </w:r>
      <w:r>
        <w:t>, citată anterior, pct. 34].</w:t>
      </w:r>
    </w:p>
    <w:p w:rsidR="007F03D2" w:rsidRPr="00905AF4" w:rsidRDefault="008019A1" w:rsidP="00905AF4">
      <w:pPr>
        <w:pStyle w:val="ECHRPara"/>
      </w:pPr>
      <w:r>
        <w:t>d) În principiu, Curtea nu are sarcina de a compara diversele hotărâri pronunțate – chiar și în litigii care la prima vedere par similare sau conexe – de către instanțe a căror independență trebuie să o respecte. De asemenea, diferența de tratament între două litigii nu poate fi înțeleasă ca o divergență de jurisprudență dacă aceasta este justifică de diferența dintre situațiile de fapt respective (</w:t>
      </w:r>
      <w:r>
        <w:rPr>
          <w:i/>
        </w:rPr>
        <w:t>Hayati Çelebi și alții</w:t>
      </w:r>
      <w:r>
        <w:t xml:space="preserve">, citată anterior, pct. 52; și </w:t>
      </w:r>
      <w:r>
        <w:rPr>
          <w:i/>
        </w:rPr>
        <w:t>Ferreira Santos Pardal</w:t>
      </w:r>
      <w:r>
        <w:t>, citată anterior, pct. 42).</w:t>
      </w:r>
    </w:p>
    <w:p w:rsidR="004E5412" w:rsidRPr="00905AF4" w:rsidRDefault="008019A1" w:rsidP="00905AF4">
      <w:pPr>
        <w:pStyle w:val="ECHRPara"/>
      </w:pPr>
      <w:r>
        <w:t>e) Criteriile care ghidează Curtea în aprecierea condițiilor în care hotărârile contradictorii ale diferitelor instanțe interne care statuează în ultim grad de jurisdicție constituie o încălcare a dreptului la un proces echitabil consacrat la art. 6 § 1 din Convenție constau în a stabili, în primul rând, dacă în jurisprudența instanțelor interne există „diferențe profunde și persistente”, în al doilea rând, dacă dreptul intern prevede mecanisme pentru eliminarea acestor neconcordanțe și, în al treilea rând, dacă aceste mecanisme au fost aplicate și care au fost, după caz, efectele aplicării lor (</w:t>
      </w:r>
      <w:r>
        <w:rPr>
          <w:i/>
        </w:rPr>
        <w:t>Nejdet Şahin și Perihan Şahin</w:t>
      </w:r>
      <w:r>
        <w:t xml:space="preserve">, citată anterior, pct. 53; </w:t>
      </w:r>
      <w:r>
        <w:rPr>
          <w:i/>
        </w:rPr>
        <w:t>Hayati Çelebi și alții</w:t>
      </w:r>
      <w:r>
        <w:t xml:space="preserve">, citată anterior, pct. 52; și </w:t>
      </w:r>
      <w:r>
        <w:rPr>
          <w:i/>
        </w:rPr>
        <w:t>Ferreira Santos Pardal</w:t>
      </w:r>
      <w:r>
        <w:t>, citată anterior, pct. 42).</w:t>
      </w:r>
    </w:p>
    <w:p w:rsidR="00E75266" w:rsidRPr="00905AF4" w:rsidRDefault="001B76A2" w:rsidP="00905AF4">
      <w:pPr>
        <w:pStyle w:val="ECHRHeading5"/>
      </w:pPr>
      <w:r>
        <w:t>ii. Aplicare în prezenta cauză</w:t>
      </w:r>
    </w:p>
    <w:p w:rsidR="00C654A7" w:rsidRPr="00905AF4" w:rsidRDefault="00905AF4" w:rsidP="00905AF4">
      <w:pPr>
        <w:pStyle w:val="ECHRPara"/>
      </w:pPr>
      <w:bookmarkStart w:id="7" w:name="P125"/>
      <w:r>
        <w:t>117</w:t>
      </w:r>
      <w:bookmarkEnd w:id="7"/>
      <w:r>
        <w:t xml:space="preserve">. Curtea observă că prezenta cauză diferă de cauza </w:t>
      </w:r>
      <w:r>
        <w:rPr>
          <w:i/>
        </w:rPr>
        <w:t>Nejdet Şahin și Perihan Șahin</w:t>
      </w:r>
      <w:r>
        <w:t xml:space="preserve"> (citată anterior) prin faptul că vizează nu presupuse divergențe de jurisprudență între decizii pronunțate de două instanțe judecătorești supreme care nu se află în raporturi ierarhice, distincte și autonome, ci divergențe existente în principal în jurisprudența celei mai înalte instanțe naționale. Astfel, se impune constatarea că, în prezenta cauză, divergența de jurisprudență are originea în principal în deciziile Înaltei Curți [a se vedea, de asemenea, </w:t>
      </w:r>
      <w:r>
        <w:rPr>
          <w:i/>
        </w:rPr>
        <w:t>Beian împotriva României (nr. 1)</w:t>
      </w:r>
      <w:r>
        <w:t xml:space="preserve">, nr. 30658/05, pct. 38, CEDO 2007-V (extrase); </w:t>
      </w:r>
      <w:r>
        <w:rPr>
          <w:i/>
        </w:rPr>
        <w:t>Ferreira Santos Pardal</w:t>
      </w:r>
      <w:r>
        <w:t xml:space="preserve">, citată anterior, pct. 45; și </w:t>
      </w:r>
      <w:r>
        <w:rPr>
          <w:i/>
        </w:rPr>
        <w:t>Hayati Çelebi și alții</w:t>
      </w:r>
      <w:r>
        <w:t>, citată anterior, pct. 54], chiar dacă aceasta a avut efecte la nivelul instanțelor inferioare.</w:t>
      </w:r>
    </w:p>
    <w:p w:rsidR="00FF684D" w:rsidRPr="00905AF4" w:rsidRDefault="00905AF4" w:rsidP="00905AF4">
      <w:pPr>
        <w:pStyle w:val="ECHRPara"/>
      </w:pPr>
      <w:r>
        <w:t xml:space="preserve">118. Principiile stabilite în hotărârea </w:t>
      </w:r>
      <w:r>
        <w:rPr>
          <w:i/>
        </w:rPr>
        <w:t>Nejdet Șahin și Perihan Șahin</w:t>
      </w:r>
      <w:r>
        <w:t xml:space="preserve"> sunt totuși aplicabile în prezenta cauză. Prin urmare, Curtea va stabili pe rând dacă, în speță, există în jurisprudența instanțelor interne „divergențe profunde și persistente”, dacă dreptul intern prevede mecanisme pentru eliminarea </w:t>
      </w:r>
      <w:r>
        <w:lastRenderedPageBreak/>
        <w:t>acestor neconcordanțe, dacă aceste mecanisme au fost aplicate și care au fost, după caz, efectele aplicării lor.</w:t>
      </w:r>
    </w:p>
    <w:p w:rsidR="00E75266" w:rsidRPr="00905AF4" w:rsidRDefault="00CA4889" w:rsidP="00905AF4">
      <w:pPr>
        <w:pStyle w:val="ECHRHeading6"/>
      </w:pPr>
      <w:r>
        <w:t>α. Cu privire la existența unor „divergențe de jurisprudență profunde și persistente”</w:t>
      </w:r>
    </w:p>
    <w:p w:rsidR="004A4355" w:rsidRPr="00905AF4" w:rsidRDefault="00905AF4" w:rsidP="00905AF4">
      <w:pPr>
        <w:pStyle w:val="ECHRPara"/>
      </w:pPr>
      <w:r>
        <w:t xml:space="preserve">119. Curtea consideră că este important să se sublinieze pentru început că, în cauza </w:t>
      </w:r>
      <w:r>
        <w:rPr>
          <w:i/>
        </w:rPr>
        <w:t>Parohia Greco-Catolică Sâmbăta Bihor</w:t>
      </w:r>
      <w:r>
        <w:t xml:space="preserve"> citată anterior (pct. 43-49 și pct. 81) a evidențiat deja existența unei divergențe de jurisprudență în cadrul celei mai înalte instanțe, la vremea respectivă Curtea Supremă de Justiție (</w:t>
      </w:r>
      <w:r>
        <w:rPr>
          <w:i/>
        </w:rPr>
        <w:t>supra</w:t>
      </w:r>
      <w:r>
        <w:t xml:space="preserve">, pct. 51), această divergență repercutându-se asupra jurisprudenței instanțelor inferioare. Astfel cum rezultă din pct. 104 </w:t>
      </w:r>
      <w:r>
        <w:rPr>
          <w:i/>
        </w:rPr>
        <w:t>supra</w:t>
      </w:r>
      <w:r>
        <w:t>, această divergență privea la momentul respectiv interpretarea care trebuia dată art. 3 din Decretul-lege nr. 126/1990, în versiunea anterioară modificării lui în 2004 și 2005 și viza însăși competența instanțelor de a soluționa o acțiune introdusă de o parohie greco-catolică și care avea ca obiect un lăcaș de cult. Astfel, Curtea Supremă, și, prin urmare, curțile de apel au interpretat această dispoziție în mod contradictoriu, uneori respingând, alteori admițând judecarea litigiilor cu care au fost sesizate de parohiile greco-catolice. Reclamanții din prezenta cauză au constatat impactul acestei interpretări divergente în propria lor cauză, acțiunea pe care au introdus-o în 2001 fiind declarată inadmisibilă în prima fază a procedurii (</w:t>
      </w:r>
      <w:r>
        <w:rPr>
          <w:i/>
        </w:rPr>
        <w:t>supra</w:t>
      </w:r>
      <w:r>
        <w:t>, pct. 19).</w:t>
      </w:r>
    </w:p>
    <w:p w:rsidR="00E65D65" w:rsidRPr="00905AF4" w:rsidRDefault="00905AF4" w:rsidP="00905AF4">
      <w:pPr>
        <w:pStyle w:val="ECHRPara"/>
      </w:pPr>
      <w:r>
        <w:t xml:space="preserve">120. Curtea mai observă că, astfel cum rezultă din cuprinsul pct. 41 și 42 </w:t>
      </w:r>
      <w:r>
        <w:rPr>
          <w:i/>
        </w:rPr>
        <w:t>supra</w:t>
      </w:r>
      <w:r>
        <w:t xml:space="preserve"> din prezenta hotărâre, legiuitorul român a considerat necesară modificarea textului Decretului-lege nr. 126/1990 pentru a acorda în mod expres posibilitatea de a se adresa unei instanțe părții nemulțumite de rezultatul procedurii în fața comisiei mixte. Astfel, art. 3 din Decretul nr. 126/1990 cu modificările și completările ulterioare prevede că, în cazul în care reprezentanții clericali ai celor două culte nu ajung la un acord în cadrul comisiei mixte, partea interesată are deschisă calea acțiunii în justiție, potrivit dreptului comun.</w:t>
      </w:r>
    </w:p>
    <w:p w:rsidR="00255BA5" w:rsidRPr="00905AF4" w:rsidRDefault="00905AF4" w:rsidP="00905AF4">
      <w:pPr>
        <w:pStyle w:val="ECHRPara"/>
      </w:pPr>
      <w:bookmarkStart w:id="8" w:name="P110"/>
      <w:r>
        <w:t>121</w:t>
      </w:r>
      <w:bookmarkEnd w:id="8"/>
      <w:r>
        <w:t>. Cu toate acestea, noul text, care a avut ca scop să pună capăt unei divergențe de jurisprudență, a cauzat alta. De data aceasta, noțiunea de „drept comun” este cea care a făcut obiectul unor interpretări diferite: unele instanțe i-au acordat sensul obișnuit în materie de protecție a dreptului de proprietate și au tratat acțiunea în revendicare în mod clasic în baza prevederilor Codului civil (</w:t>
      </w:r>
      <w:r>
        <w:rPr>
          <w:i/>
        </w:rPr>
        <w:t>supra</w:t>
      </w:r>
      <w:r>
        <w:t>, pct. 44 și 45); altele au considerat că noțiunea trebuia interpretată în lumina textului art. 3 alin. (1) din Decretul-lege nr. 126/1990 și că ele trebuie să țină seama de dorința credincioșilor. În funcție de interpretarea dată de instanțe noțiunii de drept comun, dreptul material aplicabil unui litigiu putea așadar să difere: în primul caz, instanțele naționale au procedat la compararea titlurilor de proprietate, iar în al doilea caz instanțele au analizat dorința credincioșilor din comunitatea care deținea bunul cu ocazia examinării situației juridice a lăcașului de cult.</w:t>
      </w:r>
    </w:p>
    <w:p w:rsidR="00E65D65" w:rsidRPr="00905AF4" w:rsidRDefault="00905AF4" w:rsidP="00905AF4">
      <w:pPr>
        <w:pStyle w:val="ECHRPara"/>
        <w:rPr>
          <w:rFonts w:cstheme="minorHAnsi"/>
        </w:rPr>
      </w:pPr>
      <w:r>
        <w:lastRenderedPageBreak/>
        <w:t xml:space="preserve">122. Curtea reamintește că posibilitatea unor divergențe de jurisprudență este în mod firesc inerentă în orice sistem judiciar care are la bază ansamblul instanțelor de fond cu competență teritorială. Cu toate acestea, Curtea subliniază că, așa cum reiese din exemplele de jurisprudență depuse la dosar, dar și din pct. 117 </w:t>
      </w:r>
      <w:r>
        <w:rPr>
          <w:i/>
        </w:rPr>
        <w:t>supra</w:t>
      </w:r>
      <w:r>
        <w:t>, interpretarea divergentă a noțiunii de drept comun a existat chiar și cadrul Înaltei Curți, învestită cu soluționarea litigiilor respective în ultimă instanță. Astfel, în decizia pronunțată la 29 mai 2007, Înalta Curte a confirmat aplicarea criteriului dorinței credincioșilor prevăzut de Decretul-lege nr. 126/1990 (</w:t>
      </w:r>
      <w:r>
        <w:rPr>
          <w:i/>
        </w:rPr>
        <w:t>supra</w:t>
      </w:r>
      <w:r>
        <w:t>, pct. 52 in fine); prin decizia definitivă din 25 noiembrie 2008, a retrimis cauza pentru rejudecare la instanțele inferioare, arătând că criteriul dorinței credincioșilor era aplicabil numai în cursul procedurii în fața comisiei mixte (</w:t>
      </w:r>
      <w:r>
        <w:rPr>
          <w:i/>
        </w:rPr>
        <w:t>supra</w:t>
      </w:r>
      <w:r>
        <w:t>, pct. 51); apoi, printr-o decizie din 24 martie 2009, a retrimis o altă cauză spre reexaminare, motivând că criteriul prevăzut de legea specială nu a fost aplicat (</w:t>
      </w:r>
      <w:r>
        <w:rPr>
          <w:i/>
        </w:rPr>
        <w:t>supra</w:t>
      </w:r>
      <w:r>
        <w:t>, pct. 52). În 2011 și 2012, Înalta Curte a pronunțat și alte decizii cu interpretări divergente (</w:t>
      </w:r>
      <w:r>
        <w:rPr>
          <w:i/>
        </w:rPr>
        <w:t>supra</w:t>
      </w:r>
      <w:r>
        <w:t>, pct. 52-53).</w:t>
      </w:r>
    </w:p>
    <w:p w:rsidR="00520899" w:rsidRPr="00905AF4" w:rsidRDefault="00905AF4" w:rsidP="00905AF4">
      <w:pPr>
        <w:pStyle w:val="ECHRPara"/>
      </w:pPr>
      <w:r>
        <w:t>123. Curtea a subliniat deja, în repetate rânduri, că rolul unei instanțe supreme este tocmai acela de a soluționa aceste contradicții [</w:t>
      </w:r>
      <w:r>
        <w:rPr>
          <w:i/>
        </w:rPr>
        <w:t>Zielinski și Pradal și Gonzalez și alții împotriva Franței</w:t>
      </w:r>
      <w:r>
        <w:t xml:space="preserve"> (MC), nr. 24846/94 și 34165/96–34173/96, pct. 59, CEDO 1999-VII; și </w:t>
      </w:r>
      <w:r>
        <w:rPr>
          <w:i/>
        </w:rPr>
        <w:t>Ferreira Santos Pardal</w:t>
      </w:r>
      <w:r>
        <w:t>, citată anterior, pct. 47]. În consecință, în situația în care se dezvoltă o practică divergentă în cadrul celei mai înalte autorități judecătorești din țară, aceasta din urmă devine ea însăși o sursă de incertitudine juridică, aducând astfel atingere principiului securității juridice și reducând încrederea publicului în sistemul judiciar [</w:t>
      </w:r>
      <w:r>
        <w:rPr>
          <w:i/>
        </w:rPr>
        <w:t>Beian (nr. 1)</w:t>
      </w:r>
      <w:r>
        <w:t xml:space="preserve">, citată anterior, pct. 39; și </w:t>
      </w:r>
      <w:r>
        <w:rPr>
          <w:i/>
        </w:rPr>
        <w:t>Santos Ferreira Pardal</w:t>
      </w:r>
      <w:r>
        <w:t>, citată anterior, pct. 47].</w:t>
      </w:r>
    </w:p>
    <w:p w:rsidR="00B504D7" w:rsidRPr="00905AF4" w:rsidRDefault="00905AF4" w:rsidP="00905AF4">
      <w:pPr>
        <w:pStyle w:val="ECHRPara"/>
      </w:pPr>
      <w:r>
        <w:t>124. În prezenta cauză, divergența de jurisprudență existentă în cadrul Înaltei Curți s-a răsfrânt asupra deciziilor instanțelor inferioare, care au pronunțat la rândul lor decizii contradictorii. Astfel, un număr semnificativ de parohii greco-catolice au fost afectate de aceste diferențe de abordare din partea instanțelor naționale cu privire la interpretarea dreptului aplicabil, așa încât impactul lor a fost semnificativ. Această divergență de jurisprudență ar putea crea o situație de incertitudine juridică de natură a submina încrederea publicului în sistemul judiciar (</w:t>
      </w:r>
      <w:r>
        <w:rPr>
          <w:i/>
        </w:rPr>
        <w:t>Albu și alții</w:t>
      </w:r>
      <w:r>
        <w:t>, citată anterior, pct. 37-38). Mai mult decât atât, instanțele interne se puteau aștepta la un număr mare de acțiuni în justiție având în vedere că înainte de modificarea adusă prin Legea nr. 182/2005 accesul la o instanță nu fusese sigur (</w:t>
      </w:r>
      <w:r>
        <w:rPr>
          <w:i/>
        </w:rPr>
        <w:t>supra</w:t>
      </w:r>
      <w:r>
        <w:t>, pct. 119).</w:t>
      </w:r>
    </w:p>
    <w:p w:rsidR="00D7257C" w:rsidRPr="00905AF4" w:rsidRDefault="00905AF4" w:rsidP="00905AF4">
      <w:pPr>
        <w:pStyle w:val="ECHRPara"/>
      </w:pPr>
      <w:r>
        <w:t xml:space="preserve">125. Curtea mai observă că Guvernul nu contestă că această divergență de jurisprudență internă exista de o anumită perioadă de timp. Totuși, acesta a subliniat că, începând cu 2012, Înalta Curte și Curtea Constituțională și-au aliniat pozițiile și au confirmat criteriul prevăzut de art. 3 din Decretul-lege nr. 126/1990 în cadrul procedurilor având ca obiect restituirea lăcașurilor de cult. Curtea a constatat că acest lucru a avut ca rezultat, în practică, </w:t>
      </w:r>
      <w:r>
        <w:lastRenderedPageBreak/>
        <w:t>uniformizarea jurisprudenței instanțelor inferioare, așa cum reiese din exemplele de jurisprudență depuse la dosar de Guvern (</w:t>
      </w:r>
      <w:r>
        <w:rPr>
          <w:i/>
        </w:rPr>
        <w:t>supra</w:t>
      </w:r>
      <w:r>
        <w:t>, pct. 50 și 54).</w:t>
      </w:r>
    </w:p>
    <w:p w:rsidR="00E65D65" w:rsidRPr="00905AF4" w:rsidRDefault="00905AF4" w:rsidP="00905AF4">
      <w:pPr>
        <w:pStyle w:val="ECHRPara"/>
      </w:pPr>
      <w:r>
        <w:t>126. Cu toate acestea, nu este mai puțin adevărat că, în perioada 2007–2012, Înalta Curte a adoptat unele soluții diametral opuse. Curtea consideră că aceste fluctuații în interpretarea judiciară nu pot fi considerate ca fiind o evoluție a jurisprudenței, în mod firesc, inerentă sistemului judiciar (</w:t>
      </w:r>
      <w:r>
        <w:rPr>
          <w:i/>
        </w:rPr>
        <w:t>supra</w:t>
      </w:r>
      <w:r>
        <w:t>, pct. 116) din moment ce Înalta Curte a revenit asupra poziției sale și, în perioada 2011 – 2012, a pronunțat câteva decizii contradictorii.</w:t>
      </w:r>
    </w:p>
    <w:p w:rsidR="00E65D65" w:rsidRPr="00905AF4" w:rsidRDefault="00905AF4" w:rsidP="00905AF4">
      <w:pPr>
        <w:pStyle w:val="ECHRPara"/>
      </w:pPr>
      <w:r>
        <w:t>127. În cele din urmă, Curtea observă că prezenta cauză este marcată de existența incertitudinii juridice, care s-a repercutat succesiv asupra problemei accesului la o instanță și asupra dreptului material aplicabil. Nu este sarcina sa să speculeze în privința intenției legiuitorului român atunci când a adoptat dispozițiile legale aplicabile situației juridice a lăcașurilor de cult precum cel în discuție în speță. Dimpotrivă, Curtea trebuie să constate că aceeași dispoziție legală, și anume art. 3 din Decretul-lege nr. 126/1990, a dat naștere unor interpretări diferite din partea instanțelor naționale timp de mai mulți ani și, în special, până în 2012.</w:t>
      </w:r>
    </w:p>
    <w:p w:rsidR="00C943F7" w:rsidRPr="00905AF4" w:rsidRDefault="00905AF4" w:rsidP="00905AF4">
      <w:pPr>
        <w:pStyle w:val="ECHRPara"/>
      </w:pPr>
      <w:r>
        <w:t>128. Prin urmare, în prezenta cauză a existat „o divergență de jurisprudență profundă și persistentă” în sensul jurisprudenței Curții, citate anterior.</w:t>
      </w:r>
    </w:p>
    <w:p w:rsidR="0085269B" w:rsidRPr="00905AF4" w:rsidRDefault="0089222F" w:rsidP="00905AF4">
      <w:pPr>
        <w:pStyle w:val="ECHRHeading6"/>
      </w:pPr>
      <w:r>
        <w:t>β. Cu privire la existența și utilizarea unui mecanism de drept intern pentru eliminarea inconsecvențelor jurisprudențiale</w:t>
      </w:r>
    </w:p>
    <w:p w:rsidR="001C5709" w:rsidRPr="00905AF4" w:rsidRDefault="00905AF4" w:rsidP="00905AF4">
      <w:pPr>
        <w:pStyle w:val="ECHRPara"/>
      </w:pPr>
      <w:r>
        <w:t>129. Statele contractante au obligația de a-și organiza sistemul judiciar astfel încât să se evite adoptarea unor hotărâri divergente (</w:t>
      </w:r>
      <w:r>
        <w:rPr>
          <w:i/>
        </w:rPr>
        <w:t>Nejdet Șahin și Perihan Șahin</w:t>
      </w:r>
      <w:r>
        <w:t>, citată anterior, pct. 55). Această cerință se impune cu atât mai mult atunci când este vorba nu de o interpretare divergentă izolată, ci de o divergență care afectează un număr semnificativ de justițiabili.</w:t>
      </w:r>
    </w:p>
    <w:p w:rsidR="00E65D65" w:rsidRPr="00905AF4" w:rsidRDefault="00905AF4" w:rsidP="00905AF4">
      <w:pPr>
        <w:pStyle w:val="ECHRPara"/>
      </w:pPr>
      <w:r>
        <w:t xml:space="preserve">130. Curtea reamintește că s-a confruntat deja cu problema clarificării aspectului dacă sistemul judiciar românesc dispune de un mecanism apt să remedieze o divergență de jurisprudență precum cea în discuție în prezenta cauză. Astfel, în hotărârea </w:t>
      </w:r>
      <w:r>
        <w:rPr>
          <w:i/>
        </w:rPr>
        <w:t>Albu și alții împotriva României</w:t>
      </w:r>
      <w:r>
        <w:t xml:space="preserve"> (citată anterior, pct. 40) Curtea a constatat existența unui recurs în interesul legii, prevăzut la momentul respectiv de art. 329 din Codul de procedură civilă (</w:t>
      </w:r>
      <w:r>
        <w:rPr>
          <w:i/>
        </w:rPr>
        <w:t>supra</w:t>
      </w:r>
      <w:r>
        <w:t xml:space="preserve">, pct. 46). În temeiul acestei dispoziții, Înalta Curte putea fi sesizată atât de parchet, cât și de colegiile de conducere ale curților de apel cu o cerere de interpretare a dispozițiilor relevante din dreptul intern și putea să uniformizeze jurisprudența internă pronunțând o decizie interpretativă obligatorie [a se vedea, de asemenea, </w:t>
      </w:r>
      <w:r>
        <w:rPr>
          <w:i/>
        </w:rPr>
        <w:t>Zelca și alții împotriva României</w:t>
      </w:r>
      <w:r>
        <w:t xml:space="preserve"> (dec.), nr. 65161/10, pct. 14, 6 septembrie 2011; și </w:t>
      </w:r>
      <w:r>
        <w:rPr>
          <w:i/>
        </w:rPr>
        <w:t>Maria Atanasiu și alții împotriva României</w:t>
      </w:r>
      <w:r>
        <w:t xml:space="preserve">, nr. 30767/05 și 33800/06, pct. 73, 12 octombrie 2010]. În hotărârea </w:t>
      </w:r>
      <w:r>
        <w:rPr>
          <w:i/>
        </w:rPr>
        <w:t>Albu și alții</w:t>
      </w:r>
      <w:r>
        <w:t xml:space="preserve"> (citată anterior, pct. 42), Curtea a ajuns la concluzia că nu a fost încălcat art. 6 § 1 din Convenție deoarece recursul în interesul legii fusese declanșat prompt și soluționat printr-o decizie a Înaltei Curți, care a oferit indicații clare cu privire la interpretarea corectă a textului de lege.</w:t>
      </w:r>
    </w:p>
    <w:p w:rsidR="00E65D65" w:rsidRPr="00905AF4" w:rsidRDefault="00905AF4" w:rsidP="00905AF4">
      <w:pPr>
        <w:pStyle w:val="ECHRPara"/>
      </w:pPr>
      <w:r>
        <w:lastRenderedPageBreak/>
        <w:t>131. Or, în prezenta cauză, Guvernul a confirmat că autoritățile competente nu au declarat recurs în interesul legii pentru a pune rapid capăt divergenței de jurisprudență sus-menționate, deși aveau această posibilitate. Este adevărat că, așa cum arată Guvernul, sistemul judiciar românesc a reușit, în cele din urmă, să pună capăt acestei divergențe pe cale jurisprudențială.</w:t>
      </w:r>
    </w:p>
    <w:p w:rsidR="00A51E21" w:rsidRPr="00905AF4" w:rsidRDefault="00905AF4" w:rsidP="00905AF4">
      <w:pPr>
        <w:pStyle w:val="ECHRPara"/>
      </w:pPr>
      <w:r>
        <w:t xml:space="preserve">132. Cu toate acestea, astfel cum rezultă din cuprinsul pct. 124 și 128 </w:t>
      </w:r>
      <w:r>
        <w:rPr>
          <w:i/>
        </w:rPr>
        <w:t>supra</w:t>
      </w:r>
      <w:r>
        <w:t>, Curtea se află, în speță, în prezența unei incertitudini juridice generale care avea rădăcinile în jurisprudența Înaltei Curți, dar care era totodată perceptibilă în jurisprudența instanțelor inferioare, și care s-a repercutat succesiv asupra problemei accesului la o instanță și asupra problemei dreptului material aplicabil. În plus, un număr mare de justițiabili s-au confruntat cu această divergență de jurisprudență, iar instanțele naționale se puteau aștepta la un număr mare de acțiuni în justiție. În aceste împrejurări, Curtea nu poate concluziona că mecanismul cel mai adecvat pentru uniformizarea jurisprudenței a fost pusă în aplicare în mod prompt pentru a pune capăt divergenței de jurisprudență în discuție.</w:t>
      </w:r>
    </w:p>
    <w:p w:rsidR="004C05AF" w:rsidRPr="00905AF4" w:rsidRDefault="00905AF4" w:rsidP="00905AF4">
      <w:pPr>
        <w:pStyle w:val="ECHRPara"/>
      </w:pPr>
      <w:r>
        <w:t>133. Pe de altă parte, Curtea constată că autoritățile naționale nu au adoptat nicio dispoziție legală adecvată pentru a clarifica situația juridică a bunurilor în litigiu, așa cum prevedea Ordonanța de urgență a Guvernului nr. 94/2000 cu modificările din 2005, ulterior adoptării Legii nr. 182/2005 (</w:t>
      </w:r>
      <w:r>
        <w:rPr>
          <w:i/>
        </w:rPr>
        <w:t>supra</w:t>
      </w:r>
      <w:r>
        <w:t>, pct. 38). În cazul în care, pentru legiuitor, legea specială trebuia să fie Decretul-lege nr. 126/1990, acesta ar fi putut face această precizare, din motive de claritate, cu ocazia modificării și completării Ordonanței de urgență nr. 94/2000.</w:t>
      </w:r>
    </w:p>
    <w:p w:rsidR="00366A21" w:rsidRPr="00905AF4" w:rsidRDefault="003B4AA5" w:rsidP="00905AF4">
      <w:pPr>
        <w:pStyle w:val="ECHRHeading6"/>
      </w:pPr>
      <w:r>
        <w:t>γ. Concluzie</w:t>
      </w:r>
    </w:p>
    <w:p w:rsidR="00C07F2A" w:rsidRPr="00905AF4" w:rsidRDefault="00905AF4" w:rsidP="00905AF4">
      <w:pPr>
        <w:pStyle w:val="ECHRPara"/>
      </w:pPr>
      <w:bookmarkStart w:id="9" w:name="P142"/>
      <w:r>
        <w:t>134</w:t>
      </w:r>
      <w:bookmarkEnd w:id="9"/>
      <w:r>
        <w:t>. Curtea constată că incertitudinea jurisprudențială în cadrul căreia a fost examinată acțiunea introdusă de reclamanți, la care se adaugă, în speță, lipsa utilizării prompte a mecanismului prevăzut de dreptul intern pentru a asigura concordanța practicilor în cadrul celei mai înalte instanțe din țară, a încălcat principiul securității juridice, iar acest lucru a avut ca efect lipsirea reclamanților de un proces echitabil.</w:t>
      </w:r>
    </w:p>
    <w:p w:rsidR="00E1146B" w:rsidRPr="00905AF4" w:rsidRDefault="00905AF4" w:rsidP="00905AF4">
      <w:pPr>
        <w:pStyle w:val="ECHRPara"/>
      </w:pPr>
      <w:r>
        <w:t>135. Prin urmare, a fost încălcat art. 6 § 1 din Convenție ca urmare a nerespectării principiului securității juridice.</w:t>
      </w:r>
    </w:p>
    <w:p w:rsidR="00E75266" w:rsidRPr="00905AF4" w:rsidRDefault="005322C6" w:rsidP="00905AF4">
      <w:pPr>
        <w:pStyle w:val="ECHRHeading3"/>
      </w:pPr>
      <w:r>
        <w:t>3. Cu privire la dreptul la un proces echitabil într-un termen rezonabil</w:t>
      </w:r>
    </w:p>
    <w:p w:rsidR="00E75266" w:rsidRPr="00905AF4" w:rsidRDefault="005322C6" w:rsidP="00905AF4">
      <w:pPr>
        <w:pStyle w:val="ECHRHeading4"/>
      </w:pPr>
      <w:r>
        <w:t>a) Hotărârea Camerei</w:t>
      </w:r>
    </w:p>
    <w:p w:rsidR="0046669B" w:rsidRPr="00905AF4" w:rsidRDefault="00905AF4" w:rsidP="00905AF4">
      <w:pPr>
        <w:pStyle w:val="ECHRPara"/>
      </w:pPr>
      <w:r>
        <w:t xml:space="preserve">136. În hotărârea sa, Camera a apreciat că, pentru episcopia reclamantă, perioada relevantă a început să curgă la 23 mai 2001 și s-a încheiat la 15 iunie 2011, însumând aproximativ 10 ani și 3 săptămâni pentru parcurgerea a trei grade de jurisdicție. În ceea ce privește perioada de luat în considerare pentru ceilalți doi reclamanți, Camera a reținut că, deși aceștia sunt menționați în cererea introductivă de instanță, părțile nu au precizat dacă cei doi reclamanți </w:t>
      </w:r>
      <w:r>
        <w:lastRenderedPageBreak/>
        <w:t>aveau sau nu calitate procesuală în cadrul primului proces. Prin urmare, aceasta a decis să considere că începutul procesului în cazul celor doi reclamanți este data la care cauza a fost repusă pe rolul tribunalului în 2006 (</w:t>
      </w:r>
      <w:r>
        <w:rPr>
          <w:i/>
        </w:rPr>
        <w:t>supra</w:t>
      </w:r>
      <w:r>
        <w:t>, pct. 22).</w:t>
      </w:r>
    </w:p>
    <w:p w:rsidR="00E65D65" w:rsidRPr="00905AF4" w:rsidRDefault="00905AF4" w:rsidP="00905AF4">
      <w:pPr>
        <w:pStyle w:val="ECHRPara"/>
      </w:pPr>
      <w:r>
        <w:t>137. Camera a mai considerat că reclamanților nu li se putea imputa nicio întârziere în cadrul procesului. Aceasta a reținut că procedura a fost suspendată de mai multe ori pentru a permite părților să utilizeze procedura prealabilă prevăzută de lege, că în primii ani instanțele naționale au constatat că nu aveau competența soluționării cauzei și că o decizie a fost anulată pentru viciu de formă. Prin urmare, aceasta a concluzionat că prelungirea procedurii a fost imputabilă în principal autorităților naționale.</w:t>
      </w:r>
    </w:p>
    <w:p w:rsidR="000B1F77" w:rsidRPr="00905AF4" w:rsidRDefault="00905AF4" w:rsidP="00905AF4">
      <w:pPr>
        <w:pStyle w:val="ECHRPara"/>
      </w:pPr>
      <w:r>
        <w:t>138. Camera a luat în considerare faptul că toți reclamanții au fost menționați în cererea introductivă de instanță și că, după ce parohia reclamantă și protopopiatul reclamant au fost introduși în procedură, aceasta a durat 3 ani până la pronunțarea unei prime hotărâri pe fondul cauzei și alți aproximativ 2 ani până la adoptarea unei hotărâri definitive. Camera a constatat așadar că a fost încălcat art. 6 § 1 din Convenție ca urmare a duratei procedurii în privința celor trei reclamanți.</w:t>
      </w:r>
    </w:p>
    <w:p w:rsidR="00E75266" w:rsidRPr="00905AF4" w:rsidRDefault="00545101" w:rsidP="00905AF4">
      <w:pPr>
        <w:pStyle w:val="ECHRHeading4"/>
      </w:pPr>
      <w:r>
        <w:t>b) Observațiile părților în fața Marii Camere</w:t>
      </w:r>
    </w:p>
    <w:p w:rsidR="00E75266" w:rsidRPr="00905AF4" w:rsidRDefault="00545101" w:rsidP="00905AF4">
      <w:pPr>
        <w:pStyle w:val="ECHRHeading5"/>
      </w:pPr>
      <w:r>
        <w:t>i. Reclamanții</w:t>
      </w:r>
    </w:p>
    <w:p w:rsidR="00E65D65" w:rsidRPr="00905AF4" w:rsidRDefault="00905AF4" w:rsidP="00905AF4">
      <w:pPr>
        <w:pStyle w:val="ECHRPara"/>
        <w:rPr>
          <w:rFonts w:eastAsiaTheme="majorEastAsia"/>
        </w:rPr>
      </w:pPr>
      <w:r>
        <w:rPr>
          <w:rStyle w:val="ECHRParaChar"/>
        </w:rPr>
        <w:t xml:space="preserve">139. Cei trei reclamanți susțin că durata procedurii este de circa 10 ani și o lună. Aceștia precizează că episcopia reclamantă, în calitate de administrator al patrimoniului bisericii, și ceilalți doi reclamanți au fost părți în același proces începând din data de 23 mai 2001. </w:t>
      </w:r>
      <w:r>
        <w:t>Aceștia atrag atenția asupra faptului că diferitele decizii ale instanțelor interne de la acea vreme menționau uneori „reclamanta”, iar alteori „reclamanții”. Aceștia precizează că, după trimiterea cauzei spre rejudecare pe fond, au solicitat instanței să clarifice statutul juridic al fiecăruia în parte și au fost cu toții recunoscuți în mod clar ca părți în proces.</w:t>
      </w:r>
    </w:p>
    <w:p w:rsidR="00E65D65" w:rsidRPr="00905AF4" w:rsidRDefault="00905AF4" w:rsidP="00905AF4">
      <w:pPr>
        <w:pStyle w:val="ECHRPara"/>
        <w:rPr>
          <w:rFonts w:eastAsiaTheme="majorEastAsia"/>
        </w:rPr>
      </w:pPr>
      <w:r>
        <w:t>140. Reclamanții susțin că durata procedurii a fost excesivă în condițiile în care cauza nu a fost deosebit de complexă și că durata nu le putea fi imputată.</w:t>
      </w:r>
    </w:p>
    <w:p w:rsidR="00E75266" w:rsidRPr="00905AF4" w:rsidRDefault="00545101" w:rsidP="00905AF4">
      <w:pPr>
        <w:pStyle w:val="ECHRHeading5"/>
      </w:pPr>
      <w:r>
        <w:t>ii. Guvernul</w:t>
      </w:r>
    </w:p>
    <w:p w:rsidR="00555297" w:rsidRPr="00905AF4" w:rsidRDefault="00905AF4" w:rsidP="00905AF4">
      <w:pPr>
        <w:pStyle w:val="ECHRPara"/>
      </w:pPr>
      <w:r>
        <w:t>141. Guvernul susține că doar episcopia reclamantă a fost parte în proces în temeiul actului de sesizare a instanței inițial, ceilalți doi reclamanți alăturându-se procedurii abia în 2006. Acesta amintește că judecarea cauzei a fost suspendată în perioada 22 februarie 2002 - 23 martie 2003 la cererea episcopiei reclamante. Guvernul mai susține că prezenta cauză era deosebit de complexă, că autoritățile judiciare au examinat-o cu atenție și că eventualele întârzieri în soluționarea ei nu pot fi imputate acestora.</w:t>
      </w:r>
    </w:p>
    <w:p w:rsidR="00E75266" w:rsidRPr="00905AF4" w:rsidRDefault="00AC1EE2" w:rsidP="00905AF4">
      <w:pPr>
        <w:pStyle w:val="ECHRHeading4"/>
      </w:pPr>
      <w:r>
        <w:lastRenderedPageBreak/>
        <w:t>c) Motivarea Curții</w:t>
      </w:r>
    </w:p>
    <w:p w:rsidR="00E75266" w:rsidRPr="00905AF4" w:rsidRDefault="00AC1EE2" w:rsidP="00905AF4">
      <w:pPr>
        <w:pStyle w:val="ECHRHeading5"/>
      </w:pPr>
      <w:r>
        <w:t>i. Principii generale</w:t>
      </w:r>
    </w:p>
    <w:p w:rsidR="005A117A" w:rsidRPr="00905AF4" w:rsidRDefault="00905AF4" w:rsidP="00905AF4">
      <w:pPr>
        <w:pStyle w:val="ECHRPara"/>
        <w:rPr>
          <w:i/>
          <w:szCs w:val="24"/>
        </w:rPr>
      </w:pPr>
      <w:r>
        <w:t>142. Statele contractante trebuie să organizeze propriul sistem judiciar astfel încât instanțele acestora să poată garanta fiecărei persoane dreptul de a obține o hotărâre definitivă privind încălcările referitoare la drepturile și obligațiile sale cu caracter civil într-un termen rezonabil [</w:t>
      </w:r>
      <w:r>
        <w:rPr>
          <w:i/>
        </w:rPr>
        <w:t>Comingersoll S.A. împotriva Portugaliei</w:t>
      </w:r>
      <w:r>
        <w:t xml:space="preserve"> (MC), nr. 35382/97, pct. 24, CEDO 2000-IV; și </w:t>
      </w:r>
      <w:r>
        <w:rPr>
          <w:i/>
        </w:rPr>
        <w:t>Vassilios Athanasiou și alții împotriva Greciei</w:t>
      </w:r>
      <w:r>
        <w:t>, nr. 50973/08, pct. 26, 21 decembrie 2010].</w:t>
      </w:r>
    </w:p>
    <w:p w:rsidR="00A055CC" w:rsidRPr="00905AF4" w:rsidRDefault="00905AF4" w:rsidP="00905AF4">
      <w:pPr>
        <w:pStyle w:val="ECHRPara"/>
        <w:rPr>
          <w:i/>
          <w:szCs w:val="24"/>
        </w:rPr>
      </w:pPr>
      <w:r>
        <w:t>143. Pentru aprecierea caracterului rezonabil al duratei unei proceduri, se ține seama de circumstanțele cauzei și, în baza criteriilor consacrate în jurisprudența sa, în special de complexitatea cauzei, comportamentul reclamantului și cel al autorităților competente, precum și importanța litigiului pentru persoanele în cauză [</w:t>
      </w:r>
      <w:r>
        <w:rPr>
          <w:i/>
        </w:rPr>
        <w:t>Sürmeli împotriva Germaniei</w:t>
      </w:r>
      <w:r>
        <w:t xml:space="preserve"> (MC), nr. 75529/01, pct. 128, CEDO 2006-VII].</w:t>
      </w:r>
    </w:p>
    <w:p w:rsidR="00E75266" w:rsidRPr="00905AF4" w:rsidRDefault="00AC1EE2" w:rsidP="00905AF4">
      <w:pPr>
        <w:pStyle w:val="ECHRHeading5"/>
      </w:pPr>
      <w:r>
        <w:t>ii. Aplicare în prezenta cauză</w:t>
      </w:r>
    </w:p>
    <w:p w:rsidR="006B35E3" w:rsidRPr="00905AF4" w:rsidRDefault="00AC1EE2" w:rsidP="00905AF4">
      <w:pPr>
        <w:pStyle w:val="ECHRHeading6"/>
      </w:pPr>
      <w:r>
        <w:t>α. Cu privire la perioada care trebuie luată în considerare</w:t>
      </w:r>
    </w:p>
    <w:p w:rsidR="00CA434E" w:rsidRPr="00905AF4" w:rsidRDefault="00905AF4" w:rsidP="00905AF4">
      <w:pPr>
        <w:pStyle w:val="ECHRPara"/>
      </w:pPr>
      <w:r>
        <w:t>144. Curtea constată că, în privința episcopiei reclamante, nu se contestă că perioada ce trebuie luată în considerare a fost de 10 ani și 3 săptămâni aproximativ, pentru parcurgerea a trei grade de jurisdicție.</w:t>
      </w:r>
    </w:p>
    <w:p w:rsidR="00CB0C89" w:rsidRPr="00905AF4" w:rsidRDefault="00905AF4" w:rsidP="00905AF4">
      <w:pPr>
        <w:pStyle w:val="ECHRPara"/>
      </w:pPr>
      <w:r>
        <w:t>145. Parohia reclamantă și protopopiatul reclamant au fost menționați în actul de sesizare a instanței în calitate de reprezentanți ai episcopiei reclamante. De asemenea, din dosar rezultă că parohia reclamantă a fost foarte activă în cadrul procesului și, împreună cu episcopia reclamantă, a efectuat o serie de acte de procedură (</w:t>
      </w:r>
      <w:r>
        <w:rPr>
          <w:i/>
        </w:rPr>
        <w:t>supra</w:t>
      </w:r>
      <w:r>
        <w:t>, pct. 20). Cu toate acestea, nu rezultă clar nici din dosar, nici din deciziile instanțelor naționale că parohia reclamantă a fost considerată parte ca atare în proces înainte de 2006, an în care instanțele naționale au menționat-o ca fiind în mod oficial, împreună cu protopopiatul reclamant, parte în proces. Prin urmare, Curtea consideră că perioada care trebuie luată în considerare pentru acești doi reclamanți este de aproximativ 5 ani pentru parcurgerea a trei grade de jurisdicție.</w:t>
      </w:r>
    </w:p>
    <w:p w:rsidR="00E44A83" w:rsidRPr="00905AF4" w:rsidRDefault="00AC1EE2" w:rsidP="00905AF4">
      <w:pPr>
        <w:pStyle w:val="ECHRHeading6"/>
      </w:pPr>
      <w:r>
        <w:t>β. Cu privire la caracterul rezonabil al duratei procedurii</w:t>
      </w:r>
    </w:p>
    <w:p w:rsidR="00E65D65" w:rsidRPr="00905AF4" w:rsidRDefault="00905AF4" w:rsidP="00905AF4">
      <w:pPr>
        <w:pStyle w:val="ECHRPara"/>
      </w:pPr>
      <w:r>
        <w:t>146. Curtea observă pentru început că, în prezenta cauză, reclamanților nu li se poate imputa nicio întârziere în procedură, suspendarea la care se referă Guvernul având ca obiect o încercare de soluționare amiabilă a cauzei (</w:t>
      </w:r>
      <w:r>
        <w:rPr>
          <w:i/>
        </w:rPr>
        <w:t>supra</w:t>
      </w:r>
      <w:r>
        <w:t>, pct. 20). Pe de altă parte, reclamanții au descris bine importanța cauzei pentru ei.</w:t>
      </w:r>
    </w:p>
    <w:p w:rsidR="007D2731" w:rsidRPr="00905AF4" w:rsidRDefault="00905AF4" w:rsidP="00905AF4">
      <w:pPr>
        <w:pStyle w:val="ECHRPara"/>
      </w:pPr>
      <w:r>
        <w:t xml:space="preserve">147. În ceea ce privește durata ceva mai mare de 10 ani, Curtea reține că procedura a fost suspendată în mai multe rânduri pentru ca părțile să poată iniția procedura în fața comisiei mixte, în timp ce poziția pârâtului (de a </w:t>
      </w:r>
      <w:r>
        <w:lastRenderedPageBreak/>
        <w:t>refuza restituirea lăcașului de cult) a fost cunoscută de la începutul procedurii, această parte nedând niciun semn al unei schimbări de atitudine. Durata procedurii se explică și prin casările și trimiterile succesive pronunțate în dosarul cauzei (</w:t>
      </w:r>
      <w:r>
        <w:rPr>
          <w:i/>
        </w:rPr>
        <w:t>supra</w:t>
      </w:r>
      <w:r>
        <w:t>, pct. 18-25). În această privință, Curtea reamintește că, deși nu are competența de a analiza modul în care instanțele interne au interpretat și aplicat dreptul intern, consideră totuși că respectivele casări cu trimitere se datorează în general unor erori comise de instanțele inferioare și că repetarea acestor casări denotă o deficiență în funcționarea sistemului judiciar (</w:t>
      </w:r>
      <w:r>
        <w:rPr>
          <w:i/>
        </w:rPr>
        <w:t>Parohia Greco-Catolică Sfântul Vasile Polonă</w:t>
      </w:r>
      <w:r>
        <w:t>, citată anterior, pct. 74).</w:t>
      </w:r>
    </w:p>
    <w:p w:rsidR="00E22638" w:rsidRPr="00905AF4" w:rsidRDefault="00905AF4" w:rsidP="00905AF4">
      <w:pPr>
        <w:pStyle w:val="ECHRPara"/>
      </w:pPr>
      <w:r>
        <w:t>148. În ceea ce privește perioada de 5 ani pentru parohia reclamantă și protopopiatul reclamant, Curtea reține totodată că, deși tribunalul a fost sesizat deja pe fondul cauzei, părțile au fost din nou invitate să urmeze procedura în fața comisiei mixte, ceea ce au și făcut dar fără succes (</w:t>
      </w:r>
      <w:r>
        <w:rPr>
          <w:i/>
        </w:rPr>
        <w:t>supra</w:t>
      </w:r>
      <w:r>
        <w:t>, pct. 23). Prin urmare, o primă hotărâre a fost anulată pentru viciu de formă (</w:t>
      </w:r>
      <w:r>
        <w:rPr>
          <w:i/>
        </w:rPr>
        <w:t>supra</w:t>
      </w:r>
      <w:r>
        <w:t>, pct. 25).</w:t>
      </w:r>
    </w:p>
    <w:p w:rsidR="00A4372A" w:rsidRPr="00905AF4" w:rsidRDefault="00905AF4" w:rsidP="00905AF4">
      <w:pPr>
        <w:pStyle w:val="ECHRPara"/>
      </w:pPr>
      <w:r>
        <w:t>149. Deși este adevărat că pentru parohia reclamantă și protopopiatul reclamant procedura a durat mai puțin timp decât pentru episcopia reclamantă, Curtea nu poate să nu constate că, atunci când acești doi reclamanți au fost introduși oficial în proces în calitate de părți, cauza era deja pendinte de 5 ani în fața instanțelor naționale, iar parohia reclamantă participa activ la desfășurarea procesului începând din 2002 cel puțin. Pe de altă parte, Curtea observă că procedura avea ca obiect apărarea interesului comun al reclamanților.</w:t>
      </w:r>
    </w:p>
    <w:p w:rsidR="00F647F8" w:rsidRPr="00905AF4" w:rsidRDefault="00905AF4" w:rsidP="00905AF4">
      <w:pPr>
        <w:pStyle w:val="ECHRPara"/>
      </w:pPr>
      <w:r>
        <w:t>150. Deși cauza în sine nu a fost deosebit de complexă, examinarea ei a fost îngreunată de lipsa de claritate și de previzibilitate a legii aplicabile (</w:t>
      </w:r>
      <w:r>
        <w:rPr>
          <w:i/>
        </w:rPr>
        <w:t>supra</w:t>
      </w:r>
      <w:r>
        <w:t>, pct. 121), deficiențe care sunt în întregime imputabile autorităților naționale și care, în opinia Curții, au contribuit în mod decisiv la prelungirea duratei procedurii.</w:t>
      </w:r>
    </w:p>
    <w:p w:rsidR="00A4372A" w:rsidRPr="00905AF4" w:rsidRDefault="00905AF4" w:rsidP="00905AF4">
      <w:pPr>
        <w:pStyle w:val="ECHRPara"/>
      </w:pPr>
      <w:r>
        <w:t>151. Având în vedere toate elementele ce i-au fost prezentate, Curtea concluzionează că judecarea cauzei reclamanților nu s-a realizat într-un termen rezonabil.</w:t>
      </w:r>
    </w:p>
    <w:p w:rsidR="00CA1AE4" w:rsidRPr="00905AF4" w:rsidRDefault="00905AF4" w:rsidP="00905AF4">
      <w:pPr>
        <w:pStyle w:val="ECHRPara"/>
      </w:pPr>
      <w:r>
        <w:t>152. Prin urmare, a fost încălcat art. 6 § 1 din Convenție ca urmare a duratei procedurii.</w:t>
      </w:r>
    </w:p>
    <w:p w:rsidR="00E77CB3" w:rsidRPr="00905AF4" w:rsidRDefault="001B661C" w:rsidP="00905AF4">
      <w:pPr>
        <w:pStyle w:val="ECHRHeading1"/>
      </w:pPr>
      <w:r>
        <w:t>III. CU PRIVIRE LA PRETINSA ÎNCĂLCARE A ART. 14 DIN CONVENȚIE COROBORAT CU ART. 6 § 1</w:t>
      </w:r>
    </w:p>
    <w:p w:rsidR="003E6BD8" w:rsidRPr="00905AF4" w:rsidRDefault="00905AF4" w:rsidP="00905AF4">
      <w:pPr>
        <w:pStyle w:val="ECHRPara"/>
      </w:pPr>
      <w:r>
        <w:t>153. Reclamanții susțin că au suferit o discriminare în ceea ce privește exercitarea dreptului lor de acces la o instanță, garantat de art. 6 § 1 din Convenție, discriminare bazată pe apartenența lor la un cult minoritar în țară. Aceștia invocă art. 14 din Convenție, redactat după cum urmează:</w:t>
      </w:r>
    </w:p>
    <w:p w:rsidR="003E6BD8" w:rsidRPr="00905AF4" w:rsidRDefault="00CF3002" w:rsidP="00905AF4">
      <w:pPr>
        <w:pStyle w:val="ECHRParaQuote"/>
      </w:pPr>
      <w:r>
        <w:t xml:space="preserve">„Exercitarea drepturilor și libertăților recunoscute de [...] convenție trebuie să fie asigurată fără nicio deosebire bazată, în special, pe sex, rasă, culoare, limbă, religie, </w:t>
      </w:r>
      <w:r>
        <w:lastRenderedPageBreak/>
        <w:t>opinii politice sau orice alte opinii, origine națională sau socială, apartenență la o minoritate națională, avere, naștere sau orice altă situație.”</w:t>
      </w:r>
    </w:p>
    <w:p w:rsidR="00F12D93" w:rsidRPr="00905AF4" w:rsidRDefault="00F12D93" w:rsidP="00905AF4">
      <w:pPr>
        <w:pStyle w:val="ECHRHeading3"/>
      </w:pPr>
      <w:r>
        <w:t>1. Hotărârea Camerei</w:t>
      </w:r>
    </w:p>
    <w:p w:rsidR="007A4E68" w:rsidRPr="00905AF4" w:rsidRDefault="00905AF4" w:rsidP="00905AF4">
      <w:pPr>
        <w:pStyle w:val="ECHRPara"/>
      </w:pPr>
      <w:r>
        <w:t>154. În hotărârea sa, Camera a arătat că din textul art. 3 din Decretul-lege nr. 126/1990 nu reieșea nicio diferență de tratament bazată pe religie. Analizând aspectele istorice și sociale, aceasta a reținut că, în prezent, la modul general, în cazurile în care trebuie aplicat Decretul-lege nr. 126/1990, lăcașurile de cult revendicate sunt deținute de entități aparținând Bisericii Ortodoxe, Biserica Greco-Catolică fiind mereu în situația de a solicita restituirea lor. Aceasta a considerat că, în acest context, întrucât „dorința credincioșilor din comunitățile care dețin aceste bunuri” a fost aleasă drept criteriu pentru stabilirea situației juridice a bunului în litigiu, art. 3 din Decretul-lege nr. 126/1990 ar putea fi interpretat ca și când ar crea o poziție privilegiată pentru pârâtă, în detrimentul reclamanților. Pe baza acestei constatări, s-a concluzionat că a existat o diferență de tratament între cele două grupări, Biserica Greco-Catolică și Biserica Ortodoxă, care, în pretențiile lor privind proprietatea asupra lăcașului de cult în litigiu, se află într-o situație similară.</w:t>
      </w:r>
    </w:p>
    <w:p w:rsidR="00AB55F9" w:rsidRPr="00905AF4" w:rsidRDefault="00905AF4" w:rsidP="00905AF4">
      <w:pPr>
        <w:pStyle w:val="ECHRPara"/>
      </w:pPr>
      <w:r>
        <w:t>155. Camera a examinat apoi dacă această diferență de tratament bazată, ipotetic, pe religie a avut o justificare obiectivă și rezonabilă. În această privință, s-a reținut mai întâi că criteriul dorinței credincioșilor a fost conceput pentru a ține seama de istoria și de natura religioasă a bunurilor în litigiu și că textul în cauză avea scopul de a proteja libertatea celor forțați în timpul regimului totalitar să renunțe la religia greco-catolică de a-și manifesta dorința privind religia de urmat, păstrând totodată posibilitatea folosirii lăcașului de cult pe care l-au construit.</w:t>
      </w:r>
    </w:p>
    <w:p w:rsidR="00E65D65" w:rsidRPr="00905AF4" w:rsidRDefault="00905AF4" w:rsidP="00905AF4">
      <w:pPr>
        <w:pStyle w:val="ECHRPara"/>
      </w:pPr>
      <w:r>
        <w:t>156. De asemenea, Camera a acordat importanță faptului că, aplicând criteriul „dorinței credincioșilor din comunitățile care dețin aceste bunuri”, instanțele române nu s-au limitat să constate refuzul pârâtei de a restitui biserica, ci au făcut o examinare echilibrată a intereselor în litigiu. În plus, aceasta a observat că, sesizată cu privire la excepții de neconstituționalitate asupra criteriului în litigiu, Curtea Constituțională a prezentat motivele legate de necesitatea protejării libertății cultelor și a libertății celorlalți, integrându-le totodată în contextul istoric al cauzei.</w:t>
      </w:r>
    </w:p>
    <w:p w:rsidR="00AB55F9" w:rsidRPr="00905AF4" w:rsidRDefault="00905AF4" w:rsidP="00905AF4">
      <w:pPr>
        <w:pStyle w:val="ECHRPara"/>
      </w:pPr>
      <w:r>
        <w:t>157. Camera a concluzionat că, ținând seama de obiectivul urmărit și de justificările rezonabile ale acestuia, adoptarea de către legiuitorul național a criteriului în litigiu nu a fost contrară art. 14 din Convenție.</w:t>
      </w:r>
    </w:p>
    <w:p w:rsidR="00F12D93" w:rsidRPr="00905AF4" w:rsidRDefault="00F12D93" w:rsidP="00905AF4">
      <w:pPr>
        <w:pStyle w:val="ECHRHeading3"/>
      </w:pPr>
      <w:r>
        <w:t>2. Observațiile părților în fața Marii Camere</w:t>
      </w:r>
    </w:p>
    <w:p w:rsidR="00F12D93" w:rsidRPr="00905AF4" w:rsidRDefault="00F12D93" w:rsidP="00905AF4">
      <w:pPr>
        <w:pStyle w:val="ECHRHeading4"/>
      </w:pPr>
      <w:r>
        <w:t>a) Reclamanții</w:t>
      </w:r>
    </w:p>
    <w:p w:rsidR="00E65D65" w:rsidRPr="00905AF4" w:rsidRDefault="00905AF4" w:rsidP="00905AF4">
      <w:pPr>
        <w:pStyle w:val="ECHRPara"/>
      </w:pPr>
      <w:r>
        <w:t xml:space="preserve">158. Reclamanții consideră că au fost discriminați în comparație cu alte parohii greco-catolice confruntate cu aceeași situație ca și ei, alte instanțe </w:t>
      </w:r>
      <w:r>
        <w:lastRenderedPageBreak/>
        <w:t>interne soluționând acțiunile în revendicare introduse de alte parohii greco-catolice prin aplicarea normelor de drept comun fără a lua în considerare dorința credincioșilor.</w:t>
      </w:r>
    </w:p>
    <w:p w:rsidR="00F12D93" w:rsidRPr="00905AF4" w:rsidRDefault="00905AF4" w:rsidP="00905AF4">
      <w:pPr>
        <w:pStyle w:val="ECHRPara"/>
      </w:pPr>
      <w:r>
        <w:t xml:space="preserve">159. Aceștia invocă de asemenea o discriminare suferită în raport cu parohia ortodoxă. Această discriminare este considerată inerentă dispozițiilor Decretului-lege nr. 126/1990: deși textul pare </w:t>
      </w:r>
      <w:r>
        <w:rPr>
          <w:i/>
        </w:rPr>
        <w:t>a priori</w:t>
      </w:r>
      <w:r>
        <w:t xml:space="preserve"> să fie aplicabil în același mod ambelor părți în litigiu, în practică, acesta ar fi favorabil părții ortodoxe. Reclamanții precizează în această privință că, deși au fost reconstituite după 1989, parohiile greco-catolice nu aveau lăcașuri de cult, acestea din urmă fiind deținute de către ortodocși.</w:t>
      </w:r>
    </w:p>
    <w:p w:rsidR="00F12D93" w:rsidRPr="00905AF4" w:rsidRDefault="00F12D93" w:rsidP="00905AF4">
      <w:pPr>
        <w:pStyle w:val="ECHRHeading4"/>
      </w:pPr>
      <w:r>
        <w:t>b) Guvernul</w:t>
      </w:r>
    </w:p>
    <w:p w:rsidR="00312A7E" w:rsidRPr="00905AF4" w:rsidRDefault="00905AF4" w:rsidP="00905AF4">
      <w:pPr>
        <w:pStyle w:val="ECHRPara"/>
      </w:pPr>
      <w:r>
        <w:t>160. În ceea ce privește un eventual tratament diferit în raport cu alte parohii greco-catolice ale căror acțiuni în revendicare au fost soluționate în temeiul dreptului comun, Guvernul susține că hotărârile în cauză au fost pronunțate în intervalul de timp necesar sistemului juridic intern pentru a clarifica conținutul noțiunii de „drept comun” prevăzute de Legea nr. 182/2005.</w:t>
      </w:r>
    </w:p>
    <w:p w:rsidR="005F7FC4" w:rsidRPr="00905AF4" w:rsidRDefault="00905AF4" w:rsidP="00905AF4">
      <w:pPr>
        <w:pStyle w:val="ECHRPara"/>
      </w:pPr>
      <w:r>
        <w:t>161. În ceea ce privește afirmațiile privind diferența de tratament în raport cu partea ortodoxă în cadrul litigiului, Guvernul susține că reclamanții nu au fost puși în speță într-o situație de dezavantaj din cauza religiei lor. Acesta reamintește că criteriul dorinței credincioșilor prevăzut în Decretul-lege nr. 126/1990 nu a fost adoptat și nici aplicat în practică pentru a favoriza o anumită comunitate religioasă, ci pentru a permite credincioșilor să decidă modul de folosire a bunului pe care l-au construit și care le era destinat, prin stabilirea unei situații care să nu creeze nedreptăți mai grave decât cele pe care încerca să le remedieze.</w:t>
      </w:r>
    </w:p>
    <w:p w:rsidR="00F12D93" w:rsidRPr="00905AF4" w:rsidRDefault="00F12D93" w:rsidP="00905AF4">
      <w:pPr>
        <w:pStyle w:val="ECHRHeading3"/>
      </w:pPr>
      <w:r>
        <w:t>3. Motivarea Curții</w:t>
      </w:r>
    </w:p>
    <w:p w:rsidR="00F12D93" w:rsidRPr="00905AF4" w:rsidRDefault="00F12D93" w:rsidP="00905AF4">
      <w:pPr>
        <w:pStyle w:val="ECHRHeading4"/>
      </w:pPr>
      <w:r>
        <w:t>a) Principii generale</w:t>
      </w:r>
    </w:p>
    <w:p w:rsidR="001F1C5B" w:rsidRPr="00905AF4" w:rsidRDefault="00905AF4" w:rsidP="00905AF4">
      <w:pPr>
        <w:pStyle w:val="ECHRPara"/>
        <w:rPr>
          <w:i/>
        </w:rPr>
      </w:pPr>
      <w:bookmarkStart w:id="10" w:name="P162"/>
      <w:r>
        <w:t>162</w:t>
      </w:r>
      <w:bookmarkEnd w:id="10"/>
      <w:r>
        <w:t>. Curtea reamintește că art. 14 din Convenție completează celelalte prevederi normative ale Convenției și ale protocoalelor la aceasta. Acesta nu are o existență de sine stătătoare deoarece este valabil doar pentru „exercitarea drepturilor și libertăților” pe care acestea le garantează. Aplicarea art. 14 nu implică în mod necesar încălcarea unuia dintre drepturile materiale garantate de Convenție. Interzicerea discriminării pe care acesta o consacră depășește așadar exercitarea drepturilor și libertăților pe care fiecare stat este obligat să le garanteze în temeiul Convenției și protocoalelor la aceasta. Aceasta se aplică și drepturilor adiționale în măsura în care acestea țin de domeniul de aplicare general a oricărui articol din Convenție, pe care statul a decis din proprie inițiativă să le protejeze. Este necesar, și este suficient, ca faptele cauzei să intre cel puțin „sub incidența” unuia dintre articolele din Convenție [</w:t>
      </w:r>
      <w:r>
        <w:rPr>
          <w:i/>
        </w:rPr>
        <w:t>Biao împotriva Danemarcei</w:t>
      </w:r>
      <w:r>
        <w:t xml:space="preserve"> (MC), nr. 38590/10, </w:t>
      </w:r>
      <w:r>
        <w:lastRenderedPageBreak/>
        <w:t xml:space="preserve">pct. 88, 24 mai 2016; a se vedea, de asemenea, </w:t>
      </w:r>
      <w:r>
        <w:rPr>
          <w:i/>
        </w:rPr>
        <w:t>Stec și alții împotriva Regatului Unit</w:t>
      </w:r>
      <w:r>
        <w:t xml:space="preserve"> (dec.) (MC), nr. 65731/01 și 65900/01, pct. 39-40, CEDO 2005-X; </w:t>
      </w:r>
      <w:r>
        <w:rPr>
          <w:i/>
        </w:rPr>
        <w:t>E.B. împotriva Franței</w:t>
      </w:r>
      <w:r>
        <w:t xml:space="preserve"> (MC), nr. 43546/02, pct. 47-48, 22 ianuarie 2008; și </w:t>
      </w:r>
      <w:r>
        <w:rPr>
          <w:i/>
        </w:rPr>
        <w:t>Vallianatos și alții împotriva Greciei</w:t>
      </w:r>
      <w:r>
        <w:t xml:space="preserve"> (MC), nr. 29381/09 și 32684/09, pct. 72, CEDO 2013].</w:t>
      </w:r>
    </w:p>
    <w:p w:rsidR="007C31DA" w:rsidRPr="00905AF4" w:rsidRDefault="00905AF4" w:rsidP="00905AF4">
      <w:pPr>
        <w:pStyle w:val="ECHRPara"/>
      </w:pPr>
      <w:r>
        <w:t>163. Conform jurisprudenței consacrate a Curții, doar diferențele de tratament bazate pe o caracteristică identificabilă („situație”) pot fi considerate discriminatorii în sensul art. 14. În plus, pentru ca o problemă să se ridice în legătură cu această dispoziție, trebuie să existe o diferență în tratamentul persoanelor aflate în situații similare sau comparabile. Art. 14 enumeră elementele exacte care constituie o „situație”, ca de exemplu rasa, originea națională sau socială și nașterea. Cu toate acestea, lista menționată în această dispoziție are caracter indicativ și nu este limitativă, după cum reiese din adverbul „în special” („</w:t>
      </w:r>
      <w:r>
        <w:rPr>
          <w:i/>
        </w:rPr>
        <w:t>any ground such as</w:t>
      </w:r>
      <w:r>
        <w:t>” în versiunea în limba engleză, „</w:t>
      </w:r>
      <w:r>
        <w:rPr>
          <w:i/>
        </w:rPr>
        <w:t>notamment</w:t>
      </w:r>
      <w:r>
        <w:t>” în versiunea în limba franceză), precum și din prezența în această listă a sintagmei „orice altă situație” („</w:t>
      </w:r>
      <w:r>
        <w:rPr>
          <w:i/>
        </w:rPr>
        <w:t>any other status</w:t>
      </w:r>
      <w:r>
        <w:t>” în versiunea în limba engleză, „</w:t>
      </w:r>
      <w:r>
        <w:rPr>
          <w:i/>
        </w:rPr>
        <w:t>toute autre situation</w:t>
      </w:r>
      <w:r>
        <w:t xml:space="preserve">” în versiunea în limba franceză). Sintagma „orice altă situație” a avut în general o interpretare largă, nefiind limitată la caracteristici care sunt de natură personală în sensul că sunt intrinseci sau inerente persoanei (a se vedea </w:t>
      </w:r>
      <w:r>
        <w:rPr>
          <w:i/>
        </w:rPr>
        <w:t>Biao</w:t>
      </w:r>
      <w:r>
        <w:t>, citată anterior, pct. 89, cu jurisprudența citată).</w:t>
      </w:r>
    </w:p>
    <w:p w:rsidR="002B3838" w:rsidRPr="00905AF4" w:rsidRDefault="00905AF4" w:rsidP="00905AF4">
      <w:pPr>
        <w:pStyle w:val="ECHRPara"/>
      </w:pPr>
      <w:r>
        <w:t>164. O diferență este discriminatorie dacă îi lipsește justificarea obiectivă și rezonabilă, adică dacă nu urmărește un scop legitim sau dacă nu există un raport rezonabil de proporționalitate între mijloacele folosite și scopul urmărit. Noțiunea de discriminare în sensul art. 14 include și cazurile în care un individ sau un grup se vede tratat mai puțin bine decât altul fără o justificare adecvată, chiar dacă Convenția nu impune tratamentul cel mai favorabil [</w:t>
      </w:r>
      <w:r>
        <w:rPr>
          <w:i/>
        </w:rPr>
        <w:t>Biao</w:t>
      </w:r>
      <w:r>
        <w:t xml:space="preserve">, citată anterior, pct. 90; a se vedea, de asemenea, </w:t>
      </w:r>
      <w:r>
        <w:rPr>
          <w:i/>
        </w:rPr>
        <w:t>Stec și alții împotriva Regatului Unit</w:t>
      </w:r>
      <w:r>
        <w:t xml:space="preserve"> (MC), nr. 65731/01 și 65900/01, pct. 51, CEDO 2006-VI].</w:t>
      </w:r>
    </w:p>
    <w:p w:rsidR="00F12D93" w:rsidRPr="00905AF4" w:rsidRDefault="00F12D93" w:rsidP="00905AF4">
      <w:pPr>
        <w:pStyle w:val="ECHRHeading4"/>
      </w:pPr>
      <w:r>
        <w:t>b) Aplicarea acestor principii în prezenta cauză</w:t>
      </w:r>
    </w:p>
    <w:p w:rsidR="00E65D65" w:rsidRPr="00905AF4" w:rsidRDefault="00364C67" w:rsidP="00905AF4">
      <w:pPr>
        <w:pStyle w:val="ECHRHeading5"/>
      </w:pPr>
      <w:r>
        <w:t>i. Cu privire la aplicabilitatea art. 14 din Convenție coroborat cu art. 6 § 1</w:t>
      </w:r>
    </w:p>
    <w:p w:rsidR="00F12D93" w:rsidRPr="00905AF4" w:rsidRDefault="00905AF4" w:rsidP="00905AF4">
      <w:pPr>
        <w:pStyle w:val="ECHRPara"/>
      </w:pPr>
      <w:r>
        <w:t xml:space="preserve">165. După cum reiese din cuprinsul pct. 76 din prezenta hotărâre, litigiul are ca obiect drepturi cu caracter civil. Rezultă de aici că faptele denunțate de reclamanți intră sub incidența art. 6 § 1 din Convenție (a se vedea, în acest sens, </w:t>
      </w:r>
      <w:r>
        <w:rPr>
          <w:i/>
        </w:rPr>
        <w:t>Rasmussen împotriva Danemarcei</w:t>
      </w:r>
      <w:r>
        <w:t>, 28 noiembrie 1984, pct. 32, seria A nr. 87). Acest lucru este suficient pentru a face art. 14 aplicabil și obligă Curtea să examineze dacă a fost încălcată această dispoziție coroborată cu art. 6 § 1.</w:t>
      </w:r>
    </w:p>
    <w:p w:rsidR="00E65D65" w:rsidRPr="00905AF4" w:rsidRDefault="00905AF4" w:rsidP="00905AF4">
      <w:pPr>
        <w:pStyle w:val="ECHRPara"/>
      </w:pPr>
      <w:r>
        <w:t>166. Curtea va examina separat cele două tipuri de discriminare invocate: în primul rând, discriminarea în raport cu alte parohii greco-catolice și, în al doilea rând, discriminarea în raport cu parohia ortodoxă.</w:t>
      </w:r>
    </w:p>
    <w:p w:rsidR="00ED1183" w:rsidRPr="00905AF4" w:rsidRDefault="006636A3" w:rsidP="00905AF4">
      <w:pPr>
        <w:pStyle w:val="ECHRHeading5"/>
      </w:pPr>
      <w:r>
        <w:lastRenderedPageBreak/>
        <w:t>ii. Cu privire la diferența de tratament în raport cu alte parohii greco-catolice</w:t>
      </w:r>
    </w:p>
    <w:p w:rsidR="00987BDE" w:rsidRPr="00905AF4" w:rsidRDefault="00905AF4" w:rsidP="00905AF4">
      <w:pPr>
        <w:pStyle w:val="ECHRPara"/>
      </w:pPr>
      <w:r>
        <w:t>167.</w:t>
      </w:r>
      <w:r>
        <w:rPr>
          <w:b/>
        </w:rPr>
        <w:t xml:space="preserve"> </w:t>
      </w:r>
      <w:r>
        <w:t>Curtea consideră că, în cazul în care maniera în care instanțele interne au soluționat acțiunile în revendicare introduse de diferitele parohii greco-catolice (conform dreptului comun, cu sau fără luarea în considerare a dorinței credincioșilor) a constituit o diferență de tratament, aceasta nu s-a bazat pe religie.</w:t>
      </w:r>
    </w:p>
    <w:p w:rsidR="00987BDE" w:rsidRPr="00905AF4" w:rsidRDefault="00905AF4" w:rsidP="00905AF4">
      <w:pPr>
        <w:pStyle w:val="ECHRPara"/>
      </w:pPr>
      <w:r>
        <w:t>168. Pe de altă parte, această diferență de tratament este invocată în legătură cu dreptul de acces la o instanță și legea aplicabilă în cadrul unei acțiuni în revendicare. Curtea consideră că acest capăt de cerere se circumscrie, în esență, examinării, efectuate deja, a principiului securității juridice (</w:t>
      </w:r>
      <w:r>
        <w:rPr>
          <w:i/>
        </w:rPr>
        <w:t>supra</w:t>
      </w:r>
      <w:r>
        <w:t>, pct. 117 și 135).</w:t>
      </w:r>
    </w:p>
    <w:p w:rsidR="00E65D65" w:rsidRPr="00905AF4" w:rsidRDefault="00905AF4" w:rsidP="00905AF4">
      <w:pPr>
        <w:pStyle w:val="ECHRPara"/>
        <w:rPr>
          <w:b/>
        </w:rPr>
      </w:pPr>
      <w:r>
        <w:t>169. În aceste circumstanțe, chiar și în ipoteza în care pretinsa diferență de tratament ar putea fi examinată în lumina art. 14 din Convenție, și luând în considerare raționamentul care a condus-o la constatarea încălcării art. 6 § 1 din Convenție din cauza nerespectării principiului securității juridice, Curtea nu observă niciun element care să poată justifica o examinare separată a acelorași fapte din perspectiva art. 14 din Convenție.</w:t>
      </w:r>
    </w:p>
    <w:p w:rsidR="00ED1183" w:rsidRPr="00905AF4" w:rsidRDefault="006636A3" w:rsidP="00905AF4">
      <w:pPr>
        <w:pStyle w:val="ECHRHeading5"/>
      </w:pPr>
      <w:r>
        <w:t>iii. Cu privire la diferența de tratament în raport cu parohia ortodoxă</w:t>
      </w:r>
    </w:p>
    <w:p w:rsidR="002C4277" w:rsidRPr="00905AF4" w:rsidRDefault="00905AF4" w:rsidP="00905AF4">
      <w:pPr>
        <w:pStyle w:val="ECHRPara"/>
      </w:pPr>
      <w:r>
        <w:t>170. Curtea reamintește că textul art. 3 din Decretul-lege nr. 126/1990 preciza că situația juridică a lăcașurilor de cult urma să se stabilească ținând seama de „dorința credincioșilor din comunitățile care dețin aceste bunuri”. Acest criteriu trebuie să fie inclus în contextul istoric și social românesc, în care lăcașurile de cult revendicate de parohiile greco-catolice au fost transferate parohiilor ortodoxe în urma dizolvării cultului greco-catolic în 1948. De altfel, atunci când a fost adoptat în 1990, textul de lege în discuție a fost elaborat după consultarea cu părțile interesate și cu scopul de a respecta libertatea foștilor greco-catolici deveniți ortodocși de a alege propria religie și a decide soarta lăcașului de cult.</w:t>
      </w:r>
    </w:p>
    <w:p w:rsidR="00E004C8" w:rsidRPr="00905AF4" w:rsidRDefault="00905AF4" w:rsidP="00905AF4">
      <w:pPr>
        <w:pStyle w:val="ECHRPara"/>
      </w:pPr>
      <w:r>
        <w:t>171. Curtea trebuie să examineze capătul de cerere întemeiat pe art. 14 din Convenție exclusiv raportat la art. 6 § 1 din Convenție sub aspectul dreptului de acces la o instanță. Or, după ce a constatat că reclamanții s-au plâns în esență de o atingere adusă dreptului lor de acces la o instanță, din cauza conținutului dreptului material și a subliniat că art. 6 § 1 din Convenție nu le conferă în sine niciun conținut material specific în ordinea juridică a statelor contractante, Curtea a hotărât că, în prezenta cauză, nu a existat o limitare a dreptului de acces la o instanță, părțile în litigiu beneficiind de același drept de a sesiza instanțele și de a obține o decizie cu privire la fondul cauzei (</w:t>
      </w:r>
      <w:r>
        <w:rPr>
          <w:i/>
        </w:rPr>
        <w:t>supra</w:t>
      </w:r>
      <w:r>
        <w:t>, pct. 91-107).</w:t>
      </w:r>
    </w:p>
    <w:p w:rsidR="003E2A15" w:rsidRPr="00905AF4" w:rsidRDefault="00905AF4" w:rsidP="00905AF4">
      <w:pPr>
        <w:pStyle w:val="ECHRPara"/>
      </w:pPr>
      <w:r>
        <w:t>172. În absența unei astfel de limitări, Curtea consideră că nu s-a stabilit că acest criteri</w:t>
      </w:r>
      <w:r w:rsidR="00FA220B">
        <w:t>u</w:t>
      </w:r>
      <w:r>
        <w:t xml:space="preserve"> al dorinței credincioșilor a creat o diferență de tratament între parohiile greco-catolice și parohiile Bisericii Ortodoxe în exercitarea dreptului de acces la o instanță. Desigur, condițiile impuse de dreptul material sunt în mod clar de natură a avea impact asupra soluției procesului. Cu toate </w:t>
      </w:r>
      <w:r>
        <w:lastRenderedPageBreak/>
        <w:t>acestea, din moment ce reclamanții aveau, ca și parohia ortodoxă, acces la instanțe interne care erau competente să interpreteze și să aplice legislația internă și care exercitau un control suficient de amplu pentru a îndeplini cerințele de la art. 6 § 1 (</w:t>
      </w:r>
      <w:r>
        <w:rPr>
          <w:i/>
        </w:rPr>
        <w:t>supra</w:t>
      </w:r>
      <w:r>
        <w:t>, pct. 93-98), acest lucru nu creează o diferență de tratament între cele două părți în litigiu în legătură cu accesul la instanță.</w:t>
      </w:r>
    </w:p>
    <w:p w:rsidR="00E65D65" w:rsidRPr="00905AF4" w:rsidRDefault="00905AF4" w:rsidP="00905AF4">
      <w:pPr>
        <w:pStyle w:val="ECHRPara"/>
      </w:pPr>
      <w:r>
        <w:t>173. Astfel, în sensul art. 14 din Convenție, Curtea nu observă nicio diferență de tratament între reclamanți și pârâtă în legătură cu posibilitatea de a sesiza instanța și de a obține o hotărâre judecătorească în cadrul acțiunii în restituirea lăcașului de cult.</w:t>
      </w:r>
    </w:p>
    <w:p w:rsidR="00A53BBE" w:rsidRPr="00905AF4" w:rsidRDefault="00905AF4" w:rsidP="00905AF4">
      <w:pPr>
        <w:pStyle w:val="ECHRPara"/>
      </w:pPr>
      <w:r>
        <w:t>174. Acest element îi este suficient Curții pentru a stabili că, în prezenta cauză, nu a fost încălcat art. 14 din Convenție coroborat cu art. 6 § 1.</w:t>
      </w:r>
    </w:p>
    <w:p w:rsidR="00E77CB3" w:rsidRPr="00905AF4" w:rsidRDefault="00A01FB8" w:rsidP="00905AF4">
      <w:pPr>
        <w:pStyle w:val="ECHRHeading1"/>
      </w:pPr>
      <w:r>
        <w:t>IV. CU PRIVIRE LA APLICAREA ART. 41 DIN CONVEN</w:t>
      </w:r>
      <w:r w:rsidR="00FA220B">
        <w:t>Ț</w:t>
      </w:r>
      <w:r>
        <w:t>IE</w:t>
      </w:r>
    </w:p>
    <w:p w:rsidR="00E77CB3" w:rsidRPr="00905AF4" w:rsidRDefault="00905AF4" w:rsidP="00905AF4">
      <w:pPr>
        <w:pStyle w:val="ECHRPara"/>
      </w:pPr>
      <w:r>
        <w:t>175. În conformitate cu art. 41 din Convenție,</w:t>
      </w:r>
    </w:p>
    <w:p w:rsidR="00E77CB3" w:rsidRPr="00905AF4" w:rsidRDefault="00CF3002" w:rsidP="00905AF4">
      <w:pPr>
        <w:pStyle w:val="ECHRParaQuote"/>
        <w:keepNext/>
        <w:keepLines/>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443D2D" w:rsidRPr="00905AF4" w:rsidRDefault="00905AF4" w:rsidP="00905AF4">
      <w:pPr>
        <w:pStyle w:val="ECHRPara"/>
      </w:pPr>
      <w:r>
        <w:t>176. Curtea observă că reclamanții au fost informați prin scrisoarea din 10 noiembrie 2015 că nu era necesară modificarea cererilor pe care le-au formulat în temeiul art. 41 în fața Camerei. Acestora li s-a solicitat totuși să depună o cerere suplimentară pentru cheltuielile de judecată aferente procedurii în fața Marii Camere.</w:t>
      </w:r>
    </w:p>
    <w:p w:rsidR="00E77CB3" w:rsidRPr="00905AF4" w:rsidRDefault="00E77CB3" w:rsidP="00905AF4">
      <w:pPr>
        <w:pStyle w:val="ECHRHeading2"/>
      </w:pPr>
      <w:r>
        <w:t>A. Prejudiciu</w:t>
      </w:r>
    </w:p>
    <w:p w:rsidR="003146F7" w:rsidRPr="00905AF4" w:rsidRDefault="003146F7" w:rsidP="00905AF4">
      <w:pPr>
        <w:pStyle w:val="ECHRHeading3"/>
      </w:pPr>
      <w:r>
        <w:t>1. Argumentele părților</w:t>
      </w:r>
    </w:p>
    <w:p w:rsidR="003146F7" w:rsidRPr="00905AF4" w:rsidRDefault="00905AF4" w:rsidP="00905AF4">
      <w:pPr>
        <w:pStyle w:val="ECHRPara"/>
      </w:pPr>
      <w:r>
        <w:t>177. În cererile prezentate Camerei, reclamanții au solicitat, cu titlu de despăgubire pentru prejudiciul material, restituirea bisericii, a terenului și a casei parohiale. În caz de nerestituire în natură a bunurilor imobile, aceștia au solicitat, în baza unui raport de expertiză, 282 343 de euro (EUR), sumă care corespunde – în opinia lor – valorii de piață a bunurilor imobile în litigiu. Aceștia au solicitat, de asemenea, 50 000 EUR pentru prejudiciul moral.</w:t>
      </w:r>
    </w:p>
    <w:p w:rsidR="004C766C" w:rsidRPr="00905AF4" w:rsidRDefault="00905AF4" w:rsidP="00905AF4">
      <w:pPr>
        <w:pStyle w:val="ECHRPara"/>
      </w:pPr>
      <w:r>
        <w:t>178. Guvernul a răspuns că valorile din raportul de evaluare sunt exorbitante în comparație cu prețurile pieței estimate de camera notarilor pentru terenuri similare celui revendicat în prezenta cauză. Acesta a considerat că, în cazul în care Curtea ar constata existența unui prejudiciu moral, o hotărâre de constatare a atingerii aduse drepturilor reclamanților prevăzute de Convenție ar constitui o reparație suficientă pentru prejudiciul moral și că, în orice caz, suma solicitată pentru prejudiciul moral era excesivă.</w:t>
      </w:r>
    </w:p>
    <w:p w:rsidR="003146F7" w:rsidRPr="00905AF4" w:rsidRDefault="003146F7" w:rsidP="00905AF4">
      <w:pPr>
        <w:pStyle w:val="ECHRHeading3"/>
      </w:pPr>
      <w:r>
        <w:lastRenderedPageBreak/>
        <w:t>2. Hotărârea Camerei</w:t>
      </w:r>
    </w:p>
    <w:p w:rsidR="003146F7" w:rsidRPr="00905AF4" w:rsidRDefault="00905AF4" w:rsidP="00905AF4">
      <w:pPr>
        <w:pStyle w:val="ECHRPara"/>
      </w:pPr>
      <w:r>
        <w:t>179. După ce a amintit că acordarea unei reparații echitabile se justifică numai ca urmare a constatării încălcării art. 6 § 1 din Convenție sub aspectul duratei procedurii, Camera a respins cererea formulată de reclamanți cu titlu de despăgubire pentru prejudiciul material pe motiv că nu exista nicio legătură între încălcarea constatată și prejudiciul material pretins. Pronunțându-se în echitate, Camera le-a acordat în solidar suma de 2 400 EUR pentru prejudiciul moral, plus orice sumă ce poate fi datorată cu titlu de impozit.</w:t>
      </w:r>
    </w:p>
    <w:p w:rsidR="003146F7" w:rsidRPr="00905AF4" w:rsidRDefault="003146F7" w:rsidP="00905AF4">
      <w:pPr>
        <w:pStyle w:val="ECHRHeading3"/>
      </w:pPr>
      <w:r>
        <w:t>3. Motivarea Curții</w:t>
      </w:r>
    </w:p>
    <w:p w:rsidR="003D2CCB" w:rsidRPr="00905AF4" w:rsidRDefault="00905AF4" w:rsidP="00905AF4">
      <w:pPr>
        <w:pStyle w:val="ECHRPara"/>
      </w:pPr>
      <w:r>
        <w:t>180. Curtea reține că acordarea unei sume cu titlu de reparație echitabilă are, în speță, scopul de a repara nerespectarea principiului securității juridice și durata excesivă a procedurii.</w:t>
      </w:r>
    </w:p>
    <w:p w:rsidR="00233925" w:rsidRPr="00905AF4" w:rsidRDefault="00905AF4" w:rsidP="00905AF4">
      <w:pPr>
        <w:pStyle w:val="ECHRPara"/>
      </w:pPr>
      <w:r>
        <w:rPr>
          <w:rFonts w:ascii="Times New Roman" w:hAnsi="Times New Roman"/>
          <w:szCs w:val="24"/>
        </w:rPr>
        <w:t xml:space="preserve">181. În ceea ce privește prejudiciul material pretins, Curtea nu poate face speculații cu privire la soluția la care s-ar fi ajuns în cazul acțiunii în revendicare introduse de reclamanți dacă nu ar fi fost încălcată Convenția. </w:t>
      </w:r>
      <w:r>
        <w:t xml:space="preserve">Prin urmare, nu este necesar să le acorde o despăgubire cu acest titlu (a se vedea, </w:t>
      </w:r>
      <w:r>
        <w:rPr>
          <w:i/>
        </w:rPr>
        <w:t>mutatis mutandis</w:t>
      </w:r>
      <w:r>
        <w:t xml:space="preserve">, </w:t>
      </w:r>
      <w:r>
        <w:rPr>
          <w:i/>
        </w:rPr>
        <w:t>Hayati Çelebi și alții</w:t>
      </w:r>
      <w:r>
        <w:t xml:space="preserve">, citată anterior, pct. 71; și </w:t>
      </w:r>
      <w:r>
        <w:rPr>
          <w:i/>
        </w:rPr>
        <w:t>Yvon împotriva Franței</w:t>
      </w:r>
      <w:r>
        <w:t>, nr. 44962/98, pct. 44, CEDO 2003-V).</w:t>
      </w:r>
    </w:p>
    <w:p w:rsidR="00E65D65" w:rsidRPr="00905AF4" w:rsidRDefault="00905AF4" w:rsidP="00905AF4">
      <w:pPr>
        <w:pStyle w:val="ECHRPara"/>
      </w:pPr>
      <w:r>
        <w:t>182. În ceea ce privește repararea prejudiciului moral, Curtea a statuat deja că alt prejudiciu decât cel material poate presupune, pentru o persoană juridică, elemente mai mult sau mai puțin „obiective” și „subiective”. Printre aceste elemente, trebuie recunoscută reputația entității juridice, dar și incertitudinea în planificarea deciziilor care trebuie luate, problemele cauzate gestionării entității juridice înseși, ale căror consecințe nu pot fi calculate exact, și, în cele din urmă, deși într-o măsură mai mică, angoasa și neplăcerile suferite de membrii organelor de conducere ale entității (</w:t>
      </w:r>
      <w:r>
        <w:rPr>
          <w:i/>
        </w:rPr>
        <w:t>Comingersoll S.A.</w:t>
      </w:r>
      <w:r>
        <w:t xml:space="preserve">, citată anterior, pct. 35; și </w:t>
      </w:r>
      <w:r>
        <w:rPr>
          <w:i/>
        </w:rPr>
        <w:t>Parohia Greco-Catolică Sfântul Vasile Polonă</w:t>
      </w:r>
      <w:r>
        <w:t>, citată anterior, pct. 117).</w:t>
      </w:r>
    </w:p>
    <w:p w:rsidR="00B010E9" w:rsidRPr="00905AF4" w:rsidRDefault="00905AF4" w:rsidP="00905AF4">
      <w:pPr>
        <w:pStyle w:val="ECHRPara"/>
      </w:pPr>
      <w:r>
        <w:t>183. În prezenta cauză, având în vedere natura încălcărilor constatate și pronunțându-se în echitate, Curtea consideră că trebuie să li se acorde reclamanților în solidar suma de 4 700 EUR pentru prejudiciul moral, plus orice sumă ce poate fi datorată cu titlu de impozit.</w:t>
      </w:r>
    </w:p>
    <w:p w:rsidR="003E2A15" w:rsidRPr="00905AF4" w:rsidRDefault="003E2A15" w:rsidP="00905AF4">
      <w:pPr>
        <w:pStyle w:val="ECHRHeading2"/>
      </w:pPr>
      <w:r>
        <w:t>B. Cheltuieli de judecată</w:t>
      </w:r>
    </w:p>
    <w:p w:rsidR="00B7613B" w:rsidRPr="00905AF4" w:rsidRDefault="00B7613B" w:rsidP="00905AF4">
      <w:pPr>
        <w:pStyle w:val="ECHRHeading3"/>
      </w:pPr>
      <w:r>
        <w:t>1. Argumentele părților</w:t>
      </w:r>
    </w:p>
    <w:p w:rsidR="002E7CF1" w:rsidRPr="00905AF4" w:rsidRDefault="00905AF4" w:rsidP="00905AF4">
      <w:pPr>
        <w:pStyle w:val="ECHRPara"/>
      </w:pPr>
      <w:r>
        <w:rPr>
          <w:rStyle w:val="ECHRParaChar"/>
        </w:rPr>
        <w:t xml:space="preserve">184. Reclamanții solicită rambursarea cheltuielilor de judecată efectuate în cadrul procedurii în fața Camerei și a Marii Camere, care sunt defalcate astfel: </w:t>
      </w:r>
      <w:r>
        <w:t xml:space="preserve">8 566,92 EUR cu titlu de onorariu pentru D.O. Hatneanu și 4 098,37 EUR cu titlu de onorariu pentru C.T. Borsányi, care se plătesc direct doamnelor avocat; 300 EUR pentru cheltuielile de secretariat și de </w:t>
      </w:r>
      <w:r>
        <w:lastRenderedPageBreak/>
        <w:t>corespondență, care se plătesc Asociației pentru Apărarea Drepturilor Omului în România - Comitetul Helsinki („APADOR-CH”) și 696,33 EUR pentru cheltuielile ocazionate de deplasarea doamnei D.O. Hatneanu pentru ședința Curții din 2 martie 2016. Reclamanții au depus la dosar centralizatorul cu numărul de ore lucrate de avocați și contractele de asistență judiciară, precum și convenția încheiată cu APADOR-CH, prin care asociația se angaja să suporte cheltuielile de secretariat necesare pentru susținerea prezentei cereri în fața Curții. Aceștia au mai depus la dosar și documentele justificative pentru cheltuielile de deplasare și de cazare suportate de D.O. Hatneanu pentru deplasarea sa în scopul participării la ședință.</w:t>
      </w:r>
    </w:p>
    <w:p w:rsidR="003E2A15" w:rsidRPr="00905AF4" w:rsidRDefault="00905AF4" w:rsidP="00905AF4">
      <w:pPr>
        <w:pStyle w:val="ECHRPara"/>
      </w:pPr>
      <w:r>
        <w:t>185. Guvernul consideră că onorariul doamnei avocat D.O. Hatneanu este excesiv și nu este necesar, ținând seama de faptul că aceasta i-a reprezentat pe reclamanți în prezenta procedură numai după ce Guvernului i s-a comunicat cererea și de faptul că aceasta reprezintă mai mulți reclamanți în cauze similare în fața Curții. Acesta consideră că onorariul facturat de doamna avocat pentru observațiile suplimentare nu ar trebui să fie inclus în cheltuielile de judecată. Referitor la onorariul facturat de doamna C.T. Borsanyi, care a depus cererea la Curte, Guvernul solicită Curții să acorde, în echitate, o sumă pentru cheltuielile efectuate în mod real și în mod necesar. Guvernul nu a prezentat observații privind pretențiile suplimentare referitoare la cheltuielile efectuate în cadrul procedurii în fața Marii Camere.</w:t>
      </w:r>
    </w:p>
    <w:p w:rsidR="00E65D65" w:rsidRPr="00905AF4" w:rsidRDefault="00B7613B" w:rsidP="00905AF4">
      <w:pPr>
        <w:pStyle w:val="ECHRHeading3"/>
      </w:pPr>
      <w:r>
        <w:t>2. Hotărârea Camerei</w:t>
      </w:r>
    </w:p>
    <w:p w:rsidR="00501146" w:rsidRPr="00905AF4" w:rsidRDefault="00905AF4" w:rsidP="00905AF4">
      <w:pPr>
        <w:pStyle w:val="ECHRPara"/>
      </w:pPr>
      <w:r>
        <w:t>186. Camera a acordat un total de 4 658 EUR pentru onorariile celor două doamne avocat și pentru cheltuielile de traducere și de secretariat, precum și suma de 300 EUR solicitată în numele APADOR-CH, plus orice sumă ce poate fi datorată cu titlu de impozit de către reclamanți.</w:t>
      </w:r>
    </w:p>
    <w:p w:rsidR="00501146" w:rsidRPr="00905AF4" w:rsidRDefault="00B7613B" w:rsidP="00905AF4">
      <w:pPr>
        <w:pStyle w:val="ECHRHeading3"/>
      </w:pPr>
      <w:r>
        <w:t>3. Motivarea Curții</w:t>
      </w:r>
    </w:p>
    <w:p w:rsidR="00E65D65" w:rsidRPr="00905AF4" w:rsidRDefault="00905AF4" w:rsidP="00905AF4">
      <w:pPr>
        <w:pStyle w:val="ECHRPara"/>
      </w:pPr>
      <w:r>
        <w:rPr>
          <w:rStyle w:val="ECHRParaChar"/>
        </w:rPr>
        <w:t xml:space="preserve">187. În conformitate cu jurisprudența Curții, un reclamant nu poate să obțină rambursarea cheltuielilor de judecată decât în măsura în care se stabilește caracterul real, necesar și rezonabil al acestora [a se vedea, de exemplu, </w:t>
      </w:r>
      <w:r>
        <w:rPr>
          <w:rStyle w:val="ECHRParaChar"/>
          <w:i/>
        </w:rPr>
        <w:t>Nilsen și Johnsen împotriva Norvegiei</w:t>
      </w:r>
      <w:r>
        <w:rPr>
          <w:rStyle w:val="ECHRParaChar"/>
        </w:rPr>
        <w:t xml:space="preserve"> (MC), nr. 23118/93, pct. 62, CEDO 1999-VIII]. În prezenta speță, Curtea constată că reclamanții prezintă o defalcare detaliată și precisă a cheltuielilor pretinse. </w:t>
      </w:r>
      <w:r>
        <w:t>Ținând seama de natura cauzei, de documentele de care dispune și de criteriile menționate anterior, Curtea consideră rezonabil să acorde suma de 8 567 EUR pentru onorariul doamnei avocat D.O. Hatneanu și suma de 3 858 EUR pentru onorariul doamnei avocat C.T. Borsanyi, plus orice sumă ce poate fi datorată cu titlu de impozit de către reclamanți, sume care se vor plăti direct doamnelor avocat.</w:t>
      </w:r>
    </w:p>
    <w:p w:rsidR="009C4E15" w:rsidRPr="00905AF4" w:rsidRDefault="00905AF4" w:rsidP="00905AF4">
      <w:pPr>
        <w:pStyle w:val="ECHRPara"/>
      </w:pPr>
      <w:r>
        <w:lastRenderedPageBreak/>
        <w:t>188. Curtea consideră, de asemenea, rezonabil să se acorde reclamanților suma de 696,33 EUR pentru cheltuielile ocazionate de deplasarea doamnei D.O. Hatneanu la ședința din 2 martie 2016.</w:t>
      </w:r>
    </w:p>
    <w:p w:rsidR="003E2A15" w:rsidRPr="00905AF4" w:rsidRDefault="00905AF4" w:rsidP="00905AF4">
      <w:pPr>
        <w:pStyle w:val="ECHRPara"/>
        <w:rPr>
          <w:i/>
          <w:szCs w:val="24"/>
        </w:rPr>
      </w:pPr>
      <w:r>
        <w:t xml:space="preserve">189. În ceea ce privește suma de 300 EUR, reprezentând cheltuielile de secretariat și de corespondență ale APADOR-CH, Curtea constată că această asociație nu i-a reprezentat niciodată pe reclamanți în procedura desfășurată la Strasbourg, deși a semnat cu aceștia un contract în temeiul căruia suporta cheltuielile de secretariat aferente prezentei cereri. Astfel, printr-un fax din 18 iulie 2013, reclamanții au informat Curtea că numele acestei asociații a fost menționat dintr-o eroare în împuternicirea transmisă Curții și că asociația nu a fost niciodată de acord să îi reprezinte în procedura în fața Curții (a se vedea, în acest sens, </w:t>
      </w:r>
      <w:r>
        <w:rPr>
          <w:i/>
        </w:rPr>
        <w:t>Șerban Marinescu împotriva României</w:t>
      </w:r>
      <w:r>
        <w:t xml:space="preserve">, nr. 68842/13, pct. 78-80, 15 decembrie 2015 și pentru o situație diferită, </w:t>
      </w:r>
      <w:r>
        <w:rPr>
          <w:i/>
        </w:rPr>
        <w:t>Cobzaru împotriva României</w:t>
      </w:r>
      <w:r>
        <w:t>, nr. 48254/99, pct. 2 și 111, 26 iulie 2007). Prin urmare, această cerere este respinsă.</w:t>
      </w:r>
    </w:p>
    <w:p w:rsidR="00E77CB3" w:rsidRPr="00905AF4" w:rsidRDefault="00E77CB3" w:rsidP="00905AF4">
      <w:pPr>
        <w:pStyle w:val="ECHRHeading2"/>
      </w:pPr>
      <w:r>
        <w:t>C. Dobânzi moratorii</w:t>
      </w:r>
    </w:p>
    <w:p w:rsidR="00E77CB3" w:rsidRPr="00905AF4" w:rsidRDefault="00905AF4" w:rsidP="00905AF4">
      <w:pPr>
        <w:pStyle w:val="ECHRPara"/>
      </w:pPr>
      <w:r>
        <w:t>190. Curtea consideră necesar ca rata dobânzilor moratorii să se întemeieze pe rata dobânzii facilității de împrumut marginal practicată de Banca Centrală Europeană, majorată cu trei puncte procentuale.</w:t>
      </w:r>
    </w:p>
    <w:p w:rsidR="00E77CB3" w:rsidRPr="00905AF4" w:rsidRDefault="00E77CB3" w:rsidP="00905AF4">
      <w:pPr>
        <w:pStyle w:val="ECHRTitle1"/>
      </w:pPr>
      <w:r>
        <w:t>PENTRU ACESTE MOTIVE, CURTEA:</w:t>
      </w:r>
    </w:p>
    <w:p w:rsidR="00E77CB3" w:rsidRPr="00905AF4" w:rsidRDefault="000938CB" w:rsidP="00905AF4">
      <w:pPr>
        <w:pStyle w:val="JuList"/>
      </w:pPr>
      <w:r>
        <w:t xml:space="preserve">1. </w:t>
      </w:r>
      <w:r>
        <w:rPr>
          <w:i/>
        </w:rPr>
        <w:t>Hotărăște</w:t>
      </w:r>
      <w:r>
        <w:t>, cu 12 voturi la 5, că nu a fost încălcat art. 6 § 1 din Convenție în ceea ce privește dreptul de acces la o instanță;</w:t>
      </w:r>
    </w:p>
    <w:p w:rsidR="00E77CB3" w:rsidRPr="00905AF4" w:rsidRDefault="00E77CB3" w:rsidP="00905AF4">
      <w:pPr>
        <w:pStyle w:val="JuList"/>
        <w:rPr>
          <w:lang w:val="fr-FR"/>
        </w:rPr>
      </w:pPr>
    </w:p>
    <w:p w:rsidR="006102FE" w:rsidRPr="00905AF4" w:rsidRDefault="000938CB" w:rsidP="00905AF4">
      <w:pPr>
        <w:pStyle w:val="JuList"/>
      </w:pPr>
      <w:r>
        <w:t xml:space="preserve">2. </w:t>
      </w:r>
      <w:r>
        <w:rPr>
          <w:i/>
        </w:rPr>
        <w:t>Hotărăște</w:t>
      </w:r>
      <w:r>
        <w:t>, în unanimitate, că a fost încălcat art.  6 § 1 din Convenție ca urmare a nerespectării principiului securității juridice;</w:t>
      </w:r>
    </w:p>
    <w:p w:rsidR="00E77CB3" w:rsidRPr="00FA220B" w:rsidRDefault="00E77CB3" w:rsidP="00905AF4">
      <w:pPr>
        <w:pStyle w:val="JuList"/>
      </w:pPr>
    </w:p>
    <w:p w:rsidR="00E77CB3" w:rsidRPr="00905AF4" w:rsidRDefault="004E2F6C" w:rsidP="00905AF4">
      <w:pPr>
        <w:pStyle w:val="JuList"/>
      </w:pPr>
      <w:r>
        <w:t xml:space="preserve">3. </w:t>
      </w:r>
      <w:r>
        <w:rPr>
          <w:i/>
        </w:rPr>
        <w:t>Hotărăște</w:t>
      </w:r>
      <w:r>
        <w:t>, în unanimitate, că a fost încălcat art. 6 § 1 din Convenție ca urmare a duratei procedurii;</w:t>
      </w:r>
    </w:p>
    <w:p w:rsidR="00810681" w:rsidRPr="00FA220B" w:rsidRDefault="00810681" w:rsidP="00905AF4">
      <w:pPr>
        <w:pStyle w:val="JuList"/>
      </w:pPr>
    </w:p>
    <w:p w:rsidR="00810681" w:rsidRPr="00905AF4" w:rsidRDefault="00810681" w:rsidP="00905AF4">
      <w:pPr>
        <w:pStyle w:val="JuList"/>
      </w:pPr>
      <w:r>
        <w:t>4. Hotărăște, cu 16 voturi la 1, că având în vedere concluziile la care a ajuns în temeiul art. 6 § 1 din Convenție în ceea ce privește nerespectarea principiului securității juridice, nu este necesar să examineze separat capătul de cerere întemeiat de reclamanți pe art. 14 din Convenție coroborat cu art. 6 § 1 în măsura în care acesta vizează pretinsa diferență de tratament în raport cu alte parohii greco-catolice;</w:t>
      </w:r>
    </w:p>
    <w:p w:rsidR="00E77CB3" w:rsidRPr="00FA220B" w:rsidRDefault="00E77CB3" w:rsidP="00905AF4">
      <w:pPr>
        <w:pStyle w:val="JuList"/>
      </w:pPr>
    </w:p>
    <w:p w:rsidR="006102FE" w:rsidRPr="00905AF4" w:rsidRDefault="00810681" w:rsidP="00905AF4">
      <w:pPr>
        <w:pStyle w:val="JuList"/>
      </w:pPr>
      <w:r>
        <w:t xml:space="preserve">5. </w:t>
      </w:r>
      <w:r>
        <w:rPr>
          <w:i/>
        </w:rPr>
        <w:t>Hotărăște</w:t>
      </w:r>
      <w:r>
        <w:t xml:space="preserve">, cu 12 voturi la 5, că nu a fost încălcat art. 14 din Convenție coroborat cu art. 6 § 1 în ceea ce privește dreptul de acces la o instanță în </w:t>
      </w:r>
      <w:r>
        <w:lastRenderedPageBreak/>
        <w:t>măsura în care reclamanții se plâng că au suferit o diferență de tratament în raport cu parohia ortodoxă pârâtă;</w:t>
      </w:r>
    </w:p>
    <w:p w:rsidR="00E65D65" w:rsidRPr="00FA220B" w:rsidRDefault="00E65D65" w:rsidP="00905AF4">
      <w:pPr>
        <w:pStyle w:val="JuList"/>
      </w:pPr>
    </w:p>
    <w:p w:rsidR="00E77CB3" w:rsidRPr="00905AF4" w:rsidRDefault="00810681" w:rsidP="00905AF4">
      <w:pPr>
        <w:pStyle w:val="JuList"/>
      </w:pPr>
      <w:r>
        <w:t xml:space="preserve">6. </w:t>
      </w:r>
      <w:r>
        <w:rPr>
          <w:i/>
        </w:rPr>
        <w:t>Hotărăște</w:t>
      </w:r>
      <w:r>
        <w:t>, cu 16 voturi la 1:</w:t>
      </w:r>
    </w:p>
    <w:p w:rsidR="00E77CB3" w:rsidRPr="00905AF4" w:rsidRDefault="00E77CB3" w:rsidP="00905AF4">
      <w:pPr>
        <w:pStyle w:val="JuLista"/>
      </w:pPr>
      <w:r>
        <w:t>a) că statul pârât trebuie să plătească reclamanților, în termen de trei luni, următoarele sume, care trebuie convertite în moneda statului pârât la rata de schimb aplicabilă la data plății:</w:t>
      </w:r>
    </w:p>
    <w:p w:rsidR="00E77CB3" w:rsidRPr="00905AF4" w:rsidRDefault="00E77CB3" w:rsidP="00905AF4">
      <w:pPr>
        <w:pStyle w:val="JuListi"/>
      </w:pPr>
      <w:r>
        <w:t>i) 4 700 EUR (patru mii șapte sute de euro) în solidar, plus orice sumă ce poate fi datorată cu titlu de impozit, pentru prejudiciul moral;</w:t>
      </w:r>
    </w:p>
    <w:p w:rsidR="00E77CB3" w:rsidRPr="00905AF4" w:rsidRDefault="00E77CB3" w:rsidP="00905AF4">
      <w:pPr>
        <w:pStyle w:val="JuListi"/>
      </w:pPr>
      <w:r>
        <w:t>ii) 8 567 EUR (opt mii cinci sute șaizeci și șapte de euro), plus orice sumă ce poate fi datorată cu titlu de impozit de către reclamanți, pentru cheltuielile de judecată, care se plătesc direct doamnei D.O. Hatneanu;</w:t>
      </w:r>
    </w:p>
    <w:p w:rsidR="00E77CB3" w:rsidRPr="00905AF4" w:rsidRDefault="00E77CB3" w:rsidP="00905AF4">
      <w:pPr>
        <w:pStyle w:val="JuListi"/>
      </w:pPr>
      <w:r>
        <w:t>iii) 3 858 EUR (trei mii opt sute cinzeci și opt de euro), plus orice sumă ce poate fi datorată cu titlu de impozit de către reclamanți, pentru cheltuielile de judecată, care se plătesc direct doamnei C.T. Borsányi;</w:t>
      </w:r>
    </w:p>
    <w:p w:rsidR="00E12F34" w:rsidRPr="00905AF4" w:rsidRDefault="00E12F34" w:rsidP="00905AF4">
      <w:pPr>
        <w:pStyle w:val="JuListi"/>
      </w:pPr>
      <w:r>
        <w:t>iv) 696,33 EUR (șase sute nouăzeci și șase de euro și treizeci și trei de eurocenți)</w:t>
      </w:r>
      <w:r>
        <w:rPr>
          <w:b/>
        </w:rPr>
        <w:t xml:space="preserve"> </w:t>
      </w:r>
      <w:r>
        <w:t>în solidar reclamanților, plus orice sumă ce poate fi datorată cu titlu de impozit de către aceștia, pentru cheltuielile de judecată;</w:t>
      </w:r>
    </w:p>
    <w:p w:rsidR="00E77CB3" w:rsidRPr="00905AF4" w:rsidRDefault="00E77CB3" w:rsidP="00905AF4">
      <w:pPr>
        <w:pStyle w:val="JuLista"/>
      </w:pPr>
      <w:r>
        <w:t>b) că, de la expirarea termenului menționat și până la efectuarea plății, aceste sume trebuie majorate cu o dobândă simplă, la o rată egală cu rata dobânzii facilității de împrumut marginal practicată de Banca Centrală Europeană, aplicabilă pe parcursul acestei perioade și majorată cu trei puncte procentuale;</w:t>
      </w:r>
    </w:p>
    <w:p w:rsidR="00E77CB3" w:rsidRPr="00FA220B" w:rsidRDefault="00E77CB3" w:rsidP="00905AF4">
      <w:pPr>
        <w:pStyle w:val="JuLista"/>
      </w:pPr>
    </w:p>
    <w:p w:rsidR="00E77CB3" w:rsidRPr="00905AF4" w:rsidRDefault="00E14B12" w:rsidP="00905AF4">
      <w:pPr>
        <w:pStyle w:val="JuList"/>
      </w:pPr>
      <w:r>
        <w:t xml:space="preserve">7. </w:t>
      </w:r>
      <w:r>
        <w:rPr>
          <w:i/>
        </w:rPr>
        <w:t>Respinge</w:t>
      </w:r>
      <w:r>
        <w:t>, cu 13 voturi la 4, cererea de acordare a unei reparații echitabile pentru celelalte capete de cerere.</w:t>
      </w:r>
    </w:p>
    <w:p w:rsidR="00E77CB3" w:rsidRPr="00905AF4" w:rsidRDefault="00E77CB3" w:rsidP="00905AF4">
      <w:pPr>
        <w:pStyle w:val="JuParaLast"/>
      </w:pPr>
      <w:r>
        <w:t>Redactată în limbile engleză și franceză, apoi pronunțată în ședință publică la Palatul Drepturilor Omului din Strasbourg, la 29 noiembrie 2016.</w:t>
      </w:r>
    </w:p>
    <w:p w:rsidR="004D15F3" w:rsidRPr="00905AF4" w:rsidRDefault="00537D2D" w:rsidP="00905AF4">
      <w:pPr>
        <w:pStyle w:val="JuSigned"/>
        <w:keepNext/>
        <w:keepLines/>
        <w:tabs>
          <w:tab w:val="clear" w:pos="851"/>
          <w:tab w:val="center" w:pos="1134"/>
        </w:tabs>
      </w:pPr>
      <w:r>
        <w:tab/>
        <w:t>Françoise Elens-Passos</w:t>
      </w:r>
      <w:r>
        <w:tab/>
        <w:t>Guido Raimondi</w:t>
      </w:r>
      <w:r>
        <w:br/>
      </w:r>
      <w:r>
        <w:tab/>
        <w:t>Grefier adjunct</w:t>
      </w:r>
      <w:r>
        <w:tab/>
        <w:t>Președinte</w:t>
      </w:r>
    </w:p>
    <w:p w:rsidR="00785DE6" w:rsidRPr="00905AF4" w:rsidRDefault="00785DE6" w:rsidP="00905AF4">
      <w:pPr>
        <w:pStyle w:val="JuParaLast"/>
        <w:spacing w:before="480"/>
      </w:pPr>
      <w:r>
        <w:t>La prezenta hotărâre sunt anexate, în conformitate cu art. 45 § 2 din Convenție și art. 74 § 2 din Regulament, următoarele opinii separate:</w:t>
      </w:r>
    </w:p>
    <w:p w:rsidR="00785DE6" w:rsidRPr="00905AF4" w:rsidRDefault="00785DE6" w:rsidP="00905AF4">
      <w:pPr>
        <w:pStyle w:val="ECHRPara"/>
      </w:pPr>
      <w:r>
        <w:t>– opinia parțial separată comună a judecătorilor Sajó, Karakaş, Pinto de Albuquerque și Mits;</w:t>
      </w:r>
    </w:p>
    <w:p w:rsidR="00785DE6" w:rsidRPr="00905AF4" w:rsidRDefault="00785DE6" w:rsidP="00905AF4">
      <w:pPr>
        <w:pStyle w:val="ECHRPara"/>
      </w:pPr>
      <w:r>
        <w:t>– opinia parțial separată a doamnei judecător Karakaş;</w:t>
      </w:r>
    </w:p>
    <w:p w:rsidR="00785DE6" w:rsidRPr="00905AF4" w:rsidRDefault="00785DE6" w:rsidP="00905AF4">
      <w:pPr>
        <w:pStyle w:val="ECHRPara"/>
      </w:pPr>
      <w:r>
        <w:t>– opinia parțial separată a domnului judecător Kūris.</w:t>
      </w:r>
    </w:p>
    <w:p w:rsidR="00785DE6" w:rsidRPr="00FA220B" w:rsidRDefault="00785DE6" w:rsidP="00905AF4">
      <w:pPr>
        <w:pStyle w:val="ECHRPara"/>
      </w:pPr>
    </w:p>
    <w:p w:rsidR="00785DE6" w:rsidRPr="00905AF4" w:rsidRDefault="00BF09C2" w:rsidP="00905AF4">
      <w:pPr>
        <w:pStyle w:val="JuInitialled"/>
      </w:pPr>
      <w:r>
        <w:t>G.R.</w:t>
      </w:r>
      <w:r>
        <w:br/>
        <w:t>F.E.P.</w:t>
      </w:r>
    </w:p>
    <w:p w:rsidR="00E65D65" w:rsidRPr="00FA220B" w:rsidRDefault="00E65D65" w:rsidP="00905AF4">
      <w:pPr>
        <w:pStyle w:val="JuInitialled"/>
      </w:pPr>
    </w:p>
    <w:p w:rsidR="00145DBC" w:rsidRPr="00FA220B" w:rsidRDefault="00145DBC" w:rsidP="00905AF4">
      <w:pPr>
        <w:keepNext/>
        <w:keepLines/>
        <w:spacing w:after="240"/>
        <w:jc w:val="center"/>
        <w:outlineLvl w:val="0"/>
        <w:rPr>
          <w:rFonts w:ascii="Times New Roman" w:eastAsia="Times New Roman" w:hAnsi="Times New Roman" w:cs="Times New Roman"/>
          <w:sz w:val="28"/>
        </w:rPr>
        <w:sectPr w:rsidR="00145DBC" w:rsidRPr="00FA220B" w:rsidSect="00C25B43">
          <w:headerReference w:type="even" r:id="rId11"/>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docGrid w:linePitch="326"/>
        </w:sectPr>
      </w:pPr>
    </w:p>
    <w:p w:rsidR="00145DBC" w:rsidRPr="00905AF4" w:rsidRDefault="00145DBC" w:rsidP="00905AF4">
      <w:pPr>
        <w:pStyle w:val="OpiHA"/>
        <w:jc w:val="center"/>
        <w:rPr>
          <w:rFonts w:eastAsia="Times New Roman"/>
          <w:b w:val="0"/>
          <w:sz w:val="28"/>
        </w:rPr>
      </w:pPr>
      <w:r>
        <w:rPr>
          <w:b w:val="0"/>
          <w:sz w:val="28"/>
        </w:rPr>
        <w:lastRenderedPageBreak/>
        <w:t>OPINIA PARȚIAL SEPARATĂ COMUNĂ A JUDECĂTORILOR SAJÓ, KARAKAŞ, PINTO DE ALBUQUERQUE ȘI MITS</w:t>
      </w:r>
    </w:p>
    <w:p w:rsidR="00145DBC" w:rsidRPr="00905AF4" w:rsidRDefault="00145DBC" w:rsidP="00905AF4">
      <w:pPr>
        <w:pStyle w:val="OpiTranslation"/>
        <w:rPr>
          <w:rFonts w:eastAsia="Times New Roman"/>
        </w:rPr>
      </w:pPr>
      <w:r>
        <w:t>(Traducere)</w:t>
      </w:r>
    </w:p>
    <w:p w:rsidR="00145DBC" w:rsidRPr="00FA220B" w:rsidRDefault="00145DBC" w:rsidP="00905AF4">
      <w:pPr>
        <w:ind w:firstLine="284"/>
        <w:jc w:val="center"/>
        <w:rPr>
          <w:rFonts w:ascii="Times New Roman" w:eastAsia="Times New Roman" w:hAnsi="Times New Roman" w:cs="Times New Roman"/>
          <w:i/>
        </w:rPr>
      </w:pPr>
    </w:p>
    <w:p w:rsidR="00145DBC" w:rsidRPr="00905AF4" w:rsidRDefault="00145DBC" w:rsidP="00905AF4">
      <w:pPr>
        <w:pStyle w:val="OpiPara"/>
        <w:rPr>
          <w:rFonts w:eastAsia="Times New Roman"/>
        </w:rPr>
      </w:pPr>
      <w:r>
        <w:t>1. Prezenta cauză ridică o problemă de interpretare și aplicare a art. 6 § 1 din Convenția europeană a drepturilor omului (Convenția), luat separat dar și coroborat cu art. 14. Problema este, în esență, dacă aplicarea unui criteriu de drept material poate, chiar și în cazul în care părțile au acces în mod formal la o instanță, să fie interpretată ca o limitare a dreptului care le este garantat de art. 6 sau, prin natura sa, face ca acest drept să fie iluzoriu. Cu alte cuvinte, poate dreptul material aplicabil să aibă o influență decisivă asupra soluționării procesului, de așa natură încât să aducă atingere întinderii competenței instanței care examinează cauza și, prin urmare, substanței înseși a dreptului de acces la o instanță în sensul art. 6 § 1 din Convenție? De asemenea, criteriul aplicat creează o discriminare, directă sau indirectă, care încalcă art. 6 § 1 din Convenție coroborat cu art. 14?</w:t>
      </w:r>
    </w:p>
    <w:p w:rsidR="00145DBC" w:rsidRPr="00905AF4" w:rsidRDefault="00145DBC" w:rsidP="00905AF4">
      <w:pPr>
        <w:pStyle w:val="OpiPara"/>
        <w:rPr>
          <w:rFonts w:eastAsia="Times New Roman"/>
        </w:rPr>
      </w:pPr>
      <w:r>
        <w:t>2. Aceste probleme apar în contextul unei serii de cauze împotriva României având ca obiect retrocedarea către Biserica Greco-Catolica a lăcașurilor de cult care i-au aparținut și care au fost transferate prin lege de statul comunist în patrimoniul Bisericii Ortodoxe, în urma dizolvării Bisericii Greco-Catolice sub regimul totalitar și a obligării credincioșilor săi să se convertească la ritul ortodox.</w:t>
      </w:r>
    </w:p>
    <w:p w:rsidR="00145DBC" w:rsidRPr="00905AF4" w:rsidRDefault="00145DBC" w:rsidP="00905AF4">
      <w:pPr>
        <w:pStyle w:val="OpiPara"/>
        <w:rPr>
          <w:rFonts w:eastAsia="Times New Roman"/>
        </w:rPr>
      </w:pPr>
      <w:r>
        <w:t>3. Suntem de acord că reclamanții au beneficiat de examinarea cauzei lor de către o instanță, astfel încât, în mod formal, aceștia au avut acces la o instanță conform art. 6 § 1; dar, în opinia noastră, cadrul legal aplicabil (Decretul-lege nr. 126/1990 cu modificările și completările din 2004 și 2005), precum și modul în care instanțele interne au interpretat și aplicat criteriul „dorinței credincioșilor” au restrâns dreptul reclamanților de acces la o instanță într-un mod sau într-o măsură care a adus atingere înseși substanței acestui drept. Mai mult decât atât, natura textului, care favoriza comunitatea religioasă ortodoxă în detrimentul unei minorități religioase, era vădit discriminatorie și disproporționată în raport cu scopul urmărit. Prin urmare, a fost încălcat art. 6 § 1 din Convenție luat separat dar și coroborat cu art. 14.</w:t>
      </w:r>
    </w:p>
    <w:p w:rsidR="00145DBC" w:rsidRPr="00905AF4" w:rsidRDefault="00145DBC" w:rsidP="00905AF4">
      <w:pPr>
        <w:pStyle w:val="OpiHA"/>
        <w:rPr>
          <w:rFonts w:eastAsia="Times New Roman"/>
        </w:rPr>
      </w:pPr>
      <w:r>
        <w:t>De la persecuție la dialog interconfesional</w:t>
      </w:r>
    </w:p>
    <w:p w:rsidR="00145DBC" w:rsidRPr="00905AF4" w:rsidRDefault="00145DBC" w:rsidP="00905AF4">
      <w:pPr>
        <w:pStyle w:val="OpiPara"/>
        <w:rPr>
          <w:rFonts w:eastAsia="Times New Roman"/>
        </w:rPr>
      </w:pPr>
      <w:r>
        <w:t xml:space="preserve">4. În 1940, Biserica Greco-Catolică din România era a doua comunitate religioasă din țară, cu cinci dieceze, peste 1 500 de preoți și aproximativ un milion și jumătate de credincioși. La 21 octombrie 1948, data celei de a 250-a aniversări de la unirea sa cu Biserica Catolică Română, Biserica Greco-Catolică Română a fost dizolvată prin Decretul nr. 358/1948 adoptat de </w:t>
      </w:r>
      <w:r>
        <w:lastRenderedPageBreak/>
        <w:t>regimul totalitar. Drept urmare, statul a desfășurat un program de represiune împotriva Bisericii Greco-Catolice, obligându-i pe catolici să se convertească la cultul ortodox și transferând prin lege bunurile Bisericii Catolice în patrimoniul Bisericii Ortodoxe. Acuzați de autoritățile comuniste de săvârșirea de „activități anti-democratice”, episcopii și preoții greco-catolici au fost aruncați în închisoare.</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5. Atunci când Biserica Greco-Catolică a fost reînființată în 1990, după intrarea în vigoare a Decretului-lege nr. 9, adoptat la 31 decembrie 1989, majoritatea credincioșilor care fuseseră constrânși să se convertească în urmă cu peste 40 de ani au continuat să practice cultul ortodox</w:t>
      </w:r>
      <w:r w:rsidRPr="00905AF4">
        <w:rPr>
          <w:rFonts w:ascii="Times New Roman" w:eastAsia="Times New Roman" w:hAnsi="Times New Roman" w:cs="Times New Roman"/>
          <w:vertAlign w:val="superscript"/>
          <w:lang w:val="fr-FR"/>
        </w:rPr>
        <w:footnoteReference w:id="1"/>
      </w:r>
      <w:r>
        <w:rPr>
          <w:rFonts w:ascii="Times New Roman" w:hAnsi="Times New Roman"/>
        </w:rPr>
        <w:t>. În ceea ce privește restituirea bunurilor, legiuitorul a adoptat metoda dialogului interconfesional în cadrul comisiilor mixte. Art. 3 din Decretul-lege nr. 126/1990 a stabilit drept criteriu legal final de adoptat în cadrul procedurii comisiilor mixte „dorința credincioșilor din comunitățile care dețin aceste bunuri”.</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6. Adesea, concilierea nu a funcționat în practică, astfel încât dorința majorității este cea care a prevalat</w:t>
      </w:r>
      <w:r w:rsidRPr="00905AF4">
        <w:rPr>
          <w:rFonts w:ascii="Times New Roman" w:eastAsia="Times New Roman" w:hAnsi="Times New Roman" w:cs="Times New Roman"/>
          <w:vertAlign w:val="superscript"/>
          <w:lang w:val="fr-FR"/>
        </w:rPr>
        <w:footnoteReference w:id="2"/>
      </w:r>
      <w:r>
        <w:rPr>
          <w:rFonts w:ascii="Times New Roman" w:hAnsi="Times New Roman"/>
        </w:rPr>
        <w:t xml:space="preserve">. Într-adevăr, atunci când nu s-a putut ajunge la un acord, s-a menținut </w:t>
      </w:r>
      <w:r>
        <w:rPr>
          <w:rFonts w:ascii="Times New Roman" w:hAnsi="Times New Roman"/>
          <w:i/>
        </w:rPr>
        <w:t>statu-quo</w:t>
      </w:r>
      <w:r>
        <w:rPr>
          <w:rFonts w:ascii="Times New Roman" w:hAnsi="Times New Roman"/>
        </w:rPr>
        <w:t xml:space="preserve">, ceea ce a împiedicat </w:t>
      </w:r>
      <w:r>
        <w:rPr>
          <w:rFonts w:ascii="Times New Roman" w:hAnsi="Times New Roman"/>
          <w:i/>
        </w:rPr>
        <w:t>de facto</w:t>
      </w:r>
      <w:r>
        <w:rPr>
          <w:rFonts w:ascii="Times New Roman" w:hAnsi="Times New Roman"/>
        </w:rPr>
        <w:t xml:space="preserve"> Biserica și credincioșii greco-catolici să dispună de lăcașurile de cult corespunzătoare și să confere o vizibilitate normală existenței comunității lor religioase. În practică, în cadrul comisiilor mixte, criteriul dorinței credincioșilor a fost interpretat ca reprezentând voința majorității, așa că nu li s-a acordat tuturor credincioșilor dintr-o anumită unitate teritorială o șansă echitabilă de a-și face vocea auzită.</w:t>
      </w:r>
    </w:p>
    <w:p w:rsidR="00145DBC" w:rsidRPr="00905AF4" w:rsidRDefault="00145DBC" w:rsidP="00905AF4">
      <w:pPr>
        <w:pStyle w:val="OpiPara"/>
        <w:rPr>
          <w:rFonts w:eastAsia="Times New Roman"/>
        </w:rPr>
      </w:pPr>
      <w:r>
        <w:t>Atunci când comisiile mixte nu au ajuns la o soluție amiabilă, membrii Bisericii Greco-Catolice au inițiat acțiuni în justiție în baza dispozițiilor generale din Codul civil referitoare la acțiunile în revendicarea bunurilor imobile. Adoptarea Decretului-lege nr. 126/1990 a fost urmată de o perioadă de incertitudine juridică în care problema restituirii bunurilor imobile a fost soluționată fie prin compararea titlurilor de proprietate, fie prin compararea titlurilor de proprietate și aplicarea criteriului dorinței credincioșilor. Documentele de care dispune Curtea arată că, în cei peste 26 de ani de aplicare a acestui text, instanțele interne au adoptat o soluție contrară dorinței majorității numai o singură dată</w:t>
      </w:r>
      <w:r w:rsidRPr="00905AF4">
        <w:rPr>
          <w:rFonts w:eastAsia="Times New Roman"/>
          <w:vertAlign w:val="superscript"/>
          <w:lang w:val="fr-FR"/>
        </w:rPr>
        <w:footnoteReference w:id="3"/>
      </w:r>
      <w:r>
        <w:t>.</w:t>
      </w:r>
    </w:p>
    <w:p w:rsidR="00145DBC" w:rsidRPr="00905AF4" w:rsidRDefault="00145DBC" w:rsidP="00905AF4">
      <w:pPr>
        <w:pStyle w:val="OpiPara"/>
        <w:rPr>
          <w:rFonts w:eastAsia="Times New Roman"/>
        </w:rPr>
      </w:pPr>
      <w:r>
        <w:lastRenderedPageBreak/>
        <w:t>7. Ordonanța nr. 94/2000 cu modificările aduse prin Legea nr. 182/2005 prevedea că regimul juridic al imobilelor care au destinația de lăcaș de cult va fi reglementat prin lege specială. Dar, până în prezent, legea specială nu a fost încă adoptată. Reclamanții nu dispuneau așadar de alte acțiuni în justiție pentru a obține examinarea juridică a situației bunurilor respective.</w:t>
      </w:r>
    </w:p>
    <w:p w:rsidR="00145DBC" w:rsidRPr="00905AF4" w:rsidRDefault="00145DBC" w:rsidP="00905AF4">
      <w:pPr>
        <w:pStyle w:val="OpiHA"/>
        <w:rPr>
          <w:rFonts w:eastAsia="Times New Roman"/>
        </w:rPr>
      </w:pPr>
      <w:r>
        <w:t xml:space="preserve">Decretul-lege nr. 126/1990 ca </w:t>
      </w:r>
      <w:r>
        <w:rPr>
          <w:i/>
        </w:rPr>
        <w:t>lex specialis</w:t>
      </w:r>
    </w:p>
    <w:p w:rsidR="00145DBC" w:rsidRPr="00905AF4" w:rsidRDefault="00145DBC" w:rsidP="00905AF4">
      <w:pPr>
        <w:pStyle w:val="OpiPara"/>
        <w:rPr>
          <w:rFonts w:eastAsia="Times New Roman"/>
        </w:rPr>
      </w:pPr>
      <w:r>
        <w:t xml:space="preserve">8. În prezenta speță, Înalta Curte, bazându-se pe principiul </w:t>
      </w:r>
      <w:r>
        <w:rPr>
          <w:i/>
        </w:rPr>
        <w:t>lex specialis derogat legi generali</w:t>
      </w:r>
      <w:r>
        <w:t>, a considerat că criteriul dorinței credincioșilor formulat în textul specific trebuia să prevaleze asupra luării în considerare a titlurilor de proprietate prevăzute de legea generală, și anume Codul civil</w:t>
      </w:r>
      <w:r w:rsidRPr="00905AF4">
        <w:rPr>
          <w:rFonts w:eastAsia="Times New Roman"/>
          <w:vertAlign w:val="superscript"/>
          <w:lang w:val="fr-FR"/>
        </w:rPr>
        <w:footnoteReference w:id="4"/>
      </w:r>
      <w:r>
        <w:t>. Instanța a adăugat acestui argument juridic faptul că restituirea bunurilor către comunitatea greco-catolică ar fi adus atingere stabilității și securității raporturilor juridice: aceasta a considerat astfel că transferul abuziv al bunurilor comunității respective în patrimoniul Bisericii Ortodoxe în 1948 nu trebuia să fie urmat de un alt abuz în sens invers după căderea comunismului</w:t>
      </w:r>
      <w:r w:rsidRPr="00905AF4">
        <w:rPr>
          <w:rFonts w:eastAsia="Times New Roman"/>
          <w:vertAlign w:val="superscript"/>
          <w:lang w:val="fr-FR"/>
        </w:rPr>
        <w:footnoteReference w:id="5"/>
      </w:r>
      <w:r>
        <w:t>.</w:t>
      </w:r>
    </w:p>
    <w:p w:rsidR="00145DBC" w:rsidRPr="00905AF4" w:rsidRDefault="00145DBC" w:rsidP="00905AF4">
      <w:pPr>
        <w:pStyle w:val="OpiPara"/>
        <w:rPr>
          <w:rFonts w:eastAsia="Times New Roman"/>
        </w:rPr>
      </w:pPr>
      <w:r>
        <w:t>9. Cu alte cuvinte, criteriul „dorinței credincioșilor din comunitățile care dețin aceste bunuri” a fost considerat aplicabil în etapa concilierii administrative și în etapa contenciosului judiciar: acesta era așadar atât de natură procedurală prin aceea că avea legătură cu admisibilitatea revendicării bunurilor, cât și de natură substanțială prin aceea că determina soluționarea cauzei. Astfel, în prezenta speță, după examinarea fondului cauzei, adică a dorinței majorității, instanțele, potrivit Guvernului, au declarat acțiunea reclamanților „nu inadmisibilă ci vădit nefondată”</w:t>
      </w:r>
      <w:r w:rsidRPr="00905AF4">
        <w:rPr>
          <w:rFonts w:eastAsia="Times New Roman"/>
          <w:vertAlign w:val="superscript"/>
          <w:lang w:val="fr-FR"/>
        </w:rPr>
        <w:footnoteReference w:id="6"/>
      </w:r>
      <w:r>
        <w:t>. Pe scurt, Decretul-lege nr. 1990 astfel cum a fost completat în 2004 și 2005, astfel cum a fost interpretat și aplicat de Înalta Curte și de Curtea Constituțională a predeterminat soluția cauzei în sensul dorinței uneia dintre părți. Conform deciziei Înaltei Curți, imobilele trebuie, indiferent de momentul dobândirii lor și de modul în care au fost dobândite, să rămână în mâinile celor care le dețin dacă aceștia constituie majoritatea.</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lastRenderedPageBreak/>
        <w:t>10. Noi considerăm că decizia Înaltei Curți este contrară art. 6 din Convenție. În fața legii, reclamantul și pârâtul nu au fost pe picior de egalitate în raport cu criteriul de fond aplicat în litigiu, deoarece legea astfel cum a fost interpretată de Înalta Curte a acordat dorinței pârâtei o pondere decisivă în soluționarea acțiunii în justiție. O dispoziție de fond a legii a creat un obstacol procedural care face iluzoriu dreptul de acces la o instanță. În cazul în care soluția instanțelor depinde nu de aprecierea cauzei pe baza unor criterii echitabile, ci de dorința decisivă a pârâtului, care este partea cea mai puternică, substanța dreptului de acces la o instanță este anihilată. În prezenta speță, puterea faptului împlinit în favoarea părții mai puternice a determinat soluționarea litigiului privind bunurile.</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11. Mai mult decât atât, în măsura în care elementele pe baza cărora instanțele puteau aprecia dorința credincioșilor nu puteau fi deduse nici din litera nici din spiritul legii, reclamanții nu au avut la dispoziție un text previzibil care să le permită să își susțină cauza în mod eficient. Astfel, nicio lege nu a explicat modul în care trebuia determinată dorința credincioșilor, nici dacă judecătorii aveau vreo putere de a merge împotriva acestei dorințe. Acestei situații de vid juridic i s-a suprapus faptul că instanțele interne s-au pronunțat în sens contrar dorinței majorității numai o singură dată. Circumstanțele nu erau așadar de natură să promoveze securitatea juridică și încrederea publicului în administrarea justiției</w:t>
      </w:r>
      <w:r w:rsidRPr="00905AF4">
        <w:rPr>
          <w:rFonts w:ascii="Times New Roman" w:eastAsia="Times New Roman" w:hAnsi="Times New Roman" w:cs="Times New Roman"/>
          <w:vertAlign w:val="superscript"/>
          <w:lang w:val="fr-FR"/>
        </w:rPr>
        <w:footnoteReference w:id="7"/>
      </w:r>
      <w:r>
        <w:rPr>
          <w:rFonts w:ascii="Times New Roman" w:hAnsi="Times New Roman"/>
        </w:rPr>
        <w:t>.</w:t>
      </w:r>
    </w:p>
    <w:p w:rsidR="00145DBC" w:rsidRPr="00905AF4" w:rsidRDefault="00145DBC" w:rsidP="00905AF4">
      <w:pPr>
        <w:pStyle w:val="OpiHA"/>
        <w:rPr>
          <w:rFonts w:eastAsia="Times New Roman"/>
          <w:i/>
        </w:rPr>
      </w:pPr>
      <w:r>
        <w:t xml:space="preserve">Natura discriminatorie a </w:t>
      </w:r>
      <w:r>
        <w:rPr>
          <w:i/>
        </w:rPr>
        <w:t>lex specialis</w:t>
      </w:r>
    </w:p>
    <w:p w:rsidR="00145DBC" w:rsidRPr="00905AF4" w:rsidRDefault="00145DBC" w:rsidP="00905AF4">
      <w:pPr>
        <w:pStyle w:val="OpiPara"/>
        <w:rPr>
          <w:rFonts w:eastAsia="Times New Roman"/>
        </w:rPr>
      </w:pPr>
      <w:r>
        <w:t>12. La încălcarea art. 6 se adaugă o încălcare a principiului egalității și a interdicției discriminării bazate pe religie. În primul rând, Curtea nu ar trebui să ignore obiectul litigiului cu care au fost învestite instanțele naționale: acela al lăcașurilor de cult, a căror dimensiune spirituală depășește simpla problemă a dreptului de proprietate. Faptul că litigiul este între două comunități religioase care beneficiază de autonomie în dreptul intern ar trebui să fie totodată un factor important în examinarea cauzei. Mai mult, chiar dacă cele două comunități au fost persecutate sub regimul comunist român, este de asemenea relevant faptul că Biserica Ortodoxă a fost în mod cert beneficiara redistribuirii realizate în timpul acestui regim.</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 xml:space="preserve">Deși, în general, comunitățile religioase se bucurau de autonomie în dreptul intern în privința bunurile lor sacre, inclusiv bisericile, în cazul de față, fapt ce trebuie subliniat, legiuitorul însuși a prevăzut o excepție de la această autonomie [la art. 27 alin. (3) din Legea nr. 489/2006] cu privire la redobândirea bunurilor sacre confiscate în mod abuziv de stat în perioada 1940–1989 precum și a celor preluate fără titlu. În aceste condiții, era rezonabilă așteptarea reclamanților ca instanțele naționale să decidă dacă </w:t>
      </w:r>
      <w:r>
        <w:rPr>
          <w:rFonts w:ascii="Times New Roman" w:hAnsi="Times New Roman"/>
        </w:rPr>
        <w:lastRenderedPageBreak/>
        <w:t>bunurile erau deținute în mod legal sau nu, și asta în conformitate cu dreptul comun, respectiv Codul civil, în temeiul dispozițiilor referitoare la acțiunea în revendicare.</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13. Trebuie să se țină seama de obligația de neutralitate și imparțialitate a statului, astfel cum este definită de jurisprudența Curții. Obligația impune statului să se asigure că grupurile aflate în conflict se tolerează, chiar dacă acestea provin dintr-o scindare în cadrul aceluiași grup</w:t>
      </w:r>
      <w:r w:rsidRPr="00905AF4">
        <w:rPr>
          <w:rFonts w:ascii="Times New Roman" w:eastAsia="Times New Roman" w:hAnsi="Times New Roman" w:cs="Times New Roman"/>
          <w:vertAlign w:val="superscript"/>
          <w:lang w:val="fr-FR"/>
        </w:rPr>
        <w:footnoteReference w:id="8"/>
      </w:r>
      <w:r>
        <w:rPr>
          <w:rFonts w:ascii="Times New Roman" w:hAnsi="Times New Roman"/>
        </w:rPr>
        <w:t>. În prezenta cauză, prin faptul că a permis dorinței comunității religioase care deține bunurile să joace un rol-cheie în cadrul acțiunii în justiție inițiate de membrii unei alte comunități religioase în legătură cu un lăcaș de cult, statul pârât și-a încălcat obligația de neutralitate și imparțialitate.</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Pretinzând că respectă autonomia comunităților religioase, s-a adoptat o lege care a favorizat în mod clar o religie în raport cu alta. Principiul autonomiei religioase a fost distorsionat, astfel încât acesta a servit interesele majorității religioase, căreia i s-a permis să păstreze bunurile pe care le-a dobândit sub regimul comunist, în detrimentul unei minorități religioase persecutate. Această distorsionare a fost validată de Curtea Constituțională</w:t>
      </w:r>
      <w:r w:rsidRPr="00905AF4">
        <w:rPr>
          <w:rFonts w:ascii="Times New Roman" w:eastAsia="Times New Roman" w:hAnsi="Times New Roman" w:cs="Times New Roman"/>
          <w:vertAlign w:val="superscript"/>
          <w:lang w:val="fr-FR"/>
        </w:rPr>
        <w:footnoteReference w:id="9"/>
      </w:r>
      <w:r>
        <w:rPr>
          <w:rFonts w:ascii="Times New Roman" w:hAnsi="Times New Roman"/>
        </w:rPr>
        <w:t>. O astfel de lege constituie o formă inadmisibilă de discriminare directă într-un stat de drept care respectă principiul egalității.</w:t>
      </w:r>
    </w:p>
    <w:p w:rsidR="00145DBC" w:rsidRPr="00905AF4" w:rsidRDefault="00145DBC" w:rsidP="00905AF4">
      <w:pPr>
        <w:pStyle w:val="OpiPara"/>
        <w:rPr>
          <w:rFonts w:eastAsia="Times New Roman"/>
        </w:rPr>
      </w:pPr>
      <w:r>
        <w:t>14. În acest context, având în vedere obligația de a respecta principiul neutralității, legiuitorul ar fi trebuit să reglementeze dreptul de acces la o instanță astfel încât să garanteze accesul efectiv la instanță ambelor părți</w:t>
      </w:r>
      <w:r w:rsidRPr="00905AF4">
        <w:rPr>
          <w:rFonts w:eastAsia="Times New Roman"/>
          <w:vertAlign w:val="superscript"/>
          <w:lang w:val="fr-FR"/>
        </w:rPr>
        <w:footnoteReference w:id="10"/>
      </w:r>
      <w:r>
        <w:t>, asigurându-se că criteriul ales pentru soluționarea litigiului le pune pe picior de egalitate.  De asemenea, trebuie subliniat că principiul egalității comunităților religioase în fața legii este prevăzut în Constituția României. În plus, legiuitorul a prevăzut expres o excepție de la principiul autonomiei comunităților religioase în ceea ce privește soluționarea litigiilor având ca obiect restituirea lăcașurilor de cult confiscate în mod abuziv de stat în perioada 1940–1989. Prin urmare, chiar dacă a fost conștient de natura sensibilă a problemelor juridice referitoare la aceste lăcașuri de cult, statul pârât nu și-a îndeplinit rolul legislativ în acest domeniu, în conformitate cu obligația sa de neutralitate și imparțialitate.</w:t>
      </w:r>
    </w:p>
    <w:p w:rsidR="00145DBC" w:rsidRPr="00905AF4" w:rsidRDefault="00145DBC" w:rsidP="00905AF4">
      <w:pPr>
        <w:pStyle w:val="OpiPara"/>
        <w:rPr>
          <w:rFonts w:eastAsia="Times New Roman"/>
        </w:rPr>
      </w:pPr>
      <w:r>
        <w:lastRenderedPageBreak/>
        <w:t>Astfel, reclamanții au fost puși într-o situație de dezavantaj în raport cu cea a Bisericii Ortodoxe, pârâta din procesul respectiv. În aplicarea criteriului contestat în cadrul procedurilor judiciare, statul român a redus sarcina instanțelor la stabilirea dorinței pârâtei din proces. Prin urmare, nicio examinare de către o instanță nu putea permite remedierea diferenței de tratament pe care o prevedea legea însăși. În timp ce pârâta a beneficiat de stabilirea, de către instanță, a dorinței credincioșilor în vederea luării unei decizii privind situația juridică a lăcașului de cult, reclamanții nu au avut niciodată o astfel de posibilitate</w:t>
      </w:r>
      <w:r w:rsidRPr="00905AF4">
        <w:rPr>
          <w:rFonts w:eastAsia="Times New Roman"/>
          <w:vertAlign w:val="superscript"/>
          <w:lang w:val="fr-FR"/>
        </w:rPr>
        <w:footnoteReference w:id="11"/>
      </w:r>
      <w:r>
        <w:t>.</w:t>
      </w:r>
    </w:p>
    <w:p w:rsidR="00E65D65" w:rsidRPr="00905AF4" w:rsidRDefault="00145DBC" w:rsidP="00905AF4">
      <w:pPr>
        <w:pStyle w:val="OpiHA"/>
        <w:rPr>
          <w:rFonts w:eastAsia="Times New Roman"/>
        </w:rPr>
      </w:pPr>
      <w:r>
        <w:t xml:space="preserve">Aplicabilitatea alternativă a </w:t>
      </w:r>
      <w:r>
        <w:rPr>
          <w:i/>
        </w:rPr>
        <w:t>lex generalis</w:t>
      </w:r>
    </w:p>
    <w:p w:rsidR="00E65D65" w:rsidRPr="00905AF4" w:rsidRDefault="00145DBC" w:rsidP="00905AF4">
      <w:pPr>
        <w:pStyle w:val="OpiPara"/>
        <w:rPr>
          <w:rFonts w:eastAsia="Times New Roman"/>
        </w:rPr>
      </w:pPr>
      <w:r>
        <w:t>15. Susținând concluziile Înaltei Curți, Guvernul afirmă că restituirea bunurilor greco-catolice proprietarilor lor originali ar constitui o nedreptate față de comunitatea religioasă majoritară și că o nedreptate veche nu ar trebui să fie înlocuită cu una nouă. La prima vedere, acest argument pare rezonabil. Totuși, acesta implică ceva ce trebuie să fie demonstrat. Este de fapt o declarație de principiu, care ne readuce la problema „nedreptății”, stabilind ca premisă (nedreptatea restituirii bunurilor) ceva ce este de fapt concluzia.</w:t>
      </w:r>
    </w:p>
    <w:p w:rsidR="003A2B8F" w:rsidRPr="00905AF4" w:rsidRDefault="00145DBC" w:rsidP="00905AF4">
      <w:pPr>
        <w:pStyle w:val="OpiPara"/>
        <w:rPr>
          <w:rFonts w:eastAsia="Times New Roman"/>
        </w:rPr>
      </w:pPr>
      <w:r>
        <w:t>16. Acest argument, presupunând că i se poate atribui vreo valoare juridică, se bazează în esență pe prezumția că, în cazul în care instanțele naționale nu ar fi aplicat criteriul „dorinței credincioșilor” în acțiunile în revendicarea proprietăților introduse de greco-catolici, ar fi predominat haosul juridic. Această prezumție trebuie respinsă cu fermitate. Securitatea raporturilor juridice nu ar fi fost pusă în discuție într-un astfel de caz pentru simplul motiv că atunci s-ar fi aplicat normele de drept civil general. Dacă instanțele interne ar fi ales să nu aplice criteriul din 1990 în cadrul procedurilor judiciare, acțiunile introduse de comunitatea greco-catolică ar fi fost reglementate de dispozițiile referitoare la acțiunile în revendicarea bunurilor, bazate pe compararea titlurilor de proprietate. Nu ar fi existat niciun vid juridic și, prin urmare, nicio incertitudine juridică, dacă instanțele naționale ar fi aplicat dispozițiile generale ale Codului civil.</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 xml:space="preserve">17. În concluzie, este inutil să spunem că o constatare a încălcării art. 6 ca urmare a lipsei de acces la o instanță ar risca în primul rând să deschidă o nouă perioadă de incertitudine juridică pe plan intern și în al doilea rând să înlocuiască o nedreptate veche cu o nedreptate nouă, fără a avea nici cea mai mică idee despre modul în care legiuitorul român ar putea remedia încălcarea constatată. Există și mai puține motive să afirmăm că în cazul în care instanțele naționale ar fi trebuit pur și simplu să înceteze să aplice criteriul contestat al dorinței majorității credincioșilor și să se limiteze la compararea, în sensul strict al termenului, a titlurilor de proprietate, Curtea ar fi expusă riscului de a vedea cererile introduse de credincioșii unei comunități înlocuite </w:t>
      </w:r>
      <w:r>
        <w:rPr>
          <w:rFonts w:ascii="Times New Roman" w:hAnsi="Times New Roman"/>
        </w:rPr>
        <w:lastRenderedPageBreak/>
        <w:t>de o serie de cereri noi din partea credincioșilor celeilalte comunități. Problema numărului de cereri pe care le primește Curtea nu ar trebui să fie luată în considerare în momentul înfăptuirii actului de justiție. Acesta este un considerent utilitar și centrat pe sine, care presupune în mod eronat că instanțele interne nu sunt în măsură să îndeplinească actul de justiție aplicând legislația națională.</w:t>
      </w:r>
    </w:p>
    <w:p w:rsidR="00145DBC" w:rsidRPr="00905AF4" w:rsidRDefault="00145DBC" w:rsidP="00905AF4">
      <w:pPr>
        <w:pStyle w:val="OpiHA"/>
        <w:rPr>
          <w:rFonts w:eastAsia="Times New Roman"/>
        </w:rPr>
      </w:pPr>
      <w:r>
        <w:t>Lipsa de măsuri compensatorii referitoare la lipsirea de proprietate</w:t>
      </w:r>
    </w:p>
    <w:p w:rsidR="00145DBC" w:rsidRPr="00905AF4" w:rsidRDefault="00145DBC" w:rsidP="00905AF4">
      <w:pPr>
        <w:pStyle w:val="OpiPara"/>
        <w:rPr>
          <w:rFonts w:eastAsia="Times New Roman"/>
        </w:rPr>
      </w:pPr>
      <w:r>
        <w:t>18. Guvernul susține, în plus față de argumentele formulate de Înalta Curte, că legislația internă prevedea măsuri compensatorii în favoarea părții care nu mai păstra lăcașul de cult și că reclamanții nu au încercat să facă uz de această posibilitate oferită de dreptul român. Dacă ar fi făcut-o, nedreptatea istorică de bază ar fi putut fi reparată, dar nu și încălcarea Convenției sub aspectul lipsei de acces la o instanță.</w:t>
      </w:r>
    </w:p>
    <w:p w:rsidR="00145DBC" w:rsidRPr="00905AF4" w:rsidRDefault="00145DBC" w:rsidP="00905AF4">
      <w:pPr>
        <w:pStyle w:val="OpiPara"/>
        <w:rPr>
          <w:rFonts w:eastAsia="Times New Roman"/>
        </w:rPr>
      </w:pPr>
      <w:r>
        <w:t>Oricât de lăudabile ar fi ele, aceste inițiative legislative și practici nu sunt altfel decât complet discreționare și limitate. Deși art. 4 din Decretul-lege din 1990 este formulat în termeni imperativi („statul va sprijini”), acesta nu precizează criteriile de aplicat pentru stabilirea întinderii „sprijinului statului”, care rămâne în întregime la latitudinea autorităților. Nici o dispoziție legislativă sau administrativă nu indică dacă, cum și când statul ar trebui să-și ofere sprijinul. Prin urmare, art. 4 nu ar fi condus la un control jurisdicțional independent care să permită judecătorilor să „se pronunțe” asupra tuturor aspectelor chestiunii juridice cu care au fost sesizați. Prin urmare, nu se poate considera că acest mecanism compensează limitarea pe care criteriul dorinței credincioșilor a adus-o dreptului de acces la o instanță al reclamanților</w:t>
      </w:r>
      <w:r w:rsidRPr="00905AF4">
        <w:rPr>
          <w:rFonts w:eastAsia="Times New Roman"/>
          <w:vertAlign w:val="superscript"/>
          <w:lang w:val="fr-FR"/>
        </w:rPr>
        <w:footnoteReference w:id="12"/>
      </w:r>
      <w:r>
        <w:t>.</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19. În plus, bisericile și cimitirele nu sunt bunuri comerciale care au un preț. Pentru credincioși, acestea sunt mai presus de toate locuri cu o valoare unică și intrinsecă nenegociabilă. Clădirile ca și terenul pe care acestea se află au o dimensiune spirituală și istorică, care nu răspunde la legile pieței. În aceste condiții, este foarte dificil să se elaboreze criteriile juridice corecte pentru a determina întinderea sprijinului pe care statul trebuie să îl ofere pentru a „compensa” pierderea acestor lăcașuri de cult cu valoare unică și intrinsecă.</w:t>
      </w:r>
    </w:p>
    <w:p w:rsidR="00145DBC" w:rsidRPr="00905AF4" w:rsidRDefault="00145DBC" w:rsidP="00905AF4">
      <w:pPr>
        <w:pStyle w:val="OpiPara"/>
        <w:rPr>
          <w:rFonts w:ascii="Times New Roman" w:eastAsia="Times New Roman" w:hAnsi="Times New Roman" w:cs="Times New Roman"/>
        </w:rPr>
      </w:pPr>
      <w:r>
        <w:rPr>
          <w:rFonts w:ascii="Times New Roman" w:hAnsi="Times New Roman"/>
        </w:rPr>
        <w:t>Mai mult decât atât, iar acest lucru nu a fost contestat în prezenta speță, comunității greco-catolice din Lupeni nu i s-a oferit niciun alt lăcaș de cult. Până în prezent, niciuna dintre cele două biserici deținute înainte de 1948 nu i-a fost restituită.</w:t>
      </w:r>
    </w:p>
    <w:p w:rsidR="00145DBC" w:rsidRPr="00905AF4" w:rsidRDefault="00145DBC" w:rsidP="00905AF4">
      <w:pPr>
        <w:pStyle w:val="OpiHA"/>
        <w:rPr>
          <w:rFonts w:eastAsia="Times New Roman"/>
        </w:rPr>
      </w:pPr>
      <w:r>
        <w:lastRenderedPageBreak/>
        <w:t>Concluzie</w:t>
      </w:r>
    </w:p>
    <w:p w:rsidR="00145DBC" w:rsidRPr="00905AF4" w:rsidRDefault="00145DBC" w:rsidP="00905AF4">
      <w:pPr>
        <w:pStyle w:val="OpiPara"/>
        <w:rPr>
          <w:rFonts w:eastAsia="Times New Roman"/>
        </w:rPr>
      </w:pPr>
      <w:r>
        <w:t>20. În lumina celor de mai sus, considerăm că dispoziția criticată (art. 3 din Decretul-lege nr. 126/1990) a adus atingere înseși esenței dreptului de acces la o instanță al reclamanților, drept garantat de art. 6 luat separat și coroborat cu art. 14. Protecția minorităților este aproape întotdeauna nepopulară, cu atât mai mult protecția minorităților religioase. Europa are o lungă istorie de nerespectare de către majoritățile religioase a drepturilor minorităților religioase. Acesta este un domeniu în care normele democratice actuale obligă majoritatea să dea dovadă de moderație pentru a respecta minoritățile. Din păcate, prezenta cauză arată că statele sunt deseori reticente să revină asupra nedreptăților comise împotriva minorităților religioase atunci când în joc se află interesele majorității religioase.</w:t>
      </w:r>
    </w:p>
    <w:p w:rsidR="00145DBC" w:rsidRPr="00FA220B" w:rsidRDefault="00145DBC" w:rsidP="00905AF4">
      <w:pPr>
        <w:ind w:firstLine="284"/>
        <w:rPr>
          <w:rFonts w:ascii="Times New Roman" w:eastAsia="Times New Roman" w:hAnsi="Times New Roman" w:cs="Times New Roman"/>
        </w:rPr>
      </w:pPr>
    </w:p>
    <w:p w:rsidR="00145DBC" w:rsidRPr="00FA220B" w:rsidRDefault="00145DBC" w:rsidP="00905AF4">
      <w:pPr>
        <w:ind w:firstLine="284"/>
        <w:rPr>
          <w:rFonts w:ascii="Times New Roman" w:eastAsia="Times New Roman" w:hAnsi="Times New Roman" w:cs="Times New Roman"/>
        </w:rPr>
      </w:pPr>
    </w:p>
    <w:p w:rsidR="00145DBC" w:rsidRPr="00905AF4" w:rsidRDefault="00145DBC" w:rsidP="00905AF4">
      <w:pPr>
        <w:pStyle w:val="JuParaLast"/>
        <w:ind w:firstLine="0"/>
        <w:rPr>
          <w:rFonts w:ascii="Times New Roman" w:eastAsia="Times New Roman" w:hAnsi="Times New Roman" w:cs="Times New Roman"/>
        </w:rPr>
      </w:pPr>
      <w:r>
        <w:br w:type="page"/>
      </w:r>
    </w:p>
    <w:p w:rsidR="00F2277D" w:rsidRPr="00905AF4" w:rsidRDefault="00F2277D" w:rsidP="00905AF4">
      <w:pPr>
        <w:pStyle w:val="ECHRTitleCentre1"/>
        <w:rPr>
          <w:szCs w:val="28"/>
        </w:rPr>
      </w:pPr>
      <w:r>
        <w:lastRenderedPageBreak/>
        <w:t>OPINIA PARȚIAL SEPARATĂ A DOAMNEI JUDECĂTOR KARAKAŞ</w:t>
      </w:r>
    </w:p>
    <w:p w:rsidR="00E65D65" w:rsidRPr="00905AF4" w:rsidRDefault="00F2277D" w:rsidP="00905AF4">
      <w:pPr>
        <w:pStyle w:val="OpiPara"/>
      </w:pPr>
      <w:r>
        <w:t>Îmi exprim dezacordul în raport cu majoritatea în ceea ce privește suma acordată (4 700 de euro) cu titlu de despăgubire pentru prejudiciul moral și decizia de a nu acorda nimic cu titlu de despăgubire pentru prejudiciul material în cadrul punerii în aplicare a art. 41 din Convenție.</w:t>
      </w:r>
    </w:p>
    <w:p w:rsidR="00E65D65" w:rsidRPr="00905AF4" w:rsidRDefault="00F2277D" w:rsidP="00905AF4">
      <w:pPr>
        <w:pStyle w:val="OpiPara"/>
      </w:pPr>
      <w:r>
        <w:t>Curtea acordă suma sus-menționată ținând seama de angoasa și neplăcerile suferite de reclamanți ca urmare a încălcărilor constatate, cu alte cuvinte pentru a repara nerespectarea principiului securității juridice și durata excesivă a procedurii.</w:t>
      </w:r>
    </w:p>
    <w:p w:rsidR="00E65D65" w:rsidRPr="00905AF4" w:rsidRDefault="00F2277D" w:rsidP="00905AF4">
      <w:pPr>
        <w:pStyle w:val="OpiPara"/>
      </w:pPr>
      <w:r>
        <w:t>Opinez că a avut loc o încălcare a art. 6 § 1 privind dreptul de acces la o instanță dar și, din aceeași perspectivă, a art. 14 coroborat cu art. 6 § 1 (a se vedea opinia comună a judecătorilor de Sajó, Karakaş, Pinto de Albuquerque și Mits). Acesta este motivul pentru care consider insuficientă suma acordată pentru prejudiciul moral.</w:t>
      </w:r>
    </w:p>
    <w:p w:rsidR="00F2277D" w:rsidRPr="00905AF4" w:rsidRDefault="00F2277D" w:rsidP="00905AF4">
      <w:pPr>
        <w:pStyle w:val="OpiPara"/>
      </w:pPr>
      <w:r>
        <w:t>În ceea ce privește prejudiciul material, este clar că reclamanții au dreptul la repararea prejudiciului material, reparație care poate consta fie în restituirea bisericii, a terenului și a casei parohiale, fie în plata unei sume corespunzătoare valorii de piață a bunurilor imobile.</w:t>
      </w:r>
    </w:p>
    <w:p w:rsidR="00F2277D" w:rsidRPr="00FA220B" w:rsidRDefault="00F2277D" w:rsidP="00905AF4">
      <w:pPr>
        <w:pStyle w:val="OpiPara"/>
      </w:pPr>
    </w:p>
    <w:p w:rsidR="00F2277D" w:rsidRPr="00FA220B" w:rsidRDefault="00F2277D" w:rsidP="00905AF4">
      <w:pPr>
        <w:pStyle w:val="OpiPara"/>
      </w:pPr>
    </w:p>
    <w:p w:rsidR="00F2277D" w:rsidRPr="00905AF4" w:rsidRDefault="00F2277D" w:rsidP="00905AF4">
      <w:pPr>
        <w:pStyle w:val="JuParaLast"/>
        <w:ind w:firstLine="0"/>
      </w:pPr>
      <w:r>
        <w:br w:type="page"/>
      </w:r>
    </w:p>
    <w:p w:rsidR="00F2277D" w:rsidRPr="00905AF4" w:rsidRDefault="00F2277D" w:rsidP="00905AF4">
      <w:pPr>
        <w:pStyle w:val="OpiHA"/>
        <w:jc w:val="center"/>
        <w:rPr>
          <w:rFonts w:eastAsia="Times New Roman"/>
          <w:b w:val="0"/>
          <w:sz w:val="28"/>
        </w:rPr>
      </w:pPr>
      <w:r>
        <w:rPr>
          <w:b w:val="0"/>
          <w:sz w:val="28"/>
        </w:rPr>
        <w:lastRenderedPageBreak/>
        <w:t>OPINIA PARȚIAL SEPARATĂ A DOMNULUI JUDECĂTOR KŪRIS</w:t>
      </w:r>
    </w:p>
    <w:p w:rsidR="00703230" w:rsidRPr="00905AF4" w:rsidRDefault="00703230" w:rsidP="00905AF4">
      <w:pPr>
        <w:pStyle w:val="OpiTranslation"/>
        <w:rPr>
          <w:rFonts w:eastAsia="Times New Roman"/>
        </w:rPr>
      </w:pPr>
      <w:r>
        <w:t>(Traducere)</w:t>
      </w:r>
    </w:p>
    <w:p w:rsidR="00703230" w:rsidRPr="00FA220B" w:rsidRDefault="00703230" w:rsidP="00905AF4">
      <w:pPr>
        <w:pStyle w:val="OpiPara"/>
        <w:rPr>
          <w:lang w:val="en-US"/>
        </w:rPr>
      </w:pPr>
    </w:p>
    <w:p w:rsidR="00F2277D" w:rsidRPr="00905AF4" w:rsidRDefault="00F2277D" w:rsidP="00905AF4">
      <w:pPr>
        <w:pStyle w:val="OpiPara"/>
        <w:rPr>
          <w:rFonts w:eastAsia="Times New Roman"/>
        </w:rPr>
      </w:pPr>
      <w:r>
        <w:t>1. Am votat împotriva punctelor 1, 5 și 7 din dispozitivul hotărârii. Motivele pentru care nu sunt de acord cu majoritatea sunt foarte similare celor stabilite în opinia parțial separată comună a judecătorilor Sajó, Karakaş, Pinto de Albuquerque și Mits.</w:t>
      </w:r>
    </w:p>
    <w:p w:rsidR="00F2277D" w:rsidRPr="00905AF4" w:rsidRDefault="00F2277D" w:rsidP="00905AF4">
      <w:pPr>
        <w:pStyle w:val="OpiPara"/>
        <w:rPr>
          <w:rFonts w:eastAsia="Times New Roman"/>
        </w:rPr>
      </w:pPr>
      <w:r>
        <w:t>2. Este regretabilă concluzia Camerei de a declara inadmisibil capătul de cerere întemeiat de reclamanți pe art. 1 din Protocolul nr. 1, luat separat dar și coroborat cu art. 13 și 14 din Convenție. Nu pot subscrie acestei concluzii. În practică, aceasta a împiedicat Marea Cameră să examineze capătul de cerere al reclamanților prin prisma acestor dispoziții, întrucât, conform jurisprudenței Curții, „cauza” trimisă la Marea Cameră este cererea așa cum a fost declarată admisibilă de Cameră (a se vedea pct. 61-63 din hotărâre). În prezenta speță, se află în discuție chestiuni legate de bunuri, adică aspecte ce intră în mod direct sub incidența art. 1 din Protocolul nr. 1. Tocmai acest aspect al cauzei nu a fost examinat de Marea Cameră. Acest lucru ridică îndoieli cu privire la oportunitatea aplicării fără distincție a „jurisprudenței” Curții menționate anterior: la urma urmei, hotărârea prin care Camera a constatat inadmisibilitatea acestui capăt de cerere nu a rămas definitivă.</w:t>
      </w:r>
    </w:p>
    <w:p w:rsidR="00785DE6" w:rsidRPr="00FA220B" w:rsidRDefault="00785DE6" w:rsidP="00905AF4">
      <w:pPr>
        <w:pStyle w:val="JuParaLast"/>
        <w:ind w:firstLine="0"/>
      </w:pPr>
    </w:p>
    <w:sectPr w:rsidR="00785DE6" w:rsidRPr="00FA220B" w:rsidSect="00F2277D">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151" w:rsidRPr="0045067D" w:rsidRDefault="00093151" w:rsidP="00E77CB3">
      <w:pPr>
        <w:rPr>
          <w:lang w:val="fr-FR"/>
        </w:rPr>
      </w:pPr>
      <w:r w:rsidRPr="0045067D">
        <w:rPr>
          <w:lang w:val="fr-FR"/>
        </w:rPr>
        <w:separator/>
      </w:r>
    </w:p>
  </w:endnote>
  <w:endnote w:type="continuationSeparator" w:id="0">
    <w:p w:rsidR="00093151" w:rsidRPr="0045067D" w:rsidRDefault="00093151"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150BFA" w:rsidRDefault="00A57245" w:rsidP="009462D3">
    <w:pPr>
      <w:jc w:val="left"/>
    </w:pPr>
  </w:p>
  <w:p w:rsidR="00A57245" w:rsidRPr="009462D3" w:rsidRDefault="00A57245" w:rsidP="0014795A">
    <w:pPr>
      <w:pStyle w:val="Subsol"/>
      <w:jc w:val="center"/>
      <w:rPr>
        <w:sz w:val="4"/>
        <w:szCs w:val="4"/>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151" w:rsidRPr="0045067D" w:rsidRDefault="00093151" w:rsidP="00E77CB3">
      <w:pPr>
        <w:rPr>
          <w:lang w:val="fr-FR"/>
        </w:rPr>
      </w:pPr>
      <w:r w:rsidRPr="0045067D">
        <w:rPr>
          <w:lang w:val="fr-FR"/>
        </w:rPr>
        <w:separator/>
      </w:r>
    </w:p>
  </w:footnote>
  <w:footnote w:type="continuationSeparator" w:id="0">
    <w:p w:rsidR="00093151" w:rsidRPr="0045067D" w:rsidRDefault="00093151" w:rsidP="00E77CB3">
      <w:pPr>
        <w:rPr>
          <w:lang w:val="fr-FR"/>
        </w:rPr>
      </w:pPr>
      <w:r w:rsidRPr="0045067D">
        <w:rPr>
          <w:lang w:val="fr-FR"/>
        </w:rPr>
        <w:continuationSeparator/>
      </w:r>
    </w:p>
  </w:footnote>
  <w:footnote w:id="1">
    <w:p w:rsidR="00A57245" w:rsidRPr="002B7300" w:rsidRDefault="00A57245" w:rsidP="00145DBC">
      <w:pPr>
        <w:pStyle w:val="Textnotdesubsol"/>
      </w:pPr>
      <w:r>
        <w:t>1. Potrivit informațiilor de pe pagina internet a Bisericii Greco-Catolice Române, comunitatea numără în prezent circa 750 000 de credincioși. În cele două zone principale de practicare a acestui cult (Banat și Transilvania), greco-catolicii reprezintă circa 15 % din populație, față de 50 % în 1948.</w:t>
      </w:r>
    </w:p>
  </w:footnote>
  <w:footnote w:id="2">
    <w:p w:rsidR="00A57245" w:rsidRPr="002B7300" w:rsidRDefault="00A57245" w:rsidP="00145DBC">
      <w:pPr>
        <w:pStyle w:val="Textnotdesubsol"/>
      </w:pPr>
      <w:r>
        <w:rPr>
          <w:lang w:val="fr-FR"/>
        </w:rPr>
        <w:footnoteRef/>
      </w:r>
      <w:r>
        <w:t xml:space="preserve">. Conform datelor prezentate de ECRI, din 6 723 cereri de restituire, 1 110 au fost procesate de Comisia specială de retrocedare începând din 2005, restituirea în natură s-a făcut în 139 de cazuri și s-au făcut propuneri de despăgubire în 52 de cazuri (a se vedea pct. 59-60 din hotărâre). </w:t>
      </w:r>
    </w:p>
  </w:footnote>
  <w:footnote w:id="3">
    <w:p w:rsidR="00A57245" w:rsidRPr="002B7300" w:rsidRDefault="00A57245" w:rsidP="00145DBC">
      <w:pPr>
        <w:pStyle w:val="Textnotdesubsol"/>
      </w:pPr>
      <w:r>
        <w:rPr>
          <w:lang w:val="fr-FR"/>
        </w:rPr>
        <w:footnoteRef/>
      </w:r>
      <w:r>
        <w:t>. Guvernul a putut să prezinte un singur exemplu de caz în care instanțele interne au dispus restituirea bunurilor Bisericii Greco-Catolice în loc să dea curs dorinței majorității (a se vedea pct. 97 din hotărâre).</w:t>
      </w:r>
    </w:p>
  </w:footnote>
  <w:footnote w:id="4">
    <w:p w:rsidR="00A57245" w:rsidRPr="002B7300" w:rsidRDefault="00A57245" w:rsidP="00145DBC">
      <w:pPr>
        <w:pStyle w:val="Textnotdesubsol"/>
      </w:pPr>
      <w:r>
        <w:rPr>
          <w:lang w:val="fr-FR"/>
        </w:rPr>
        <w:footnoteRef/>
      </w:r>
      <w:r>
        <w:t>. Fragmentul relevant din hotărârea Înaltei Curți are următorul conținut: „Învestită cu o astfel de cerere instanța de judecată nu poate ignora reglementarea specială în materie care impune drept criteriu de care să se țină seama în rezolvarea unor asemenea pretenții, dorința credincioșilor din comunitatea care deține bunurile. (…) Faptul că s-a stabilit drept criteriu de preferință dorința credincioșilor este un aspect de opțiune a legiuitorului care a înțeles să reglementeze astfel într-o materie ce vizează imobile cu o anumită afectațiune (lăcașuri de cult), instanței de judecată nefiindu-i permis să cenzureze oportunitatea legii.”</w:t>
      </w:r>
    </w:p>
  </w:footnote>
  <w:footnote w:id="5">
    <w:p w:rsidR="00A57245" w:rsidRPr="002B7300" w:rsidRDefault="00A57245" w:rsidP="00145DBC">
      <w:pPr>
        <w:pStyle w:val="Textnotdesubsol"/>
      </w:pPr>
      <w:r>
        <w:rPr>
          <w:lang w:val="fr-FR"/>
        </w:rPr>
        <w:footnoteRef/>
      </w:r>
      <w:r>
        <w:t>. Fragmentul relevant din hotărârea Înaltei Curți are următorul conținut: „Or, restituirea bunurilor ce au aparținut Bisericii Greco-Catolice fără respectarea condiției impuse de art. 3 alin. (1) din Decretul-lege nr. 126/1990 ar aduce atingere stabilității și securității raporturilor juridice. Aceasta, întrucât reconstituirea dreptului nu se poate face în abstract, ignorând realitățile sociale și istorice, iar atenuarea vechilor prejudicii nu trebuie să creeze noi neajunsuri, disproporționate [...].”</w:t>
      </w:r>
    </w:p>
  </w:footnote>
  <w:footnote w:id="6">
    <w:p w:rsidR="00A57245" w:rsidRPr="002B7300" w:rsidRDefault="00A57245" w:rsidP="00145DBC">
      <w:pPr>
        <w:pStyle w:val="Textnotdesubsol"/>
      </w:pPr>
      <w:r>
        <w:rPr>
          <w:lang w:val="fr-FR"/>
        </w:rPr>
        <w:footnoteRef/>
      </w:r>
      <w:r>
        <w:t>. A se vedea pct. 83 din hotărâre.</w:t>
      </w:r>
    </w:p>
  </w:footnote>
  <w:footnote w:id="7">
    <w:p w:rsidR="00A57245" w:rsidRPr="002B7300" w:rsidRDefault="00A57245" w:rsidP="00145DBC">
      <w:pPr>
        <w:pStyle w:val="Textnotdesubsol"/>
      </w:pPr>
      <w:r>
        <w:rPr>
          <w:lang w:val="fr-FR"/>
        </w:rPr>
        <w:footnoteRef/>
      </w:r>
      <w:r>
        <w:t xml:space="preserve">. A se vedea, </w:t>
      </w:r>
      <w:r>
        <w:rPr>
          <w:i/>
        </w:rPr>
        <w:t>mutatis mutandis</w:t>
      </w:r>
      <w:r>
        <w:t xml:space="preserve">, </w:t>
      </w:r>
      <w:r>
        <w:rPr>
          <w:i/>
        </w:rPr>
        <w:t>Tinnelly &amp; Sons Ltd și alții și McElduff și alții împotriva Regatului Unit</w:t>
      </w:r>
      <w:r>
        <w:t xml:space="preserve">, 10 iulie 1998, pct. 78, </w:t>
      </w:r>
      <w:r>
        <w:rPr>
          <w:i/>
        </w:rPr>
        <w:t>Culegere de hotărâri și decizii</w:t>
      </w:r>
      <w:r>
        <w:t xml:space="preserve"> 1998-IV.</w:t>
      </w:r>
    </w:p>
  </w:footnote>
  <w:footnote w:id="8">
    <w:p w:rsidR="00A57245" w:rsidRPr="002B7300" w:rsidRDefault="00A57245" w:rsidP="00145DBC">
      <w:pPr>
        <w:pStyle w:val="Textnotdesubsol"/>
      </w:pPr>
      <w:r>
        <w:rPr>
          <w:lang w:val="fr-FR"/>
        </w:rPr>
        <w:footnoteRef/>
      </w:r>
      <w:r>
        <w:t xml:space="preserve">. </w:t>
      </w:r>
      <w:r>
        <w:rPr>
          <w:i/>
        </w:rPr>
        <w:t>Mitropolia Basarabiei și alții împotriva Moldovei</w:t>
      </w:r>
      <w:r>
        <w:t>, nr. 45701/99, pct. 123, CEDO 2001-XII.</w:t>
      </w:r>
    </w:p>
  </w:footnote>
  <w:footnote w:id="9">
    <w:p w:rsidR="00A57245" w:rsidRPr="002B7300" w:rsidRDefault="00A57245" w:rsidP="00145DBC">
      <w:pPr>
        <w:pStyle w:val="Textnotdesubsol"/>
      </w:pPr>
      <w:r>
        <w:rPr>
          <w:lang w:val="fr-FR"/>
        </w:rPr>
        <w:footnoteRef/>
      </w:r>
      <w:r>
        <w:t>. Fragmentul relevant din decizia Curții Constituționale are următorul conținut: „Prin aceeași decizie [nr. 23 din 27 aprilie 1993], Curtea [Constituțională] a statuat că democrația presupune și aplicarea principiului majorității [...] În condițiile în care în aceeași comunitate locală există credincioși ortodocși și greco-catolici, criteriul social al opțiunii majorității enoriașilor pentru determinarea destinației lăcașurilor de cult și a caselor parohiale corespunde principiului democratic al determinării folosinței religioase a acestui bun, în funcție de voința majoritară a celor care sunt beneficiarii acestei folosințe. Altminteri ar însemna ca, în mod nejustificat, credincioșii [...] majoritari să fie împiedicați să-și poată practica religia, dacă nu trec la cultul greco-catolic [...]” (a se vedea pct. 57 din hotărâre).</w:t>
      </w:r>
    </w:p>
  </w:footnote>
  <w:footnote w:id="10">
    <w:p w:rsidR="00A57245" w:rsidRPr="002B7300" w:rsidRDefault="00A57245" w:rsidP="00145DBC">
      <w:pPr>
        <w:pStyle w:val="Textnotdesubsol"/>
      </w:pPr>
      <w:r>
        <w:rPr>
          <w:lang w:val="fr-FR"/>
        </w:rPr>
        <w:footnoteRef/>
      </w:r>
      <w:r>
        <w:t xml:space="preserve">. A se vedea, </w:t>
      </w:r>
      <w:r>
        <w:rPr>
          <w:i/>
        </w:rPr>
        <w:t>mutatis mutandis</w:t>
      </w:r>
      <w:r>
        <w:t xml:space="preserve">, </w:t>
      </w:r>
      <w:r>
        <w:rPr>
          <w:i/>
        </w:rPr>
        <w:t>Anakomba Yula</w:t>
      </w:r>
      <w:r>
        <w:t xml:space="preserve"> </w:t>
      </w:r>
      <w:r>
        <w:rPr>
          <w:i/>
        </w:rPr>
        <w:t>împotriva Belgiei</w:t>
      </w:r>
      <w:r>
        <w:t>, nr. 45413/07, pct. 37-39, 10 martie 2009.</w:t>
      </w:r>
    </w:p>
  </w:footnote>
  <w:footnote w:id="11">
    <w:p w:rsidR="00A57245" w:rsidRPr="00EB40A4" w:rsidRDefault="00A57245" w:rsidP="00145DBC">
      <w:pPr>
        <w:pStyle w:val="Textnotdesubsol"/>
      </w:pPr>
      <w:r>
        <w:rPr>
          <w:lang w:val="fr-FR"/>
        </w:rPr>
        <w:footnoteRef/>
      </w:r>
      <w:r>
        <w:t xml:space="preserve">. </w:t>
      </w:r>
      <w:r>
        <w:rPr>
          <w:i/>
        </w:rPr>
        <w:t>Mizzi împotriva Maltei</w:t>
      </w:r>
      <w:r>
        <w:t>, nr. 26111/02, pct. 134, CEDO 2006-I (extrase).</w:t>
      </w:r>
    </w:p>
  </w:footnote>
  <w:footnote w:id="12">
    <w:p w:rsidR="00A57245" w:rsidRPr="002B7300" w:rsidRDefault="00A57245" w:rsidP="00145DBC">
      <w:pPr>
        <w:pStyle w:val="Textnotdesubsol"/>
      </w:pPr>
      <w:r>
        <w:rPr>
          <w:lang w:val="fr-FR"/>
        </w:rPr>
        <w:footnoteRef/>
      </w:r>
      <w:r>
        <w:t xml:space="preserve">. A se vedea, </w:t>
      </w:r>
      <w:r>
        <w:rPr>
          <w:i/>
        </w:rPr>
        <w:t>mutatis mutandis</w:t>
      </w:r>
      <w:r>
        <w:t xml:space="preserve">, </w:t>
      </w:r>
      <w:r>
        <w:rPr>
          <w:i/>
        </w:rPr>
        <w:t>Tinnelly &amp; Sons Ltd și alții și McElduff și alții</w:t>
      </w:r>
      <w:r>
        <w:t>, citată anterior, pct. 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4177A7" w:rsidRDefault="00A57245" w:rsidP="004177A7">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4177A7" w:rsidRDefault="00A57245" w:rsidP="004177A7">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537D2D" w:rsidRDefault="00A57245" w:rsidP="00C25B43">
    <w:pPr>
      <w:pStyle w:val="ECHRHeader"/>
      <w:jc w:val="center"/>
    </w:pPr>
    <w:r>
      <w:t>CAUZA PAROHIA GRECO-CATOLICĂ LUPENI ŞI ALŢII ÎMPOTRIVA ROMÂNIEI</w:t>
    </w:r>
  </w:p>
  <w:p w:rsidR="00A57245" w:rsidRPr="00C25B43" w:rsidRDefault="00A57245" w:rsidP="00C25B43">
    <w:pPr>
      <w:pStyle w:val="Antet"/>
      <w:jc w:val="right"/>
      <w:rPr>
        <w:lang w:val="fr-FR"/>
      </w:rPr>
    </w:pPr>
  </w:p>
  <w:p w:rsidR="00A57245" w:rsidRPr="00CF54C6" w:rsidRDefault="00A57245">
    <w:pPr>
      <w:rPr>
        <w:lang w:val="fr-FR"/>
      </w:rPr>
    </w:pPr>
  </w:p>
  <w:p w:rsidR="00A57245" w:rsidRPr="00CF54C6" w:rsidRDefault="00A57245">
    <w:pPr>
      <w:rPr>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4177A7" w:rsidRDefault="00A57245" w:rsidP="004177A7">
    <w:pPr>
      <w:pStyle w:val="Ante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45" w:rsidRPr="004177A7" w:rsidRDefault="00A57245" w:rsidP="004177A7">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537D2D"/>
    <w:rsid w:val="00001566"/>
    <w:rsid w:val="00001AE8"/>
    <w:rsid w:val="00002CDE"/>
    <w:rsid w:val="000041F8"/>
    <w:rsid w:val="000042A8"/>
    <w:rsid w:val="00004308"/>
    <w:rsid w:val="00004490"/>
    <w:rsid w:val="00004A63"/>
    <w:rsid w:val="00005BF0"/>
    <w:rsid w:val="00006116"/>
    <w:rsid w:val="00006412"/>
    <w:rsid w:val="000064E3"/>
    <w:rsid w:val="00007154"/>
    <w:rsid w:val="000103AE"/>
    <w:rsid w:val="00010625"/>
    <w:rsid w:val="000108AE"/>
    <w:rsid w:val="000111D7"/>
    <w:rsid w:val="00011500"/>
    <w:rsid w:val="00011982"/>
    <w:rsid w:val="00011D69"/>
    <w:rsid w:val="00011D8B"/>
    <w:rsid w:val="00012070"/>
    <w:rsid w:val="0001260F"/>
    <w:rsid w:val="00012AD3"/>
    <w:rsid w:val="00013103"/>
    <w:rsid w:val="0001450C"/>
    <w:rsid w:val="00015681"/>
    <w:rsid w:val="00015B8F"/>
    <w:rsid w:val="00015C2D"/>
    <w:rsid w:val="00015F00"/>
    <w:rsid w:val="00017137"/>
    <w:rsid w:val="0001774E"/>
    <w:rsid w:val="00017FBD"/>
    <w:rsid w:val="0002025D"/>
    <w:rsid w:val="00020302"/>
    <w:rsid w:val="0002033C"/>
    <w:rsid w:val="000207AE"/>
    <w:rsid w:val="0002149D"/>
    <w:rsid w:val="0002191E"/>
    <w:rsid w:val="00022B33"/>
    <w:rsid w:val="00022B8E"/>
    <w:rsid w:val="00022C1D"/>
    <w:rsid w:val="00023416"/>
    <w:rsid w:val="00023D0F"/>
    <w:rsid w:val="000241AC"/>
    <w:rsid w:val="00024979"/>
    <w:rsid w:val="00025274"/>
    <w:rsid w:val="00031DD8"/>
    <w:rsid w:val="00034987"/>
    <w:rsid w:val="00035B65"/>
    <w:rsid w:val="00040035"/>
    <w:rsid w:val="00040460"/>
    <w:rsid w:val="00040DEA"/>
    <w:rsid w:val="00040EFE"/>
    <w:rsid w:val="000429D0"/>
    <w:rsid w:val="000437EE"/>
    <w:rsid w:val="0004445C"/>
    <w:rsid w:val="00050E4F"/>
    <w:rsid w:val="00050EDE"/>
    <w:rsid w:val="00051C2C"/>
    <w:rsid w:val="00051D33"/>
    <w:rsid w:val="00053DCB"/>
    <w:rsid w:val="00054EFD"/>
    <w:rsid w:val="00054FB6"/>
    <w:rsid w:val="000571DE"/>
    <w:rsid w:val="000602DF"/>
    <w:rsid w:val="0006042B"/>
    <w:rsid w:val="000605DC"/>
    <w:rsid w:val="0006065F"/>
    <w:rsid w:val="00061B05"/>
    <w:rsid w:val="00062120"/>
    <w:rsid w:val="00062CC0"/>
    <w:rsid w:val="000632D5"/>
    <w:rsid w:val="00063617"/>
    <w:rsid w:val="000638CE"/>
    <w:rsid w:val="000644EE"/>
    <w:rsid w:val="00064EE2"/>
    <w:rsid w:val="00064EE8"/>
    <w:rsid w:val="00065373"/>
    <w:rsid w:val="0006679D"/>
    <w:rsid w:val="00066A71"/>
    <w:rsid w:val="00067566"/>
    <w:rsid w:val="00067BEE"/>
    <w:rsid w:val="0007153E"/>
    <w:rsid w:val="000723EB"/>
    <w:rsid w:val="00072A2B"/>
    <w:rsid w:val="000736BD"/>
    <w:rsid w:val="0007588F"/>
    <w:rsid w:val="00076430"/>
    <w:rsid w:val="00077607"/>
    <w:rsid w:val="00077D73"/>
    <w:rsid w:val="00080485"/>
    <w:rsid w:val="0008093C"/>
    <w:rsid w:val="00080DB1"/>
    <w:rsid w:val="00081005"/>
    <w:rsid w:val="00081108"/>
    <w:rsid w:val="0008175F"/>
    <w:rsid w:val="0008320B"/>
    <w:rsid w:val="00083804"/>
    <w:rsid w:val="00083978"/>
    <w:rsid w:val="00084368"/>
    <w:rsid w:val="00084935"/>
    <w:rsid w:val="00084DB9"/>
    <w:rsid w:val="000864EC"/>
    <w:rsid w:val="00086BEE"/>
    <w:rsid w:val="00086FAD"/>
    <w:rsid w:val="00087A59"/>
    <w:rsid w:val="00091546"/>
    <w:rsid w:val="00091614"/>
    <w:rsid w:val="000925AD"/>
    <w:rsid w:val="000927AE"/>
    <w:rsid w:val="00093151"/>
    <w:rsid w:val="000936FE"/>
    <w:rsid w:val="000938CB"/>
    <w:rsid w:val="000945EC"/>
    <w:rsid w:val="00095224"/>
    <w:rsid w:val="000952F7"/>
    <w:rsid w:val="0009778D"/>
    <w:rsid w:val="000A0517"/>
    <w:rsid w:val="000A185A"/>
    <w:rsid w:val="000A1A5B"/>
    <w:rsid w:val="000A24EB"/>
    <w:rsid w:val="000A2745"/>
    <w:rsid w:val="000A36D8"/>
    <w:rsid w:val="000A38B4"/>
    <w:rsid w:val="000A3B37"/>
    <w:rsid w:val="000A3E55"/>
    <w:rsid w:val="000A4437"/>
    <w:rsid w:val="000A4E62"/>
    <w:rsid w:val="000A70C5"/>
    <w:rsid w:val="000A78AC"/>
    <w:rsid w:val="000B04DE"/>
    <w:rsid w:val="000B0640"/>
    <w:rsid w:val="000B0BC5"/>
    <w:rsid w:val="000B179C"/>
    <w:rsid w:val="000B1F77"/>
    <w:rsid w:val="000B32D5"/>
    <w:rsid w:val="000B3F62"/>
    <w:rsid w:val="000B4D0C"/>
    <w:rsid w:val="000B6923"/>
    <w:rsid w:val="000B6C40"/>
    <w:rsid w:val="000B6FA7"/>
    <w:rsid w:val="000C04DC"/>
    <w:rsid w:val="000C04EC"/>
    <w:rsid w:val="000C0702"/>
    <w:rsid w:val="000C11D0"/>
    <w:rsid w:val="000C587B"/>
    <w:rsid w:val="000C5D62"/>
    <w:rsid w:val="000C5F3C"/>
    <w:rsid w:val="000C6DCC"/>
    <w:rsid w:val="000C6FA8"/>
    <w:rsid w:val="000C7DE8"/>
    <w:rsid w:val="000D04CF"/>
    <w:rsid w:val="000D1B84"/>
    <w:rsid w:val="000D2734"/>
    <w:rsid w:val="000D3018"/>
    <w:rsid w:val="000D30AD"/>
    <w:rsid w:val="000D371E"/>
    <w:rsid w:val="000D3AD0"/>
    <w:rsid w:val="000D47AA"/>
    <w:rsid w:val="000D4C2A"/>
    <w:rsid w:val="000D62EC"/>
    <w:rsid w:val="000D721F"/>
    <w:rsid w:val="000E022B"/>
    <w:rsid w:val="000E02AC"/>
    <w:rsid w:val="000E069B"/>
    <w:rsid w:val="000E09F2"/>
    <w:rsid w:val="000E0A3F"/>
    <w:rsid w:val="000E0CC8"/>
    <w:rsid w:val="000E0E52"/>
    <w:rsid w:val="000E0E82"/>
    <w:rsid w:val="000E1B54"/>
    <w:rsid w:val="000E1DC5"/>
    <w:rsid w:val="000E223F"/>
    <w:rsid w:val="000E239E"/>
    <w:rsid w:val="000E3239"/>
    <w:rsid w:val="000E3703"/>
    <w:rsid w:val="000E3C97"/>
    <w:rsid w:val="000E4526"/>
    <w:rsid w:val="000E4F0C"/>
    <w:rsid w:val="000E5501"/>
    <w:rsid w:val="000E59A4"/>
    <w:rsid w:val="000E5C1A"/>
    <w:rsid w:val="000E5E9E"/>
    <w:rsid w:val="000E7D45"/>
    <w:rsid w:val="000F00EF"/>
    <w:rsid w:val="000F0102"/>
    <w:rsid w:val="000F1B28"/>
    <w:rsid w:val="000F2012"/>
    <w:rsid w:val="000F40C3"/>
    <w:rsid w:val="000F4CA2"/>
    <w:rsid w:val="000F66BB"/>
    <w:rsid w:val="000F6DF7"/>
    <w:rsid w:val="000F7763"/>
    <w:rsid w:val="000F7851"/>
    <w:rsid w:val="000F7C40"/>
    <w:rsid w:val="00100EB0"/>
    <w:rsid w:val="0010199D"/>
    <w:rsid w:val="00102B32"/>
    <w:rsid w:val="00104119"/>
    <w:rsid w:val="00104E23"/>
    <w:rsid w:val="001067C5"/>
    <w:rsid w:val="00106831"/>
    <w:rsid w:val="001102DD"/>
    <w:rsid w:val="00111B0C"/>
    <w:rsid w:val="00112784"/>
    <w:rsid w:val="00112AC5"/>
    <w:rsid w:val="0011467D"/>
    <w:rsid w:val="0011469F"/>
    <w:rsid w:val="00114F20"/>
    <w:rsid w:val="0011514C"/>
    <w:rsid w:val="001160C2"/>
    <w:rsid w:val="00117723"/>
    <w:rsid w:val="00120D6C"/>
    <w:rsid w:val="00121D9A"/>
    <w:rsid w:val="00122B2D"/>
    <w:rsid w:val="00123CAB"/>
    <w:rsid w:val="00124016"/>
    <w:rsid w:val="0012497C"/>
    <w:rsid w:val="001257EC"/>
    <w:rsid w:val="00125F5A"/>
    <w:rsid w:val="00126347"/>
    <w:rsid w:val="00126E07"/>
    <w:rsid w:val="00130B85"/>
    <w:rsid w:val="00131123"/>
    <w:rsid w:val="00131A00"/>
    <w:rsid w:val="00131EC8"/>
    <w:rsid w:val="00131FB7"/>
    <w:rsid w:val="00133D33"/>
    <w:rsid w:val="001340CC"/>
    <w:rsid w:val="00134D64"/>
    <w:rsid w:val="00135A30"/>
    <w:rsid w:val="00135D9A"/>
    <w:rsid w:val="0013612C"/>
    <w:rsid w:val="00136F57"/>
    <w:rsid w:val="001377CD"/>
    <w:rsid w:val="00137FF6"/>
    <w:rsid w:val="0014011F"/>
    <w:rsid w:val="00140DE3"/>
    <w:rsid w:val="00141650"/>
    <w:rsid w:val="001423B1"/>
    <w:rsid w:val="00143302"/>
    <w:rsid w:val="00144A62"/>
    <w:rsid w:val="00144D0A"/>
    <w:rsid w:val="00144F3B"/>
    <w:rsid w:val="00145870"/>
    <w:rsid w:val="001459E2"/>
    <w:rsid w:val="00145DBC"/>
    <w:rsid w:val="0014664E"/>
    <w:rsid w:val="00146D4A"/>
    <w:rsid w:val="0014795A"/>
    <w:rsid w:val="001508E4"/>
    <w:rsid w:val="00150A69"/>
    <w:rsid w:val="001516A3"/>
    <w:rsid w:val="00152F53"/>
    <w:rsid w:val="00152F8D"/>
    <w:rsid w:val="001566FA"/>
    <w:rsid w:val="001609F2"/>
    <w:rsid w:val="0016174F"/>
    <w:rsid w:val="00161963"/>
    <w:rsid w:val="00161BB0"/>
    <w:rsid w:val="0016297D"/>
    <w:rsid w:val="00162A12"/>
    <w:rsid w:val="00162B46"/>
    <w:rsid w:val="00164323"/>
    <w:rsid w:val="001651A9"/>
    <w:rsid w:val="00165B7A"/>
    <w:rsid w:val="00166514"/>
    <w:rsid w:val="00166530"/>
    <w:rsid w:val="00167091"/>
    <w:rsid w:val="001677D1"/>
    <w:rsid w:val="00167856"/>
    <w:rsid w:val="0016794E"/>
    <w:rsid w:val="00170FCC"/>
    <w:rsid w:val="001710F2"/>
    <w:rsid w:val="0017285B"/>
    <w:rsid w:val="0017335A"/>
    <w:rsid w:val="001743C3"/>
    <w:rsid w:val="00174DCC"/>
    <w:rsid w:val="00175A9E"/>
    <w:rsid w:val="00176845"/>
    <w:rsid w:val="0017709D"/>
    <w:rsid w:val="0018082C"/>
    <w:rsid w:val="00182057"/>
    <w:rsid w:val="001823A3"/>
    <w:rsid w:val="001832BD"/>
    <w:rsid w:val="0018343F"/>
    <w:rsid w:val="00183B41"/>
    <w:rsid w:val="001852E8"/>
    <w:rsid w:val="0018598C"/>
    <w:rsid w:val="00190A87"/>
    <w:rsid w:val="00192BCF"/>
    <w:rsid w:val="00192C9C"/>
    <w:rsid w:val="001943B5"/>
    <w:rsid w:val="001945A1"/>
    <w:rsid w:val="0019475E"/>
    <w:rsid w:val="00194AD7"/>
    <w:rsid w:val="00195134"/>
    <w:rsid w:val="00195675"/>
    <w:rsid w:val="00197458"/>
    <w:rsid w:val="0019777D"/>
    <w:rsid w:val="001A04D8"/>
    <w:rsid w:val="001A145B"/>
    <w:rsid w:val="001A3156"/>
    <w:rsid w:val="001A3B37"/>
    <w:rsid w:val="001A3C27"/>
    <w:rsid w:val="001A4E20"/>
    <w:rsid w:val="001A65C7"/>
    <w:rsid w:val="001A674C"/>
    <w:rsid w:val="001A71FA"/>
    <w:rsid w:val="001B0CD5"/>
    <w:rsid w:val="001B1321"/>
    <w:rsid w:val="001B2B5E"/>
    <w:rsid w:val="001B3B24"/>
    <w:rsid w:val="001B5588"/>
    <w:rsid w:val="001B64B4"/>
    <w:rsid w:val="001B661C"/>
    <w:rsid w:val="001B72F5"/>
    <w:rsid w:val="001B752A"/>
    <w:rsid w:val="001B76A2"/>
    <w:rsid w:val="001C04EB"/>
    <w:rsid w:val="001C0F98"/>
    <w:rsid w:val="001C102D"/>
    <w:rsid w:val="001C2A42"/>
    <w:rsid w:val="001C30C7"/>
    <w:rsid w:val="001C3444"/>
    <w:rsid w:val="001C41FA"/>
    <w:rsid w:val="001C5709"/>
    <w:rsid w:val="001C5995"/>
    <w:rsid w:val="001C5D9C"/>
    <w:rsid w:val="001C69C9"/>
    <w:rsid w:val="001C6C55"/>
    <w:rsid w:val="001C6E70"/>
    <w:rsid w:val="001C702F"/>
    <w:rsid w:val="001D06ED"/>
    <w:rsid w:val="001D24BA"/>
    <w:rsid w:val="001D3591"/>
    <w:rsid w:val="001D3641"/>
    <w:rsid w:val="001D5260"/>
    <w:rsid w:val="001D5C2C"/>
    <w:rsid w:val="001D6202"/>
    <w:rsid w:val="001D63ED"/>
    <w:rsid w:val="001D6A19"/>
    <w:rsid w:val="001D7348"/>
    <w:rsid w:val="001E035B"/>
    <w:rsid w:val="001E04DE"/>
    <w:rsid w:val="001E0961"/>
    <w:rsid w:val="001E15F0"/>
    <w:rsid w:val="001E1AEA"/>
    <w:rsid w:val="001E23CF"/>
    <w:rsid w:val="001E365B"/>
    <w:rsid w:val="001E3D6F"/>
    <w:rsid w:val="001E3E0C"/>
    <w:rsid w:val="001E3EAE"/>
    <w:rsid w:val="001E437D"/>
    <w:rsid w:val="001E6F32"/>
    <w:rsid w:val="001E76A2"/>
    <w:rsid w:val="001F1C5B"/>
    <w:rsid w:val="001F2145"/>
    <w:rsid w:val="001F261F"/>
    <w:rsid w:val="001F2C33"/>
    <w:rsid w:val="001F3A77"/>
    <w:rsid w:val="001F3E93"/>
    <w:rsid w:val="001F46C4"/>
    <w:rsid w:val="001F4E43"/>
    <w:rsid w:val="001F52C5"/>
    <w:rsid w:val="001F6262"/>
    <w:rsid w:val="001F67B0"/>
    <w:rsid w:val="001F68BA"/>
    <w:rsid w:val="001F7B3D"/>
    <w:rsid w:val="001F7C56"/>
    <w:rsid w:val="00200A62"/>
    <w:rsid w:val="00202245"/>
    <w:rsid w:val="0020384A"/>
    <w:rsid w:val="002040B5"/>
    <w:rsid w:val="0020595A"/>
    <w:rsid w:val="00205F9F"/>
    <w:rsid w:val="00206199"/>
    <w:rsid w:val="002063A1"/>
    <w:rsid w:val="00210338"/>
    <w:rsid w:val="00210EF6"/>
    <w:rsid w:val="0021127E"/>
    <w:rsid w:val="002115FC"/>
    <w:rsid w:val="002128E3"/>
    <w:rsid w:val="00213250"/>
    <w:rsid w:val="002133C4"/>
    <w:rsid w:val="00213AF7"/>
    <w:rsid w:val="00213FF7"/>
    <w:rsid w:val="0021423C"/>
    <w:rsid w:val="0021475C"/>
    <w:rsid w:val="00214BE3"/>
    <w:rsid w:val="0021706F"/>
    <w:rsid w:val="00220359"/>
    <w:rsid w:val="0022064B"/>
    <w:rsid w:val="002212F8"/>
    <w:rsid w:val="00222032"/>
    <w:rsid w:val="00222339"/>
    <w:rsid w:val="00222E1A"/>
    <w:rsid w:val="00223102"/>
    <w:rsid w:val="002231CE"/>
    <w:rsid w:val="00223327"/>
    <w:rsid w:val="00224987"/>
    <w:rsid w:val="0022792F"/>
    <w:rsid w:val="00230D00"/>
    <w:rsid w:val="00231DF7"/>
    <w:rsid w:val="00231FD1"/>
    <w:rsid w:val="00232D8C"/>
    <w:rsid w:val="00233925"/>
    <w:rsid w:val="002339E0"/>
    <w:rsid w:val="00233CF8"/>
    <w:rsid w:val="00233FAB"/>
    <w:rsid w:val="00234DD0"/>
    <w:rsid w:val="0023575D"/>
    <w:rsid w:val="00236B63"/>
    <w:rsid w:val="00237148"/>
    <w:rsid w:val="0023799C"/>
    <w:rsid w:val="00241519"/>
    <w:rsid w:val="00241B8D"/>
    <w:rsid w:val="0024222D"/>
    <w:rsid w:val="0024237A"/>
    <w:rsid w:val="00243E67"/>
    <w:rsid w:val="00244693"/>
    <w:rsid w:val="00244B0E"/>
    <w:rsid w:val="00244F6C"/>
    <w:rsid w:val="002457C1"/>
    <w:rsid w:val="0025056F"/>
    <w:rsid w:val="00250665"/>
    <w:rsid w:val="00251E8A"/>
    <w:rsid w:val="00251F8C"/>
    <w:rsid w:val="002523E4"/>
    <w:rsid w:val="00252879"/>
    <w:rsid w:val="002532C5"/>
    <w:rsid w:val="002533DD"/>
    <w:rsid w:val="00253537"/>
    <w:rsid w:val="00253D9C"/>
    <w:rsid w:val="00253FB1"/>
    <w:rsid w:val="00253FD0"/>
    <w:rsid w:val="00254556"/>
    <w:rsid w:val="00254F2C"/>
    <w:rsid w:val="002555EA"/>
    <w:rsid w:val="00255BA5"/>
    <w:rsid w:val="00256816"/>
    <w:rsid w:val="002601DC"/>
    <w:rsid w:val="00260A7C"/>
    <w:rsid w:val="00260C03"/>
    <w:rsid w:val="00261E1D"/>
    <w:rsid w:val="00262882"/>
    <w:rsid w:val="00262F9E"/>
    <w:rsid w:val="00264DC6"/>
    <w:rsid w:val="0026540E"/>
    <w:rsid w:val="00265630"/>
    <w:rsid w:val="00265CBA"/>
    <w:rsid w:val="00266B85"/>
    <w:rsid w:val="0026795A"/>
    <w:rsid w:val="002725C1"/>
    <w:rsid w:val="00272796"/>
    <w:rsid w:val="00274DA2"/>
    <w:rsid w:val="00274DD0"/>
    <w:rsid w:val="00274F8C"/>
    <w:rsid w:val="00275123"/>
    <w:rsid w:val="00276EE0"/>
    <w:rsid w:val="00280BB7"/>
    <w:rsid w:val="00280D48"/>
    <w:rsid w:val="00281D2B"/>
    <w:rsid w:val="00282240"/>
    <w:rsid w:val="00283469"/>
    <w:rsid w:val="002842DA"/>
    <w:rsid w:val="002845F0"/>
    <w:rsid w:val="002857AC"/>
    <w:rsid w:val="00286520"/>
    <w:rsid w:val="002867FA"/>
    <w:rsid w:val="00286D7E"/>
    <w:rsid w:val="00287862"/>
    <w:rsid w:val="0029113D"/>
    <w:rsid w:val="00291379"/>
    <w:rsid w:val="00291E8D"/>
    <w:rsid w:val="00291F53"/>
    <w:rsid w:val="002921FB"/>
    <w:rsid w:val="002929A1"/>
    <w:rsid w:val="00293A9B"/>
    <w:rsid w:val="002948AD"/>
    <w:rsid w:val="00294E52"/>
    <w:rsid w:val="00294F1A"/>
    <w:rsid w:val="00295104"/>
    <w:rsid w:val="00295492"/>
    <w:rsid w:val="00297A2E"/>
    <w:rsid w:val="002A01CC"/>
    <w:rsid w:val="002A026F"/>
    <w:rsid w:val="002A1B32"/>
    <w:rsid w:val="002A29C4"/>
    <w:rsid w:val="002A36D1"/>
    <w:rsid w:val="002A3EF1"/>
    <w:rsid w:val="002A5512"/>
    <w:rsid w:val="002A5A97"/>
    <w:rsid w:val="002A5C1E"/>
    <w:rsid w:val="002A61B1"/>
    <w:rsid w:val="002A663C"/>
    <w:rsid w:val="002A6CFB"/>
    <w:rsid w:val="002A7570"/>
    <w:rsid w:val="002B06EB"/>
    <w:rsid w:val="002B0C21"/>
    <w:rsid w:val="002B208E"/>
    <w:rsid w:val="002B30E1"/>
    <w:rsid w:val="002B3838"/>
    <w:rsid w:val="002B444B"/>
    <w:rsid w:val="002B455F"/>
    <w:rsid w:val="002B50EF"/>
    <w:rsid w:val="002B528D"/>
    <w:rsid w:val="002B5752"/>
    <w:rsid w:val="002B5887"/>
    <w:rsid w:val="002B5E6D"/>
    <w:rsid w:val="002B6C9A"/>
    <w:rsid w:val="002C0E27"/>
    <w:rsid w:val="002C114E"/>
    <w:rsid w:val="002C1F13"/>
    <w:rsid w:val="002C28AA"/>
    <w:rsid w:val="002C28DD"/>
    <w:rsid w:val="002C3040"/>
    <w:rsid w:val="002C4277"/>
    <w:rsid w:val="002C4AED"/>
    <w:rsid w:val="002C724A"/>
    <w:rsid w:val="002C79AF"/>
    <w:rsid w:val="002D022D"/>
    <w:rsid w:val="002D084E"/>
    <w:rsid w:val="002D0D21"/>
    <w:rsid w:val="002D23B6"/>
    <w:rsid w:val="002D24BB"/>
    <w:rsid w:val="002D3A2B"/>
    <w:rsid w:val="002D3A4A"/>
    <w:rsid w:val="002D5176"/>
    <w:rsid w:val="002D5302"/>
    <w:rsid w:val="002E02CB"/>
    <w:rsid w:val="002E146B"/>
    <w:rsid w:val="002E2B22"/>
    <w:rsid w:val="002E2CEB"/>
    <w:rsid w:val="002E3699"/>
    <w:rsid w:val="002E43B2"/>
    <w:rsid w:val="002E4464"/>
    <w:rsid w:val="002E4FAC"/>
    <w:rsid w:val="002E633C"/>
    <w:rsid w:val="002E654C"/>
    <w:rsid w:val="002E7CF1"/>
    <w:rsid w:val="002F147C"/>
    <w:rsid w:val="002F157B"/>
    <w:rsid w:val="002F20A9"/>
    <w:rsid w:val="002F2AF7"/>
    <w:rsid w:val="002F2B70"/>
    <w:rsid w:val="002F61F7"/>
    <w:rsid w:val="002F7E1C"/>
    <w:rsid w:val="003013FD"/>
    <w:rsid w:val="00301A75"/>
    <w:rsid w:val="00301EF4"/>
    <w:rsid w:val="00302904"/>
    <w:rsid w:val="00302F70"/>
    <w:rsid w:val="0030336F"/>
    <w:rsid w:val="0030375E"/>
    <w:rsid w:val="00304C1A"/>
    <w:rsid w:val="00304CF1"/>
    <w:rsid w:val="003061C7"/>
    <w:rsid w:val="003071F5"/>
    <w:rsid w:val="003072A4"/>
    <w:rsid w:val="003112DB"/>
    <w:rsid w:val="00311F5C"/>
    <w:rsid w:val="003122E4"/>
    <w:rsid w:val="00312A30"/>
    <w:rsid w:val="00312A7E"/>
    <w:rsid w:val="003138B3"/>
    <w:rsid w:val="00314190"/>
    <w:rsid w:val="003146F7"/>
    <w:rsid w:val="00315385"/>
    <w:rsid w:val="0031579B"/>
    <w:rsid w:val="00316C76"/>
    <w:rsid w:val="00317445"/>
    <w:rsid w:val="0031796B"/>
    <w:rsid w:val="0032093C"/>
    <w:rsid w:val="00320F72"/>
    <w:rsid w:val="00321509"/>
    <w:rsid w:val="00321C66"/>
    <w:rsid w:val="0032463E"/>
    <w:rsid w:val="003255B6"/>
    <w:rsid w:val="00326224"/>
    <w:rsid w:val="003265B2"/>
    <w:rsid w:val="003266E1"/>
    <w:rsid w:val="0032757F"/>
    <w:rsid w:val="00331F83"/>
    <w:rsid w:val="00332273"/>
    <w:rsid w:val="00332CFE"/>
    <w:rsid w:val="00332D0F"/>
    <w:rsid w:val="003337F0"/>
    <w:rsid w:val="00333C63"/>
    <w:rsid w:val="00333DA4"/>
    <w:rsid w:val="00334432"/>
    <w:rsid w:val="00334C3A"/>
    <w:rsid w:val="003351AA"/>
    <w:rsid w:val="0033732D"/>
    <w:rsid w:val="00337C26"/>
    <w:rsid w:val="00337EE4"/>
    <w:rsid w:val="00340418"/>
    <w:rsid w:val="00340E4F"/>
    <w:rsid w:val="00340FFD"/>
    <w:rsid w:val="00341C1B"/>
    <w:rsid w:val="00341F51"/>
    <w:rsid w:val="003424BB"/>
    <w:rsid w:val="003429F5"/>
    <w:rsid w:val="00342BA3"/>
    <w:rsid w:val="00342C4F"/>
    <w:rsid w:val="0034345E"/>
    <w:rsid w:val="00343D79"/>
    <w:rsid w:val="00345136"/>
    <w:rsid w:val="0034564A"/>
    <w:rsid w:val="00346215"/>
    <w:rsid w:val="003466F0"/>
    <w:rsid w:val="00346D30"/>
    <w:rsid w:val="003470E1"/>
    <w:rsid w:val="003500A9"/>
    <w:rsid w:val="003506B1"/>
    <w:rsid w:val="00350BE8"/>
    <w:rsid w:val="00352AA0"/>
    <w:rsid w:val="00352B8F"/>
    <w:rsid w:val="00353505"/>
    <w:rsid w:val="00354034"/>
    <w:rsid w:val="003540D9"/>
    <w:rsid w:val="0035431F"/>
    <w:rsid w:val="00354611"/>
    <w:rsid w:val="00354F8C"/>
    <w:rsid w:val="003555EF"/>
    <w:rsid w:val="00355720"/>
    <w:rsid w:val="00356A36"/>
    <w:rsid w:val="00356AC7"/>
    <w:rsid w:val="003575F4"/>
    <w:rsid w:val="0036095E"/>
    <w:rsid w:val="003609FA"/>
    <w:rsid w:val="0036109C"/>
    <w:rsid w:val="00361192"/>
    <w:rsid w:val="0036187C"/>
    <w:rsid w:val="00361955"/>
    <w:rsid w:val="003623F0"/>
    <w:rsid w:val="003630D8"/>
    <w:rsid w:val="00363443"/>
    <w:rsid w:val="00364329"/>
    <w:rsid w:val="00364C67"/>
    <w:rsid w:val="0036679C"/>
    <w:rsid w:val="00366A21"/>
    <w:rsid w:val="00366F44"/>
    <w:rsid w:val="003678C6"/>
    <w:rsid w:val="003706E9"/>
    <w:rsid w:val="003710C8"/>
    <w:rsid w:val="003710D7"/>
    <w:rsid w:val="003723B2"/>
    <w:rsid w:val="00373D11"/>
    <w:rsid w:val="00373D3D"/>
    <w:rsid w:val="003750BE"/>
    <w:rsid w:val="003763AD"/>
    <w:rsid w:val="003763FD"/>
    <w:rsid w:val="0037701A"/>
    <w:rsid w:val="00381EE5"/>
    <w:rsid w:val="003831C4"/>
    <w:rsid w:val="00383A0F"/>
    <w:rsid w:val="00384451"/>
    <w:rsid w:val="003854E3"/>
    <w:rsid w:val="0038670E"/>
    <w:rsid w:val="00386FA4"/>
    <w:rsid w:val="003876F9"/>
    <w:rsid w:val="00387B9D"/>
    <w:rsid w:val="003906B9"/>
    <w:rsid w:val="00390BCB"/>
    <w:rsid w:val="0039139F"/>
    <w:rsid w:val="00392471"/>
    <w:rsid w:val="0039277B"/>
    <w:rsid w:val="00393293"/>
    <w:rsid w:val="0039364F"/>
    <w:rsid w:val="003954F8"/>
    <w:rsid w:val="00396686"/>
    <w:rsid w:val="00397423"/>
    <w:rsid w:val="0039778E"/>
    <w:rsid w:val="00397AA1"/>
    <w:rsid w:val="003A0FBB"/>
    <w:rsid w:val="003A2825"/>
    <w:rsid w:val="003A2B8F"/>
    <w:rsid w:val="003A3DEA"/>
    <w:rsid w:val="003A46EB"/>
    <w:rsid w:val="003A4B93"/>
    <w:rsid w:val="003A6157"/>
    <w:rsid w:val="003A6A5B"/>
    <w:rsid w:val="003B2814"/>
    <w:rsid w:val="003B2DF1"/>
    <w:rsid w:val="003B4941"/>
    <w:rsid w:val="003B4AA5"/>
    <w:rsid w:val="003B55A2"/>
    <w:rsid w:val="003B6B14"/>
    <w:rsid w:val="003B6BF4"/>
    <w:rsid w:val="003B6C58"/>
    <w:rsid w:val="003B71E3"/>
    <w:rsid w:val="003C0837"/>
    <w:rsid w:val="003C1324"/>
    <w:rsid w:val="003C52A6"/>
    <w:rsid w:val="003C5714"/>
    <w:rsid w:val="003C620B"/>
    <w:rsid w:val="003C67B6"/>
    <w:rsid w:val="003C6B9F"/>
    <w:rsid w:val="003C6E2A"/>
    <w:rsid w:val="003D01D5"/>
    <w:rsid w:val="003D0299"/>
    <w:rsid w:val="003D2CCB"/>
    <w:rsid w:val="003D66AA"/>
    <w:rsid w:val="003D7342"/>
    <w:rsid w:val="003D75BF"/>
    <w:rsid w:val="003D7B53"/>
    <w:rsid w:val="003E01E5"/>
    <w:rsid w:val="003E04FD"/>
    <w:rsid w:val="003E0506"/>
    <w:rsid w:val="003E06F7"/>
    <w:rsid w:val="003E0E63"/>
    <w:rsid w:val="003E1D5A"/>
    <w:rsid w:val="003E2087"/>
    <w:rsid w:val="003E2A15"/>
    <w:rsid w:val="003E2C3E"/>
    <w:rsid w:val="003E3AF7"/>
    <w:rsid w:val="003E446B"/>
    <w:rsid w:val="003E4615"/>
    <w:rsid w:val="003E5031"/>
    <w:rsid w:val="003E53EB"/>
    <w:rsid w:val="003E5F46"/>
    <w:rsid w:val="003E61F7"/>
    <w:rsid w:val="003E6BD8"/>
    <w:rsid w:val="003E6D80"/>
    <w:rsid w:val="003F0292"/>
    <w:rsid w:val="003F05FA"/>
    <w:rsid w:val="003F2399"/>
    <w:rsid w:val="003F244A"/>
    <w:rsid w:val="003F30B8"/>
    <w:rsid w:val="003F34B0"/>
    <w:rsid w:val="003F4C45"/>
    <w:rsid w:val="003F5F7B"/>
    <w:rsid w:val="003F7D64"/>
    <w:rsid w:val="0040079C"/>
    <w:rsid w:val="00402971"/>
    <w:rsid w:val="00403F5D"/>
    <w:rsid w:val="00403FA6"/>
    <w:rsid w:val="00404939"/>
    <w:rsid w:val="00404D7D"/>
    <w:rsid w:val="0040518B"/>
    <w:rsid w:val="00410826"/>
    <w:rsid w:val="004108BB"/>
    <w:rsid w:val="0041175E"/>
    <w:rsid w:val="004127A4"/>
    <w:rsid w:val="00412D54"/>
    <w:rsid w:val="0041320B"/>
    <w:rsid w:val="00414300"/>
    <w:rsid w:val="004147EA"/>
    <w:rsid w:val="00414D47"/>
    <w:rsid w:val="00416872"/>
    <w:rsid w:val="00416F11"/>
    <w:rsid w:val="004170B6"/>
    <w:rsid w:val="004177A7"/>
    <w:rsid w:val="00417F1B"/>
    <w:rsid w:val="00420682"/>
    <w:rsid w:val="00421C55"/>
    <w:rsid w:val="00422282"/>
    <w:rsid w:val="00422AE8"/>
    <w:rsid w:val="00423B87"/>
    <w:rsid w:val="00425C67"/>
    <w:rsid w:val="0042641C"/>
    <w:rsid w:val="0042671F"/>
    <w:rsid w:val="0042784D"/>
    <w:rsid w:val="00427E7A"/>
    <w:rsid w:val="004308D6"/>
    <w:rsid w:val="00431521"/>
    <w:rsid w:val="004318EA"/>
    <w:rsid w:val="00432A75"/>
    <w:rsid w:val="00434584"/>
    <w:rsid w:val="00434EC4"/>
    <w:rsid w:val="004358E3"/>
    <w:rsid w:val="004364C1"/>
    <w:rsid w:val="004368E7"/>
    <w:rsid w:val="00436C49"/>
    <w:rsid w:val="004374C1"/>
    <w:rsid w:val="00437DAC"/>
    <w:rsid w:val="00440885"/>
    <w:rsid w:val="0044091A"/>
    <w:rsid w:val="00441A62"/>
    <w:rsid w:val="00441A97"/>
    <w:rsid w:val="00443D2D"/>
    <w:rsid w:val="004446E7"/>
    <w:rsid w:val="00444CAA"/>
    <w:rsid w:val="00445175"/>
    <w:rsid w:val="00445366"/>
    <w:rsid w:val="0044541A"/>
    <w:rsid w:val="00445A06"/>
    <w:rsid w:val="00446451"/>
    <w:rsid w:val="004469C5"/>
    <w:rsid w:val="0044726E"/>
    <w:rsid w:val="0044784D"/>
    <w:rsid w:val="00447F5B"/>
    <w:rsid w:val="0045067D"/>
    <w:rsid w:val="00451EC8"/>
    <w:rsid w:val="0045250D"/>
    <w:rsid w:val="00452A38"/>
    <w:rsid w:val="00453ABA"/>
    <w:rsid w:val="00453AFB"/>
    <w:rsid w:val="004542C9"/>
    <w:rsid w:val="004546C6"/>
    <w:rsid w:val="00455865"/>
    <w:rsid w:val="004560FE"/>
    <w:rsid w:val="004565B4"/>
    <w:rsid w:val="00456D84"/>
    <w:rsid w:val="00457CB9"/>
    <w:rsid w:val="00457E3C"/>
    <w:rsid w:val="0046024A"/>
    <w:rsid w:val="00460CD7"/>
    <w:rsid w:val="00461081"/>
    <w:rsid w:val="00461B69"/>
    <w:rsid w:val="00461DB0"/>
    <w:rsid w:val="0046307D"/>
    <w:rsid w:val="004634BA"/>
    <w:rsid w:val="00463926"/>
    <w:rsid w:val="00463F29"/>
    <w:rsid w:val="00464C9A"/>
    <w:rsid w:val="00465D01"/>
    <w:rsid w:val="00466462"/>
    <w:rsid w:val="0046669B"/>
    <w:rsid w:val="004669C1"/>
    <w:rsid w:val="00466B7A"/>
    <w:rsid w:val="004671AF"/>
    <w:rsid w:val="00470588"/>
    <w:rsid w:val="0047100B"/>
    <w:rsid w:val="004719AE"/>
    <w:rsid w:val="004735AB"/>
    <w:rsid w:val="0047368E"/>
    <w:rsid w:val="004741F5"/>
    <w:rsid w:val="00474F3D"/>
    <w:rsid w:val="0047672D"/>
    <w:rsid w:val="00477A13"/>
    <w:rsid w:val="00477E3A"/>
    <w:rsid w:val="00480CB3"/>
    <w:rsid w:val="004819A8"/>
    <w:rsid w:val="00481DC6"/>
    <w:rsid w:val="004822F1"/>
    <w:rsid w:val="004825BE"/>
    <w:rsid w:val="004826BC"/>
    <w:rsid w:val="00482810"/>
    <w:rsid w:val="00482EFE"/>
    <w:rsid w:val="004830A9"/>
    <w:rsid w:val="004839E4"/>
    <w:rsid w:val="00483E5F"/>
    <w:rsid w:val="004840F4"/>
    <w:rsid w:val="00484355"/>
    <w:rsid w:val="004848C8"/>
    <w:rsid w:val="004857E1"/>
    <w:rsid w:val="0048588A"/>
    <w:rsid w:val="00485FF9"/>
    <w:rsid w:val="00486077"/>
    <w:rsid w:val="004861FA"/>
    <w:rsid w:val="00486603"/>
    <w:rsid w:val="00487E31"/>
    <w:rsid w:val="004907F0"/>
    <w:rsid w:val="0049087C"/>
    <w:rsid w:val="00491343"/>
    <w:rsid w:val="0049140B"/>
    <w:rsid w:val="00491955"/>
    <w:rsid w:val="004923A5"/>
    <w:rsid w:val="0049281E"/>
    <w:rsid w:val="00492B35"/>
    <w:rsid w:val="0049364A"/>
    <w:rsid w:val="00493D24"/>
    <w:rsid w:val="00495377"/>
    <w:rsid w:val="00495F71"/>
    <w:rsid w:val="004969A8"/>
    <w:rsid w:val="00496BFB"/>
    <w:rsid w:val="0049718A"/>
    <w:rsid w:val="00497A2C"/>
    <w:rsid w:val="00497C92"/>
    <w:rsid w:val="00497CC1"/>
    <w:rsid w:val="00497E58"/>
    <w:rsid w:val="004A15C7"/>
    <w:rsid w:val="004A2469"/>
    <w:rsid w:val="004A3001"/>
    <w:rsid w:val="004A34CE"/>
    <w:rsid w:val="004A382B"/>
    <w:rsid w:val="004A3DF5"/>
    <w:rsid w:val="004A4355"/>
    <w:rsid w:val="004A45DD"/>
    <w:rsid w:val="004B013B"/>
    <w:rsid w:val="004B0CB6"/>
    <w:rsid w:val="004B112B"/>
    <w:rsid w:val="004B1277"/>
    <w:rsid w:val="004B1969"/>
    <w:rsid w:val="004B1985"/>
    <w:rsid w:val="004B1EF3"/>
    <w:rsid w:val="004B25F7"/>
    <w:rsid w:val="004B2EB4"/>
    <w:rsid w:val="004B3D2F"/>
    <w:rsid w:val="004B4311"/>
    <w:rsid w:val="004B4D89"/>
    <w:rsid w:val="004B55B3"/>
    <w:rsid w:val="004B5609"/>
    <w:rsid w:val="004C01E4"/>
    <w:rsid w:val="004C05AF"/>
    <w:rsid w:val="004C086C"/>
    <w:rsid w:val="004C1938"/>
    <w:rsid w:val="004C1D0D"/>
    <w:rsid w:val="004C1F56"/>
    <w:rsid w:val="004C27BC"/>
    <w:rsid w:val="004C4557"/>
    <w:rsid w:val="004C579D"/>
    <w:rsid w:val="004C5D24"/>
    <w:rsid w:val="004C5FB0"/>
    <w:rsid w:val="004C766C"/>
    <w:rsid w:val="004C7A4E"/>
    <w:rsid w:val="004C7CFA"/>
    <w:rsid w:val="004D0878"/>
    <w:rsid w:val="004D0DF9"/>
    <w:rsid w:val="004D15F3"/>
    <w:rsid w:val="004D1B22"/>
    <w:rsid w:val="004D1EB9"/>
    <w:rsid w:val="004D357F"/>
    <w:rsid w:val="004D393E"/>
    <w:rsid w:val="004D5311"/>
    <w:rsid w:val="004D5DCC"/>
    <w:rsid w:val="004E0346"/>
    <w:rsid w:val="004E05F7"/>
    <w:rsid w:val="004E0AA6"/>
    <w:rsid w:val="004E10A5"/>
    <w:rsid w:val="004E2F6C"/>
    <w:rsid w:val="004E3DED"/>
    <w:rsid w:val="004E5412"/>
    <w:rsid w:val="004E6FE5"/>
    <w:rsid w:val="004F05AE"/>
    <w:rsid w:val="004F10AF"/>
    <w:rsid w:val="004F11A4"/>
    <w:rsid w:val="004F1285"/>
    <w:rsid w:val="004F1ABC"/>
    <w:rsid w:val="004F1C79"/>
    <w:rsid w:val="004F1FD3"/>
    <w:rsid w:val="004F2389"/>
    <w:rsid w:val="004F2979"/>
    <w:rsid w:val="004F304D"/>
    <w:rsid w:val="004F4727"/>
    <w:rsid w:val="004F47AE"/>
    <w:rsid w:val="004F4BC5"/>
    <w:rsid w:val="004F61BE"/>
    <w:rsid w:val="004F649E"/>
    <w:rsid w:val="004F66B1"/>
    <w:rsid w:val="004F6C74"/>
    <w:rsid w:val="004F6F4A"/>
    <w:rsid w:val="004F712A"/>
    <w:rsid w:val="004F7CFE"/>
    <w:rsid w:val="00500342"/>
    <w:rsid w:val="00501146"/>
    <w:rsid w:val="00501F04"/>
    <w:rsid w:val="005043B7"/>
    <w:rsid w:val="00505173"/>
    <w:rsid w:val="00505711"/>
    <w:rsid w:val="00506D98"/>
    <w:rsid w:val="0051141B"/>
    <w:rsid w:val="00511C07"/>
    <w:rsid w:val="005120FB"/>
    <w:rsid w:val="005137EA"/>
    <w:rsid w:val="005143A8"/>
    <w:rsid w:val="00514A29"/>
    <w:rsid w:val="005151D1"/>
    <w:rsid w:val="00515DC0"/>
    <w:rsid w:val="00516FF8"/>
    <w:rsid w:val="005173A6"/>
    <w:rsid w:val="00517E1A"/>
    <w:rsid w:val="00520551"/>
    <w:rsid w:val="00520899"/>
    <w:rsid w:val="00520A2D"/>
    <w:rsid w:val="00520BAA"/>
    <w:rsid w:val="005227A9"/>
    <w:rsid w:val="00522E2D"/>
    <w:rsid w:val="005239D1"/>
    <w:rsid w:val="00524434"/>
    <w:rsid w:val="005245BE"/>
    <w:rsid w:val="005249EE"/>
    <w:rsid w:val="00524B9F"/>
    <w:rsid w:val="00525208"/>
    <w:rsid w:val="00525302"/>
    <w:rsid w:val="005253E8"/>
    <w:rsid w:val="005257A5"/>
    <w:rsid w:val="005264C0"/>
    <w:rsid w:val="00526A8A"/>
    <w:rsid w:val="005311D6"/>
    <w:rsid w:val="00531DF2"/>
    <w:rsid w:val="00531F1D"/>
    <w:rsid w:val="005322C6"/>
    <w:rsid w:val="005324FB"/>
    <w:rsid w:val="00532912"/>
    <w:rsid w:val="00532955"/>
    <w:rsid w:val="0053327C"/>
    <w:rsid w:val="005351B9"/>
    <w:rsid w:val="00535941"/>
    <w:rsid w:val="00535AEB"/>
    <w:rsid w:val="005363E7"/>
    <w:rsid w:val="00537D2D"/>
    <w:rsid w:val="00540F0C"/>
    <w:rsid w:val="00541225"/>
    <w:rsid w:val="00541DFB"/>
    <w:rsid w:val="00542816"/>
    <w:rsid w:val="005428DD"/>
    <w:rsid w:val="005442EE"/>
    <w:rsid w:val="00545101"/>
    <w:rsid w:val="00545366"/>
    <w:rsid w:val="00545A39"/>
    <w:rsid w:val="00545CA0"/>
    <w:rsid w:val="00545F09"/>
    <w:rsid w:val="0054713D"/>
    <w:rsid w:val="00547353"/>
    <w:rsid w:val="005474E7"/>
    <w:rsid w:val="00547AC5"/>
    <w:rsid w:val="005505AF"/>
    <w:rsid w:val="00550B8F"/>
    <w:rsid w:val="005512A3"/>
    <w:rsid w:val="0055317F"/>
    <w:rsid w:val="00553930"/>
    <w:rsid w:val="00553B45"/>
    <w:rsid w:val="0055515C"/>
    <w:rsid w:val="00555297"/>
    <w:rsid w:val="005562E2"/>
    <w:rsid w:val="005578CE"/>
    <w:rsid w:val="005601C4"/>
    <w:rsid w:val="00560E6D"/>
    <w:rsid w:val="005623F2"/>
    <w:rsid w:val="00562781"/>
    <w:rsid w:val="005630DE"/>
    <w:rsid w:val="0056331C"/>
    <w:rsid w:val="005636AB"/>
    <w:rsid w:val="00563AAF"/>
    <w:rsid w:val="00564D6B"/>
    <w:rsid w:val="00567606"/>
    <w:rsid w:val="005710D6"/>
    <w:rsid w:val="00571600"/>
    <w:rsid w:val="00571E9C"/>
    <w:rsid w:val="00572143"/>
    <w:rsid w:val="0057271C"/>
    <w:rsid w:val="00572845"/>
    <w:rsid w:val="0057328C"/>
    <w:rsid w:val="00574C83"/>
    <w:rsid w:val="005758C5"/>
    <w:rsid w:val="00575CFF"/>
    <w:rsid w:val="00575DE0"/>
    <w:rsid w:val="005762C0"/>
    <w:rsid w:val="005777A0"/>
    <w:rsid w:val="00580F97"/>
    <w:rsid w:val="0058106E"/>
    <w:rsid w:val="0058132C"/>
    <w:rsid w:val="00581516"/>
    <w:rsid w:val="00581AD6"/>
    <w:rsid w:val="00581FB8"/>
    <w:rsid w:val="00582F62"/>
    <w:rsid w:val="0058322B"/>
    <w:rsid w:val="00583F2A"/>
    <w:rsid w:val="00587220"/>
    <w:rsid w:val="00587897"/>
    <w:rsid w:val="00590378"/>
    <w:rsid w:val="00590416"/>
    <w:rsid w:val="00590E13"/>
    <w:rsid w:val="00591D18"/>
    <w:rsid w:val="00592772"/>
    <w:rsid w:val="005929F3"/>
    <w:rsid w:val="00593201"/>
    <w:rsid w:val="00593E76"/>
    <w:rsid w:val="00595174"/>
    <w:rsid w:val="005951EC"/>
    <w:rsid w:val="0059574A"/>
    <w:rsid w:val="00596468"/>
    <w:rsid w:val="00596CD3"/>
    <w:rsid w:val="005975CA"/>
    <w:rsid w:val="00597C95"/>
    <w:rsid w:val="00597DF6"/>
    <w:rsid w:val="005A02CB"/>
    <w:rsid w:val="005A117A"/>
    <w:rsid w:val="005A1469"/>
    <w:rsid w:val="005A1B9B"/>
    <w:rsid w:val="005A1D54"/>
    <w:rsid w:val="005A348F"/>
    <w:rsid w:val="005A5124"/>
    <w:rsid w:val="005A56E7"/>
    <w:rsid w:val="005A58E4"/>
    <w:rsid w:val="005A631B"/>
    <w:rsid w:val="005A63A7"/>
    <w:rsid w:val="005A6751"/>
    <w:rsid w:val="005A7489"/>
    <w:rsid w:val="005B06D2"/>
    <w:rsid w:val="005B092E"/>
    <w:rsid w:val="005B152C"/>
    <w:rsid w:val="005B1D30"/>
    <w:rsid w:val="005B1E11"/>
    <w:rsid w:val="005B1EE0"/>
    <w:rsid w:val="005B1F0B"/>
    <w:rsid w:val="005B2B24"/>
    <w:rsid w:val="005B36AC"/>
    <w:rsid w:val="005B3E1B"/>
    <w:rsid w:val="005B4425"/>
    <w:rsid w:val="005B4B94"/>
    <w:rsid w:val="005C057C"/>
    <w:rsid w:val="005C2715"/>
    <w:rsid w:val="005C3B93"/>
    <w:rsid w:val="005C3EE8"/>
    <w:rsid w:val="005C47E7"/>
    <w:rsid w:val="005C51F4"/>
    <w:rsid w:val="005C5216"/>
    <w:rsid w:val="005C55E4"/>
    <w:rsid w:val="005C5DCD"/>
    <w:rsid w:val="005C6885"/>
    <w:rsid w:val="005C786F"/>
    <w:rsid w:val="005D1739"/>
    <w:rsid w:val="005D1978"/>
    <w:rsid w:val="005D2ADF"/>
    <w:rsid w:val="005D3171"/>
    <w:rsid w:val="005D34F9"/>
    <w:rsid w:val="005D3B01"/>
    <w:rsid w:val="005D4190"/>
    <w:rsid w:val="005D67A3"/>
    <w:rsid w:val="005E071C"/>
    <w:rsid w:val="005E1B48"/>
    <w:rsid w:val="005E223A"/>
    <w:rsid w:val="005E2331"/>
    <w:rsid w:val="005E2988"/>
    <w:rsid w:val="005E3085"/>
    <w:rsid w:val="005E37C6"/>
    <w:rsid w:val="005E3F21"/>
    <w:rsid w:val="005E53FC"/>
    <w:rsid w:val="005E6871"/>
    <w:rsid w:val="005E6879"/>
    <w:rsid w:val="005E72E1"/>
    <w:rsid w:val="005E7CB6"/>
    <w:rsid w:val="005F1293"/>
    <w:rsid w:val="005F181C"/>
    <w:rsid w:val="005F2A8A"/>
    <w:rsid w:val="005F4277"/>
    <w:rsid w:val="005F51E1"/>
    <w:rsid w:val="005F65AF"/>
    <w:rsid w:val="005F736B"/>
    <w:rsid w:val="005F7FC4"/>
    <w:rsid w:val="00601C9E"/>
    <w:rsid w:val="006024E5"/>
    <w:rsid w:val="00603E58"/>
    <w:rsid w:val="006044E9"/>
    <w:rsid w:val="00606A83"/>
    <w:rsid w:val="00607B19"/>
    <w:rsid w:val="006102FE"/>
    <w:rsid w:val="0061195C"/>
    <w:rsid w:val="006119F0"/>
    <w:rsid w:val="00611C80"/>
    <w:rsid w:val="006132CA"/>
    <w:rsid w:val="00613AA8"/>
    <w:rsid w:val="00613AC2"/>
    <w:rsid w:val="00614C7D"/>
    <w:rsid w:val="006162E3"/>
    <w:rsid w:val="00616C29"/>
    <w:rsid w:val="00617771"/>
    <w:rsid w:val="00620692"/>
    <w:rsid w:val="00620F89"/>
    <w:rsid w:val="00621DC7"/>
    <w:rsid w:val="00622EBB"/>
    <w:rsid w:val="006242CA"/>
    <w:rsid w:val="00624ADA"/>
    <w:rsid w:val="00624B61"/>
    <w:rsid w:val="006259E2"/>
    <w:rsid w:val="00626CC7"/>
    <w:rsid w:val="00627507"/>
    <w:rsid w:val="006276F6"/>
    <w:rsid w:val="00631562"/>
    <w:rsid w:val="00631970"/>
    <w:rsid w:val="00631D0B"/>
    <w:rsid w:val="00632160"/>
    <w:rsid w:val="00632AF3"/>
    <w:rsid w:val="00633717"/>
    <w:rsid w:val="006344E1"/>
    <w:rsid w:val="006359E4"/>
    <w:rsid w:val="00635B27"/>
    <w:rsid w:val="00635F87"/>
    <w:rsid w:val="00640958"/>
    <w:rsid w:val="0064123C"/>
    <w:rsid w:val="00642241"/>
    <w:rsid w:val="00642453"/>
    <w:rsid w:val="006428B2"/>
    <w:rsid w:val="00642DF0"/>
    <w:rsid w:val="00642FB9"/>
    <w:rsid w:val="006430EB"/>
    <w:rsid w:val="006448FF"/>
    <w:rsid w:val="006462BC"/>
    <w:rsid w:val="00646514"/>
    <w:rsid w:val="00646F0E"/>
    <w:rsid w:val="00650393"/>
    <w:rsid w:val="00650402"/>
    <w:rsid w:val="00650487"/>
    <w:rsid w:val="00650798"/>
    <w:rsid w:val="00650A06"/>
    <w:rsid w:val="00651FB2"/>
    <w:rsid w:val="0065298D"/>
    <w:rsid w:val="00652E3D"/>
    <w:rsid w:val="006545C4"/>
    <w:rsid w:val="0065612E"/>
    <w:rsid w:val="00656669"/>
    <w:rsid w:val="00656FE0"/>
    <w:rsid w:val="00657A56"/>
    <w:rsid w:val="006600E7"/>
    <w:rsid w:val="00660CA8"/>
    <w:rsid w:val="00661803"/>
    <w:rsid w:val="0066183C"/>
    <w:rsid w:val="00661971"/>
    <w:rsid w:val="00661CE8"/>
    <w:rsid w:val="006620E0"/>
    <w:rsid w:val="006623D9"/>
    <w:rsid w:val="006628E0"/>
    <w:rsid w:val="006636A3"/>
    <w:rsid w:val="006636D2"/>
    <w:rsid w:val="006651A3"/>
    <w:rsid w:val="0066550C"/>
    <w:rsid w:val="00665BD3"/>
    <w:rsid w:val="00667160"/>
    <w:rsid w:val="00667B26"/>
    <w:rsid w:val="006710DC"/>
    <w:rsid w:val="00671479"/>
    <w:rsid w:val="006716F2"/>
    <w:rsid w:val="00672883"/>
    <w:rsid w:val="00673E3D"/>
    <w:rsid w:val="006754C0"/>
    <w:rsid w:val="00677174"/>
    <w:rsid w:val="006771A2"/>
    <w:rsid w:val="00677CC3"/>
    <w:rsid w:val="00680E38"/>
    <w:rsid w:val="00682BF2"/>
    <w:rsid w:val="00683055"/>
    <w:rsid w:val="00683775"/>
    <w:rsid w:val="006838C3"/>
    <w:rsid w:val="00683ADE"/>
    <w:rsid w:val="00683E82"/>
    <w:rsid w:val="00685365"/>
    <w:rsid w:val="006859CE"/>
    <w:rsid w:val="00687538"/>
    <w:rsid w:val="00687B3C"/>
    <w:rsid w:val="00691270"/>
    <w:rsid w:val="00691430"/>
    <w:rsid w:val="006915AD"/>
    <w:rsid w:val="0069163B"/>
    <w:rsid w:val="00692110"/>
    <w:rsid w:val="006925B0"/>
    <w:rsid w:val="00693465"/>
    <w:rsid w:val="006940ED"/>
    <w:rsid w:val="006941B4"/>
    <w:rsid w:val="00694A2E"/>
    <w:rsid w:val="00694BA8"/>
    <w:rsid w:val="00695886"/>
    <w:rsid w:val="00695E46"/>
    <w:rsid w:val="00695F4F"/>
    <w:rsid w:val="006979F4"/>
    <w:rsid w:val="006A00DE"/>
    <w:rsid w:val="006A037C"/>
    <w:rsid w:val="006A19DB"/>
    <w:rsid w:val="006A2227"/>
    <w:rsid w:val="006A237F"/>
    <w:rsid w:val="006A323B"/>
    <w:rsid w:val="006A36F4"/>
    <w:rsid w:val="006A376A"/>
    <w:rsid w:val="006A3E38"/>
    <w:rsid w:val="006A406F"/>
    <w:rsid w:val="006A42B3"/>
    <w:rsid w:val="006A4E82"/>
    <w:rsid w:val="006A5D3A"/>
    <w:rsid w:val="006A7B72"/>
    <w:rsid w:val="006B060D"/>
    <w:rsid w:val="006B0A39"/>
    <w:rsid w:val="006B0A66"/>
    <w:rsid w:val="006B162A"/>
    <w:rsid w:val="006B16A9"/>
    <w:rsid w:val="006B352A"/>
    <w:rsid w:val="006B35E3"/>
    <w:rsid w:val="006B3C50"/>
    <w:rsid w:val="006B3E4D"/>
    <w:rsid w:val="006B7CB9"/>
    <w:rsid w:val="006B7D77"/>
    <w:rsid w:val="006C0147"/>
    <w:rsid w:val="006C1BCB"/>
    <w:rsid w:val="006C1C20"/>
    <w:rsid w:val="006C238B"/>
    <w:rsid w:val="006C23D4"/>
    <w:rsid w:val="006C2A18"/>
    <w:rsid w:val="006C55AD"/>
    <w:rsid w:val="006C6000"/>
    <w:rsid w:val="006C64BE"/>
    <w:rsid w:val="006C7BB0"/>
    <w:rsid w:val="006D0623"/>
    <w:rsid w:val="006D08D3"/>
    <w:rsid w:val="006D1B07"/>
    <w:rsid w:val="006D2D17"/>
    <w:rsid w:val="006D3237"/>
    <w:rsid w:val="006D371B"/>
    <w:rsid w:val="006D5080"/>
    <w:rsid w:val="006D5CF4"/>
    <w:rsid w:val="006D5D73"/>
    <w:rsid w:val="006E011A"/>
    <w:rsid w:val="006E1B2A"/>
    <w:rsid w:val="006E2227"/>
    <w:rsid w:val="006E2E37"/>
    <w:rsid w:val="006E33DB"/>
    <w:rsid w:val="006E39A8"/>
    <w:rsid w:val="006E3CF1"/>
    <w:rsid w:val="006E44C1"/>
    <w:rsid w:val="006E4B10"/>
    <w:rsid w:val="006E589F"/>
    <w:rsid w:val="006E5E48"/>
    <w:rsid w:val="006E6BEC"/>
    <w:rsid w:val="006E6D77"/>
    <w:rsid w:val="006E6DBC"/>
    <w:rsid w:val="006E7E06"/>
    <w:rsid w:val="006E7E80"/>
    <w:rsid w:val="006F1AB2"/>
    <w:rsid w:val="006F28A1"/>
    <w:rsid w:val="006F3994"/>
    <w:rsid w:val="006F48CA"/>
    <w:rsid w:val="006F5EC6"/>
    <w:rsid w:val="006F64DD"/>
    <w:rsid w:val="007003DA"/>
    <w:rsid w:val="00700626"/>
    <w:rsid w:val="0070088B"/>
    <w:rsid w:val="00702633"/>
    <w:rsid w:val="00703186"/>
    <w:rsid w:val="00703230"/>
    <w:rsid w:val="00703E38"/>
    <w:rsid w:val="00705362"/>
    <w:rsid w:val="00705A3B"/>
    <w:rsid w:val="0070602B"/>
    <w:rsid w:val="007067C5"/>
    <w:rsid w:val="0070798D"/>
    <w:rsid w:val="00707D0B"/>
    <w:rsid w:val="00707EA2"/>
    <w:rsid w:val="00710226"/>
    <w:rsid w:val="007103E9"/>
    <w:rsid w:val="007105F3"/>
    <w:rsid w:val="00710B92"/>
    <w:rsid w:val="0071190A"/>
    <w:rsid w:val="00711B9F"/>
    <w:rsid w:val="00714892"/>
    <w:rsid w:val="00715127"/>
    <w:rsid w:val="0071590E"/>
    <w:rsid w:val="00715E8E"/>
    <w:rsid w:val="00715F5D"/>
    <w:rsid w:val="00716B8E"/>
    <w:rsid w:val="00716ED5"/>
    <w:rsid w:val="00717336"/>
    <w:rsid w:val="00717D31"/>
    <w:rsid w:val="007200F2"/>
    <w:rsid w:val="00720BC0"/>
    <w:rsid w:val="00721B95"/>
    <w:rsid w:val="0072272F"/>
    <w:rsid w:val="0072274A"/>
    <w:rsid w:val="00723580"/>
    <w:rsid w:val="00723755"/>
    <w:rsid w:val="007244BF"/>
    <w:rsid w:val="00725788"/>
    <w:rsid w:val="00725E81"/>
    <w:rsid w:val="00726EDB"/>
    <w:rsid w:val="00727051"/>
    <w:rsid w:val="007306CF"/>
    <w:rsid w:val="00730E6F"/>
    <w:rsid w:val="0073136C"/>
    <w:rsid w:val="0073179D"/>
    <w:rsid w:val="00731F0F"/>
    <w:rsid w:val="00731F53"/>
    <w:rsid w:val="00732A4E"/>
    <w:rsid w:val="00732FE3"/>
    <w:rsid w:val="00733250"/>
    <w:rsid w:val="00733C0C"/>
    <w:rsid w:val="007352C6"/>
    <w:rsid w:val="0073551C"/>
    <w:rsid w:val="00735C36"/>
    <w:rsid w:val="007373F6"/>
    <w:rsid w:val="00740A62"/>
    <w:rsid w:val="00740AC4"/>
    <w:rsid w:val="00741404"/>
    <w:rsid w:val="00741EBD"/>
    <w:rsid w:val="007437CF"/>
    <w:rsid w:val="00743814"/>
    <w:rsid w:val="007449E5"/>
    <w:rsid w:val="00744A99"/>
    <w:rsid w:val="00745AC6"/>
    <w:rsid w:val="00747E37"/>
    <w:rsid w:val="00747F47"/>
    <w:rsid w:val="00747FF0"/>
    <w:rsid w:val="0075003A"/>
    <w:rsid w:val="007500A0"/>
    <w:rsid w:val="0075018D"/>
    <w:rsid w:val="007508A7"/>
    <w:rsid w:val="00750989"/>
    <w:rsid w:val="0075186D"/>
    <w:rsid w:val="00751DD9"/>
    <w:rsid w:val="00751FCA"/>
    <w:rsid w:val="00752EDF"/>
    <w:rsid w:val="00753F24"/>
    <w:rsid w:val="007546AE"/>
    <w:rsid w:val="00754943"/>
    <w:rsid w:val="007564A9"/>
    <w:rsid w:val="00756BF8"/>
    <w:rsid w:val="00760950"/>
    <w:rsid w:val="00760B80"/>
    <w:rsid w:val="007616ED"/>
    <w:rsid w:val="00761847"/>
    <w:rsid w:val="00761FA8"/>
    <w:rsid w:val="0076304C"/>
    <w:rsid w:val="007633E5"/>
    <w:rsid w:val="007634D2"/>
    <w:rsid w:val="0076379D"/>
    <w:rsid w:val="00764C43"/>
    <w:rsid w:val="00764D4E"/>
    <w:rsid w:val="00765449"/>
    <w:rsid w:val="00765A1F"/>
    <w:rsid w:val="00765F81"/>
    <w:rsid w:val="0076786E"/>
    <w:rsid w:val="00770B85"/>
    <w:rsid w:val="0077127A"/>
    <w:rsid w:val="007714CF"/>
    <w:rsid w:val="0077187A"/>
    <w:rsid w:val="00771EF6"/>
    <w:rsid w:val="00772649"/>
    <w:rsid w:val="007729D7"/>
    <w:rsid w:val="00773559"/>
    <w:rsid w:val="00773F5D"/>
    <w:rsid w:val="00775B6D"/>
    <w:rsid w:val="0077649C"/>
    <w:rsid w:val="00776D68"/>
    <w:rsid w:val="007813FB"/>
    <w:rsid w:val="00781CC2"/>
    <w:rsid w:val="007824F3"/>
    <w:rsid w:val="00783446"/>
    <w:rsid w:val="007850EE"/>
    <w:rsid w:val="00785B95"/>
    <w:rsid w:val="00785DE6"/>
    <w:rsid w:val="0078653D"/>
    <w:rsid w:val="00787CC2"/>
    <w:rsid w:val="00787EB3"/>
    <w:rsid w:val="00790D1A"/>
    <w:rsid w:val="00790E96"/>
    <w:rsid w:val="00791BF4"/>
    <w:rsid w:val="00792C8B"/>
    <w:rsid w:val="00792ED5"/>
    <w:rsid w:val="00793366"/>
    <w:rsid w:val="0079358D"/>
    <w:rsid w:val="007937B1"/>
    <w:rsid w:val="0079381E"/>
    <w:rsid w:val="007952DA"/>
    <w:rsid w:val="00795BB9"/>
    <w:rsid w:val="00796497"/>
    <w:rsid w:val="007964AC"/>
    <w:rsid w:val="007965BA"/>
    <w:rsid w:val="0079767E"/>
    <w:rsid w:val="007A0A80"/>
    <w:rsid w:val="007A4E68"/>
    <w:rsid w:val="007A57AF"/>
    <w:rsid w:val="007A62F9"/>
    <w:rsid w:val="007A716F"/>
    <w:rsid w:val="007A73BD"/>
    <w:rsid w:val="007A7F13"/>
    <w:rsid w:val="007B153E"/>
    <w:rsid w:val="007B1F9D"/>
    <w:rsid w:val="007B1FC8"/>
    <w:rsid w:val="007B270A"/>
    <w:rsid w:val="007B4A41"/>
    <w:rsid w:val="007B4B56"/>
    <w:rsid w:val="007B6406"/>
    <w:rsid w:val="007B6417"/>
    <w:rsid w:val="007C02A8"/>
    <w:rsid w:val="007C0695"/>
    <w:rsid w:val="007C1C43"/>
    <w:rsid w:val="007C277C"/>
    <w:rsid w:val="007C2B89"/>
    <w:rsid w:val="007C31DA"/>
    <w:rsid w:val="007C3666"/>
    <w:rsid w:val="007C3EBA"/>
    <w:rsid w:val="007C419A"/>
    <w:rsid w:val="007C44D6"/>
    <w:rsid w:val="007C49EE"/>
    <w:rsid w:val="007C4CC8"/>
    <w:rsid w:val="007C5090"/>
    <w:rsid w:val="007C5426"/>
    <w:rsid w:val="007C5798"/>
    <w:rsid w:val="007C68C4"/>
    <w:rsid w:val="007C6938"/>
    <w:rsid w:val="007C6D6C"/>
    <w:rsid w:val="007D0585"/>
    <w:rsid w:val="007D0CEC"/>
    <w:rsid w:val="007D13D0"/>
    <w:rsid w:val="007D1A36"/>
    <w:rsid w:val="007D2731"/>
    <w:rsid w:val="007D3909"/>
    <w:rsid w:val="007D4832"/>
    <w:rsid w:val="007D58B7"/>
    <w:rsid w:val="007D6013"/>
    <w:rsid w:val="007E1C55"/>
    <w:rsid w:val="007E21B2"/>
    <w:rsid w:val="007E2C4E"/>
    <w:rsid w:val="007E3ED4"/>
    <w:rsid w:val="007E475F"/>
    <w:rsid w:val="007E48C2"/>
    <w:rsid w:val="007E4E47"/>
    <w:rsid w:val="007E52BA"/>
    <w:rsid w:val="007E5E0B"/>
    <w:rsid w:val="007E5EEC"/>
    <w:rsid w:val="007E63B4"/>
    <w:rsid w:val="007E66A2"/>
    <w:rsid w:val="007E6962"/>
    <w:rsid w:val="007E736B"/>
    <w:rsid w:val="007F0146"/>
    <w:rsid w:val="007F03D2"/>
    <w:rsid w:val="007F1905"/>
    <w:rsid w:val="007F2100"/>
    <w:rsid w:val="007F2BD0"/>
    <w:rsid w:val="007F3388"/>
    <w:rsid w:val="007F4766"/>
    <w:rsid w:val="007F4F51"/>
    <w:rsid w:val="007F5721"/>
    <w:rsid w:val="007F5E1B"/>
    <w:rsid w:val="007F60C7"/>
    <w:rsid w:val="007F67D3"/>
    <w:rsid w:val="007F69E0"/>
    <w:rsid w:val="00801300"/>
    <w:rsid w:val="008019A1"/>
    <w:rsid w:val="00802C64"/>
    <w:rsid w:val="008035A7"/>
    <w:rsid w:val="00803614"/>
    <w:rsid w:val="00803B08"/>
    <w:rsid w:val="008052A7"/>
    <w:rsid w:val="008053AA"/>
    <w:rsid w:val="00805485"/>
    <w:rsid w:val="00805E52"/>
    <w:rsid w:val="008061D0"/>
    <w:rsid w:val="008073CA"/>
    <w:rsid w:val="00807D7D"/>
    <w:rsid w:val="00810681"/>
    <w:rsid w:val="00810B38"/>
    <w:rsid w:val="0081143C"/>
    <w:rsid w:val="00812A15"/>
    <w:rsid w:val="00812D5F"/>
    <w:rsid w:val="00815019"/>
    <w:rsid w:val="0081552F"/>
    <w:rsid w:val="00816585"/>
    <w:rsid w:val="00816A46"/>
    <w:rsid w:val="008204C7"/>
    <w:rsid w:val="008208A2"/>
    <w:rsid w:val="00820992"/>
    <w:rsid w:val="0082243D"/>
    <w:rsid w:val="008227D5"/>
    <w:rsid w:val="00823602"/>
    <w:rsid w:val="00824663"/>
    <w:rsid w:val="00824D9B"/>
    <w:rsid w:val="008255F5"/>
    <w:rsid w:val="008260B5"/>
    <w:rsid w:val="00827CBB"/>
    <w:rsid w:val="00827F7C"/>
    <w:rsid w:val="0083004E"/>
    <w:rsid w:val="0083014E"/>
    <w:rsid w:val="00830CF9"/>
    <w:rsid w:val="008311E9"/>
    <w:rsid w:val="008315F9"/>
    <w:rsid w:val="0083214A"/>
    <w:rsid w:val="00832F62"/>
    <w:rsid w:val="00834220"/>
    <w:rsid w:val="00841466"/>
    <w:rsid w:val="0084351A"/>
    <w:rsid w:val="0084354D"/>
    <w:rsid w:val="00843F87"/>
    <w:rsid w:val="008455E8"/>
    <w:rsid w:val="00845723"/>
    <w:rsid w:val="008474DC"/>
    <w:rsid w:val="008474F0"/>
    <w:rsid w:val="00850771"/>
    <w:rsid w:val="00850981"/>
    <w:rsid w:val="00850C6D"/>
    <w:rsid w:val="00851948"/>
    <w:rsid w:val="00851C9A"/>
    <w:rsid w:val="00851EF9"/>
    <w:rsid w:val="0085269B"/>
    <w:rsid w:val="00853141"/>
    <w:rsid w:val="008548CD"/>
    <w:rsid w:val="00854F8C"/>
    <w:rsid w:val="008569C4"/>
    <w:rsid w:val="00856A1D"/>
    <w:rsid w:val="008577FD"/>
    <w:rsid w:val="00857F39"/>
    <w:rsid w:val="00860B03"/>
    <w:rsid w:val="00860E7E"/>
    <w:rsid w:val="0086138D"/>
    <w:rsid w:val="00862AC7"/>
    <w:rsid w:val="00863EF2"/>
    <w:rsid w:val="0086497A"/>
    <w:rsid w:val="008656BF"/>
    <w:rsid w:val="008660C5"/>
    <w:rsid w:val="008662F3"/>
    <w:rsid w:val="008664CF"/>
    <w:rsid w:val="008673BC"/>
    <w:rsid w:val="00870CA5"/>
    <w:rsid w:val="008713A1"/>
    <w:rsid w:val="00871F83"/>
    <w:rsid w:val="00873B37"/>
    <w:rsid w:val="00874E50"/>
    <w:rsid w:val="008754AB"/>
    <w:rsid w:val="00875AB3"/>
    <w:rsid w:val="00876234"/>
    <w:rsid w:val="0088060C"/>
    <w:rsid w:val="0088092F"/>
    <w:rsid w:val="00881F20"/>
    <w:rsid w:val="00882825"/>
    <w:rsid w:val="0088457D"/>
    <w:rsid w:val="00884C14"/>
    <w:rsid w:val="00884FD4"/>
    <w:rsid w:val="008854E4"/>
    <w:rsid w:val="00885CB8"/>
    <w:rsid w:val="00886F28"/>
    <w:rsid w:val="008875D5"/>
    <w:rsid w:val="008879BB"/>
    <w:rsid w:val="00887E7E"/>
    <w:rsid w:val="0089066B"/>
    <w:rsid w:val="00891846"/>
    <w:rsid w:val="00891D82"/>
    <w:rsid w:val="0089222F"/>
    <w:rsid w:val="00892C59"/>
    <w:rsid w:val="00893576"/>
    <w:rsid w:val="00893E73"/>
    <w:rsid w:val="00894D56"/>
    <w:rsid w:val="0089759A"/>
    <w:rsid w:val="008A24A9"/>
    <w:rsid w:val="008A26E4"/>
    <w:rsid w:val="008A2EFE"/>
    <w:rsid w:val="008A317B"/>
    <w:rsid w:val="008A3453"/>
    <w:rsid w:val="008A4380"/>
    <w:rsid w:val="008A5BCB"/>
    <w:rsid w:val="008A6DFC"/>
    <w:rsid w:val="008A7708"/>
    <w:rsid w:val="008A7D04"/>
    <w:rsid w:val="008B02DC"/>
    <w:rsid w:val="008B03FD"/>
    <w:rsid w:val="008B0579"/>
    <w:rsid w:val="008B1CF8"/>
    <w:rsid w:val="008B2E1D"/>
    <w:rsid w:val="008B30E1"/>
    <w:rsid w:val="008B4165"/>
    <w:rsid w:val="008B493B"/>
    <w:rsid w:val="008B4B73"/>
    <w:rsid w:val="008B57CE"/>
    <w:rsid w:val="008B621C"/>
    <w:rsid w:val="008B6AC1"/>
    <w:rsid w:val="008B6E37"/>
    <w:rsid w:val="008B745B"/>
    <w:rsid w:val="008C1195"/>
    <w:rsid w:val="008C13D5"/>
    <w:rsid w:val="008C15A6"/>
    <w:rsid w:val="008C26DE"/>
    <w:rsid w:val="008C4B78"/>
    <w:rsid w:val="008C51A9"/>
    <w:rsid w:val="008C563B"/>
    <w:rsid w:val="008C7278"/>
    <w:rsid w:val="008D0739"/>
    <w:rsid w:val="008D0E16"/>
    <w:rsid w:val="008D133D"/>
    <w:rsid w:val="008D2225"/>
    <w:rsid w:val="008D3BE6"/>
    <w:rsid w:val="008D3E3E"/>
    <w:rsid w:val="008D4752"/>
    <w:rsid w:val="008D5376"/>
    <w:rsid w:val="008D56BF"/>
    <w:rsid w:val="008D7298"/>
    <w:rsid w:val="008D72C5"/>
    <w:rsid w:val="008D75E8"/>
    <w:rsid w:val="008D7745"/>
    <w:rsid w:val="008D78C4"/>
    <w:rsid w:val="008D7ADF"/>
    <w:rsid w:val="008E0854"/>
    <w:rsid w:val="008E1238"/>
    <w:rsid w:val="008E271C"/>
    <w:rsid w:val="008E3725"/>
    <w:rsid w:val="008E418E"/>
    <w:rsid w:val="008E48EF"/>
    <w:rsid w:val="008E5BC6"/>
    <w:rsid w:val="008E5F60"/>
    <w:rsid w:val="008E699F"/>
    <w:rsid w:val="008E6A25"/>
    <w:rsid w:val="008E6A6A"/>
    <w:rsid w:val="008F0994"/>
    <w:rsid w:val="008F1B0A"/>
    <w:rsid w:val="008F3F9B"/>
    <w:rsid w:val="008F4C26"/>
    <w:rsid w:val="008F5193"/>
    <w:rsid w:val="008F63FB"/>
    <w:rsid w:val="009013A7"/>
    <w:rsid w:val="009017FB"/>
    <w:rsid w:val="009017FC"/>
    <w:rsid w:val="00902E08"/>
    <w:rsid w:val="00903D67"/>
    <w:rsid w:val="0090465E"/>
    <w:rsid w:val="0090506B"/>
    <w:rsid w:val="009050C9"/>
    <w:rsid w:val="009058D6"/>
    <w:rsid w:val="00905AF4"/>
    <w:rsid w:val="00905D05"/>
    <w:rsid w:val="009066FC"/>
    <w:rsid w:val="0091151D"/>
    <w:rsid w:val="00911591"/>
    <w:rsid w:val="00912D70"/>
    <w:rsid w:val="009138C8"/>
    <w:rsid w:val="009140A3"/>
    <w:rsid w:val="00914496"/>
    <w:rsid w:val="009144A2"/>
    <w:rsid w:val="0091510C"/>
    <w:rsid w:val="00915717"/>
    <w:rsid w:val="00920B20"/>
    <w:rsid w:val="009213C1"/>
    <w:rsid w:val="00923023"/>
    <w:rsid w:val="00923EDC"/>
    <w:rsid w:val="009254E0"/>
    <w:rsid w:val="009259AC"/>
    <w:rsid w:val="00926830"/>
    <w:rsid w:val="00926AD5"/>
    <w:rsid w:val="00926F38"/>
    <w:rsid w:val="009303A8"/>
    <w:rsid w:val="009319B5"/>
    <w:rsid w:val="00931E14"/>
    <w:rsid w:val="009328E8"/>
    <w:rsid w:val="0093342B"/>
    <w:rsid w:val="00933690"/>
    <w:rsid w:val="009336F1"/>
    <w:rsid w:val="00933BD7"/>
    <w:rsid w:val="00934215"/>
    <w:rsid w:val="00934301"/>
    <w:rsid w:val="009360EC"/>
    <w:rsid w:val="00936B64"/>
    <w:rsid w:val="00936C2D"/>
    <w:rsid w:val="00936CD1"/>
    <w:rsid w:val="00940117"/>
    <w:rsid w:val="00940416"/>
    <w:rsid w:val="00940606"/>
    <w:rsid w:val="00940D3E"/>
    <w:rsid w:val="00941747"/>
    <w:rsid w:val="00941EFB"/>
    <w:rsid w:val="009433C2"/>
    <w:rsid w:val="0094505F"/>
    <w:rsid w:val="009462D3"/>
    <w:rsid w:val="009464B2"/>
    <w:rsid w:val="00947538"/>
    <w:rsid w:val="00947926"/>
    <w:rsid w:val="0094798E"/>
    <w:rsid w:val="00947AFB"/>
    <w:rsid w:val="00947ECD"/>
    <w:rsid w:val="00950189"/>
    <w:rsid w:val="00950A6E"/>
    <w:rsid w:val="0095109A"/>
    <w:rsid w:val="00951D7D"/>
    <w:rsid w:val="00952167"/>
    <w:rsid w:val="00952777"/>
    <w:rsid w:val="00952FDC"/>
    <w:rsid w:val="00953475"/>
    <w:rsid w:val="009541AA"/>
    <w:rsid w:val="009579D8"/>
    <w:rsid w:val="00960090"/>
    <w:rsid w:val="00961B44"/>
    <w:rsid w:val="00961DD6"/>
    <w:rsid w:val="009630C7"/>
    <w:rsid w:val="00964759"/>
    <w:rsid w:val="00964BC9"/>
    <w:rsid w:val="009657C7"/>
    <w:rsid w:val="0096593A"/>
    <w:rsid w:val="00966B9E"/>
    <w:rsid w:val="00967697"/>
    <w:rsid w:val="0097008C"/>
    <w:rsid w:val="009707B0"/>
    <w:rsid w:val="00972B55"/>
    <w:rsid w:val="009734B0"/>
    <w:rsid w:val="009734F9"/>
    <w:rsid w:val="009740E2"/>
    <w:rsid w:val="009743B7"/>
    <w:rsid w:val="00974B8B"/>
    <w:rsid w:val="00975388"/>
    <w:rsid w:val="00975B07"/>
    <w:rsid w:val="0098136D"/>
    <w:rsid w:val="00981820"/>
    <w:rsid w:val="0098228B"/>
    <w:rsid w:val="009828DA"/>
    <w:rsid w:val="00982C9A"/>
    <w:rsid w:val="00982DAB"/>
    <w:rsid w:val="0098331D"/>
    <w:rsid w:val="00983D4C"/>
    <w:rsid w:val="009847D8"/>
    <w:rsid w:val="00985087"/>
    <w:rsid w:val="00985BAB"/>
    <w:rsid w:val="009874DE"/>
    <w:rsid w:val="00987BDE"/>
    <w:rsid w:val="00990A36"/>
    <w:rsid w:val="00991743"/>
    <w:rsid w:val="00991912"/>
    <w:rsid w:val="00994EDF"/>
    <w:rsid w:val="0099562E"/>
    <w:rsid w:val="00995BC4"/>
    <w:rsid w:val="0099770E"/>
    <w:rsid w:val="00997D03"/>
    <w:rsid w:val="009A0413"/>
    <w:rsid w:val="009A18D1"/>
    <w:rsid w:val="009A2D8E"/>
    <w:rsid w:val="009A37C8"/>
    <w:rsid w:val="009A3B3F"/>
    <w:rsid w:val="009A5707"/>
    <w:rsid w:val="009A6EE0"/>
    <w:rsid w:val="009A6F0F"/>
    <w:rsid w:val="009B1715"/>
    <w:rsid w:val="009B18B4"/>
    <w:rsid w:val="009B1B5F"/>
    <w:rsid w:val="009B245A"/>
    <w:rsid w:val="009B2C3E"/>
    <w:rsid w:val="009B3116"/>
    <w:rsid w:val="009B36BE"/>
    <w:rsid w:val="009B493C"/>
    <w:rsid w:val="009B5735"/>
    <w:rsid w:val="009B6673"/>
    <w:rsid w:val="009B6C08"/>
    <w:rsid w:val="009B7373"/>
    <w:rsid w:val="009C05BA"/>
    <w:rsid w:val="009C191B"/>
    <w:rsid w:val="009C1B01"/>
    <w:rsid w:val="009C2695"/>
    <w:rsid w:val="009C2BD6"/>
    <w:rsid w:val="009C2F98"/>
    <w:rsid w:val="009C4E15"/>
    <w:rsid w:val="009C5A27"/>
    <w:rsid w:val="009C5C92"/>
    <w:rsid w:val="009C7E5B"/>
    <w:rsid w:val="009D0523"/>
    <w:rsid w:val="009D1D65"/>
    <w:rsid w:val="009D1E2D"/>
    <w:rsid w:val="009D2FBF"/>
    <w:rsid w:val="009D5317"/>
    <w:rsid w:val="009D610C"/>
    <w:rsid w:val="009D6186"/>
    <w:rsid w:val="009D66C1"/>
    <w:rsid w:val="009D78B5"/>
    <w:rsid w:val="009E0DA5"/>
    <w:rsid w:val="009E1F32"/>
    <w:rsid w:val="009E24D1"/>
    <w:rsid w:val="009E24EF"/>
    <w:rsid w:val="009E29AD"/>
    <w:rsid w:val="009E3EE9"/>
    <w:rsid w:val="009E3FC3"/>
    <w:rsid w:val="009E4634"/>
    <w:rsid w:val="009E4DD3"/>
    <w:rsid w:val="009E6679"/>
    <w:rsid w:val="009E693C"/>
    <w:rsid w:val="009E69B4"/>
    <w:rsid w:val="009E708A"/>
    <w:rsid w:val="009E776C"/>
    <w:rsid w:val="009E7787"/>
    <w:rsid w:val="009E7AEC"/>
    <w:rsid w:val="009E7E1D"/>
    <w:rsid w:val="009F03C7"/>
    <w:rsid w:val="009F1670"/>
    <w:rsid w:val="009F2321"/>
    <w:rsid w:val="009F2506"/>
    <w:rsid w:val="009F2513"/>
    <w:rsid w:val="009F2B9B"/>
    <w:rsid w:val="009F2C1C"/>
    <w:rsid w:val="009F3A24"/>
    <w:rsid w:val="009F3EFE"/>
    <w:rsid w:val="009F4465"/>
    <w:rsid w:val="009F47E8"/>
    <w:rsid w:val="009F51FC"/>
    <w:rsid w:val="009F5ABD"/>
    <w:rsid w:val="00A00144"/>
    <w:rsid w:val="00A01FB8"/>
    <w:rsid w:val="00A02E71"/>
    <w:rsid w:val="00A02F6F"/>
    <w:rsid w:val="00A031C1"/>
    <w:rsid w:val="00A04AFC"/>
    <w:rsid w:val="00A055CC"/>
    <w:rsid w:val="00A05674"/>
    <w:rsid w:val="00A05819"/>
    <w:rsid w:val="00A07712"/>
    <w:rsid w:val="00A12334"/>
    <w:rsid w:val="00A15D27"/>
    <w:rsid w:val="00A164D6"/>
    <w:rsid w:val="00A16563"/>
    <w:rsid w:val="00A16F14"/>
    <w:rsid w:val="00A1726E"/>
    <w:rsid w:val="00A204CF"/>
    <w:rsid w:val="00A20B01"/>
    <w:rsid w:val="00A218AC"/>
    <w:rsid w:val="00A22CD5"/>
    <w:rsid w:val="00A23533"/>
    <w:rsid w:val="00A23D49"/>
    <w:rsid w:val="00A2593A"/>
    <w:rsid w:val="00A27004"/>
    <w:rsid w:val="00A30C29"/>
    <w:rsid w:val="00A30E3A"/>
    <w:rsid w:val="00A31921"/>
    <w:rsid w:val="00A31A7A"/>
    <w:rsid w:val="00A3231D"/>
    <w:rsid w:val="00A33A30"/>
    <w:rsid w:val="00A34DD6"/>
    <w:rsid w:val="00A36819"/>
    <w:rsid w:val="00A36989"/>
    <w:rsid w:val="00A369FB"/>
    <w:rsid w:val="00A406AD"/>
    <w:rsid w:val="00A40ACE"/>
    <w:rsid w:val="00A40CB2"/>
    <w:rsid w:val="00A4143C"/>
    <w:rsid w:val="00A42732"/>
    <w:rsid w:val="00A42E9D"/>
    <w:rsid w:val="00A42FA8"/>
    <w:rsid w:val="00A43308"/>
    <w:rsid w:val="00A43628"/>
    <w:rsid w:val="00A4372A"/>
    <w:rsid w:val="00A464F4"/>
    <w:rsid w:val="00A4783A"/>
    <w:rsid w:val="00A47DE4"/>
    <w:rsid w:val="00A47DFF"/>
    <w:rsid w:val="00A47EF2"/>
    <w:rsid w:val="00A51E21"/>
    <w:rsid w:val="00A5284D"/>
    <w:rsid w:val="00A53BBE"/>
    <w:rsid w:val="00A54192"/>
    <w:rsid w:val="00A548A3"/>
    <w:rsid w:val="00A54DEE"/>
    <w:rsid w:val="00A570CC"/>
    <w:rsid w:val="00A57245"/>
    <w:rsid w:val="00A6035E"/>
    <w:rsid w:val="00A6053D"/>
    <w:rsid w:val="00A60EF3"/>
    <w:rsid w:val="00A6144C"/>
    <w:rsid w:val="00A61E4D"/>
    <w:rsid w:val="00A626D0"/>
    <w:rsid w:val="00A640BE"/>
    <w:rsid w:val="00A66200"/>
    <w:rsid w:val="00A66617"/>
    <w:rsid w:val="00A671F8"/>
    <w:rsid w:val="00A673A4"/>
    <w:rsid w:val="00A67531"/>
    <w:rsid w:val="00A724AE"/>
    <w:rsid w:val="00A73329"/>
    <w:rsid w:val="00A74085"/>
    <w:rsid w:val="00A74917"/>
    <w:rsid w:val="00A74BC1"/>
    <w:rsid w:val="00A74FE0"/>
    <w:rsid w:val="00A7525B"/>
    <w:rsid w:val="00A8092D"/>
    <w:rsid w:val="00A82359"/>
    <w:rsid w:val="00A82A8D"/>
    <w:rsid w:val="00A84C69"/>
    <w:rsid w:val="00A85BC4"/>
    <w:rsid w:val="00A85E50"/>
    <w:rsid w:val="00A865D2"/>
    <w:rsid w:val="00A869D7"/>
    <w:rsid w:val="00A86AED"/>
    <w:rsid w:val="00A86B5D"/>
    <w:rsid w:val="00A87313"/>
    <w:rsid w:val="00A87EC4"/>
    <w:rsid w:val="00A905D2"/>
    <w:rsid w:val="00A906C2"/>
    <w:rsid w:val="00A911B2"/>
    <w:rsid w:val="00A913D4"/>
    <w:rsid w:val="00A92659"/>
    <w:rsid w:val="00A92D45"/>
    <w:rsid w:val="00A930BA"/>
    <w:rsid w:val="00A941C8"/>
    <w:rsid w:val="00A943DC"/>
    <w:rsid w:val="00A94C20"/>
    <w:rsid w:val="00A967D8"/>
    <w:rsid w:val="00AA0069"/>
    <w:rsid w:val="00AA1326"/>
    <w:rsid w:val="00AA2191"/>
    <w:rsid w:val="00AA21F8"/>
    <w:rsid w:val="00AA227F"/>
    <w:rsid w:val="00AA3A2A"/>
    <w:rsid w:val="00AA3BC7"/>
    <w:rsid w:val="00AA50E4"/>
    <w:rsid w:val="00AA52E2"/>
    <w:rsid w:val="00AA5395"/>
    <w:rsid w:val="00AA61D0"/>
    <w:rsid w:val="00AA6B31"/>
    <w:rsid w:val="00AA754A"/>
    <w:rsid w:val="00AB00AB"/>
    <w:rsid w:val="00AB06BC"/>
    <w:rsid w:val="00AB099E"/>
    <w:rsid w:val="00AB22F6"/>
    <w:rsid w:val="00AB3A1B"/>
    <w:rsid w:val="00AB3C9F"/>
    <w:rsid w:val="00AB4124"/>
    <w:rsid w:val="00AB4167"/>
    <w:rsid w:val="00AB4328"/>
    <w:rsid w:val="00AB4398"/>
    <w:rsid w:val="00AB453E"/>
    <w:rsid w:val="00AB492E"/>
    <w:rsid w:val="00AB55F9"/>
    <w:rsid w:val="00AC0389"/>
    <w:rsid w:val="00AC0824"/>
    <w:rsid w:val="00AC1324"/>
    <w:rsid w:val="00AC1A9F"/>
    <w:rsid w:val="00AC1D28"/>
    <w:rsid w:val="00AC1EE2"/>
    <w:rsid w:val="00AC21C2"/>
    <w:rsid w:val="00AC29C9"/>
    <w:rsid w:val="00AC471F"/>
    <w:rsid w:val="00AC4EBF"/>
    <w:rsid w:val="00AC538D"/>
    <w:rsid w:val="00AC54ED"/>
    <w:rsid w:val="00AC57D8"/>
    <w:rsid w:val="00AC77A6"/>
    <w:rsid w:val="00AC7E9F"/>
    <w:rsid w:val="00AD1D9D"/>
    <w:rsid w:val="00AD2EE8"/>
    <w:rsid w:val="00AD412E"/>
    <w:rsid w:val="00AD4A6B"/>
    <w:rsid w:val="00AE0A2E"/>
    <w:rsid w:val="00AE0C19"/>
    <w:rsid w:val="00AE1779"/>
    <w:rsid w:val="00AE1A37"/>
    <w:rsid w:val="00AE1F7C"/>
    <w:rsid w:val="00AE2B55"/>
    <w:rsid w:val="00AE354C"/>
    <w:rsid w:val="00AE3A7E"/>
    <w:rsid w:val="00AE7707"/>
    <w:rsid w:val="00AE7B2D"/>
    <w:rsid w:val="00AF0683"/>
    <w:rsid w:val="00AF0C08"/>
    <w:rsid w:val="00AF15A3"/>
    <w:rsid w:val="00AF15B3"/>
    <w:rsid w:val="00AF1ABB"/>
    <w:rsid w:val="00AF1F57"/>
    <w:rsid w:val="00AF237B"/>
    <w:rsid w:val="00AF2AD2"/>
    <w:rsid w:val="00AF3F59"/>
    <w:rsid w:val="00AF4B07"/>
    <w:rsid w:val="00AF5CC8"/>
    <w:rsid w:val="00AF6186"/>
    <w:rsid w:val="00AF6D17"/>
    <w:rsid w:val="00AF7A3A"/>
    <w:rsid w:val="00B0101D"/>
    <w:rsid w:val="00B010E9"/>
    <w:rsid w:val="00B01192"/>
    <w:rsid w:val="00B012BD"/>
    <w:rsid w:val="00B018DF"/>
    <w:rsid w:val="00B01B81"/>
    <w:rsid w:val="00B02462"/>
    <w:rsid w:val="00B031C5"/>
    <w:rsid w:val="00B0416B"/>
    <w:rsid w:val="00B07655"/>
    <w:rsid w:val="00B10E9D"/>
    <w:rsid w:val="00B1178E"/>
    <w:rsid w:val="00B131DF"/>
    <w:rsid w:val="00B139B3"/>
    <w:rsid w:val="00B13DED"/>
    <w:rsid w:val="00B14C61"/>
    <w:rsid w:val="00B15A96"/>
    <w:rsid w:val="00B15BF8"/>
    <w:rsid w:val="00B160DB"/>
    <w:rsid w:val="00B168C0"/>
    <w:rsid w:val="00B1757D"/>
    <w:rsid w:val="00B1772D"/>
    <w:rsid w:val="00B20001"/>
    <w:rsid w:val="00B20836"/>
    <w:rsid w:val="00B21E76"/>
    <w:rsid w:val="00B22426"/>
    <w:rsid w:val="00B22828"/>
    <w:rsid w:val="00B22F19"/>
    <w:rsid w:val="00B235BB"/>
    <w:rsid w:val="00B23B11"/>
    <w:rsid w:val="00B24A24"/>
    <w:rsid w:val="00B24FF6"/>
    <w:rsid w:val="00B25338"/>
    <w:rsid w:val="00B25B72"/>
    <w:rsid w:val="00B268F8"/>
    <w:rsid w:val="00B26D6A"/>
    <w:rsid w:val="00B26FCF"/>
    <w:rsid w:val="00B27A44"/>
    <w:rsid w:val="00B30BBF"/>
    <w:rsid w:val="00B30D7F"/>
    <w:rsid w:val="00B31330"/>
    <w:rsid w:val="00B33116"/>
    <w:rsid w:val="00B331A6"/>
    <w:rsid w:val="00B331AF"/>
    <w:rsid w:val="00B33C03"/>
    <w:rsid w:val="00B34031"/>
    <w:rsid w:val="00B35551"/>
    <w:rsid w:val="00B36290"/>
    <w:rsid w:val="00B411BF"/>
    <w:rsid w:val="00B4398E"/>
    <w:rsid w:val="00B44E56"/>
    <w:rsid w:val="00B453E8"/>
    <w:rsid w:val="00B46478"/>
    <w:rsid w:val="00B46543"/>
    <w:rsid w:val="00B46FEA"/>
    <w:rsid w:val="00B475D1"/>
    <w:rsid w:val="00B47D33"/>
    <w:rsid w:val="00B504D7"/>
    <w:rsid w:val="00B50858"/>
    <w:rsid w:val="00B51742"/>
    <w:rsid w:val="00B519DE"/>
    <w:rsid w:val="00B52BE0"/>
    <w:rsid w:val="00B53003"/>
    <w:rsid w:val="00B539C4"/>
    <w:rsid w:val="00B53FD4"/>
    <w:rsid w:val="00B54133"/>
    <w:rsid w:val="00B54D8D"/>
    <w:rsid w:val="00B56CB7"/>
    <w:rsid w:val="00B56CFF"/>
    <w:rsid w:val="00B56D60"/>
    <w:rsid w:val="00B60416"/>
    <w:rsid w:val="00B60BC9"/>
    <w:rsid w:val="00B611FB"/>
    <w:rsid w:val="00B61421"/>
    <w:rsid w:val="00B61715"/>
    <w:rsid w:val="00B626B7"/>
    <w:rsid w:val="00B63FEA"/>
    <w:rsid w:val="00B641F4"/>
    <w:rsid w:val="00B644D2"/>
    <w:rsid w:val="00B6467F"/>
    <w:rsid w:val="00B64942"/>
    <w:rsid w:val="00B65FA2"/>
    <w:rsid w:val="00B66750"/>
    <w:rsid w:val="00B66B6E"/>
    <w:rsid w:val="00B674DC"/>
    <w:rsid w:val="00B67931"/>
    <w:rsid w:val="00B67E9A"/>
    <w:rsid w:val="00B701ED"/>
    <w:rsid w:val="00B71F84"/>
    <w:rsid w:val="00B72460"/>
    <w:rsid w:val="00B73E1E"/>
    <w:rsid w:val="00B7446B"/>
    <w:rsid w:val="00B75C78"/>
    <w:rsid w:val="00B7613B"/>
    <w:rsid w:val="00B76F47"/>
    <w:rsid w:val="00B803F8"/>
    <w:rsid w:val="00B8086C"/>
    <w:rsid w:val="00B80CDF"/>
    <w:rsid w:val="00B82F60"/>
    <w:rsid w:val="00B83D1C"/>
    <w:rsid w:val="00B83E5C"/>
    <w:rsid w:val="00B84980"/>
    <w:rsid w:val="00B854FB"/>
    <w:rsid w:val="00B85D15"/>
    <w:rsid w:val="00B861B4"/>
    <w:rsid w:val="00B86216"/>
    <w:rsid w:val="00B86DFE"/>
    <w:rsid w:val="00B87BD1"/>
    <w:rsid w:val="00B90990"/>
    <w:rsid w:val="00B9136F"/>
    <w:rsid w:val="00B91EB8"/>
    <w:rsid w:val="00B91EED"/>
    <w:rsid w:val="00B922FF"/>
    <w:rsid w:val="00B9281E"/>
    <w:rsid w:val="00B93159"/>
    <w:rsid w:val="00B93925"/>
    <w:rsid w:val="00B93ECF"/>
    <w:rsid w:val="00B94131"/>
    <w:rsid w:val="00B95187"/>
    <w:rsid w:val="00B953AD"/>
    <w:rsid w:val="00B9670C"/>
    <w:rsid w:val="00B9776F"/>
    <w:rsid w:val="00B97BB1"/>
    <w:rsid w:val="00BA00C8"/>
    <w:rsid w:val="00BA046E"/>
    <w:rsid w:val="00BA0770"/>
    <w:rsid w:val="00BA13E1"/>
    <w:rsid w:val="00BA2D55"/>
    <w:rsid w:val="00BA442F"/>
    <w:rsid w:val="00BA45F9"/>
    <w:rsid w:val="00BA4D5A"/>
    <w:rsid w:val="00BA587D"/>
    <w:rsid w:val="00BA71B1"/>
    <w:rsid w:val="00BB0637"/>
    <w:rsid w:val="00BB0830"/>
    <w:rsid w:val="00BB1C21"/>
    <w:rsid w:val="00BB2C92"/>
    <w:rsid w:val="00BB304A"/>
    <w:rsid w:val="00BB345F"/>
    <w:rsid w:val="00BB4A13"/>
    <w:rsid w:val="00BB4BE7"/>
    <w:rsid w:val="00BB4D97"/>
    <w:rsid w:val="00BB64B6"/>
    <w:rsid w:val="00BB68EA"/>
    <w:rsid w:val="00BB70A8"/>
    <w:rsid w:val="00BB71C1"/>
    <w:rsid w:val="00BB71E0"/>
    <w:rsid w:val="00BC004E"/>
    <w:rsid w:val="00BC0074"/>
    <w:rsid w:val="00BC0B95"/>
    <w:rsid w:val="00BC1308"/>
    <w:rsid w:val="00BC1C27"/>
    <w:rsid w:val="00BC2439"/>
    <w:rsid w:val="00BC31D3"/>
    <w:rsid w:val="00BC4A8F"/>
    <w:rsid w:val="00BC4C09"/>
    <w:rsid w:val="00BC52FB"/>
    <w:rsid w:val="00BC54F9"/>
    <w:rsid w:val="00BC5B0A"/>
    <w:rsid w:val="00BC6B70"/>
    <w:rsid w:val="00BC6BBF"/>
    <w:rsid w:val="00BC7109"/>
    <w:rsid w:val="00BD0A44"/>
    <w:rsid w:val="00BD0F6F"/>
    <w:rsid w:val="00BD1572"/>
    <w:rsid w:val="00BD1A28"/>
    <w:rsid w:val="00BD1A4E"/>
    <w:rsid w:val="00BD3826"/>
    <w:rsid w:val="00BD407D"/>
    <w:rsid w:val="00BD4D7B"/>
    <w:rsid w:val="00BD4EC6"/>
    <w:rsid w:val="00BD5438"/>
    <w:rsid w:val="00BE0421"/>
    <w:rsid w:val="00BE14E3"/>
    <w:rsid w:val="00BE16DE"/>
    <w:rsid w:val="00BE1BBD"/>
    <w:rsid w:val="00BE1C38"/>
    <w:rsid w:val="00BE2024"/>
    <w:rsid w:val="00BE212B"/>
    <w:rsid w:val="00BE2ADD"/>
    <w:rsid w:val="00BE2E5C"/>
    <w:rsid w:val="00BE3362"/>
    <w:rsid w:val="00BE3415"/>
    <w:rsid w:val="00BE35E9"/>
    <w:rsid w:val="00BE3774"/>
    <w:rsid w:val="00BE3807"/>
    <w:rsid w:val="00BE39C5"/>
    <w:rsid w:val="00BE39F7"/>
    <w:rsid w:val="00BE41E5"/>
    <w:rsid w:val="00BE4E12"/>
    <w:rsid w:val="00BF003B"/>
    <w:rsid w:val="00BF09C2"/>
    <w:rsid w:val="00BF0E16"/>
    <w:rsid w:val="00BF1F96"/>
    <w:rsid w:val="00BF2478"/>
    <w:rsid w:val="00BF4109"/>
    <w:rsid w:val="00BF4CC3"/>
    <w:rsid w:val="00C01DA9"/>
    <w:rsid w:val="00C02828"/>
    <w:rsid w:val="00C02D9D"/>
    <w:rsid w:val="00C02E74"/>
    <w:rsid w:val="00C03F37"/>
    <w:rsid w:val="00C04FD8"/>
    <w:rsid w:val="00C054C7"/>
    <w:rsid w:val="00C056F1"/>
    <w:rsid w:val="00C057B5"/>
    <w:rsid w:val="00C06E15"/>
    <w:rsid w:val="00C06FD7"/>
    <w:rsid w:val="00C07397"/>
    <w:rsid w:val="00C07F2A"/>
    <w:rsid w:val="00C11B6A"/>
    <w:rsid w:val="00C1262B"/>
    <w:rsid w:val="00C14624"/>
    <w:rsid w:val="00C14760"/>
    <w:rsid w:val="00C15682"/>
    <w:rsid w:val="00C170BF"/>
    <w:rsid w:val="00C17373"/>
    <w:rsid w:val="00C17470"/>
    <w:rsid w:val="00C175E5"/>
    <w:rsid w:val="00C21BBF"/>
    <w:rsid w:val="00C22687"/>
    <w:rsid w:val="00C23FD9"/>
    <w:rsid w:val="00C24454"/>
    <w:rsid w:val="00C24EA5"/>
    <w:rsid w:val="00C25593"/>
    <w:rsid w:val="00C25B43"/>
    <w:rsid w:val="00C2712A"/>
    <w:rsid w:val="00C27BFD"/>
    <w:rsid w:val="00C27D2C"/>
    <w:rsid w:val="00C32A49"/>
    <w:rsid w:val="00C32B33"/>
    <w:rsid w:val="00C32E4D"/>
    <w:rsid w:val="00C333A0"/>
    <w:rsid w:val="00C334F5"/>
    <w:rsid w:val="00C35CF7"/>
    <w:rsid w:val="00C361CA"/>
    <w:rsid w:val="00C36408"/>
    <w:rsid w:val="00C36A81"/>
    <w:rsid w:val="00C36BEA"/>
    <w:rsid w:val="00C36C60"/>
    <w:rsid w:val="00C372ED"/>
    <w:rsid w:val="00C37444"/>
    <w:rsid w:val="00C37E1F"/>
    <w:rsid w:val="00C37F65"/>
    <w:rsid w:val="00C4044D"/>
    <w:rsid w:val="00C40AA9"/>
    <w:rsid w:val="00C41974"/>
    <w:rsid w:val="00C44F12"/>
    <w:rsid w:val="00C46491"/>
    <w:rsid w:val="00C473F2"/>
    <w:rsid w:val="00C474ED"/>
    <w:rsid w:val="00C506C8"/>
    <w:rsid w:val="00C52CF0"/>
    <w:rsid w:val="00C53F4A"/>
    <w:rsid w:val="00C54125"/>
    <w:rsid w:val="00C55B54"/>
    <w:rsid w:val="00C57101"/>
    <w:rsid w:val="00C60405"/>
    <w:rsid w:val="00C6098E"/>
    <w:rsid w:val="00C611D8"/>
    <w:rsid w:val="00C6152C"/>
    <w:rsid w:val="00C63990"/>
    <w:rsid w:val="00C63B2B"/>
    <w:rsid w:val="00C6402B"/>
    <w:rsid w:val="00C64EF6"/>
    <w:rsid w:val="00C65050"/>
    <w:rsid w:val="00C654A7"/>
    <w:rsid w:val="00C65A39"/>
    <w:rsid w:val="00C6653B"/>
    <w:rsid w:val="00C6708A"/>
    <w:rsid w:val="00C67464"/>
    <w:rsid w:val="00C67EE2"/>
    <w:rsid w:val="00C71FEA"/>
    <w:rsid w:val="00C72722"/>
    <w:rsid w:val="00C728F9"/>
    <w:rsid w:val="00C72BA9"/>
    <w:rsid w:val="00C72D04"/>
    <w:rsid w:val="00C736B0"/>
    <w:rsid w:val="00C737FC"/>
    <w:rsid w:val="00C73FA6"/>
    <w:rsid w:val="00C74810"/>
    <w:rsid w:val="00C755C6"/>
    <w:rsid w:val="00C759FF"/>
    <w:rsid w:val="00C76190"/>
    <w:rsid w:val="00C8085A"/>
    <w:rsid w:val="00C81987"/>
    <w:rsid w:val="00C82418"/>
    <w:rsid w:val="00C844EC"/>
    <w:rsid w:val="00C852A7"/>
    <w:rsid w:val="00C854E8"/>
    <w:rsid w:val="00C86979"/>
    <w:rsid w:val="00C871CD"/>
    <w:rsid w:val="00C9046C"/>
    <w:rsid w:val="00C90D68"/>
    <w:rsid w:val="00C90F12"/>
    <w:rsid w:val="00C911E5"/>
    <w:rsid w:val="00C91703"/>
    <w:rsid w:val="00C926E1"/>
    <w:rsid w:val="00C926E4"/>
    <w:rsid w:val="00C92DA4"/>
    <w:rsid w:val="00C939FE"/>
    <w:rsid w:val="00C943F7"/>
    <w:rsid w:val="00C96BBB"/>
    <w:rsid w:val="00C97382"/>
    <w:rsid w:val="00C97E6F"/>
    <w:rsid w:val="00CA03E7"/>
    <w:rsid w:val="00CA1AE4"/>
    <w:rsid w:val="00CA39B0"/>
    <w:rsid w:val="00CA3E3C"/>
    <w:rsid w:val="00CA434E"/>
    <w:rsid w:val="00CA4889"/>
    <w:rsid w:val="00CA4BDA"/>
    <w:rsid w:val="00CA5981"/>
    <w:rsid w:val="00CA5CB5"/>
    <w:rsid w:val="00CB0C89"/>
    <w:rsid w:val="00CB100A"/>
    <w:rsid w:val="00CB12DD"/>
    <w:rsid w:val="00CB1AE9"/>
    <w:rsid w:val="00CB1F66"/>
    <w:rsid w:val="00CB2105"/>
    <w:rsid w:val="00CB2951"/>
    <w:rsid w:val="00CB323B"/>
    <w:rsid w:val="00CB336D"/>
    <w:rsid w:val="00CB3674"/>
    <w:rsid w:val="00CB3F17"/>
    <w:rsid w:val="00CB6C03"/>
    <w:rsid w:val="00CB75D3"/>
    <w:rsid w:val="00CB76EB"/>
    <w:rsid w:val="00CB7730"/>
    <w:rsid w:val="00CC0313"/>
    <w:rsid w:val="00CC1AF0"/>
    <w:rsid w:val="00CC3FE5"/>
    <w:rsid w:val="00CC40E1"/>
    <w:rsid w:val="00CC44E3"/>
    <w:rsid w:val="00CC5CED"/>
    <w:rsid w:val="00CC5DD6"/>
    <w:rsid w:val="00CC7170"/>
    <w:rsid w:val="00CC71E6"/>
    <w:rsid w:val="00CC75C8"/>
    <w:rsid w:val="00CC78A2"/>
    <w:rsid w:val="00CD0C5A"/>
    <w:rsid w:val="00CD27A5"/>
    <w:rsid w:val="00CD282B"/>
    <w:rsid w:val="00CD2F8E"/>
    <w:rsid w:val="00CD37A7"/>
    <w:rsid w:val="00CD399D"/>
    <w:rsid w:val="00CD407B"/>
    <w:rsid w:val="00CD4C35"/>
    <w:rsid w:val="00CD4F71"/>
    <w:rsid w:val="00CD50DD"/>
    <w:rsid w:val="00CD5587"/>
    <w:rsid w:val="00CD567C"/>
    <w:rsid w:val="00CD5BEE"/>
    <w:rsid w:val="00CD688B"/>
    <w:rsid w:val="00CD7369"/>
    <w:rsid w:val="00CD7379"/>
    <w:rsid w:val="00CE0B0E"/>
    <w:rsid w:val="00CE0E4A"/>
    <w:rsid w:val="00CE3831"/>
    <w:rsid w:val="00CE3EBA"/>
    <w:rsid w:val="00CE4A12"/>
    <w:rsid w:val="00CE5CD1"/>
    <w:rsid w:val="00CE6DAC"/>
    <w:rsid w:val="00CF0F35"/>
    <w:rsid w:val="00CF3002"/>
    <w:rsid w:val="00CF315A"/>
    <w:rsid w:val="00CF32D7"/>
    <w:rsid w:val="00CF3FB4"/>
    <w:rsid w:val="00CF42BB"/>
    <w:rsid w:val="00CF54C6"/>
    <w:rsid w:val="00CF550D"/>
    <w:rsid w:val="00CF6D63"/>
    <w:rsid w:val="00CF7B64"/>
    <w:rsid w:val="00D0049A"/>
    <w:rsid w:val="00D00513"/>
    <w:rsid w:val="00D008FF"/>
    <w:rsid w:val="00D00ABB"/>
    <w:rsid w:val="00D01EA8"/>
    <w:rsid w:val="00D02EEC"/>
    <w:rsid w:val="00D03551"/>
    <w:rsid w:val="00D03CE7"/>
    <w:rsid w:val="00D0491E"/>
    <w:rsid w:val="00D04A1C"/>
    <w:rsid w:val="00D04ACE"/>
    <w:rsid w:val="00D05D52"/>
    <w:rsid w:val="00D06A63"/>
    <w:rsid w:val="00D06DB7"/>
    <w:rsid w:val="00D06DCF"/>
    <w:rsid w:val="00D07E0E"/>
    <w:rsid w:val="00D11478"/>
    <w:rsid w:val="00D11A92"/>
    <w:rsid w:val="00D120DD"/>
    <w:rsid w:val="00D12D13"/>
    <w:rsid w:val="00D1308A"/>
    <w:rsid w:val="00D13506"/>
    <w:rsid w:val="00D14507"/>
    <w:rsid w:val="00D153A7"/>
    <w:rsid w:val="00D15ED0"/>
    <w:rsid w:val="00D168FD"/>
    <w:rsid w:val="00D1723B"/>
    <w:rsid w:val="00D203A3"/>
    <w:rsid w:val="00D20620"/>
    <w:rsid w:val="00D212BE"/>
    <w:rsid w:val="00D21B3E"/>
    <w:rsid w:val="00D21B7B"/>
    <w:rsid w:val="00D21FED"/>
    <w:rsid w:val="00D241F0"/>
    <w:rsid w:val="00D24251"/>
    <w:rsid w:val="00D250D7"/>
    <w:rsid w:val="00D25A50"/>
    <w:rsid w:val="00D27406"/>
    <w:rsid w:val="00D30474"/>
    <w:rsid w:val="00D31079"/>
    <w:rsid w:val="00D31CF3"/>
    <w:rsid w:val="00D31DC4"/>
    <w:rsid w:val="00D324A3"/>
    <w:rsid w:val="00D325DF"/>
    <w:rsid w:val="00D33BC3"/>
    <w:rsid w:val="00D33CFD"/>
    <w:rsid w:val="00D343E2"/>
    <w:rsid w:val="00D34D98"/>
    <w:rsid w:val="00D351CD"/>
    <w:rsid w:val="00D361A2"/>
    <w:rsid w:val="00D364D0"/>
    <w:rsid w:val="00D37C1F"/>
    <w:rsid w:val="00D4041F"/>
    <w:rsid w:val="00D408DB"/>
    <w:rsid w:val="00D40E2C"/>
    <w:rsid w:val="00D42AFF"/>
    <w:rsid w:val="00D43471"/>
    <w:rsid w:val="00D44C2E"/>
    <w:rsid w:val="00D44F83"/>
    <w:rsid w:val="00D451EA"/>
    <w:rsid w:val="00D453E2"/>
    <w:rsid w:val="00D45414"/>
    <w:rsid w:val="00D459D0"/>
    <w:rsid w:val="00D463D7"/>
    <w:rsid w:val="00D472CD"/>
    <w:rsid w:val="00D54224"/>
    <w:rsid w:val="00D559ED"/>
    <w:rsid w:val="00D56294"/>
    <w:rsid w:val="00D566BD"/>
    <w:rsid w:val="00D574B0"/>
    <w:rsid w:val="00D576CF"/>
    <w:rsid w:val="00D57A4D"/>
    <w:rsid w:val="00D60949"/>
    <w:rsid w:val="00D60AA7"/>
    <w:rsid w:val="00D61938"/>
    <w:rsid w:val="00D619F5"/>
    <w:rsid w:val="00D62C00"/>
    <w:rsid w:val="00D63450"/>
    <w:rsid w:val="00D63AB6"/>
    <w:rsid w:val="00D63F17"/>
    <w:rsid w:val="00D641A3"/>
    <w:rsid w:val="00D6435F"/>
    <w:rsid w:val="00D64EFC"/>
    <w:rsid w:val="00D65027"/>
    <w:rsid w:val="00D66535"/>
    <w:rsid w:val="00D67C08"/>
    <w:rsid w:val="00D67DD8"/>
    <w:rsid w:val="00D700B5"/>
    <w:rsid w:val="00D7088C"/>
    <w:rsid w:val="00D71008"/>
    <w:rsid w:val="00D7257C"/>
    <w:rsid w:val="00D73502"/>
    <w:rsid w:val="00D73932"/>
    <w:rsid w:val="00D74F0C"/>
    <w:rsid w:val="00D75E28"/>
    <w:rsid w:val="00D772C2"/>
    <w:rsid w:val="00D8008E"/>
    <w:rsid w:val="00D811A5"/>
    <w:rsid w:val="00D82137"/>
    <w:rsid w:val="00D82B28"/>
    <w:rsid w:val="00D82C45"/>
    <w:rsid w:val="00D831C3"/>
    <w:rsid w:val="00D841B9"/>
    <w:rsid w:val="00D84FD3"/>
    <w:rsid w:val="00D8606D"/>
    <w:rsid w:val="00D8782A"/>
    <w:rsid w:val="00D87EDF"/>
    <w:rsid w:val="00D908A8"/>
    <w:rsid w:val="00D922A6"/>
    <w:rsid w:val="00D92CCF"/>
    <w:rsid w:val="00D93F16"/>
    <w:rsid w:val="00D977B6"/>
    <w:rsid w:val="00DA1B21"/>
    <w:rsid w:val="00DA1F79"/>
    <w:rsid w:val="00DA1FCD"/>
    <w:rsid w:val="00DA250B"/>
    <w:rsid w:val="00DA2682"/>
    <w:rsid w:val="00DA40D1"/>
    <w:rsid w:val="00DA45F7"/>
    <w:rsid w:val="00DA4A31"/>
    <w:rsid w:val="00DA5A03"/>
    <w:rsid w:val="00DA6778"/>
    <w:rsid w:val="00DA680A"/>
    <w:rsid w:val="00DA6F8C"/>
    <w:rsid w:val="00DA7B04"/>
    <w:rsid w:val="00DB0A55"/>
    <w:rsid w:val="00DB122C"/>
    <w:rsid w:val="00DB13D2"/>
    <w:rsid w:val="00DB2B1C"/>
    <w:rsid w:val="00DB36C2"/>
    <w:rsid w:val="00DB3E93"/>
    <w:rsid w:val="00DB4A6F"/>
    <w:rsid w:val="00DB5427"/>
    <w:rsid w:val="00DC04DA"/>
    <w:rsid w:val="00DC107E"/>
    <w:rsid w:val="00DC169B"/>
    <w:rsid w:val="00DC22EB"/>
    <w:rsid w:val="00DC2AB9"/>
    <w:rsid w:val="00DC3A36"/>
    <w:rsid w:val="00DC578D"/>
    <w:rsid w:val="00DC5D2C"/>
    <w:rsid w:val="00DC63F0"/>
    <w:rsid w:val="00DC6E8D"/>
    <w:rsid w:val="00DC73CA"/>
    <w:rsid w:val="00DC7D28"/>
    <w:rsid w:val="00DD29B4"/>
    <w:rsid w:val="00DD3345"/>
    <w:rsid w:val="00DD4251"/>
    <w:rsid w:val="00DD46D5"/>
    <w:rsid w:val="00DD4AAB"/>
    <w:rsid w:val="00DD5146"/>
    <w:rsid w:val="00DD5E9C"/>
    <w:rsid w:val="00DD6EE5"/>
    <w:rsid w:val="00DD758F"/>
    <w:rsid w:val="00DE003B"/>
    <w:rsid w:val="00DE1CD5"/>
    <w:rsid w:val="00DE2F96"/>
    <w:rsid w:val="00DE35C3"/>
    <w:rsid w:val="00DE386C"/>
    <w:rsid w:val="00DE4D35"/>
    <w:rsid w:val="00DE59DA"/>
    <w:rsid w:val="00DE6432"/>
    <w:rsid w:val="00DE70F4"/>
    <w:rsid w:val="00DE76B2"/>
    <w:rsid w:val="00DE7964"/>
    <w:rsid w:val="00DF098B"/>
    <w:rsid w:val="00DF11C4"/>
    <w:rsid w:val="00DF1302"/>
    <w:rsid w:val="00DF19E9"/>
    <w:rsid w:val="00DF210C"/>
    <w:rsid w:val="00DF3036"/>
    <w:rsid w:val="00DF3934"/>
    <w:rsid w:val="00DF4A1E"/>
    <w:rsid w:val="00DF4B6A"/>
    <w:rsid w:val="00DF5241"/>
    <w:rsid w:val="00DF576E"/>
    <w:rsid w:val="00DF582A"/>
    <w:rsid w:val="00DF70B4"/>
    <w:rsid w:val="00E004C8"/>
    <w:rsid w:val="00E01879"/>
    <w:rsid w:val="00E01BBD"/>
    <w:rsid w:val="00E01E65"/>
    <w:rsid w:val="00E02430"/>
    <w:rsid w:val="00E02C09"/>
    <w:rsid w:val="00E033F3"/>
    <w:rsid w:val="00E04D59"/>
    <w:rsid w:val="00E06730"/>
    <w:rsid w:val="00E07DA1"/>
    <w:rsid w:val="00E10E50"/>
    <w:rsid w:val="00E1146B"/>
    <w:rsid w:val="00E1176A"/>
    <w:rsid w:val="00E123CB"/>
    <w:rsid w:val="00E12A16"/>
    <w:rsid w:val="00E12C2A"/>
    <w:rsid w:val="00E12F34"/>
    <w:rsid w:val="00E13BC6"/>
    <w:rsid w:val="00E14B12"/>
    <w:rsid w:val="00E154D4"/>
    <w:rsid w:val="00E155EA"/>
    <w:rsid w:val="00E159BC"/>
    <w:rsid w:val="00E15A49"/>
    <w:rsid w:val="00E17454"/>
    <w:rsid w:val="00E2025D"/>
    <w:rsid w:val="00E2081E"/>
    <w:rsid w:val="00E20E13"/>
    <w:rsid w:val="00E20F04"/>
    <w:rsid w:val="00E21BAE"/>
    <w:rsid w:val="00E21DBC"/>
    <w:rsid w:val="00E22638"/>
    <w:rsid w:val="00E25263"/>
    <w:rsid w:val="00E26837"/>
    <w:rsid w:val="00E27263"/>
    <w:rsid w:val="00E275D7"/>
    <w:rsid w:val="00E27DBE"/>
    <w:rsid w:val="00E32AB1"/>
    <w:rsid w:val="00E32BA3"/>
    <w:rsid w:val="00E34A9B"/>
    <w:rsid w:val="00E3597D"/>
    <w:rsid w:val="00E35AA6"/>
    <w:rsid w:val="00E36C71"/>
    <w:rsid w:val="00E37D17"/>
    <w:rsid w:val="00E40404"/>
    <w:rsid w:val="00E40595"/>
    <w:rsid w:val="00E414E0"/>
    <w:rsid w:val="00E424DC"/>
    <w:rsid w:val="00E4382E"/>
    <w:rsid w:val="00E44A83"/>
    <w:rsid w:val="00E44DB8"/>
    <w:rsid w:val="00E4529A"/>
    <w:rsid w:val="00E4579C"/>
    <w:rsid w:val="00E459C6"/>
    <w:rsid w:val="00E46D81"/>
    <w:rsid w:val="00E47589"/>
    <w:rsid w:val="00E504ED"/>
    <w:rsid w:val="00E50C6F"/>
    <w:rsid w:val="00E50CF9"/>
    <w:rsid w:val="00E53F05"/>
    <w:rsid w:val="00E541E0"/>
    <w:rsid w:val="00E5598A"/>
    <w:rsid w:val="00E55B6D"/>
    <w:rsid w:val="00E56464"/>
    <w:rsid w:val="00E60673"/>
    <w:rsid w:val="00E60F32"/>
    <w:rsid w:val="00E63DF9"/>
    <w:rsid w:val="00E64283"/>
    <w:rsid w:val="00E64915"/>
    <w:rsid w:val="00E65D65"/>
    <w:rsid w:val="00E661D4"/>
    <w:rsid w:val="00E70091"/>
    <w:rsid w:val="00E70B60"/>
    <w:rsid w:val="00E70E21"/>
    <w:rsid w:val="00E70E87"/>
    <w:rsid w:val="00E70FB6"/>
    <w:rsid w:val="00E712AD"/>
    <w:rsid w:val="00E712FD"/>
    <w:rsid w:val="00E71BB3"/>
    <w:rsid w:val="00E71C8B"/>
    <w:rsid w:val="00E720F5"/>
    <w:rsid w:val="00E75266"/>
    <w:rsid w:val="00E75B66"/>
    <w:rsid w:val="00E76D47"/>
    <w:rsid w:val="00E77CB3"/>
    <w:rsid w:val="00E813AD"/>
    <w:rsid w:val="00E817BE"/>
    <w:rsid w:val="00E8180F"/>
    <w:rsid w:val="00E81941"/>
    <w:rsid w:val="00E81E9C"/>
    <w:rsid w:val="00E8346B"/>
    <w:rsid w:val="00E8349F"/>
    <w:rsid w:val="00E84616"/>
    <w:rsid w:val="00E849F7"/>
    <w:rsid w:val="00E84B7B"/>
    <w:rsid w:val="00E84E86"/>
    <w:rsid w:val="00E85B7B"/>
    <w:rsid w:val="00E862DD"/>
    <w:rsid w:val="00E86683"/>
    <w:rsid w:val="00E86BB7"/>
    <w:rsid w:val="00E90302"/>
    <w:rsid w:val="00E90E3A"/>
    <w:rsid w:val="00E9168C"/>
    <w:rsid w:val="00E940DA"/>
    <w:rsid w:val="00E943B1"/>
    <w:rsid w:val="00E9451A"/>
    <w:rsid w:val="00E94AE2"/>
    <w:rsid w:val="00E971F2"/>
    <w:rsid w:val="00E97396"/>
    <w:rsid w:val="00EA01F9"/>
    <w:rsid w:val="00EA10EE"/>
    <w:rsid w:val="00EA1199"/>
    <w:rsid w:val="00EA185E"/>
    <w:rsid w:val="00EA22D1"/>
    <w:rsid w:val="00EA2CE1"/>
    <w:rsid w:val="00EA335E"/>
    <w:rsid w:val="00EA43AA"/>
    <w:rsid w:val="00EA4883"/>
    <w:rsid w:val="00EA48CB"/>
    <w:rsid w:val="00EA49C0"/>
    <w:rsid w:val="00EA592A"/>
    <w:rsid w:val="00EA75A1"/>
    <w:rsid w:val="00EB0011"/>
    <w:rsid w:val="00EB04AF"/>
    <w:rsid w:val="00EB09C9"/>
    <w:rsid w:val="00EB14E4"/>
    <w:rsid w:val="00EB1E55"/>
    <w:rsid w:val="00EB2290"/>
    <w:rsid w:val="00EB32A5"/>
    <w:rsid w:val="00EB34ED"/>
    <w:rsid w:val="00EB40A4"/>
    <w:rsid w:val="00EB719F"/>
    <w:rsid w:val="00EB71F0"/>
    <w:rsid w:val="00EB75B3"/>
    <w:rsid w:val="00EB7BE0"/>
    <w:rsid w:val="00EB7E63"/>
    <w:rsid w:val="00EC0C6A"/>
    <w:rsid w:val="00EC2C7B"/>
    <w:rsid w:val="00EC315E"/>
    <w:rsid w:val="00EC3357"/>
    <w:rsid w:val="00EC3C39"/>
    <w:rsid w:val="00EC407F"/>
    <w:rsid w:val="00EC41AB"/>
    <w:rsid w:val="00EC521D"/>
    <w:rsid w:val="00EC54C0"/>
    <w:rsid w:val="00EC686A"/>
    <w:rsid w:val="00EC798C"/>
    <w:rsid w:val="00ED077C"/>
    <w:rsid w:val="00ED1183"/>
    <w:rsid w:val="00ED1190"/>
    <w:rsid w:val="00ED1692"/>
    <w:rsid w:val="00ED202F"/>
    <w:rsid w:val="00ED2FDB"/>
    <w:rsid w:val="00ED3DB2"/>
    <w:rsid w:val="00ED5197"/>
    <w:rsid w:val="00ED55D9"/>
    <w:rsid w:val="00ED5735"/>
    <w:rsid w:val="00ED6544"/>
    <w:rsid w:val="00ED66EC"/>
    <w:rsid w:val="00EE0277"/>
    <w:rsid w:val="00EE0E07"/>
    <w:rsid w:val="00EE1193"/>
    <w:rsid w:val="00EE3E00"/>
    <w:rsid w:val="00EE3F66"/>
    <w:rsid w:val="00EE4A62"/>
    <w:rsid w:val="00EE5DD2"/>
    <w:rsid w:val="00EE63D4"/>
    <w:rsid w:val="00EE6BC4"/>
    <w:rsid w:val="00EE6D9B"/>
    <w:rsid w:val="00EE75E4"/>
    <w:rsid w:val="00EF05E4"/>
    <w:rsid w:val="00EF06B7"/>
    <w:rsid w:val="00EF08B3"/>
    <w:rsid w:val="00EF0A2E"/>
    <w:rsid w:val="00EF13DA"/>
    <w:rsid w:val="00EF1F5B"/>
    <w:rsid w:val="00EF2CE2"/>
    <w:rsid w:val="00EF3759"/>
    <w:rsid w:val="00EF48BC"/>
    <w:rsid w:val="00EF48D4"/>
    <w:rsid w:val="00EF63C2"/>
    <w:rsid w:val="00EF71BD"/>
    <w:rsid w:val="00EF7447"/>
    <w:rsid w:val="00EF7D3C"/>
    <w:rsid w:val="00F00A79"/>
    <w:rsid w:val="00F00E86"/>
    <w:rsid w:val="00F0276A"/>
    <w:rsid w:val="00F02E89"/>
    <w:rsid w:val="00F06002"/>
    <w:rsid w:val="00F060A3"/>
    <w:rsid w:val="00F06906"/>
    <w:rsid w:val="00F07C1E"/>
    <w:rsid w:val="00F105DB"/>
    <w:rsid w:val="00F10CF8"/>
    <w:rsid w:val="00F11E06"/>
    <w:rsid w:val="00F12D93"/>
    <w:rsid w:val="00F132BC"/>
    <w:rsid w:val="00F13CF5"/>
    <w:rsid w:val="00F13D00"/>
    <w:rsid w:val="00F13D80"/>
    <w:rsid w:val="00F144F1"/>
    <w:rsid w:val="00F14DC3"/>
    <w:rsid w:val="00F153FE"/>
    <w:rsid w:val="00F158C4"/>
    <w:rsid w:val="00F16AAA"/>
    <w:rsid w:val="00F1745C"/>
    <w:rsid w:val="00F203D0"/>
    <w:rsid w:val="00F20CCF"/>
    <w:rsid w:val="00F21007"/>
    <w:rsid w:val="00F21161"/>
    <w:rsid w:val="00F218EF"/>
    <w:rsid w:val="00F21BC7"/>
    <w:rsid w:val="00F21D9C"/>
    <w:rsid w:val="00F21DEF"/>
    <w:rsid w:val="00F2277D"/>
    <w:rsid w:val="00F23AA0"/>
    <w:rsid w:val="00F23C28"/>
    <w:rsid w:val="00F24F2B"/>
    <w:rsid w:val="00F25241"/>
    <w:rsid w:val="00F25B6D"/>
    <w:rsid w:val="00F266A2"/>
    <w:rsid w:val="00F274E6"/>
    <w:rsid w:val="00F3036B"/>
    <w:rsid w:val="00F321AF"/>
    <w:rsid w:val="00F32269"/>
    <w:rsid w:val="00F3270B"/>
    <w:rsid w:val="00F3341B"/>
    <w:rsid w:val="00F335C0"/>
    <w:rsid w:val="00F33995"/>
    <w:rsid w:val="00F33C71"/>
    <w:rsid w:val="00F36C8E"/>
    <w:rsid w:val="00F37F51"/>
    <w:rsid w:val="00F37F67"/>
    <w:rsid w:val="00F412ED"/>
    <w:rsid w:val="00F423F4"/>
    <w:rsid w:val="00F42F1F"/>
    <w:rsid w:val="00F44333"/>
    <w:rsid w:val="00F44FC0"/>
    <w:rsid w:val="00F4736E"/>
    <w:rsid w:val="00F50009"/>
    <w:rsid w:val="00F5094B"/>
    <w:rsid w:val="00F51AD2"/>
    <w:rsid w:val="00F54353"/>
    <w:rsid w:val="00F54D5E"/>
    <w:rsid w:val="00F55E90"/>
    <w:rsid w:val="00F5600A"/>
    <w:rsid w:val="00F56A6F"/>
    <w:rsid w:val="00F56E5D"/>
    <w:rsid w:val="00F5709C"/>
    <w:rsid w:val="00F5789E"/>
    <w:rsid w:val="00F6009E"/>
    <w:rsid w:val="00F607A9"/>
    <w:rsid w:val="00F60BB5"/>
    <w:rsid w:val="00F61E89"/>
    <w:rsid w:val="00F63173"/>
    <w:rsid w:val="00F647F8"/>
    <w:rsid w:val="00F64EF1"/>
    <w:rsid w:val="00F65613"/>
    <w:rsid w:val="00F6566C"/>
    <w:rsid w:val="00F67BED"/>
    <w:rsid w:val="00F7052F"/>
    <w:rsid w:val="00F7161F"/>
    <w:rsid w:val="00F71E65"/>
    <w:rsid w:val="00F728B7"/>
    <w:rsid w:val="00F72933"/>
    <w:rsid w:val="00F734EF"/>
    <w:rsid w:val="00F757B7"/>
    <w:rsid w:val="00F7614C"/>
    <w:rsid w:val="00F7667D"/>
    <w:rsid w:val="00F80394"/>
    <w:rsid w:val="00F803F1"/>
    <w:rsid w:val="00F80743"/>
    <w:rsid w:val="00F80DCF"/>
    <w:rsid w:val="00F82240"/>
    <w:rsid w:val="00F82836"/>
    <w:rsid w:val="00F85FCE"/>
    <w:rsid w:val="00F8765F"/>
    <w:rsid w:val="00F90365"/>
    <w:rsid w:val="00F90767"/>
    <w:rsid w:val="00F907CB"/>
    <w:rsid w:val="00F92267"/>
    <w:rsid w:val="00F9373B"/>
    <w:rsid w:val="00F93EB1"/>
    <w:rsid w:val="00F95851"/>
    <w:rsid w:val="00F95C2C"/>
    <w:rsid w:val="00F963C4"/>
    <w:rsid w:val="00F97239"/>
    <w:rsid w:val="00F973B2"/>
    <w:rsid w:val="00FA1986"/>
    <w:rsid w:val="00FA220B"/>
    <w:rsid w:val="00FA22E7"/>
    <w:rsid w:val="00FA56CD"/>
    <w:rsid w:val="00FA5E28"/>
    <w:rsid w:val="00FA685B"/>
    <w:rsid w:val="00FA68C2"/>
    <w:rsid w:val="00FB049D"/>
    <w:rsid w:val="00FB0ACA"/>
    <w:rsid w:val="00FB0B60"/>
    <w:rsid w:val="00FB0C01"/>
    <w:rsid w:val="00FB193A"/>
    <w:rsid w:val="00FB1B90"/>
    <w:rsid w:val="00FB2B45"/>
    <w:rsid w:val="00FB2D08"/>
    <w:rsid w:val="00FB4DAF"/>
    <w:rsid w:val="00FB4DB7"/>
    <w:rsid w:val="00FB67B4"/>
    <w:rsid w:val="00FB72B1"/>
    <w:rsid w:val="00FB7B14"/>
    <w:rsid w:val="00FC003F"/>
    <w:rsid w:val="00FC0FF8"/>
    <w:rsid w:val="00FC1073"/>
    <w:rsid w:val="00FC18F2"/>
    <w:rsid w:val="00FC256C"/>
    <w:rsid w:val="00FC39E5"/>
    <w:rsid w:val="00FC3A78"/>
    <w:rsid w:val="00FC3FD5"/>
    <w:rsid w:val="00FC621C"/>
    <w:rsid w:val="00FC6791"/>
    <w:rsid w:val="00FC7079"/>
    <w:rsid w:val="00FD0DAC"/>
    <w:rsid w:val="00FD0F88"/>
    <w:rsid w:val="00FD1005"/>
    <w:rsid w:val="00FD1FB5"/>
    <w:rsid w:val="00FD2199"/>
    <w:rsid w:val="00FD28CD"/>
    <w:rsid w:val="00FD3A09"/>
    <w:rsid w:val="00FD4772"/>
    <w:rsid w:val="00FD56A8"/>
    <w:rsid w:val="00FD5BBE"/>
    <w:rsid w:val="00FD665D"/>
    <w:rsid w:val="00FD6C75"/>
    <w:rsid w:val="00FE07B7"/>
    <w:rsid w:val="00FE1DE1"/>
    <w:rsid w:val="00FE3E37"/>
    <w:rsid w:val="00FE5F0B"/>
    <w:rsid w:val="00FE6AC5"/>
    <w:rsid w:val="00FE7151"/>
    <w:rsid w:val="00FE71B3"/>
    <w:rsid w:val="00FF037A"/>
    <w:rsid w:val="00FF0485"/>
    <w:rsid w:val="00FF089E"/>
    <w:rsid w:val="00FF11FF"/>
    <w:rsid w:val="00FF1C1A"/>
    <w:rsid w:val="00FF245F"/>
    <w:rsid w:val="00FF3066"/>
    <w:rsid w:val="00FF42C5"/>
    <w:rsid w:val="00FF684D"/>
    <w:rsid w:val="00FF7191"/>
    <w:rsid w:val="00FF72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F4F51"/>
    <w:pPr>
      <w:jc w:val="both"/>
    </w:pPr>
    <w:rPr>
      <w:rFonts w:eastAsiaTheme="minorEastAsia"/>
      <w:sz w:val="24"/>
    </w:rPr>
  </w:style>
  <w:style w:type="paragraph" w:styleId="Titlu1">
    <w:name w:val="heading 1"/>
    <w:basedOn w:val="Normal"/>
    <w:next w:val="Normal"/>
    <w:link w:val="Titlu1Caracter"/>
    <w:uiPriority w:val="99"/>
    <w:rsid w:val="0016174F"/>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16174F"/>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16174F"/>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16174F"/>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373D11"/>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16174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373D11"/>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373D11"/>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373D11"/>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16174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6174F"/>
    <w:rPr>
      <w:rFonts w:ascii="Tahoma" w:eastAsiaTheme="minorEastAsia" w:hAnsi="Tahoma" w:cs="Tahoma"/>
      <w:sz w:val="16"/>
      <w:szCs w:val="16"/>
    </w:rPr>
  </w:style>
  <w:style w:type="character" w:styleId="Titlulcrii">
    <w:name w:val="Book Title"/>
    <w:uiPriority w:val="99"/>
    <w:qFormat/>
    <w:rsid w:val="00373D11"/>
    <w:rPr>
      <w:i/>
      <w:iCs/>
      <w:smallCaps/>
      <w:spacing w:val="5"/>
    </w:rPr>
  </w:style>
  <w:style w:type="paragraph" w:customStyle="1" w:styleId="ECHRHeader">
    <w:name w:val="ECHR_Header"/>
    <w:aliases w:val="Ju_Header"/>
    <w:basedOn w:val="Antet"/>
    <w:uiPriority w:val="4"/>
    <w:qFormat/>
    <w:rsid w:val="00373D11"/>
    <w:pPr>
      <w:tabs>
        <w:tab w:val="clear" w:pos="4536"/>
        <w:tab w:val="clear" w:pos="9072"/>
        <w:tab w:val="center" w:pos="3686"/>
        <w:tab w:val="right" w:pos="7371"/>
      </w:tabs>
      <w:jc w:val="left"/>
    </w:pPr>
    <w:rPr>
      <w:sz w:val="18"/>
    </w:rPr>
  </w:style>
  <w:style w:type="paragraph" w:customStyle="1" w:styleId="ECHRFooter">
    <w:name w:val="ECHR_Footer"/>
    <w:aliases w:val="Footer_ECHR"/>
    <w:basedOn w:val="Subsol"/>
    <w:uiPriority w:val="57"/>
    <w:semiHidden/>
    <w:rsid w:val="0016174F"/>
    <w:pPr>
      <w:jc w:val="left"/>
    </w:pPr>
    <w:rPr>
      <w:sz w:val="8"/>
    </w:rPr>
  </w:style>
  <w:style w:type="character" w:styleId="Robust">
    <w:name w:val="Strong"/>
    <w:uiPriority w:val="99"/>
    <w:qFormat/>
    <w:rsid w:val="00373D11"/>
    <w:rPr>
      <w:b/>
      <w:bCs/>
    </w:rPr>
  </w:style>
  <w:style w:type="paragraph" w:styleId="Frspaiere">
    <w:name w:val="No Spacing"/>
    <w:basedOn w:val="Normal"/>
    <w:link w:val="FrspaiereCaracter"/>
    <w:qFormat/>
    <w:rsid w:val="00373D11"/>
    <w:rPr>
      <w:sz w:val="22"/>
    </w:rPr>
  </w:style>
  <w:style w:type="character" w:customStyle="1" w:styleId="FrspaiereCaracter">
    <w:name w:val="Fără spațiere Caracter"/>
    <w:basedOn w:val="Fontdeparagrafimplicit"/>
    <w:link w:val="Frspaiere"/>
    <w:rsid w:val="00373D11"/>
    <w:rPr>
      <w:rFonts w:eastAsiaTheme="minorEastAsia"/>
    </w:rPr>
  </w:style>
  <w:style w:type="paragraph" w:customStyle="1" w:styleId="ECHRFooterLine">
    <w:name w:val="ECHR_Footer_Line"/>
    <w:aliases w:val="Footer_Line"/>
    <w:basedOn w:val="Normal"/>
    <w:next w:val="ECHRFooter"/>
    <w:uiPriority w:val="57"/>
    <w:semiHidden/>
    <w:rsid w:val="0016174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373D11"/>
    <w:pPr>
      <w:numPr>
        <w:numId w:val="14"/>
      </w:numPr>
      <w:jc w:val="left"/>
    </w:pPr>
    <w:rPr>
      <w:b/>
    </w:rPr>
  </w:style>
  <w:style w:type="paragraph" w:customStyle="1" w:styleId="OpiPara">
    <w:name w:val="Opi_Para"/>
    <w:basedOn w:val="ECHRPara"/>
    <w:uiPriority w:val="46"/>
    <w:qFormat/>
    <w:rsid w:val="00373D11"/>
  </w:style>
  <w:style w:type="paragraph" w:customStyle="1" w:styleId="JuParaSub">
    <w:name w:val="Ju_Para_Sub"/>
    <w:basedOn w:val="ECHRPara"/>
    <w:uiPriority w:val="13"/>
    <w:unhideWhenUsed/>
    <w:qFormat/>
    <w:rsid w:val="00373D11"/>
    <w:pPr>
      <w:ind w:left="284"/>
    </w:pPr>
  </w:style>
  <w:style w:type="paragraph" w:customStyle="1" w:styleId="ECHRTitleCentre3">
    <w:name w:val="ECHR_Title_Centre_3"/>
    <w:aliases w:val="Ju_H_Article"/>
    <w:basedOn w:val="Normal"/>
    <w:next w:val="ECHRParaQuote"/>
    <w:uiPriority w:val="27"/>
    <w:qFormat/>
    <w:rsid w:val="00373D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73D1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373D11"/>
  </w:style>
  <w:style w:type="paragraph" w:customStyle="1" w:styleId="OpiQuot">
    <w:name w:val="Opi_Quot"/>
    <w:basedOn w:val="ECHRParaQuote"/>
    <w:uiPriority w:val="48"/>
    <w:qFormat/>
    <w:rsid w:val="00373D11"/>
  </w:style>
  <w:style w:type="paragraph" w:customStyle="1" w:styleId="OpiQuotSub">
    <w:name w:val="Opi_Quot_Sub"/>
    <w:basedOn w:val="JuQuotSub"/>
    <w:uiPriority w:val="49"/>
    <w:qFormat/>
    <w:rsid w:val="00373D11"/>
  </w:style>
  <w:style w:type="paragraph" w:customStyle="1" w:styleId="ECHRTitleCentre2">
    <w:name w:val="ECHR_Title_Centre_2"/>
    <w:aliases w:val="Dec_H_Case"/>
    <w:basedOn w:val="Normal"/>
    <w:next w:val="ECHRPara"/>
    <w:uiPriority w:val="8"/>
    <w:qFormat/>
    <w:rsid w:val="00373D11"/>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373D11"/>
    <w:pPr>
      <w:spacing w:before="720" w:after="240"/>
      <w:jc w:val="center"/>
      <w:outlineLvl w:val="0"/>
    </w:pPr>
    <w:rPr>
      <w:rFonts w:asciiTheme="majorHAnsi" w:hAnsiTheme="majorHAnsi"/>
      <w:b/>
      <w:caps/>
    </w:rPr>
  </w:style>
  <w:style w:type="paragraph" w:styleId="Titlu">
    <w:name w:val="Title"/>
    <w:basedOn w:val="Normal"/>
    <w:next w:val="Normal"/>
    <w:link w:val="TitluCaracter"/>
    <w:uiPriority w:val="99"/>
    <w:qFormat/>
    <w:rsid w:val="00373D1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rsid w:val="00373D1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Titlu3"/>
    <w:next w:val="ECHRPara"/>
    <w:link w:val="JuH1Char"/>
    <w:uiPriority w:val="21"/>
    <w:qFormat/>
    <w:rsid w:val="00373D1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Titlu4"/>
    <w:next w:val="ECHRPara"/>
    <w:uiPriority w:val="22"/>
    <w:qFormat/>
    <w:rsid w:val="00373D1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uiPriority w:val="23"/>
    <w:qFormat/>
    <w:rsid w:val="00373D1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373D1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Titlu7"/>
    <w:next w:val="ECHRPara"/>
    <w:uiPriority w:val="25"/>
    <w:qFormat/>
    <w:rsid w:val="00373D11"/>
    <w:pPr>
      <w:keepNext/>
      <w:keepLines/>
      <w:spacing w:before="240" w:after="120"/>
      <w:ind w:left="1236"/>
    </w:pPr>
    <w:rPr>
      <w:sz w:val="20"/>
    </w:rPr>
  </w:style>
  <w:style w:type="paragraph" w:customStyle="1" w:styleId="JuQuotSub">
    <w:name w:val="Ju_Quot_Sub"/>
    <w:basedOn w:val="ECHRParaQuote"/>
    <w:uiPriority w:val="15"/>
    <w:qFormat/>
    <w:rsid w:val="00373D11"/>
    <w:pPr>
      <w:ind w:left="567"/>
    </w:pPr>
  </w:style>
  <w:style w:type="paragraph" w:customStyle="1" w:styleId="JuInitialled">
    <w:name w:val="Ju_Initialled"/>
    <w:basedOn w:val="Normal"/>
    <w:uiPriority w:val="31"/>
    <w:qFormat/>
    <w:rsid w:val="00373D11"/>
    <w:pPr>
      <w:tabs>
        <w:tab w:val="center" w:pos="6407"/>
      </w:tabs>
      <w:spacing w:before="720"/>
      <w:jc w:val="right"/>
    </w:pPr>
  </w:style>
  <w:style w:type="paragraph" w:customStyle="1" w:styleId="OpiHA">
    <w:name w:val="Opi_H_A"/>
    <w:basedOn w:val="ECHRHeading1"/>
    <w:next w:val="OpiPara"/>
    <w:uiPriority w:val="41"/>
    <w:qFormat/>
    <w:rsid w:val="00373D11"/>
    <w:pPr>
      <w:tabs>
        <w:tab w:val="clear" w:pos="357"/>
      </w:tabs>
      <w:outlineLvl w:val="1"/>
    </w:pPr>
    <w:rPr>
      <w:b/>
    </w:rPr>
  </w:style>
  <w:style w:type="paragraph" w:styleId="Antet">
    <w:name w:val="header"/>
    <w:basedOn w:val="Normal"/>
    <w:link w:val="AntetCaracter"/>
    <w:uiPriority w:val="48"/>
    <w:rsid w:val="0016174F"/>
    <w:pPr>
      <w:tabs>
        <w:tab w:val="center" w:pos="4536"/>
        <w:tab w:val="right" w:pos="9072"/>
      </w:tabs>
    </w:pPr>
    <w:rPr>
      <w:rFonts w:eastAsiaTheme="minorHAnsi"/>
    </w:rPr>
  </w:style>
  <w:style w:type="character" w:customStyle="1" w:styleId="AntetCaracter">
    <w:name w:val="Antet Caracter"/>
    <w:basedOn w:val="Fontdeparagrafimplicit"/>
    <w:link w:val="Antet"/>
    <w:uiPriority w:val="48"/>
    <w:rsid w:val="0016174F"/>
    <w:rPr>
      <w:sz w:val="24"/>
    </w:rPr>
  </w:style>
  <w:style w:type="character" w:customStyle="1" w:styleId="Titlu1Caracter">
    <w:name w:val="Titlu 1 Caracter"/>
    <w:basedOn w:val="Fontdeparagrafimplicit"/>
    <w:link w:val="Titlu1"/>
    <w:uiPriority w:val="99"/>
    <w:rsid w:val="0016174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Titlu1"/>
    <w:next w:val="ECHRPara"/>
    <w:uiPriority w:val="19"/>
    <w:qFormat/>
    <w:rsid w:val="00373D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Titlu2"/>
    <w:next w:val="ECHRPara"/>
    <w:uiPriority w:val="20"/>
    <w:qFormat/>
    <w:rsid w:val="00373D11"/>
    <w:pPr>
      <w:keepNext/>
      <w:keepLines/>
      <w:tabs>
        <w:tab w:val="left" w:pos="584"/>
      </w:tabs>
      <w:spacing w:before="360" w:after="240"/>
      <w:ind w:left="584" w:hanging="352"/>
    </w:pPr>
    <w:rPr>
      <w:color w:val="auto"/>
      <w:sz w:val="24"/>
    </w:rPr>
  </w:style>
  <w:style w:type="character" w:customStyle="1" w:styleId="Titlu2Caracter">
    <w:name w:val="Titlu 2 Caracter"/>
    <w:basedOn w:val="Fontdeparagrafimplicit"/>
    <w:link w:val="Titlu2"/>
    <w:uiPriority w:val="99"/>
    <w:semiHidden/>
    <w:rsid w:val="0016174F"/>
    <w:rPr>
      <w:rFonts w:asciiTheme="majorHAnsi" w:eastAsiaTheme="majorEastAsia" w:hAnsiTheme="majorHAnsi" w:cstheme="majorBidi"/>
      <w:b/>
      <w:bCs/>
      <w:color w:val="4D4D4D"/>
      <w:sz w:val="26"/>
      <w:szCs w:val="26"/>
    </w:rPr>
  </w:style>
  <w:style w:type="character" w:customStyle="1" w:styleId="JUNAMES">
    <w:name w:val="JU_NAMES"/>
    <w:uiPriority w:val="17"/>
    <w:qFormat/>
    <w:rsid w:val="00373D11"/>
    <w:rPr>
      <w:caps w:val="0"/>
      <w:smallCaps/>
    </w:rPr>
  </w:style>
  <w:style w:type="paragraph" w:customStyle="1" w:styleId="ECHRDecisionBody">
    <w:name w:val="ECHR_Decision_Body"/>
    <w:aliases w:val="Ju_Judges"/>
    <w:basedOn w:val="Normal"/>
    <w:uiPriority w:val="11"/>
    <w:qFormat/>
    <w:rsid w:val="00373D11"/>
    <w:pPr>
      <w:tabs>
        <w:tab w:val="left" w:pos="567"/>
        <w:tab w:val="left" w:pos="1134"/>
      </w:tabs>
      <w:jc w:val="left"/>
    </w:pPr>
  </w:style>
  <w:style w:type="character" w:customStyle="1" w:styleId="Titlu3Caracter">
    <w:name w:val="Titlu 3 Caracter"/>
    <w:basedOn w:val="Fontdeparagrafimplicit"/>
    <w:link w:val="Titlu3"/>
    <w:uiPriority w:val="99"/>
    <w:semiHidden/>
    <w:rsid w:val="0016174F"/>
    <w:rPr>
      <w:rFonts w:asciiTheme="majorHAnsi" w:eastAsiaTheme="majorEastAsia" w:hAnsiTheme="majorHAnsi" w:cstheme="majorBidi"/>
      <w:b/>
      <w:bCs/>
      <w:color w:val="5F5F5F"/>
      <w:sz w:val="24"/>
    </w:rPr>
  </w:style>
  <w:style w:type="paragraph" w:customStyle="1" w:styleId="ECHRPara">
    <w:name w:val="ECHR_Para"/>
    <w:aliases w:val="Ju_Para,Left,First line:  0 cm,Normal + TimesNewRomanPSMT,10 pt,Left:  1,27 cm,Line spacing:  1.5 l...,Para"/>
    <w:basedOn w:val="Normal"/>
    <w:link w:val="ECHRParaChar"/>
    <w:uiPriority w:val="12"/>
    <w:qFormat/>
    <w:rsid w:val="00373D11"/>
    <w:pPr>
      <w:ind w:firstLine="284"/>
    </w:pPr>
  </w:style>
  <w:style w:type="character" w:customStyle="1" w:styleId="Titlu4Caracter">
    <w:name w:val="Titlu 4 Caracter"/>
    <w:basedOn w:val="Fontdeparagrafimplicit"/>
    <w:link w:val="Titlu4"/>
    <w:uiPriority w:val="99"/>
    <w:semiHidden/>
    <w:rsid w:val="0016174F"/>
    <w:rPr>
      <w:rFonts w:asciiTheme="majorHAnsi" w:eastAsiaTheme="majorEastAsia" w:hAnsiTheme="majorHAnsi" w:cstheme="majorBidi"/>
      <w:b/>
      <w:bCs/>
      <w:i/>
      <w:iCs/>
      <w:color w:val="777777"/>
      <w:sz w:val="24"/>
    </w:rPr>
  </w:style>
  <w:style w:type="character" w:customStyle="1" w:styleId="Titlu5Caracter">
    <w:name w:val="Titlu 5 Caracter"/>
    <w:basedOn w:val="Fontdeparagrafimplicit"/>
    <w:link w:val="Titlu5"/>
    <w:uiPriority w:val="99"/>
    <w:semiHidden/>
    <w:rsid w:val="00373D11"/>
    <w:rPr>
      <w:rFonts w:asciiTheme="majorHAnsi" w:eastAsiaTheme="majorEastAsia" w:hAnsiTheme="majorHAnsi" w:cstheme="majorBidi"/>
      <w:b/>
      <w:bCs/>
      <w:color w:val="808080"/>
    </w:rPr>
  </w:style>
  <w:style w:type="character" w:styleId="Accentuaresubtil">
    <w:name w:val="Subtle Emphasis"/>
    <w:uiPriority w:val="99"/>
    <w:qFormat/>
    <w:rsid w:val="00373D11"/>
    <w:rPr>
      <w:i/>
      <w:iCs/>
    </w:rPr>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
    <w:next w:val="ECHRPara"/>
    <w:uiPriority w:val="18"/>
    <w:qFormat/>
    <w:rsid w:val="00373D11"/>
    <w:pPr>
      <w:keepNext/>
      <w:keepLines/>
      <w:spacing w:before="720" w:after="240"/>
      <w:outlineLvl w:val="0"/>
    </w:pPr>
    <w:rPr>
      <w:rFonts w:asciiTheme="majorHAnsi" w:hAnsiTheme="majorHAnsi"/>
      <w:sz w:val="28"/>
    </w:rPr>
  </w:style>
  <w:style w:type="character" w:styleId="Accentuat">
    <w:name w:val="Emphasis"/>
    <w:uiPriority w:val="99"/>
    <w:qFormat/>
    <w:rsid w:val="00373D11"/>
    <w:rPr>
      <w:b/>
      <w:bCs/>
      <w:i/>
      <w:iCs/>
      <w:spacing w:val="10"/>
      <w:bdr w:val="none" w:sz="0" w:space="0" w:color="auto"/>
      <w:shd w:val="clear" w:color="auto" w:fill="auto"/>
    </w:rPr>
  </w:style>
  <w:style w:type="paragraph" w:styleId="Subsol">
    <w:name w:val="footer"/>
    <w:basedOn w:val="Normal"/>
    <w:link w:val="SubsolCaracter"/>
    <w:uiPriority w:val="57"/>
    <w:semiHidden/>
    <w:rsid w:val="0016174F"/>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16174F"/>
    <w:rPr>
      <w:sz w:val="24"/>
    </w:rPr>
  </w:style>
  <w:style w:type="character" w:styleId="Referinnotdesubsol">
    <w:name w:val="footnote reference"/>
    <w:basedOn w:val="Fontdeparagrafimplicit"/>
    <w:uiPriority w:val="99"/>
    <w:semiHidden/>
    <w:rsid w:val="0016174F"/>
    <w:rPr>
      <w:vertAlign w:val="superscript"/>
    </w:rPr>
  </w:style>
  <w:style w:type="paragraph" w:styleId="Textnotdesubsol">
    <w:name w:val="footnote text"/>
    <w:basedOn w:val="Normal"/>
    <w:link w:val="TextnotdesubsolCaracter"/>
    <w:uiPriority w:val="99"/>
    <w:semiHidden/>
    <w:rsid w:val="0016174F"/>
    <w:rPr>
      <w:sz w:val="20"/>
      <w:szCs w:val="20"/>
    </w:rPr>
  </w:style>
  <w:style w:type="character" w:customStyle="1" w:styleId="TextnotdesubsolCaracter">
    <w:name w:val="Text notă de subsol Caracter"/>
    <w:basedOn w:val="Fontdeparagrafimplicit"/>
    <w:link w:val="Textnotdesubsol"/>
    <w:uiPriority w:val="99"/>
    <w:semiHidden/>
    <w:rsid w:val="0016174F"/>
    <w:rPr>
      <w:rFonts w:eastAsiaTheme="minorEastAsia"/>
      <w:sz w:val="20"/>
      <w:szCs w:val="20"/>
    </w:rPr>
  </w:style>
  <w:style w:type="character" w:customStyle="1" w:styleId="Titlu6Caracter">
    <w:name w:val="Titlu 6 Caracter"/>
    <w:basedOn w:val="Fontdeparagrafimplicit"/>
    <w:link w:val="Titlu6"/>
    <w:uiPriority w:val="99"/>
    <w:semiHidden/>
    <w:rsid w:val="0016174F"/>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373D11"/>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373D11"/>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373D11"/>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semiHidden/>
    <w:rsid w:val="0016174F"/>
    <w:rPr>
      <w:color w:val="0072BC" w:themeColor="hyperlink"/>
      <w:u w:val="single"/>
    </w:rPr>
  </w:style>
  <w:style w:type="character" w:styleId="Accentuareintens">
    <w:name w:val="Intense Emphasis"/>
    <w:uiPriority w:val="99"/>
    <w:qFormat/>
    <w:rsid w:val="00373D11"/>
    <w:rPr>
      <w:b/>
      <w:bCs/>
    </w:rPr>
  </w:style>
  <w:style w:type="paragraph" w:styleId="Citatintens">
    <w:name w:val="Intense Quote"/>
    <w:basedOn w:val="Normal"/>
    <w:next w:val="Normal"/>
    <w:link w:val="CitatintensCaracter"/>
    <w:uiPriority w:val="99"/>
    <w:qFormat/>
    <w:rsid w:val="00373D11"/>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rsid w:val="00373D11"/>
    <w:rPr>
      <w:rFonts w:eastAsiaTheme="minorEastAsia"/>
      <w:b/>
      <w:bCs/>
      <w:i/>
      <w:iCs/>
      <w:lang w:bidi="en-US"/>
    </w:rPr>
  </w:style>
  <w:style w:type="character" w:styleId="Referireintens">
    <w:name w:val="Intense Reference"/>
    <w:uiPriority w:val="99"/>
    <w:qFormat/>
    <w:rsid w:val="00373D11"/>
    <w:rPr>
      <w:smallCaps/>
      <w:spacing w:val="5"/>
      <w:u w:val="single"/>
    </w:rPr>
  </w:style>
  <w:style w:type="paragraph" w:styleId="Listparagraf">
    <w:name w:val="List Paragraph"/>
    <w:basedOn w:val="Normal"/>
    <w:uiPriority w:val="99"/>
    <w:qFormat/>
    <w:rsid w:val="00373D11"/>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qFormat/>
    <w:rsid w:val="00373D11"/>
    <w:pPr>
      <w:spacing w:before="200"/>
      <w:ind w:left="360" w:right="360"/>
    </w:pPr>
    <w:rPr>
      <w:i/>
      <w:iCs/>
      <w:sz w:val="22"/>
      <w:lang w:bidi="en-US"/>
    </w:rPr>
  </w:style>
  <w:style w:type="character" w:customStyle="1" w:styleId="CitatCaracter">
    <w:name w:val="Citat Caracter"/>
    <w:basedOn w:val="Fontdeparagrafimplicit"/>
    <w:link w:val="Citat"/>
    <w:uiPriority w:val="99"/>
    <w:rsid w:val="00373D11"/>
    <w:rPr>
      <w:rFonts w:eastAsiaTheme="minorEastAsia"/>
      <w:i/>
      <w:iCs/>
      <w:lang w:bidi="en-US"/>
    </w:rPr>
  </w:style>
  <w:style w:type="character" w:styleId="Referiresubtil">
    <w:name w:val="Subtle Reference"/>
    <w:uiPriority w:val="99"/>
    <w:qFormat/>
    <w:rsid w:val="00373D11"/>
    <w:rPr>
      <w:smallCaps/>
    </w:rPr>
  </w:style>
  <w:style w:type="table" w:styleId="Tabelgril">
    <w:name w:val="Table Grid"/>
    <w:basedOn w:val="TabelNormal"/>
    <w:uiPriority w:val="59"/>
    <w:rsid w:val="0016174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16174F"/>
    <w:pPr>
      <w:spacing w:before="120" w:after="60"/>
      <w:ind w:left="340" w:right="340" w:hanging="340"/>
    </w:pPr>
    <w:rPr>
      <w:color w:val="0D0D0D" w:themeColor="text1" w:themeTint="F2"/>
    </w:rPr>
  </w:style>
  <w:style w:type="paragraph" w:styleId="Cuprins2">
    <w:name w:val="toc 2"/>
    <w:basedOn w:val="Normal"/>
    <w:next w:val="Normal"/>
    <w:autoRedefine/>
    <w:uiPriority w:val="99"/>
    <w:semiHidden/>
    <w:rsid w:val="0016174F"/>
    <w:pPr>
      <w:spacing w:after="60"/>
      <w:ind w:left="680" w:right="340" w:hanging="340"/>
    </w:pPr>
  </w:style>
  <w:style w:type="paragraph" w:styleId="Cuprins3">
    <w:name w:val="toc 3"/>
    <w:basedOn w:val="Normal"/>
    <w:next w:val="Normal"/>
    <w:autoRedefine/>
    <w:uiPriority w:val="99"/>
    <w:semiHidden/>
    <w:rsid w:val="0016174F"/>
    <w:pPr>
      <w:spacing w:after="60"/>
      <w:ind w:left="1020" w:right="340" w:hanging="340"/>
    </w:pPr>
  </w:style>
  <w:style w:type="paragraph" w:styleId="Cuprins4">
    <w:name w:val="toc 4"/>
    <w:basedOn w:val="Normal"/>
    <w:next w:val="Normal"/>
    <w:autoRedefine/>
    <w:uiPriority w:val="99"/>
    <w:semiHidden/>
    <w:rsid w:val="0016174F"/>
    <w:pPr>
      <w:tabs>
        <w:tab w:val="right" w:leader="dot" w:pos="9017"/>
      </w:tabs>
      <w:spacing w:after="60"/>
      <w:ind w:left="1361" w:right="340" w:hanging="340"/>
    </w:pPr>
  </w:style>
  <w:style w:type="paragraph" w:styleId="Cuprins5">
    <w:name w:val="toc 5"/>
    <w:basedOn w:val="Normal"/>
    <w:next w:val="Normal"/>
    <w:autoRedefine/>
    <w:uiPriority w:val="99"/>
    <w:semiHidden/>
    <w:rsid w:val="0016174F"/>
    <w:pPr>
      <w:spacing w:after="60"/>
      <w:ind w:left="1701" w:right="340" w:hanging="340"/>
    </w:pPr>
  </w:style>
  <w:style w:type="paragraph" w:styleId="Titlucuprins">
    <w:name w:val="TOC Heading"/>
    <w:basedOn w:val="Normal"/>
    <w:next w:val="Normal"/>
    <w:uiPriority w:val="99"/>
    <w:semiHidden/>
    <w:qFormat/>
    <w:rsid w:val="00373D1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16174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link w:val="JuQuotChar"/>
    <w:uiPriority w:val="14"/>
    <w:qFormat/>
    <w:rsid w:val="00373D11"/>
    <w:pPr>
      <w:spacing w:before="120" w:after="120"/>
      <w:ind w:left="425" w:firstLine="142"/>
    </w:pPr>
    <w:rPr>
      <w:sz w:val="20"/>
    </w:r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16174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373D11"/>
    <w:pPr>
      <w:tabs>
        <w:tab w:val="center" w:pos="851"/>
        <w:tab w:val="center" w:pos="6407"/>
      </w:tabs>
      <w:spacing w:before="720"/>
      <w:jc w:val="left"/>
    </w:pPr>
  </w:style>
  <w:style w:type="paragraph" w:customStyle="1" w:styleId="JuParaLast">
    <w:name w:val="Ju_Para_Last"/>
    <w:basedOn w:val="Normal"/>
    <w:next w:val="ECHRPara"/>
    <w:uiPriority w:val="30"/>
    <w:qFormat/>
    <w:rsid w:val="00373D11"/>
    <w:pPr>
      <w:keepNext/>
      <w:keepLines/>
      <w:spacing w:before="240"/>
      <w:ind w:firstLine="284"/>
    </w:pPr>
  </w:style>
  <w:style w:type="paragraph" w:customStyle="1" w:styleId="JuCase">
    <w:name w:val="Ju_Case"/>
    <w:basedOn w:val="Normal"/>
    <w:next w:val="ECHRPara"/>
    <w:uiPriority w:val="10"/>
    <w:rsid w:val="0016174F"/>
    <w:pPr>
      <w:ind w:firstLine="284"/>
    </w:pPr>
    <w:rPr>
      <w:b/>
    </w:rPr>
  </w:style>
  <w:style w:type="paragraph" w:customStyle="1" w:styleId="JuList">
    <w:name w:val="Ju_List"/>
    <w:basedOn w:val="Normal"/>
    <w:uiPriority w:val="28"/>
    <w:qFormat/>
    <w:rsid w:val="00373D11"/>
    <w:pPr>
      <w:ind w:left="340" w:hanging="340"/>
    </w:pPr>
  </w:style>
  <w:style w:type="paragraph" w:customStyle="1" w:styleId="OpiTranslation">
    <w:name w:val="Opi_Translation"/>
    <w:basedOn w:val="Normal"/>
    <w:next w:val="OpiPara"/>
    <w:uiPriority w:val="40"/>
    <w:qFormat/>
    <w:rsid w:val="00373D11"/>
    <w:pPr>
      <w:jc w:val="center"/>
      <w:outlineLvl w:val="0"/>
    </w:pPr>
    <w:rPr>
      <w:i/>
    </w:rPr>
  </w:style>
  <w:style w:type="character" w:styleId="Numrdepagin">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373D11"/>
    <w:pPr>
      <w:ind w:left="346" w:firstLine="0"/>
    </w:pPr>
  </w:style>
  <w:style w:type="paragraph" w:customStyle="1" w:styleId="JuListi">
    <w:name w:val="Ju_List_i"/>
    <w:basedOn w:val="Normal"/>
    <w:next w:val="JuLista"/>
    <w:uiPriority w:val="28"/>
    <w:qFormat/>
    <w:rsid w:val="00373D11"/>
    <w:pPr>
      <w:ind w:left="794"/>
    </w:p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uiPriority w:val="99"/>
    <w:semiHidden/>
    <w:rsid w:val="00E77CB3"/>
    <w:rPr>
      <w:rFonts w:eastAsiaTheme="minorEastAsia"/>
      <w:sz w:val="20"/>
    </w:rPr>
  </w:style>
  <w:style w:type="character" w:styleId="Referinnotdefinal">
    <w:name w:val="endnote reference"/>
    <w:uiPriority w:val="99"/>
    <w:semiHidden/>
    <w:rsid w:val="00E77CB3"/>
    <w:rPr>
      <w:rFonts w:ascii="Times New Roman" w:hAnsi="Times New Roman" w:cs="Times New Roman"/>
      <w:vertAlign w:val="superscript"/>
    </w:rPr>
  </w:style>
  <w:style w:type="paragraph" w:styleId="Textnotdefinal">
    <w:name w:val="endnote text"/>
    <w:basedOn w:val="Normal"/>
    <w:link w:val="TextnotdefinalCaracter"/>
    <w:uiPriority w:val="99"/>
    <w:semiHidden/>
    <w:rsid w:val="00E77CB3"/>
    <w:rPr>
      <w:sz w:val="20"/>
    </w:rPr>
  </w:style>
  <w:style w:type="character" w:customStyle="1" w:styleId="TextnotdefinalCaracter">
    <w:name w:val="Text notă de final Caracter"/>
    <w:basedOn w:val="Fontdeparagrafimplicit"/>
    <w:link w:val="Textnotdefinal"/>
    <w:uiPriority w:val="99"/>
    <w:semiHidden/>
    <w:rsid w:val="00E77CB3"/>
    <w:rPr>
      <w:rFonts w:eastAsiaTheme="minorEastAsia"/>
      <w:sz w:val="20"/>
    </w:rPr>
  </w:style>
  <w:style w:type="character" w:styleId="HyperlinkParcurs">
    <w:name w:val="FollowedHyperlink"/>
    <w:uiPriority w:val="99"/>
    <w:semiHidden/>
    <w:rsid w:val="00E77CB3"/>
    <w:rPr>
      <w:rFonts w:ascii="Times New Roman" w:hAnsi="Times New Roman" w:cs="Times New Roman"/>
      <w:color w:val="800080"/>
      <w:u w:val="single"/>
    </w:rPr>
  </w:style>
  <w:style w:type="paragraph" w:styleId="Listcumarcatori">
    <w:name w:val="List Bullet"/>
    <w:basedOn w:val="Normal"/>
    <w:uiPriority w:val="99"/>
    <w:semiHidden/>
    <w:rsid w:val="00E77CB3"/>
    <w:pPr>
      <w:numPr>
        <w:numId w:val="1"/>
      </w:numPr>
    </w:pPr>
  </w:style>
  <w:style w:type="character" w:customStyle="1" w:styleId="JuNames0">
    <w:name w:val="Ju_Names"/>
    <w:rsid w:val="00E77CB3"/>
    <w:rPr>
      <w:rFonts w:ascii="Times New Roman" w:hAnsi="Times New Roman" w:cs="Times New Roman"/>
      <w:smallCaps/>
    </w:rPr>
  </w:style>
  <w:style w:type="paragraph" w:styleId="SubiectComentariu">
    <w:name w:val="annotation subject"/>
    <w:basedOn w:val="Textcomentariu"/>
    <w:next w:val="Textcomentariu"/>
    <w:link w:val="SubiectComentariuCaracter"/>
    <w:uiPriority w:val="99"/>
    <w:semiHidden/>
    <w:rsid w:val="00E77CB3"/>
    <w:rPr>
      <w:b/>
      <w:bCs/>
    </w:rPr>
  </w:style>
  <w:style w:type="character" w:customStyle="1" w:styleId="SubiectComentariuCaracter">
    <w:name w:val="Subiect Comentariu Caracter"/>
    <w:basedOn w:val="TextcomentariuCaracter"/>
    <w:link w:val="SubiectComentariu"/>
    <w:uiPriority w:val="99"/>
    <w:semiHidden/>
    <w:rsid w:val="00E77CB3"/>
    <w:rPr>
      <w:rFonts w:eastAsiaTheme="minorEastAsia"/>
      <w:b/>
      <w:bCs/>
      <w:sz w:val="20"/>
    </w:rPr>
  </w:style>
  <w:style w:type="paragraph" w:styleId="Plandocument">
    <w:name w:val="Document Map"/>
    <w:basedOn w:val="Normal"/>
    <w:link w:val="PlandocumentCaracter"/>
    <w:uiPriority w:val="99"/>
    <w:semiHidden/>
    <w:rsid w:val="00E77CB3"/>
    <w:pPr>
      <w:shd w:val="clear" w:color="auto" w:fill="000080"/>
    </w:pPr>
    <w:rPr>
      <w:rFonts w:ascii="Tahoma" w:hAnsi="Tahoma" w:cs="Tahoma"/>
      <w:sz w:val="20"/>
    </w:rPr>
  </w:style>
  <w:style w:type="character" w:customStyle="1" w:styleId="PlandocumentCaracter">
    <w:name w:val="Plan document Caracter"/>
    <w:basedOn w:val="Fontdeparagrafimplicit"/>
    <w:link w:val="Plandocument"/>
    <w:uiPriority w:val="99"/>
    <w:semiHidden/>
    <w:rsid w:val="00E77CB3"/>
    <w:rPr>
      <w:rFonts w:ascii="Tahoma" w:eastAsiaTheme="minorEastAsia" w:hAnsi="Tahoma" w:cs="Tahoma"/>
      <w:sz w:val="20"/>
      <w:shd w:val="clear" w:color="auto" w:fill="000080"/>
    </w:rPr>
  </w:style>
  <w:style w:type="character" w:customStyle="1" w:styleId="JuITMark">
    <w:name w:val="Ju_ITMark"/>
    <w:basedOn w:val="Fontdeparagrafimplicit"/>
    <w:uiPriority w:val="38"/>
    <w:qFormat/>
    <w:rsid w:val="00373D11"/>
    <w:rPr>
      <w:vanish w:val="0"/>
      <w:color w:val="auto"/>
      <w:sz w:val="14"/>
    </w:rPr>
  </w:style>
  <w:style w:type="paragraph" w:styleId="Subtitlu">
    <w:name w:val="Subtitle"/>
    <w:basedOn w:val="Normal"/>
    <w:next w:val="Normal"/>
    <w:link w:val="SubtitluCaracter"/>
    <w:uiPriority w:val="99"/>
    <w:qFormat/>
    <w:rsid w:val="00373D11"/>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rsid w:val="00373D11"/>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rsid w:val="00E77CB3"/>
    <w:pPr>
      <w:numPr>
        <w:numId w:val="2"/>
      </w:numPr>
    </w:pPr>
  </w:style>
  <w:style w:type="numbering" w:styleId="1ai">
    <w:name w:val="Outline List 1"/>
    <w:basedOn w:val="FrListare"/>
    <w:uiPriority w:val="99"/>
    <w:semiHidden/>
    <w:rsid w:val="00E77CB3"/>
    <w:pPr>
      <w:numPr>
        <w:numId w:val="3"/>
      </w:numPr>
    </w:pPr>
  </w:style>
  <w:style w:type="numbering" w:styleId="ArticolSeciune">
    <w:name w:val="Outline List 3"/>
    <w:basedOn w:val="FrListare"/>
    <w:uiPriority w:val="99"/>
    <w:semiHidden/>
    <w:rsid w:val="00E77CB3"/>
    <w:pPr>
      <w:numPr>
        <w:numId w:val="4"/>
      </w:numPr>
    </w:pPr>
  </w:style>
  <w:style w:type="paragraph" w:styleId="Bibliografie">
    <w:name w:val="Bibliography"/>
    <w:basedOn w:val="Normal"/>
    <w:next w:val="Normal"/>
    <w:uiPriority w:val="99"/>
    <w:semiHidden/>
    <w:unhideWhenUsed/>
    <w:rsid w:val="00E77CB3"/>
  </w:style>
  <w:style w:type="paragraph" w:styleId="Textbloc">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Corptext">
    <w:name w:val="Body Text"/>
    <w:basedOn w:val="Normal"/>
    <w:link w:val="CorptextCaracter"/>
    <w:uiPriority w:val="99"/>
    <w:semiHidden/>
    <w:rsid w:val="00E77CB3"/>
    <w:pPr>
      <w:spacing w:after="120"/>
    </w:pPr>
  </w:style>
  <w:style w:type="character" w:customStyle="1" w:styleId="CorptextCaracter">
    <w:name w:val="Corp text Caracter"/>
    <w:basedOn w:val="Fontdeparagrafimplicit"/>
    <w:link w:val="Corptext"/>
    <w:uiPriority w:val="99"/>
    <w:semiHidden/>
    <w:rsid w:val="00E77CB3"/>
    <w:rPr>
      <w:rFonts w:eastAsiaTheme="minorEastAsia"/>
      <w:sz w:val="24"/>
    </w:rPr>
  </w:style>
  <w:style w:type="paragraph" w:styleId="Corptext2">
    <w:name w:val="Body Text 2"/>
    <w:basedOn w:val="Normal"/>
    <w:link w:val="Corptext2Caracter"/>
    <w:uiPriority w:val="99"/>
    <w:semiHidden/>
    <w:rsid w:val="00E77CB3"/>
    <w:pPr>
      <w:spacing w:after="120" w:line="480" w:lineRule="auto"/>
    </w:pPr>
  </w:style>
  <w:style w:type="character" w:customStyle="1" w:styleId="Corptext2Caracter">
    <w:name w:val="Corp text 2 Caracter"/>
    <w:basedOn w:val="Fontdeparagrafimplicit"/>
    <w:link w:val="Corptext2"/>
    <w:uiPriority w:val="99"/>
    <w:semiHidden/>
    <w:rsid w:val="00E77CB3"/>
    <w:rPr>
      <w:rFonts w:eastAsiaTheme="minorEastAsia"/>
      <w:sz w:val="24"/>
    </w:rPr>
  </w:style>
  <w:style w:type="paragraph" w:styleId="Corptext3">
    <w:name w:val="Body Text 3"/>
    <w:basedOn w:val="Normal"/>
    <w:link w:val="Corptext3Caracter"/>
    <w:uiPriority w:val="99"/>
    <w:semiHidden/>
    <w:rsid w:val="00E77CB3"/>
    <w:pPr>
      <w:spacing w:after="120"/>
    </w:pPr>
    <w:rPr>
      <w:sz w:val="16"/>
      <w:szCs w:val="16"/>
    </w:rPr>
  </w:style>
  <w:style w:type="character" w:customStyle="1" w:styleId="Corptext3Caracter">
    <w:name w:val="Corp text 3 Caracter"/>
    <w:basedOn w:val="Fontdeparagrafimplicit"/>
    <w:link w:val="Corptext3"/>
    <w:uiPriority w:val="99"/>
    <w:semiHidden/>
    <w:rsid w:val="00E77CB3"/>
    <w:rPr>
      <w:rFonts w:eastAsiaTheme="minorEastAsia"/>
      <w:sz w:val="16"/>
      <w:szCs w:val="16"/>
    </w:rPr>
  </w:style>
  <w:style w:type="paragraph" w:styleId="Primindentpentrucorptext">
    <w:name w:val="Body Text First Indent"/>
    <w:basedOn w:val="Corptext"/>
    <w:link w:val="PrimindentpentrucorptextCaracter"/>
    <w:uiPriority w:val="99"/>
    <w:semiHidden/>
    <w:rsid w:val="00E77CB3"/>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E77CB3"/>
    <w:rPr>
      <w:rFonts w:eastAsiaTheme="minorEastAsia"/>
      <w:sz w:val="24"/>
    </w:rPr>
  </w:style>
  <w:style w:type="paragraph" w:styleId="Indentcorptext">
    <w:name w:val="Body Text Indent"/>
    <w:basedOn w:val="Normal"/>
    <w:link w:val="IndentcorptextCaracter"/>
    <w:uiPriority w:val="99"/>
    <w:semiHidden/>
    <w:rsid w:val="00E77CB3"/>
    <w:pPr>
      <w:spacing w:after="120"/>
      <w:ind w:left="283"/>
    </w:pPr>
  </w:style>
  <w:style w:type="character" w:customStyle="1" w:styleId="IndentcorptextCaracter">
    <w:name w:val="Indent corp text Caracter"/>
    <w:basedOn w:val="Fontdeparagrafimplicit"/>
    <w:link w:val="Indentcorptext"/>
    <w:uiPriority w:val="99"/>
    <w:semiHidden/>
    <w:rsid w:val="00E77CB3"/>
    <w:rPr>
      <w:rFonts w:eastAsiaTheme="minorEastAsia"/>
      <w:sz w:val="24"/>
    </w:rPr>
  </w:style>
  <w:style w:type="paragraph" w:styleId="Primindentpentrucorptext2">
    <w:name w:val="Body Text First Indent 2"/>
    <w:basedOn w:val="Indentcorptext"/>
    <w:link w:val="Primindentpentrucorptext2Caracter"/>
    <w:uiPriority w:val="99"/>
    <w:semiHidden/>
    <w:rsid w:val="00E77CB3"/>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E77CB3"/>
    <w:rPr>
      <w:rFonts w:eastAsiaTheme="minorEastAsia"/>
      <w:sz w:val="24"/>
    </w:rPr>
  </w:style>
  <w:style w:type="paragraph" w:styleId="Indentcorptext2">
    <w:name w:val="Body Text Indent 2"/>
    <w:basedOn w:val="Normal"/>
    <w:link w:val="Indentcorptext2Caracter"/>
    <w:uiPriority w:val="99"/>
    <w:semiHidden/>
    <w:rsid w:val="00E77CB3"/>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E77CB3"/>
    <w:rPr>
      <w:rFonts w:eastAsiaTheme="minorEastAsia"/>
      <w:sz w:val="24"/>
    </w:rPr>
  </w:style>
  <w:style w:type="paragraph" w:styleId="Indentcorptext3">
    <w:name w:val="Body Text Indent 3"/>
    <w:basedOn w:val="Normal"/>
    <w:link w:val="Indentcorptext3Caracter"/>
    <w:uiPriority w:val="99"/>
    <w:semiHidden/>
    <w:rsid w:val="00E77CB3"/>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E77CB3"/>
    <w:rPr>
      <w:rFonts w:eastAsiaTheme="minorEastAsia"/>
      <w:sz w:val="16"/>
      <w:szCs w:val="16"/>
    </w:rPr>
  </w:style>
  <w:style w:type="paragraph" w:styleId="Legend">
    <w:name w:val="caption"/>
    <w:basedOn w:val="Normal"/>
    <w:next w:val="Normal"/>
    <w:uiPriority w:val="99"/>
    <w:semiHidden/>
    <w:qFormat/>
    <w:rsid w:val="00E77CB3"/>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E77CB3"/>
    <w:pPr>
      <w:ind w:left="4252"/>
    </w:pPr>
  </w:style>
  <w:style w:type="character" w:customStyle="1" w:styleId="FormuledencheiereCaracter">
    <w:name w:val="Formule de încheiere Caracter"/>
    <w:basedOn w:val="Fontdeparagrafimplicit"/>
    <w:link w:val="Formuledencheiere"/>
    <w:uiPriority w:val="99"/>
    <w:semiHidden/>
    <w:rsid w:val="00E77CB3"/>
    <w:rPr>
      <w:rFonts w:eastAsiaTheme="minorEastAsia"/>
      <w:sz w:val="24"/>
    </w:rPr>
  </w:style>
  <w:style w:type="table" w:styleId="Grilcolorat">
    <w:name w:val="Colorful Grid"/>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E77CB3"/>
  </w:style>
  <w:style w:type="character" w:customStyle="1" w:styleId="DatCaracter">
    <w:name w:val="Dată Caracter"/>
    <w:basedOn w:val="Fontdeparagrafimplicit"/>
    <w:link w:val="Dat"/>
    <w:uiPriority w:val="99"/>
    <w:semiHidden/>
    <w:rsid w:val="00E77CB3"/>
    <w:rPr>
      <w:rFonts w:eastAsiaTheme="minorEastAsia"/>
      <w:sz w:val="24"/>
    </w:rPr>
  </w:style>
  <w:style w:type="paragraph" w:styleId="Semnture-mail">
    <w:name w:val="E-mail Signature"/>
    <w:basedOn w:val="Normal"/>
    <w:link w:val="Semnture-mailCaracter"/>
    <w:uiPriority w:val="99"/>
    <w:semiHidden/>
    <w:rsid w:val="00E77CB3"/>
  </w:style>
  <w:style w:type="character" w:customStyle="1" w:styleId="Semnture-mailCaracter">
    <w:name w:val="Semnătură e-mail Caracter"/>
    <w:basedOn w:val="Fontdeparagrafimplicit"/>
    <w:link w:val="Semnture-mail"/>
    <w:uiPriority w:val="99"/>
    <w:semiHidden/>
    <w:rsid w:val="00E77CB3"/>
    <w:rPr>
      <w:rFonts w:eastAsiaTheme="minorEastAsia"/>
      <w:sz w:val="24"/>
    </w:rPr>
  </w:style>
  <w:style w:type="paragraph" w:styleId="Adresplic">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E77CB3"/>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E77CB3"/>
  </w:style>
  <w:style w:type="paragraph" w:styleId="AdresHTML">
    <w:name w:val="HTML Address"/>
    <w:basedOn w:val="Normal"/>
    <w:link w:val="AdresHTMLCaracter"/>
    <w:uiPriority w:val="99"/>
    <w:semiHidden/>
    <w:rsid w:val="00E77CB3"/>
    <w:rPr>
      <w:i/>
      <w:iCs/>
    </w:rPr>
  </w:style>
  <w:style w:type="character" w:customStyle="1" w:styleId="AdresHTMLCaracter">
    <w:name w:val="Adresă HTML Caracter"/>
    <w:basedOn w:val="Fontdeparagrafimplicit"/>
    <w:link w:val="AdresHTML"/>
    <w:uiPriority w:val="99"/>
    <w:semiHidden/>
    <w:rsid w:val="00E77CB3"/>
    <w:rPr>
      <w:rFonts w:eastAsiaTheme="minorEastAsia"/>
      <w:i/>
      <w:iCs/>
      <w:sz w:val="24"/>
    </w:rPr>
  </w:style>
  <w:style w:type="character" w:styleId="CitareHTML">
    <w:name w:val="HTML Cite"/>
    <w:basedOn w:val="Fontdeparagrafimplicit"/>
    <w:uiPriority w:val="99"/>
    <w:semiHidden/>
    <w:rsid w:val="00E77CB3"/>
    <w:rPr>
      <w:i/>
      <w:iCs/>
    </w:rPr>
  </w:style>
  <w:style w:type="character" w:styleId="CodHTML">
    <w:name w:val="HTML Code"/>
    <w:basedOn w:val="Fontdeparagrafimplicit"/>
    <w:uiPriority w:val="99"/>
    <w:semiHidden/>
    <w:rsid w:val="00E77CB3"/>
    <w:rPr>
      <w:rFonts w:ascii="Consolas" w:hAnsi="Consolas" w:cs="Consolas"/>
      <w:sz w:val="20"/>
      <w:szCs w:val="20"/>
    </w:rPr>
  </w:style>
  <w:style w:type="character" w:styleId="DefiniieHTML">
    <w:name w:val="HTML Definition"/>
    <w:basedOn w:val="Fontdeparagrafimplicit"/>
    <w:uiPriority w:val="99"/>
    <w:semiHidden/>
    <w:rsid w:val="00E77CB3"/>
    <w:rPr>
      <w:i/>
      <w:iCs/>
    </w:rPr>
  </w:style>
  <w:style w:type="character" w:styleId="TastaturHTML">
    <w:name w:val="HTML Keyboard"/>
    <w:basedOn w:val="Fontdeparagrafimplicit"/>
    <w:uiPriority w:val="99"/>
    <w:semiHidden/>
    <w:rsid w:val="00E77CB3"/>
    <w:rPr>
      <w:rFonts w:ascii="Consolas" w:hAnsi="Consolas" w:cs="Consolas"/>
      <w:sz w:val="20"/>
      <w:szCs w:val="20"/>
    </w:rPr>
  </w:style>
  <w:style w:type="paragraph" w:styleId="PreformatatHTML">
    <w:name w:val="HTML Preformatted"/>
    <w:basedOn w:val="Normal"/>
    <w:link w:val="PreformatatHTMLCaracter"/>
    <w:uiPriority w:val="99"/>
    <w:semiHidden/>
    <w:rsid w:val="00E77CB3"/>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sid w:val="00E77CB3"/>
    <w:rPr>
      <w:rFonts w:ascii="Consolas" w:eastAsiaTheme="minorEastAsia" w:hAnsi="Consolas" w:cs="Consolas"/>
      <w:sz w:val="20"/>
      <w:szCs w:val="20"/>
    </w:rPr>
  </w:style>
  <w:style w:type="character" w:styleId="MostrHTML">
    <w:name w:val="HTML Sample"/>
    <w:basedOn w:val="Fontdeparagrafimplicit"/>
    <w:uiPriority w:val="99"/>
    <w:semiHidden/>
    <w:rsid w:val="00E77CB3"/>
    <w:rPr>
      <w:rFonts w:ascii="Consolas" w:hAnsi="Consolas" w:cs="Consolas"/>
      <w:sz w:val="24"/>
      <w:szCs w:val="24"/>
    </w:rPr>
  </w:style>
  <w:style w:type="character" w:styleId="MaindescrisHTML">
    <w:name w:val="HTML Typewriter"/>
    <w:basedOn w:val="Fontdeparagrafimplicit"/>
    <w:uiPriority w:val="99"/>
    <w:semiHidden/>
    <w:rsid w:val="00E77CB3"/>
    <w:rPr>
      <w:rFonts w:ascii="Consolas" w:hAnsi="Consolas" w:cs="Consolas"/>
      <w:sz w:val="20"/>
      <w:szCs w:val="20"/>
    </w:rPr>
  </w:style>
  <w:style w:type="character" w:styleId="VariabilHTML">
    <w:name w:val="HTML Variable"/>
    <w:basedOn w:val="Fontdeparagrafimplici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Titludeindex">
    <w:name w:val="index heading"/>
    <w:basedOn w:val="Normal"/>
    <w:next w:val="Index1"/>
    <w:uiPriority w:val="99"/>
    <w:semiHidden/>
    <w:rsid w:val="00E77CB3"/>
    <w:rPr>
      <w:rFonts w:asciiTheme="majorHAnsi" w:eastAsiaTheme="majorEastAsia" w:hAnsiTheme="majorHAnsi" w:cstheme="majorBidi"/>
      <w:b/>
      <w:bCs/>
    </w:rPr>
  </w:style>
  <w:style w:type="table" w:styleId="Grildeculoaredeschis">
    <w:name w:val="Light Grid"/>
    <w:basedOn w:val="TabelNormal"/>
    <w:uiPriority w:val="99"/>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E77CB3"/>
  </w:style>
  <w:style w:type="paragraph" w:styleId="List">
    <w:name w:val="List"/>
    <w:basedOn w:val="Normal"/>
    <w:uiPriority w:val="99"/>
    <w:semiHidden/>
    <w:rsid w:val="00E77CB3"/>
    <w:pPr>
      <w:ind w:left="283" w:hanging="283"/>
      <w:contextualSpacing/>
    </w:pPr>
  </w:style>
  <w:style w:type="paragraph" w:styleId="Lista2">
    <w:name w:val="List 2"/>
    <w:basedOn w:val="Normal"/>
    <w:uiPriority w:val="99"/>
    <w:semiHidden/>
    <w:rsid w:val="00E77CB3"/>
    <w:pPr>
      <w:ind w:left="566" w:hanging="283"/>
      <w:contextualSpacing/>
    </w:pPr>
  </w:style>
  <w:style w:type="paragraph" w:styleId="Lista3">
    <w:name w:val="List 3"/>
    <w:basedOn w:val="Normal"/>
    <w:uiPriority w:val="99"/>
    <w:semiHidden/>
    <w:rsid w:val="00E77CB3"/>
    <w:pPr>
      <w:ind w:left="849" w:hanging="283"/>
      <w:contextualSpacing/>
    </w:pPr>
  </w:style>
  <w:style w:type="paragraph" w:styleId="Lista4">
    <w:name w:val="List 4"/>
    <w:basedOn w:val="Normal"/>
    <w:uiPriority w:val="99"/>
    <w:semiHidden/>
    <w:rsid w:val="00E77CB3"/>
    <w:pPr>
      <w:ind w:left="1132" w:hanging="283"/>
      <w:contextualSpacing/>
    </w:pPr>
  </w:style>
  <w:style w:type="paragraph" w:styleId="Lista5">
    <w:name w:val="List 5"/>
    <w:basedOn w:val="Normal"/>
    <w:uiPriority w:val="99"/>
    <w:semiHidden/>
    <w:rsid w:val="00E77CB3"/>
    <w:pPr>
      <w:ind w:left="1415" w:hanging="283"/>
      <w:contextualSpacing/>
    </w:pPr>
  </w:style>
  <w:style w:type="paragraph" w:styleId="Listacumarcatori2">
    <w:name w:val="List Bullet 2"/>
    <w:basedOn w:val="Normal"/>
    <w:uiPriority w:val="99"/>
    <w:semiHidden/>
    <w:rsid w:val="00E77CB3"/>
    <w:pPr>
      <w:numPr>
        <w:numId w:val="5"/>
      </w:numPr>
      <w:contextualSpacing/>
    </w:pPr>
  </w:style>
  <w:style w:type="paragraph" w:styleId="Listacumarcatori3">
    <w:name w:val="List Bullet 3"/>
    <w:basedOn w:val="Normal"/>
    <w:uiPriority w:val="99"/>
    <w:semiHidden/>
    <w:rsid w:val="00E77CB3"/>
    <w:pPr>
      <w:numPr>
        <w:numId w:val="6"/>
      </w:numPr>
      <w:contextualSpacing/>
    </w:pPr>
  </w:style>
  <w:style w:type="paragraph" w:styleId="Listacumarcatori4">
    <w:name w:val="List Bullet 4"/>
    <w:basedOn w:val="Normal"/>
    <w:uiPriority w:val="99"/>
    <w:semiHidden/>
    <w:rsid w:val="00E77CB3"/>
    <w:pPr>
      <w:numPr>
        <w:numId w:val="7"/>
      </w:numPr>
      <w:contextualSpacing/>
    </w:pPr>
  </w:style>
  <w:style w:type="paragraph" w:styleId="Listacumarcatori5">
    <w:name w:val="List Bullet 5"/>
    <w:basedOn w:val="Normal"/>
    <w:uiPriority w:val="99"/>
    <w:semiHidden/>
    <w:rsid w:val="00E77CB3"/>
    <w:pPr>
      <w:numPr>
        <w:numId w:val="8"/>
      </w:numPr>
      <w:contextualSpacing/>
    </w:pPr>
  </w:style>
  <w:style w:type="paragraph" w:styleId="Listcontinuare">
    <w:name w:val="List Continue"/>
    <w:basedOn w:val="Normal"/>
    <w:uiPriority w:val="99"/>
    <w:semiHidden/>
    <w:rsid w:val="00E77CB3"/>
    <w:pPr>
      <w:spacing w:after="120"/>
      <w:ind w:left="283"/>
      <w:contextualSpacing/>
    </w:pPr>
  </w:style>
  <w:style w:type="paragraph" w:styleId="Listcontinuare2">
    <w:name w:val="List Continue 2"/>
    <w:basedOn w:val="Normal"/>
    <w:uiPriority w:val="99"/>
    <w:semiHidden/>
    <w:rsid w:val="00E77CB3"/>
    <w:pPr>
      <w:spacing w:after="120"/>
      <w:ind w:left="566"/>
      <w:contextualSpacing/>
    </w:pPr>
  </w:style>
  <w:style w:type="paragraph" w:styleId="Listcontinuare3">
    <w:name w:val="List Continue 3"/>
    <w:basedOn w:val="Normal"/>
    <w:uiPriority w:val="99"/>
    <w:semiHidden/>
    <w:rsid w:val="00E77CB3"/>
    <w:pPr>
      <w:spacing w:after="120"/>
      <w:ind w:left="849"/>
      <w:contextualSpacing/>
    </w:pPr>
  </w:style>
  <w:style w:type="paragraph" w:styleId="Listcontinuare4">
    <w:name w:val="List Continue 4"/>
    <w:basedOn w:val="Normal"/>
    <w:uiPriority w:val="99"/>
    <w:semiHidden/>
    <w:rsid w:val="00E77CB3"/>
    <w:pPr>
      <w:spacing w:after="120"/>
      <w:ind w:left="1132"/>
      <w:contextualSpacing/>
    </w:pPr>
  </w:style>
  <w:style w:type="paragraph" w:styleId="Listcontinuare5">
    <w:name w:val="List Continue 5"/>
    <w:basedOn w:val="Normal"/>
    <w:uiPriority w:val="99"/>
    <w:semiHidden/>
    <w:rsid w:val="00E77CB3"/>
    <w:pPr>
      <w:spacing w:after="120"/>
      <w:ind w:left="1415"/>
      <w:contextualSpacing/>
    </w:pPr>
  </w:style>
  <w:style w:type="paragraph" w:styleId="Listnumerotat">
    <w:name w:val="List Number"/>
    <w:basedOn w:val="Normal"/>
    <w:uiPriority w:val="99"/>
    <w:semiHidden/>
    <w:rsid w:val="00E77CB3"/>
    <w:pPr>
      <w:numPr>
        <w:numId w:val="9"/>
      </w:numPr>
      <w:contextualSpacing/>
    </w:pPr>
  </w:style>
  <w:style w:type="paragraph" w:styleId="Listanumerotat2">
    <w:name w:val="List Number 2"/>
    <w:basedOn w:val="Normal"/>
    <w:uiPriority w:val="99"/>
    <w:semiHidden/>
    <w:rsid w:val="00E77CB3"/>
    <w:pPr>
      <w:numPr>
        <w:numId w:val="10"/>
      </w:numPr>
      <w:contextualSpacing/>
    </w:pPr>
  </w:style>
  <w:style w:type="paragraph" w:styleId="Listanumerotat3">
    <w:name w:val="List Number 3"/>
    <w:basedOn w:val="Normal"/>
    <w:uiPriority w:val="99"/>
    <w:semiHidden/>
    <w:rsid w:val="00E77CB3"/>
    <w:pPr>
      <w:numPr>
        <w:numId w:val="11"/>
      </w:numPr>
      <w:contextualSpacing/>
    </w:pPr>
  </w:style>
  <w:style w:type="paragraph" w:styleId="Listanumerotat4">
    <w:name w:val="List Number 4"/>
    <w:basedOn w:val="Normal"/>
    <w:uiPriority w:val="99"/>
    <w:semiHidden/>
    <w:rsid w:val="00E77CB3"/>
    <w:pPr>
      <w:numPr>
        <w:numId w:val="12"/>
      </w:numPr>
      <w:contextualSpacing/>
    </w:pPr>
  </w:style>
  <w:style w:type="paragraph" w:styleId="Listanumerotat5">
    <w:name w:val="List Number 5"/>
    <w:basedOn w:val="Normal"/>
    <w:uiPriority w:val="99"/>
    <w:semiHidden/>
    <w:rsid w:val="00E77CB3"/>
    <w:pPr>
      <w:numPr>
        <w:numId w:val="13"/>
      </w:numPr>
      <w:contextualSpacing/>
    </w:pPr>
  </w:style>
  <w:style w:type="paragraph" w:styleId="Textmacrocomand">
    <w:name w:val="macro"/>
    <w:link w:val="TextmacrocomandCaracte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xtmacrocomandCaracter">
    <w:name w:val="Text macrocomandă Caracter"/>
    <w:basedOn w:val="Fontdeparagrafimplicit"/>
    <w:link w:val="Textmacrocomand"/>
    <w:uiPriority w:val="99"/>
    <w:semiHidden/>
    <w:rsid w:val="00E77CB3"/>
    <w:rPr>
      <w:rFonts w:ascii="Consolas" w:eastAsiaTheme="minorEastAsia" w:hAnsi="Consolas" w:cs="Consolas"/>
      <w:sz w:val="20"/>
      <w:szCs w:val="20"/>
    </w:rPr>
  </w:style>
  <w:style w:type="table" w:styleId="Grilmedie1">
    <w:name w:val="Medium Grid 1"/>
    <w:basedOn w:val="TabelNormal"/>
    <w:uiPriority w:val="99"/>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Indentnormal">
    <w:name w:val="Normal Indent"/>
    <w:basedOn w:val="Normal"/>
    <w:uiPriority w:val="99"/>
    <w:semiHidden/>
    <w:rsid w:val="00E77CB3"/>
    <w:pPr>
      <w:ind w:left="720"/>
    </w:pPr>
  </w:style>
  <w:style w:type="paragraph" w:styleId="Titlunot">
    <w:name w:val="Note Heading"/>
    <w:basedOn w:val="Normal"/>
    <w:next w:val="Normal"/>
    <w:link w:val="TitlunotCaracter"/>
    <w:uiPriority w:val="99"/>
    <w:semiHidden/>
    <w:rsid w:val="00E77CB3"/>
  </w:style>
  <w:style w:type="character" w:customStyle="1" w:styleId="TitlunotCaracter">
    <w:name w:val="Titlu notă Caracter"/>
    <w:basedOn w:val="Fontdeparagrafimplicit"/>
    <w:link w:val="Titlunot"/>
    <w:uiPriority w:val="99"/>
    <w:semiHidden/>
    <w:rsid w:val="00E77CB3"/>
    <w:rPr>
      <w:rFonts w:eastAsiaTheme="minorEastAsia"/>
      <w:sz w:val="24"/>
    </w:rPr>
  </w:style>
  <w:style w:type="character" w:styleId="Textsubstituent">
    <w:name w:val="Placeholder Text"/>
    <w:basedOn w:val="Fontdeparagrafimplicit"/>
    <w:uiPriority w:val="99"/>
    <w:semiHidden/>
    <w:rsid w:val="00E77CB3"/>
    <w:rPr>
      <w:color w:val="808080"/>
    </w:rPr>
  </w:style>
  <w:style w:type="paragraph" w:styleId="Textsimplu">
    <w:name w:val="Plain Text"/>
    <w:basedOn w:val="Normal"/>
    <w:link w:val="TextsimpluCaracter"/>
    <w:uiPriority w:val="99"/>
    <w:semiHidden/>
    <w:rsid w:val="00E77CB3"/>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E77CB3"/>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E77CB3"/>
  </w:style>
  <w:style w:type="character" w:customStyle="1" w:styleId="FormuldesalutCaracter">
    <w:name w:val="Formulă de salut Caracter"/>
    <w:basedOn w:val="Fontdeparagrafimplicit"/>
    <w:link w:val="Formuldesalut"/>
    <w:uiPriority w:val="99"/>
    <w:semiHidden/>
    <w:rsid w:val="00E77CB3"/>
    <w:rPr>
      <w:rFonts w:eastAsiaTheme="minorEastAsia"/>
      <w:sz w:val="24"/>
    </w:rPr>
  </w:style>
  <w:style w:type="paragraph" w:styleId="Semntur">
    <w:name w:val="Signature"/>
    <w:basedOn w:val="Normal"/>
    <w:link w:val="SemnturCaracter"/>
    <w:uiPriority w:val="99"/>
    <w:semiHidden/>
    <w:rsid w:val="00E77CB3"/>
    <w:pPr>
      <w:ind w:left="4252"/>
    </w:pPr>
  </w:style>
  <w:style w:type="character" w:customStyle="1" w:styleId="SemnturCaracter">
    <w:name w:val="Semnătură Caracter"/>
    <w:basedOn w:val="Fontdeparagrafimplicit"/>
    <w:link w:val="Semntur"/>
    <w:uiPriority w:val="99"/>
    <w:semiHidden/>
    <w:rsid w:val="00E77CB3"/>
    <w:rPr>
      <w:rFonts w:eastAsiaTheme="minorEastAsia"/>
      <w:sz w:val="24"/>
    </w:rPr>
  </w:style>
  <w:style w:type="table" w:styleId="TabelEfecte3-D1">
    <w:name w:val="Table 3D effects 1"/>
    <w:basedOn w:val="TabelNormal"/>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E77CB3"/>
    <w:pPr>
      <w:ind w:left="240" w:hanging="240"/>
    </w:pPr>
  </w:style>
  <w:style w:type="paragraph" w:styleId="Tabeldefiguri">
    <w:name w:val="table of figures"/>
    <w:basedOn w:val="Normal"/>
    <w:next w:val="Normal"/>
    <w:uiPriority w:val="99"/>
    <w:semiHidden/>
    <w:rsid w:val="00E77CB3"/>
  </w:style>
  <w:style w:type="table" w:styleId="TabelProfesional">
    <w:name w:val="Table Professional"/>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E77CB3"/>
    <w:pPr>
      <w:spacing w:after="100"/>
      <w:ind w:left="1200"/>
    </w:pPr>
  </w:style>
  <w:style w:type="paragraph" w:styleId="Cuprins7">
    <w:name w:val="toc 7"/>
    <w:basedOn w:val="Normal"/>
    <w:next w:val="Normal"/>
    <w:autoRedefine/>
    <w:uiPriority w:val="99"/>
    <w:semiHidden/>
    <w:rsid w:val="00E77CB3"/>
    <w:pPr>
      <w:spacing w:after="100"/>
      <w:ind w:left="1440"/>
    </w:pPr>
  </w:style>
  <w:style w:type="paragraph" w:styleId="Cuprins8">
    <w:name w:val="toc 8"/>
    <w:basedOn w:val="Normal"/>
    <w:next w:val="Normal"/>
    <w:autoRedefine/>
    <w:uiPriority w:val="99"/>
    <w:semiHidden/>
    <w:rsid w:val="00E77CB3"/>
    <w:pPr>
      <w:spacing w:after="100"/>
      <w:ind w:left="1680"/>
    </w:pPr>
  </w:style>
  <w:style w:type="paragraph" w:styleId="Cuprins9">
    <w:name w:val="toc 9"/>
    <w:basedOn w:val="Normal"/>
    <w:next w:val="Normal"/>
    <w:autoRedefine/>
    <w:uiPriority w:val="99"/>
    <w:semiHidden/>
    <w:rsid w:val="00E77CB3"/>
    <w:pPr>
      <w:spacing w:after="100"/>
      <w:ind w:left="1920"/>
    </w:pPr>
  </w:style>
  <w:style w:type="paragraph" w:customStyle="1" w:styleId="DecHTitle">
    <w:name w:val="Dec_H_Title"/>
    <w:basedOn w:val="ECHRTitleCentre1"/>
    <w:uiPriority w:val="7"/>
    <w:qFormat/>
    <w:rsid w:val="00373D11"/>
  </w:style>
  <w:style w:type="paragraph" w:customStyle="1" w:styleId="JuCourt">
    <w:name w:val="Ju_Court"/>
    <w:basedOn w:val="Normal"/>
    <w:next w:val="Normal"/>
    <w:uiPriority w:val="16"/>
    <w:qFormat/>
    <w:rsid w:val="00373D11"/>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373D11"/>
    <w:pPr>
      <w:spacing w:before="240"/>
      <w:ind w:left="284"/>
    </w:pPr>
  </w:style>
  <w:style w:type="paragraph" w:customStyle="1" w:styleId="OpiH1">
    <w:name w:val="Opi_H_1"/>
    <w:basedOn w:val="ECHRHeading2"/>
    <w:uiPriority w:val="42"/>
    <w:qFormat/>
    <w:rsid w:val="00373D11"/>
    <w:pPr>
      <w:ind w:left="635" w:hanging="357"/>
      <w:outlineLvl w:val="2"/>
    </w:pPr>
  </w:style>
  <w:style w:type="paragraph" w:customStyle="1" w:styleId="OpiHa0">
    <w:name w:val="Opi_H_a"/>
    <w:basedOn w:val="ECHRHeading3"/>
    <w:uiPriority w:val="43"/>
    <w:qFormat/>
    <w:rsid w:val="00373D11"/>
    <w:pPr>
      <w:ind w:left="833" w:hanging="357"/>
      <w:outlineLvl w:val="3"/>
    </w:pPr>
    <w:rPr>
      <w:b/>
      <w:i w:val="0"/>
      <w:sz w:val="20"/>
    </w:rPr>
  </w:style>
  <w:style w:type="paragraph" w:customStyle="1" w:styleId="OpiHi">
    <w:name w:val="Opi_H_i"/>
    <w:basedOn w:val="ECHRHeading4"/>
    <w:uiPriority w:val="44"/>
    <w:qFormat/>
    <w:rsid w:val="00373D11"/>
    <w:pPr>
      <w:ind w:left="1037" w:hanging="357"/>
      <w:outlineLvl w:val="4"/>
    </w:pPr>
    <w:rPr>
      <w:b w:val="0"/>
      <w:i/>
    </w:rPr>
  </w:style>
  <w:style w:type="paragraph" w:customStyle="1" w:styleId="DummyStyle">
    <w:name w:val="Dummy_Style"/>
    <w:basedOn w:val="Normal"/>
    <w:semiHidden/>
    <w:qFormat/>
    <w:rsid w:val="00373D11"/>
    <w:rPr>
      <w:color w:val="00B050"/>
    </w:rPr>
  </w:style>
  <w:style w:type="character" w:customStyle="1" w:styleId="ECHRParaChar">
    <w:name w:val="ECHR_Para Char"/>
    <w:aliases w:val="Ju_Para Char"/>
    <w:link w:val="ECHRPara"/>
    <w:uiPriority w:val="12"/>
    <w:rsid w:val="00200A62"/>
    <w:rPr>
      <w:rFonts w:eastAsiaTheme="minorEastAsia"/>
      <w:sz w:val="24"/>
    </w:rPr>
  </w:style>
  <w:style w:type="character" w:customStyle="1" w:styleId="JuParaCar">
    <w:name w:val="Ju_Para Car"/>
    <w:uiPriority w:val="12"/>
    <w:rsid w:val="00C86979"/>
    <w:rPr>
      <w:rFonts w:eastAsiaTheme="minorEastAsia"/>
      <w:sz w:val="24"/>
    </w:rPr>
  </w:style>
  <w:style w:type="character" w:customStyle="1" w:styleId="JuH1Char">
    <w:name w:val="Ju_H_1. Char"/>
    <w:basedOn w:val="Fontdeparagrafimplicit"/>
    <w:link w:val="ECHRHeading3"/>
    <w:uiPriority w:val="21"/>
    <w:rsid w:val="00C86979"/>
    <w:rPr>
      <w:rFonts w:asciiTheme="majorHAnsi" w:eastAsiaTheme="majorEastAsia" w:hAnsiTheme="majorHAnsi" w:cstheme="majorBidi"/>
      <w:bCs/>
      <w:i/>
      <w:sz w:val="24"/>
    </w:rPr>
  </w:style>
  <w:style w:type="character" w:customStyle="1" w:styleId="JuQuotChar">
    <w:name w:val="Ju_Quot Char"/>
    <w:basedOn w:val="ECHRParaChar"/>
    <w:link w:val="ECHRParaQuote"/>
    <w:uiPriority w:val="14"/>
    <w:locked/>
    <w:rsid w:val="009C05BA"/>
    <w:rPr>
      <w:rFonts w:eastAsiaTheme="minorEastAsia"/>
      <w:sz w:val="20"/>
    </w:rPr>
  </w:style>
  <w:style w:type="character" w:customStyle="1" w:styleId="JuParaCaracter">
    <w:name w:val="Ju_Para Caracter"/>
    <w:basedOn w:val="Fontdeparagrafimplicit"/>
    <w:rsid w:val="00F80743"/>
    <w:rPr>
      <w:sz w:val="24"/>
      <w:lang w:val="ro-RO" w:eastAsia="fr-FR" w:bidi="ar-SA"/>
    </w:rPr>
  </w:style>
  <w:style w:type="character" w:customStyle="1" w:styleId="ju-005fpara--char">
    <w:name w:val="ju-005fpara--char"/>
    <w:basedOn w:val="Fontdeparagrafimplicit"/>
    <w:rsid w:val="00F80743"/>
  </w:style>
  <w:style w:type="character" w:customStyle="1" w:styleId="s6b621b36">
    <w:name w:val="s6b621b36"/>
    <w:basedOn w:val="Fontdeparagrafimplicit"/>
    <w:rsid w:val="00167856"/>
  </w:style>
  <w:style w:type="character" w:customStyle="1" w:styleId="sb8d990e2">
    <w:name w:val="sb8d990e2"/>
    <w:basedOn w:val="Fontdeparagrafimplicit"/>
    <w:rsid w:val="00167856"/>
  </w:style>
  <w:style w:type="paragraph" w:styleId="Revizuire">
    <w:name w:val="Revision"/>
    <w:hidden/>
    <w:uiPriority w:val="99"/>
    <w:semiHidden/>
    <w:rsid w:val="00F7161F"/>
    <w:rPr>
      <w:rFonts w:eastAsiaTheme="minorEastAsia"/>
      <w:sz w:val="24"/>
    </w:rPr>
  </w:style>
  <w:style w:type="paragraph" w:customStyle="1" w:styleId="ECHRCoverTitle1">
    <w:name w:val="ECHR_Cover_Title_1"/>
    <w:aliases w:val="Cover_1"/>
    <w:basedOn w:val="Normal"/>
    <w:next w:val="Normal"/>
    <w:uiPriority w:val="24"/>
    <w:rsid w:val="00C25B43"/>
    <w:pPr>
      <w:spacing w:before="840"/>
      <w:contextualSpacing/>
      <w:jc w:val="center"/>
    </w:pPr>
    <w:rPr>
      <w:rFonts w:eastAsiaTheme="minorHAnsi"/>
      <w:color w:val="2F2F2F" w:themeColor="accent3" w:themeShade="80"/>
      <w:sz w:val="36"/>
    </w:rPr>
  </w:style>
  <w:style w:type="paragraph" w:customStyle="1" w:styleId="JuHeaderLandscape">
    <w:name w:val="Ju_Header_Landscape"/>
    <w:basedOn w:val="ECHRHeader"/>
    <w:uiPriority w:val="4"/>
    <w:qFormat/>
    <w:rsid w:val="00373D11"/>
    <w:pPr>
      <w:tabs>
        <w:tab w:val="clear" w:pos="3686"/>
        <w:tab w:val="clear" w:pos="7371"/>
        <w:tab w:val="center" w:pos="6146"/>
        <w:tab w:val="right" w:pos="1229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540192">
      <w:bodyDiv w:val="1"/>
      <w:marLeft w:val="0"/>
      <w:marRight w:val="0"/>
      <w:marTop w:val="0"/>
      <w:marBottom w:val="0"/>
      <w:divBdr>
        <w:top w:val="none" w:sz="0" w:space="0" w:color="auto"/>
        <w:left w:val="none" w:sz="0" w:space="0" w:color="auto"/>
        <w:bottom w:val="none" w:sz="0" w:space="0" w:color="auto"/>
        <w:right w:val="none" w:sz="0" w:space="0" w:color="auto"/>
      </w:divBdr>
    </w:div>
    <w:div w:id="486288135">
      <w:bodyDiv w:val="1"/>
      <w:marLeft w:val="0"/>
      <w:marRight w:val="0"/>
      <w:marTop w:val="0"/>
      <w:marBottom w:val="0"/>
      <w:divBdr>
        <w:top w:val="none" w:sz="0" w:space="0" w:color="auto"/>
        <w:left w:val="none" w:sz="0" w:space="0" w:color="auto"/>
        <w:bottom w:val="none" w:sz="0" w:space="0" w:color="auto"/>
        <w:right w:val="none" w:sz="0" w:space="0" w:color="auto"/>
      </w:divBdr>
    </w:div>
    <w:div w:id="554901225">
      <w:bodyDiv w:val="1"/>
      <w:marLeft w:val="0"/>
      <w:marRight w:val="0"/>
      <w:marTop w:val="0"/>
      <w:marBottom w:val="0"/>
      <w:divBdr>
        <w:top w:val="none" w:sz="0" w:space="0" w:color="auto"/>
        <w:left w:val="none" w:sz="0" w:space="0" w:color="auto"/>
        <w:bottom w:val="none" w:sz="0" w:space="0" w:color="auto"/>
        <w:right w:val="none" w:sz="0" w:space="0" w:color="auto"/>
      </w:divBdr>
    </w:div>
    <w:div w:id="663320364">
      <w:bodyDiv w:val="1"/>
      <w:marLeft w:val="0"/>
      <w:marRight w:val="0"/>
      <w:marTop w:val="0"/>
      <w:marBottom w:val="0"/>
      <w:divBdr>
        <w:top w:val="none" w:sz="0" w:space="0" w:color="auto"/>
        <w:left w:val="none" w:sz="0" w:space="0" w:color="auto"/>
        <w:bottom w:val="none" w:sz="0" w:space="0" w:color="auto"/>
        <w:right w:val="none" w:sz="0" w:space="0" w:color="auto"/>
      </w:divBdr>
    </w:div>
    <w:div w:id="790633659">
      <w:bodyDiv w:val="1"/>
      <w:marLeft w:val="0"/>
      <w:marRight w:val="0"/>
      <w:marTop w:val="0"/>
      <w:marBottom w:val="0"/>
      <w:divBdr>
        <w:top w:val="none" w:sz="0" w:space="0" w:color="auto"/>
        <w:left w:val="none" w:sz="0" w:space="0" w:color="auto"/>
        <w:bottom w:val="none" w:sz="0" w:space="0" w:color="auto"/>
        <w:right w:val="none" w:sz="0" w:space="0" w:color="auto"/>
      </w:divBdr>
    </w:div>
    <w:div w:id="116112307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7312106">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CB481-A8B1-492B-941A-215B08CAF757}">
  <ds:schemaRefs>
    <ds:schemaRef ds:uri="http://schemas.microsoft.com/sharepoint/v3/contenttype/forms"/>
  </ds:schemaRefs>
</ds:datastoreItem>
</file>

<file path=customXml/itemProps2.xml><?xml version="1.0" encoding="utf-8"?>
<ds:datastoreItem xmlns:ds="http://schemas.openxmlformats.org/officeDocument/2006/customXml" ds:itemID="{C52E332A-EC71-4FCE-937F-2FC3C9276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0B99982-E6A0-4944-B82D-CE0A73CF70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2E6C15-D645-4245-A060-66B034AA0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21589</Words>
  <Characters>125220</Characters>
  <Application>Microsoft Office Word</Application>
  <DocSecurity>0</DocSecurity>
  <Lines>1043</Lines>
  <Paragraphs>293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146516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2017-11-09T12:17:00Z</dcterms:created>
  <dcterms:modified xsi:type="dcterms:W3CDTF">2017-11-09T12:17:00Z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