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5AB8" w:rsidRPr="00760E73" w:rsidRDefault="002A5AB8" w:rsidP="002A5AB8">
      <w:pPr>
        <w:pStyle w:val="Frspaiere"/>
        <w:rPr>
          <w:rFonts w:ascii="Times New Roman" w:hAnsi="Times New Roman" w:cs="Times New Roman"/>
          <w:b/>
          <w:sz w:val="28"/>
          <w:szCs w:val="28"/>
        </w:rPr>
      </w:pPr>
      <w:r>
        <w:rPr>
          <w:rFonts w:ascii="Times New Roman" w:hAnsi="Times New Roman" w:cs="Times New Roman"/>
          <w:b/>
          <w:sz w:val="28"/>
          <w:szCs w:val="28"/>
        </w:rPr>
        <w:t>BIROUL DE INFORMARE ȘI RELAȚII PUBLICE</w:t>
      </w:r>
    </w:p>
    <w:p w:rsidR="002A5AB8" w:rsidRDefault="002A5AB8" w:rsidP="002A5AB8">
      <w:pPr>
        <w:pStyle w:val="Frspaiere"/>
        <w:spacing w:line="360" w:lineRule="auto"/>
        <w:rPr>
          <w:rFonts w:ascii="Times New Roman" w:hAnsi="Times New Roman" w:cs="Times New Roman"/>
          <w:sz w:val="28"/>
          <w:szCs w:val="28"/>
          <w:lang w:val="pt-BR"/>
        </w:rPr>
      </w:pPr>
    </w:p>
    <w:p w:rsidR="002A5AB8" w:rsidRDefault="002A5AB8" w:rsidP="002A5AB8">
      <w:pPr>
        <w:pStyle w:val="Frspaiere"/>
        <w:spacing w:line="360" w:lineRule="auto"/>
        <w:rPr>
          <w:rFonts w:ascii="Times New Roman" w:hAnsi="Times New Roman" w:cs="Times New Roman"/>
          <w:sz w:val="28"/>
          <w:szCs w:val="28"/>
          <w:lang w:val="pt-BR"/>
        </w:rPr>
      </w:pPr>
    </w:p>
    <w:p w:rsidR="002A5AB8" w:rsidRPr="0008083C" w:rsidRDefault="002A5AB8" w:rsidP="002A5AB8">
      <w:pPr>
        <w:pStyle w:val="Frspaiere"/>
        <w:jc w:val="center"/>
        <w:rPr>
          <w:rFonts w:ascii="Times New Roman" w:hAnsi="Times New Roman" w:cs="Times New Roman"/>
          <w:b/>
          <w:sz w:val="28"/>
          <w:szCs w:val="28"/>
        </w:rPr>
      </w:pPr>
    </w:p>
    <w:p w:rsidR="002A5AB8" w:rsidRPr="0008083C" w:rsidRDefault="002A5AB8" w:rsidP="002A5AB8">
      <w:pPr>
        <w:pStyle w:val="Frspaiere"/>
        <w:jc w:val="center"/>
        <w:rPr>
          <w:rFonts w:ascii="Times New Roman" w:hAnsi="Times New Roman" w:cs="Times New Roman"/>
          <w:b/>
          <w:sz w:val="28"/>
          <w:szCs w:val="28"/>
        </w:rPr>
      </w:pPr>
      <w:r>
        <w:rPr>
          <w:rFonts w:ascii="Times New Roman" w:hAnsi="Times New Roman" w:cs="Times New Roman"/>
          <w:b/>
          <w:sz w:val="28"/>
          <w:szCs w:val="28"/>
        </w:rPr>
        <w:t>COMUNICAT DE PRESĂ</w:t>
      </w:r>
    </w:p>
    <w:p w:rsidR="002A5AB8" w:rsidRPr="0008083C" w:rsidRDefault="007D5DBD" w:rsidP="002A5AB8">
      <w:pPr>
        <w:pStyle w:val="Frspaiere"/>
        <w:jc w:val="center"/>
        <w:rPr>
          <w:rFonts w:ascii="Times New Roman" w:hAnsi="Times New Roman" w:cs="Times New Roman"/>
          <w:b/>
          <w:sz w:val="28"/>
          <w:szCs w:val="28"/>
        </w:rPr>
      </w:pPr>
      <w:r>
        <w:rPr>
          <w:rFonts w:ascii="Times New Roman" w:hAnsi="Times New Roman" w:cs="Times New Roman"/>
          <w:b/>
          <w:sz w:val="28"/>
          <w:szCs w:val="28"/>
        </w:rPr>
        <w:t>10</w:t>
      </w:r>
      <w:bookmarkStart w:id="0" w:name="_GoBack"/>
      <w:bookmarkEnd w:id="0"/>
      <w:r w:rsidR="002A5AB8">
        <w:rPr>
          <w:rFonts w:ascii="Times New Roman" w:hAnsi="Times New Roman" w:cs="Times New Roman"/>
          <w:b/>
          <w:sz w:val="28"/>
          <w:szCs w:val="28"/>
        </w:rPr>
        <w:t xml:space="preserve"> MARTIE 2023</w:t>
      </w:r>
    </w:p>
    <w:p w:rsidR="002A5AB8" w:rsidRDefault="002A5AB8" w:rsidP="002A5AB8">
      <w:pPr>
        <w:pStyle w:val="Frspaiere"/>
        <w:spacing w:line="360" w:lineRule="auto"/>
        <w:rPr>
          <w:rFonts w:ascii="Times New Roman" w:hAnsi="Times New Roman" w:cs="Times New Roman"/>
          <w:sz w:val="28"/>
          <w:szCs w:val="28"/>
          <w:lang w:val="pt-BR"/>
        </w:rPr>
      </w:pPr>
    </w:p>
    <w:p w:rsidR="002A5AB8" w:rsidRDefault="002A5AB8" w:rsidP="002A5AB8">
      <w:pPr>
        <w:pStyle w:val="Frspaiere"/>
        <w:spacing w:line="360" w:lineRule="auto"/>
        <w:rPr>
          <w:rFonts w:ascii="Times New Roman" w:hAnsi="Times New Roman" w:cs="Times New Roman"/>
          <w:sz w:val="28"/>
          <w:szCs w:val="28"/>
          <w:lang w:val="pt-BR"/>
        </w:rPr>
      </w:pP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În data de 10 martie 2023, în Sala Festivă a Palatului de Justiție, a avut loc dezbaterea Raportului de activitate al Curții de Apel Ploiești pe anul 2022, în cadrul Adunării Generale a judecătorilor acestei instanțe.</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Din partea Consiliului Superior al Magistraturii au fost prezenți domnul judecător Liviu Odagiu și domnul judecător Alin Vasile Ene.</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Prezentarea în sinteză a datelor statistice a relevat următoarele:</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În anul 2022, Curtea de Apel Ploiești s-a situat pe locul 4 în clasamantul național al curților de apel, în funcție de încărcătura efectivă și </w:t>
      </w:r>
      <w:r w:rsidRPr="0004671C">
        <w:rPr>
          <w:rFonts w:ascii="Times New Roman" w:hAnsi="Times New Roman" w:cs="Times New Roman"/>
          <w:sz w:val="28"/>
          <w:szCs w:val="28"/>
          <w:lang w:val="ro-RO"/>
        </w:rPr>
        <w:t>adiționată pe judecător, iar împreună</w:t>
      </w:r>
      <w:r>
        <w:rPr>
          <w:rFonts w:ascii="Times New Roman" w:hAnsi="Times New Roman" w:cs="Times New Roman"/>
          <w:sz w:val="28"/>
          <w:szCs w:val="28"/>
          <w:lang w:val="ro-RO"/>
        </w:rPr>
        <w:t xml:space="preserve"> </w:t>
      </w:r>
      <w:r w:rsidRPr="0004671C">
        <w:rPr>
          <w:rFonts w:ascii="Times New Roman" w:hAnsi="Times New Roman" w:cs="Times New Roman"/>
          <w:sz w:val="28"/>
          <w:szCs w:val="28"/>
          <w:lang w:val="ro-RO"/>
        </w:rPr>
        <w:t>cu instanț</w:t>
      </w:r>
      <w:r>
        <w:rPr>
          <w:rFonts w:ascii="Times New Roman" w:hAnsi="Times New Roman" w:cs="Times New Roman"/>
          <w:sz w:val="28"/>
          <w:szCs w:val="28"/>
          <w:lang w:val="ro-RO"/>
        </w:rPr>
        <w:t>e</w:t>
      </w:r>
      <w:r w:rsidRPr="0004671C">
        <w:rPr>
          <w:rFonts w:ascii="Times New Roman" w:hAnsi="Times New Roman" w:cs="Times New Roman"/>
          <w:sz w:val="28"/>
          <w:szCs w:val="28"/>
          <w:lang w:val="ro-RO"/>
        </w:rPr>
        <w:t>le arondate</w:t>
      </w:r>
      <w:r>
        <w:rPr>
          <w:rFonts w:ascii="Times New Roman" w:hAnsi="Times New Roman" w:cs="Times New Roman"/>
          <w:sz w:val="28"/>
          <w:szCs w:val="28"/>
          <w:lang w:val="ro-RO"/>
        </w:rPr>
        <w:t xml:space="preserve"> (cele 3 tribunale și cele 14 judecătorii din circumscripție) s-a plasat pe locul 5 în țară, în funcție de volumul de activitate, fiind devansată în ordine descrescătoare doar de Curtea de Apel București, Curtea de Apel Craiova și Curtea de Apel Cluj.</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Curtea de Apel Ploiești și instanțele din circumscripția sa au avut de soluționat în anul 2022 un număr total de 204.127 dosare, din care 51.549 dosare au reprezentat stocul rămas la finalul anului 2021, la care s-au adăugat un număr de 152.578 dosare înregistrate pe parcursul  anului 2022, înregistrându-se o ușoară creștere de 2,52% față de anul 2021.</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lastRenderedPageBreak/>
        <w:t>Din totalul acestor dosare au fost soluționate în anul 2022 de Curtea de Apel Ploiești și instanțele din raza sa teritorială, un număr de 148.062 dosare, în creștere puțin semnificativă  cu 0,34%  față de anul precedent.</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În cadrul  Curții de Apel Ploiești (fără a se avea în vedere și instanțele arondate) volumul de activitate  în anul 2022 a fost de 12.719 cauze, fiind înregistrată o ușoară scădere cu 5,14%  față de anul 2021 </w:t>
      </w:r>
      <w:r w:rsidRPr="00156E43">
        <w:rPr>
          <w:rFonts w:ascii="Times New Roman" w:hAnsi="Times New Roman" w:cs="Times New Roman"/>
          <w:sz w:val="28"/>
          <w:szCs w:val="28"/>
          <w:lang w:val="ro-RO"/>
        </w:rPr>
        <w:t>(generată de ușoara scădere la nivelul secțiilor non-penale ale Curții, în timp ce la nivelul secției penale s-a evidenția</w:t>
      </w:r>
      <w:r>
        <w:rPr>
          <w:rFonts w:ascii="Times New Roman" w:hAnsi="Times New Roman" w:cs="Times New Roman"/>
          <w:sz w:val="28"/>
          <w:szCs w:val="28"/>
          <w:lang w:val="ro-RO"/>
        </w:rPr>
        <w:t>t</w:t>
      </w:r>
      <w:r w:rsidRPr="00156E43">
        <w:rPr>
          <w:rFonts w:ascii="Times New Roman" w:hAnsi="Times New Roman" w:cs="Times New Roman"/>
          <w:sz w:val="28"/>
          <w:szCs w:val="28"/>
          <w:lang w:val="ro-RO"/>
        </w:rPr>
        <w:t xml:space="preserve"> o creștere de 15,53%</w:t>
      </w:r>
      <w:r>
        <w:rPr>
          <w:rFonts w:ascii="Times New Roman" w:hAnsi="Times New Roman" w:cs="Times New Roman"/>
          <w:sz w:val="28"/>
          <w:szCs w:val="28"/>
          <w:lang w:val="ro-RO"/>
        </w:rPr>
        <w:t>)</w:t>
      </w:r>
      <w:r w:rsidRPr="00156E43">
        <w:rPr>
          <w:rFonts w:ascii="Times New Roman" w:hAnsi="Times New Roman" w:cs="Times New Roman"/>
          <w:sz w:val="28"/>
          <w:szCs w:val="28"/>
          <w:lang w:val="ro-RO"/>
        </w:rPr>
        <w:t>.</w:t>
      </w:r>
    </w:p>
    <w:p w:rsidR="002A5AB8" w:rsidRDefault="002A5AB8" w:rsidP="002A5AB8">
      <w:pPr>
        <w:pStyle w:val="Frspaiere"/>
        <w:spacing w:line="360" w:lineRule="auto"/>
        <w:ind w:firstLine="720"/>
        <w:jc w:val="both"/>
        <w:rPr>
          <w:rFonts w:ascii="Times New Roman" w:hAnsi="Times New Roman" w:cs="Times New Roman"/>
          <w:sz w:val="28"/>
          <w:szCs w:val="28"/>
          <w:lang w:val="ro-RO"/>
        </w:rPr>
      </w:pPr>
      <w:r w:rsidRPr="00156E43">
        <w:rPr>
          <w:rFonts w:ascii="Times New Roman" w:hAnsi="Times New Roman" w:cs="Times New Roman"/>
          <w:sz w:val="28"/>
          <w:szCs w:val="28"/>
          <w:lang w:val="ro-RO"/>
        </w:rPr>
        <w:t>În privința încărcăturii pe judecător, Curtea de Apel Ploiești s-a situat în anul 2022 peste media națională</w:t>
      </w:r>
      <w:r>
        <w:rPr>
          <w:rFonts w:ascii="Times New Roman" w:hAnsi="Times New Roman" w:cs="Times New Roman"/>
          <w:sz w:val="28"/>
          <w:szCs w:val="28"/>
          <w:lang w:val="ro-RO"/>
        </w:rPr>
        <w:t>, având în vedere faptul că a funcționat cu un grad mediu de ocupare a posturilor de 82,98 % din totalul schemei prevăzute pentru judecători.</w:t>
      </w:r>
    </w:p>
    <w:p w:rsidR="002A5AB8" w:rsidRDefault="002A5AB8" w:rsidP="002A5AB8">
      <w:pPr>
        <w:pStyle w:val="Frspaiere"/>
        <w:spacing w:line="360" w:lineRule="auto"/>
        <w:ind w:firstLine="720"/>
        <w:jc w:val="both"/>
        <w:rPr>
          <w:rFonts w:ascii="Times New Roman" w:hAnsi="Times New Roman" w:cs="Times New Roman"/>
          <w:sz w:val="28"/>
          <w:szCs w:val="28"/>
          <w:lang w:val="en-US"/>
        </w:rPr>
      </w:pPr>
      <w:r>
        <w:rPr>
          <w:rFonts w:ascii="Times New Roman" w:hAnsi="Times New Roman" w:cs="Times New Roman"/>
          <w:sz w:val="28"/>
          <w:szCs w:val="28"/>
          <w:lang w:val="en-US"/>
        </w:rPr>
        <w:t>Din punct de vedere calitativ,  Curtea de Apel Ploie</w:t>
      </w:r>
      <w:r>
        <w:rPr>
          <w:rFonts w:ascii="Times New Roman" w:hAnsi="Times New Roman" w:cs="Times New Roman"/>
          <w:sz w:val="28"/>
          <w:szCs w:val="28"/>
          <w:lang w:val="ro-RO"/>
        </w:rPr>
        <w:t xml:space="preserve">ști a înregistrat o performanță semnificativă în anul 2022, reușind să optimizeze indicatorul statistic </w:t>
      </w:r>
      <w:r>
        <w:rPr>
          <w:rFonts w:ascii="Times New Roman" w:hAnsi="Times New Roman" w:cs="Times New Roman"/>
          <w:sz w:val="28"/>
          <w:szCs w:val="28"/>
          <w:lang w:val="en-US"/>
        </w:rPr>
        <w:t>“</w:t>
      </w:r>
      <w:r>
        <w:rPr>
          <w:rFonts w:ascii="Times New Roman" w:hAnsi="Times New Roman" w:cs="Times New Roman"/>
          <w:sz w:val="28"/>
          <w:szCs w:val="28"/>
          <w:lang w:val="ro-RO"/>
        </w:rPr>
        <w:t>R</w:t>
      </w:r>
      <w:r>
        <w:rPr>
          <w:rFonts w:ascii="Times New Roman" w:hAnsi="Times New Roman" w:cs="Times New Roman"/>
          <w:sz w:val="28"/>
          <w:szCs w:val="28"/>
          <w:lang w:val="en-US"/>
        </w:rPr>
        <w:t>ata de  soluționare a cauzelor”  de la valoarea “satisfăcător” (</w:t>
      </w:r>
      <w:r>
        <w:rPr>
          <w:rFonts w:ascii="Times New Roman" w:hAnsi="Times New Roman" w:cs="Times New Roman"/>
          <w:sz w:val="28"/>
          <w:szCs w:val="28"/>
          <w:lang w:val="ro-RO"/>
        </w:rPr>
        <w:t xml:space="preserve">așa cum se obținuse în anul 2021), la valoarea </w:t>
      </w:r>
      <w:r>
        <w:rPr>
          <w:rFonts w:ascii="Times New Roman" w:hAnsi="Times New Roman" w:cs="Times New Roman"/>
          <w:sz w:val="28"/>
          <w:szCs w:val="28"/>
          <w:lang w:val="en-US"/>
        </w:rPr>
        <w:t>“foarte eficient” la finele anului 2022.</w:t>
      </w:r>
    </w:p>
    <w:p w:rsidR="002A5AB8" w:rsidRDefault="002A5AB8" w:rsidP="002A5AB8">
      <w:pPr>
        <w:pStyle w:val="Frspaiere"/>
        <w:spacing w:line="360" w:lineRule="auto"/>
        <w:ind w:firstLine="720"/>
        <w:jc w:val="both"/>
        <w:rPr>
          <w:rFonts w:ascii="Times New Roman" w:hAnsi="Times New Roman"/>
          <w:color w:val="000000"/>
          <w:sz w:val="28"/>
          <w:szCs w:val="28"/>
          <w:lang w:val="ro-RO"/>
        </w:rPr>
      </w:pPr>
      <w:r w:rsidRPr="006F5B4F">
        <w:rPr>
          <w:rFonts w:ascii="Times New Roman" w:hAnsi="Times New Roman"/>
          <w:color w:val="000000"/>
          <w:sz w:val="28"/>
          <w:szCs w:val="28"/>
          <w:lang w:val="ro-RO"/>
        </w:rPr>
        <w:t xml:space="preserve">De asemenea, </w:t>
      </w:r>
      <w:r>
        <w:rPr>
          <w:rFonts w:ascii="Times New Roman" w:hAnsi="Times New Roman"/>
          <w:color w:val="000000"/>
          <w:sz w:val="28"/>
          <w:szCs w:val="28"/>
          <w:lang w:val="ro-RO"/>
        </w:rPr>
        <w:t xml:space="preserve"> </w:t>
      </w:r>
      <w:r w:rsidRPr="006F5B4F">
        <w:rPr>
          <w:rFonts w:ascii="Times New Roman" w:hAnsi="Times New Roman"/>
          <w:color w:val="000000"/>
          <w:sz w:val="28"/>
          <w:szCs w:val="28"/>
          <w:lang w:val="ro-RO"/>
        </w:rPr>
        <w:t>s-a înregistrat la</w:t>
      </w:r>
      <w:r>
        <w:rPr>
          <w:rFonts w:ascii="Times New Roman" w:hAnsi="Times New Roman"/>
          <w:color w:val="000000"/>
          <w:sz w:val="28"/>
          <w:szCs w:val="28"/>
          <w:lang w:val="ro-RO"/>
        </w:rPr>
        <w:t xml:space="preserve"> sfârșitul anului 2021 scăderea indicelui de </w:t>
      </w:r>
      <w:r w:rsidRPr="00257540">
        <w:rPr>
          <w:rFonts w:ascii="Times New Roman" w:hAnsi="Times New Roman"/>
          <w:color w:val="000000"/>
          <w:sz w:val="28"/>
          <w:szCs w:val="28"/>
          <w:lang w:val="ro-RO"/>
        </w:rPr>
        <w:t>casare</w:t>
      </w:r>
      <w:r>
        <w:rPr>
          <w:rFonts w:ascii="Times New Roman" w:hAnsi="Times New Roman"/>
          <w:color w:val="000000"/>
          <w:sz w:val="28"/>
          <w:szCs w:val="28"/>
          <w:lang w:val="ro-RO"/>
        </w:rPr>
        <w:t>, ceea ce denotă creșterea calității actului de justiție realizat de întreg corpul de magistrați care  activează în cadrul Curții de Apel Ploiești, prin  pronunțarea unor soluții menținute, în marea lor majoritate de către Înalta Curte de Casație și Justiție.</w:t>
      </w:r>
    </w:p>
    <w:p w:rsidR="002A5AB8" w:rsidRDefault="002A5AB8" w:rsidP="002A5AB8">
      <w:pPr>
        <w:pStyle w:val="Frspaiere"/>
        <w:spacing w:line="360" w:lineRule="auto"/>
        <w:ind w:firstLine="720"/>
        <w:jc w:val="both"/>
        <w:rPr>
          <w:rFonts w:ascii="Times New Roman" w:hAnsi="Times New Roman" w:cs="Times New Roman"/>
          <w:sz w:val="28"/>
          <w:szCs w:val="28"/>
          <w:lang w:val="en-US"/>
        </w:rPr>
      </w:pPr>
      <w:r>
        <w:rPr>
          <w:rFonts w:ascii="Times New Roman" w:hAnsi="Times New Roman"/>
          <w:color w:val="000000"/>
          <w:sz w:val="28"/>
          <w:szCs w:val="28"/>
          <w:lang w:val="ro-RO"/>
        </w:rPr>
        <w:t xml:space="preserve">Astfel, prin cumularea tuturor indicatorilor statistici, la nivelul anului 2022 s-a obținut ca </w:t>
      </w:r>
      <w:r w:rsidRPr="00EB77A5">
        <w:rPr>
          <w:rFonts w:ascii="Times New Roman" w:hAnsi="Times New Roman"/>
          <w:color w:val="000000"/>
          <w:sz w:val="28"/>
          <w:szCs w:val="28"/>
          <w:lang w:val="ro-RO"/>
        </w:rPr>
        <w:t xml:space="preserve">rezultantă </w:t>
      </w:r>
      <w:r w:rsidRPr="00957E92">
        <w:rPr>
          <w:rFonts w:ascii="Times New Roman" w:hAnsi="Times New Roman"/>
          <w:color w:val="000000"/>
          <w:sz w:val="28"/>
          <w:szCs w:val="28"/>
          <w:lang w:val="ro-RO"/>
        </w:rPr>
        <w:t>de eficiență, la Curtea de Apel Ploiești</w:t>
      </w:r>
      <w:r>
        <w:rPr>
          <w:rFonts w:ascii="Times New Roman" w:hAnsi="Times New Roman"/>
          <w:color w:val="000000"/>
          <w:sz w:val="28"/>
          <w:szCs w:val="28"/>
          <w:lang w:val="ro-RO"/>
        </w:rPr>
        <w:t xml:space="preserve">, calificativul </w:t>
      </w:r>
      <w:r>
        <w:rPr>
          <w:rFonts w:ascii="Times New Roman" w:hAnsi="Times New Roman" w:cs="Times New Roman"/>
          <w:sz w:val="28"/>
          <w:szCs w:val="28"/>
          <w:lang w:val="en-US"/>
        </w:rPr>
        <w:t>“foarte eficient”, ceea ce a avut drept consecință situarea Curții de Apel Ploiești în topul celor mai eficiente curți  de apel  din țară,  alături de cele din Galați, Suceava și Timișoara.</w:t>
      </w:r>
    </w:p>
    <w:p w:rsidR="002A5AB8" w:rsidRDefault="002A5AB8" w:rsidP="002A5AB8">
      <w:pPr>
        <w:pStyle w:val="Frspaiere"/>
        <w:spacing w:line="360" w:lineRule="auto"/>
        <w:ind w:firstLine="720"/>
        <w:jc w:val="both"/>
        <w:rPr>
          <w:rFonts w:ascii="Times New Roman" w:hAnsi="Times New Roman"/>
          <w:color w:val="000000"/>
          <w:sz w:val="28"/>
          <w:szCs w:val="28"/>
          <w:lang w:val="ro-RO"/>
        </w:rPr>
      </w:pPr>
      <w:r>
        <w:rPr>
          <w:rFonts w:ascii="Times New Roman" w:hAnsi="Times New Roman"/>
          <w:color w:val="000000"/>
          <w:sz w:val="28"/>
          <w:szCs w:val="28"/>
          <w:lang w:val="ro-RO"/>
        </w:rPr>
        <w:t xml:space="preserve">Pentru obținerea acestor rezultate, pe întreg parcursul anului 2022, magistrații și personalul auxiliar de specialitate și cel conex de la nivelul Curții de Apel Ploiești  și instanțelor arondate au depus eforturi substanțiale pentru a asigura un act de justiție la </w:t>
      </w:r>
      <w:r>
        <w:rPr>
          <w:rFonts w:ascii="Times New Roman" w:hAnsi="Times New Roman"/>
          <w:color w:val="000000"/>
          <w:sz w:val="28"/>
          <w:szCs w:val="28"/>
          <w:lang w:val="ro-RO"/>
        </w:rPr>
        <w:lastRenderedPageBreak/>
        <w:t>un standard  calitativ cât mai ridicat, în condițiile în care s-a înregistrat un deficit de 99 de posturi de judecător vacante (la nivelul a două tribunale – Prahova și  Buzău,  situația posturilor vacante fiind chiar dramatică), iar în privința posturilor de personal auxiliar de specialitate și conex, deși schemele prevăzute  sunt aproape integral ocupate, totuși acestea nu au mai fost de mulți ani adaptate și actualizate volumului de activitate specific fiecărei instanțe.</w:t>
      </w:r>
    </w:p>
    <w:p w:rsidR="002A5AB8" w:rsidRPr="006F5B4F" w:rsidRDefault="002A5AB8" w:rsidP="002A5AB8">
      <w:pPr>
        <w:pStyle w:val="Frspaiere"/>
        <w:spacing w:line="360" w:lineRule="auto"/>
        <w:ind w:firstLine="720"/>
        <w:jc w:val="both"/>
        <w:rPr>
          <w:rFonts w:ascii="Times New Roman" w:hAnsi="Times New Roman"/>
          <w:color w:val="000000"/>
          <w:sz w:val="28"/>
          <w:szCs w:val="28"/>
          <w:lang w:val="ro-RO"/>
        </w:rPr>
      </w:pPr>
    </w:p>
    <w:p w:rsidR="002A5AB8" w:rsidRDefault="002A5AB8" w:rsidP="002A5AB8">
      <w:pPr>
        <w:pStyle w:val="Frspaiere"/>
        <w:spacing w:line="360" w:lineRule="auto"/>
        <w:rPr>
          <w:rFonts w:ascii="Times New Roman" w:hAnsi="Times New Roman" w:cs="Times New Roman"/>
          <w:sz w:val="28"/>
          <w:szCs w:val="28"/>
          <w:lang w:val="pt-BR"/>
        </w:rPr>
      </w:pPr>
    </w:p>
    <w:p w:rsidR="002A5AB8" w:rsidRPr="006E30D7" w:rsidRDefault="002A5AB8" w:rsidP="002A5AB8">
      <w:pPr>
        <w:shd w:val="clear" w:color="auto" w:fill="FFFFFF"/>
        <w:spacing w:after="0" w:line="240" w:lineRule="auto"/>
        <w:ind w:firstLine="708"/>
        <w:jc w:val="center"/>
        <w:textAlignment w:val="baseline"/>
        <w:rPr>
          <w:rFonts w:ascii="inherit" w:eastAsia="Times New Roman" w:hAnsi="inherit" w:cs="Tahoma"/>
          <w:b/>
          <w:noProof w:val="0"/>
          <w:sz w:val="20"/>
          <w:szCs w:val="20"/>
          <w:lang w:val="ro-RO" w:eastAsia="ro-RO"/>
        </w:rPr>
      </w:pPr>
      <w:r w:rsidRPr="00BE01E2">
        <w:rPr>
          <w:rFonts w:ascii="inherit" w:eastAsia="Times New Roman" w:hAnsi="inherit" w:cs="Tahoma"/>
          <w:b/>
          <w:noProof w:val="0"/>
          <w:sz w:val="20"/>
          <w:szCs w:val="20"/>
          <w:lang w:val="ro-RO" w:eastAsia="ro-RO"/>
        </w:rPr>
        <w:t> </w:t>
      </w:r>
    </w:p>
    <w:p w:rsidR="002A5AB8" w:rsidRPr="00CB4CA4" w:rsidRDefault="002A5AB8" w:rsidP="002A5AB8">
      <w:pPr>
        <w:pStyle w:val="Frspaiere"/>
        <w:spacing w:line="360" w:lineRule="auto"/>
        <w:jc w:val="both"/>
        <w:rPr>
          <w:rFonts w:ascii="Times New Roman" w:hAnsi="Times New Roman" w:cs="Times New Roman"/>
          <w:sz w:val="28"/>
          <w:szCs w:val="28"/>
        </w:rPr>
      </w:pPr>
    </w:p>
    <w:p w:rsidR="002A5AB8" w:rsidRPr="00CB4CA4" w:rsidRDefault="002A5AB8" w:rsidP="002A5AB8">
      <w:pPr>
        <w:pStyle w:val="Frspaiere"/>
        <w:spacing w:line="360" w:lineRule="auto"/>
        <w:jc w:val="both"/>
        <w:rPr>
          <w:rFonts w:ascii="Times New Roman" w:hAnsi="Times New Roman" w:cs="Times New Roman"/>
          <w:sz w:val="28"/>
          <w:szCs w:val="28"/>
        </w:rPr>
      </w:pPr>
    </w:p>
    <w:p w:rsidR="002A5AB8" w:rsidRPr="0008083C" w:rsidRDefault="002A5AB8" w:rsidP="002A5AB8">
      <w:pPr>
        <w:pStyle w:val="Frspaiere"/>
        <w:jc w:val="center"/>
        <w:rPr>
          <w:rFonts w:ascii="Times New Roman" w:hAnsi="Times New Roman" w:cs="Times New Roman"/>
          <w:b/>
          <w:sz w:val="28"/>
          <w:szCs w:val="28"/>
        </w:rPr>
      </w:pPr>
      <w:r w:rsidRPr="0008083C">
        <w:rPr>
          <w:rFonts w:ascii="Times New Roman" w:hAnsi="Times New Roman" w:cs="Times New Roman"/>
          <w:b/>
          <w:sz w:val="28"/>
          <w:szCs w:val="28"/>
        </w:rPr>
        <w:t>PURTĂTOR DE CUVÂNT,</w:t>
      </w:r>
    </w:p>
    <w:p w:rsidR="002A5AB8" w:rsidRPr="0008083C" w:rsidRDefault="002A5AB8" w:rsidP="002A5AB8">
      <w:pPr>
        <w:pStyle w:val="Frspaiere"/>
        <w:jc w:val="center"/>
        <w:rPr>
          <w:rFonts w:ascii="Times New Roman" w:hAnsi="Times New Roman" w:cs="Times New Roman"/>
          <w:b/>
          <w:sz w:val="28"/>
          <w:szCs w:val="28"/>
        </w:rPr>
      </w:pPr>
      <w:r w:rsidRPr="0008083C">
        <w:rPr>
          <w:rFonts w:ascii="Times New Roman" w:hAnsi="Times New Roman" w:cs="Times New Roman"/>
          <w:b/>
          <w:sz w:val="28"/>
          <w:szCs w:val="28"/>
        </w:rPr>
        <w:t xml:space="preserve">Judecător </w:t>
      </w:r>
      <w:r>
        <w:rPr>
          <w:rFonts w:ascii="Times New Roman" w:hAnsi="Times New Roman" w:cs="Times New Roman"/>
          <w:b/>
          <w:sz w:val="28"/>
          <w:szCs w:val="28"/>
        </w:rPr>
        <w:t>Georgiana Iorguță</w:t>
      </w:r>
    </w:p>
    <w:p w:rsidR="002A5AB8" w:rsidRDefault="002A5AB8" w:rsidP="002A5AB8">
      <w:pPr>
        <w:pStyle w:val="Frspaiere"/>
        <w:spacing w:line="360" w:lineRule="auto"/>
        <w:jc w:val="both"/>
        <w:rPr>
          <w:rFonts w:ascii="Times New Roman" w:hAnsi="Times New Roman" w:cs="Times New Roman"/>
          <w:sz w:val="28"/>
          <w:szCs w:val="28"/>
        </w:rPr>
      </w:pPr>
    </w:p>
    <w:p w:rsidR="002A5AB8" w:rsidRDefault="002A5AB8" w:rsidP="002A5AB8">
      <w:pPr>
        <w:pStyle w:val="Frspaiere"/>
        <w:spacing w:line="360" w:lineRule="auto"/>
        <w:jc w:val="both"/>
        <w:rPr>
          <w:rFonts w:ascii="Times New Roman" w:hAnsi="Times New Roman" w:cs="Times New Roman"/>
          <w:sz w:val="28"/>
          <w:szCs w:val="28"/>
        </w:rPr>
      </w:pPr>
    </w:p>
    <w:p w:rsidR="002A5AB8" w:rsidRDefault="002A5AB8" w:rsidP="002A5AB8">
      <w:pPr>
        <w:pStyle w:val="Frspaiere"/>
        <w:spacing w:line="360" w:lineRule="auto"/>
        <w:jc w:val="both"/>
        <w:rPr>
          <w:rFonts w:ascii="Times New Roman" w:hAnsi="Times New Roman" w:cs="Times New Roman"/>
          <w:sz w:val="28"/>
          <w:szCs w:val="28"/>
        </w:rPr>
      </w:pPr>
    </w:p>
    <w:p w:rsidR="00330CC1" w:rsidRPr="003D2C56" w:rsidRDefault="00330CC1" w:rsidP="003D2C56">
      <w:pPr>
        <w:ind w:left="709"/>
      </w:pPr>
    </w:p>
    <w:sectPr w:rsidR="00330CC1" w:rsidRPr="003D2C56" w:rsidSect="002A5AB8">
      <w:headerReference w:type="default" r:id="rId7"/>
      <w:pgSz w:w="11907" w:h="16840" w:code="9"/>
      <w:pgMar w:top="567" w:right="708" w:bottom="1440"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5DF6" w:rsidRDefault="00675DF6" w:rsidP="00966BA9">
      <w:pPr>
        <w:spacing w:after="0" w:line="240" w:lineRule="auto"/>
      </w:pPr>
      <w:r>
        <w:separator/>
      </w:r>
    </w:p>
  </w:endnote>
  <w:endnote w:type="continuationSeparator" w:id="0">
    <w:p w:rsidR="00675DF6" w:rsidRDefault="00675DF6" w:rsidP="00966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5DF6" w:rsidRDefault="00675DF6" w:rsidP="00966BA9">
      <w:pPr>
        <w:spacing w:after="0" w:line="240" w:lineRule="auto"/>
      </w:pPr>
      <w:r>
        <w:separator/>
      </w:r>
    </w:p>
  </w:footnote>
  <w:footnote w:type="continuationSeparator" w:id="0">
    <w:p w:rsidR="00675DF6" w:rsidRDefault="00675DF6" w:rsidP="00966B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BA9" w:rsidRDefault="002B4474" w:rsidP="00F24D1B">
    <w:pPr>
      <w:pStyle w:val="Antet"/>
    </w:pPr>
    <w:r>
      <w:rPr>
        <w:lang w:val="en-US"/>
      </w:rPr>
      <w:drawing>
        <wp:inline distT="0" distB="0" distL="0" distR="0">
          <wp:extent cx="6419631" cy="1490345"/>
          <wp:effectExtent l="0" t="0" r="635"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ntet4.jpg"/>
                  <pic:cNvPicPr/>
                </pic:nvPicPr>
                <pic:blipFill>
                  <a:blip r:embed="rId1">
                    <a:extLst>
                      <a:ext uri="{28A0092B-C50C-407E-A947-70E740481C1C}">
                        <a14:useLocalDpi xmlns:a14="http://schemas.microsoft.com/office/drawing/2010/main" val="0"/>
                      </a:ext>
                    </a:extLst>
                  </a:blip>
                  <a:stretch>
                    <a:fillRect/>
                  </a:stretch>
                </pic:blipFill>
                <pic:spPr>
                  <a:xfrm>
                    <a:off x="0" y="0"/>
                    <a:ext cx="6439988" cy="1495071"/>
                  </a:xfrm>
                  <a:prstGeom prst="rect">
                    <a:avLst/>
                  </a:prstGeom>
                </pic:spPr>
              </pic:pic>
            </a:graphicData>
          </a:graphic>
        </wp:inline>
      </w:drawing>
    </w:r>
  </w:p>
  <w:p w:rsidR="00F24D1B" w:rsidRPr="00F24D1B" w:rsidRDefault="00F24D1B" w:rsidP="00F24D1B">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6D3C76"/>
    <w:multiLevelType w:val="hybridMultilevel"/>
    <w:tmpl w:val="D92CFC7E"/>
    <w:lvl w:ilvl="0" w:tplc="55CCD3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BA9"/>
    <w:rsid w:val="00167B43"/>
    <w:rsid w:val="001B7B5C"/>
    <w:rsid w:val="00236865"/>
    <w:rsid w:val="00274B86"/>
    <w:rsid w:val="002A5AB8"/>
    <w:rsid w:val="002B4474"/>
    <w:rsid w:val="00301189"/>
    <w:rsid w:val="00330CC1"/>
    <w:rsid w:val="003D2C56"/>
    <w:rsid w:val="00525169"/>
    <w:rsid w:val="00570427"/>
    <w:rsid w:val="005860B4"/>
    <w:rsid w:val="006176EF"/>
    <w:rsid w:val="00621A82"/>
    <w:rsid w:val="00675DF6"/>
    <w:rsid w:val="006875E2"/>
    <w:rsid w:val="006E4948"/>
    <w:rsid w:val="007D5A56"/>
    <w:rsid w:val="007D5DBD"/>
    <w:rsid w:val="00843295"/>
    <w:rsid w:val="00966BA9"/>
    <w:rsid w:val="00B04C3B"/>
    <w:rsid w:val="00B2616E"/>
    <w:rsid w:val="00B4370E"/>
    <w:rsid w:val="00B97759"/>
    <w:rsid w:val="00C42DE1"/>
    <w:rsid w:val="00CE50FE"/>
    <w:rsid w:val="00D874EB"/>
    <w:rsid w:val="00DD31BB"/>
    <w:rsid w:val="00E656F4"/>
    <w:rsid w:val="00F24D1B"/>
    <w:rsid w:val="00FB5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DA72F"/>
  <w15:chartTrackingRefBased/>
  <w15:docId w15:val="{6FA137F6-9348-4C83-B171-01764F63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lang w:val="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66BA9"/>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66BA9"/>
    <w:rPr>
      <w:noProof/>
      <w:lang w:val="en-GB"/>
    </w:rPr>
  </w:style>
  <w:style w:type="paragraph" w:styleId="Subsol">
    <w:name w:val="footer"/>
    <w:basedOn w:val="Normal"/>
    <w:link w:val="SubsolCaracter"/>
    <w:uiPriority w:val="99"/>
    <w:unhideWhenUsed/>
    <w:rsid w:val="00966BA9"/>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66BA9"/>
    <w:rPr>
      <w:noProof/>
      <w:lang w:val="en-GB"/>
    </w:rPr>
  </w:style>
  <w:style w:type="paragraph" w:styleId="TextnBalon">
    <w:name w:val="Balloon Text"/>
    <w:basedOn w:val="Normal"/>
    <w:link w:val="TextnBalonCaracter"/>
    <w:uiPriority w:val="99"/>
    <w:semiHidden/>
    <w:unhideWhenUsed/>
    <w:rsid w:val="00966BA9"/>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66BA9"/>
    <w:rPr>
      <w:rFonts w:ascii="Segoe UI" w:hAnsi="Segoe UI" w:cs="Segoe UI"/>
      <w:noProof/>
      <w:sz w:val="18"/>
      <w:szCs w:val="18"/>
      <w:lang w:val="en-GB"/>
    </w:rPr>
  </w:style>
  <w:style w:type="character" w:styleId="Hyperlink">
    <w:name w:val="Hyperlink"/>
    <w:basedOn w:val="Fontdeparagrafimplicit"/>
    <w:uiPriority w:val="99"/>
    <w:unhideWhenUsed/>
    <w:rsid w:val="00330CC1"/>
    <w:rPr>
      <w:color w:val="0563C1" w:themeColor="hyperlink"/>
      <w:u w:val="single"/>
    </w:rPr>
  </w:style>
  <w:style w:type="paragraph" w:styleId="Listparagraf">
    <w:name w:val="List Paragraph"/>
    <w:basedOn w:val="Normal"/>
    <w:uiPriority w:val="34"/>
    <w:qFormat/>
    <w:rsid w:val="00330CC1"/>
    <w:pPr>
      <w:spacing w:after="0" w:line="360" w:lineRule="auto"/>
      <w:ind w:left="720"/>
      <w:contextualSpacing/>
    </w:pPr>
    <w:rPr>
      <w:lang w:val="ro-RO"/>
    </w:rPr>
  </w:style>
  <w:style w:type="paragraph" w:styleId="Frspaiere">
    <w:name w:val="No Spacing"/>
    <w:uiPriority w:val="1"/>
    <w:qFormat/>
    <w:rsid w:val="002A5AB8"/>
    <w:pPr>
      <w:spacing w:after="0" w:line="240" w:lineRule="auto"/>
    </w:pPr>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579</Words>
  <Characters>3362</Characters>
  <Application>Microsoft Office Word</Application>
  <DocSecurity>0</DocSecurity>
  <Lines>28</Lines>
  <Paragraphs>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iambu.ion@gmail.com</dc:creator>
  <cp:keywords/>
  <dc:description/>
  <cp:lastModifiedBy>Georgiana Petrisor</cp:lastModifiedBy>
  <cp:revision>3</cp:revision>
  <cp:lastPrinted>2023-03-10T10:44:00Z</cp:lastPrinted>
  <dcterms:created xsi:type="dcterms:W3CDTF">2023-03-10T10:46:00Z</dcterms:created>
  <dcterms:modified xsi:type="dcterms:W3CDTF">2023-03-10T10:48:00Z</dcterms:modified>
</cp:coreProperties>
</file>