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2B568" w14:textId="588ACFD0" w:rsidR="006139D3" w:rsidRPr="001E3531" w:rsidRDefault="001E3531" w:rsidP="00D435F2">
      <w:pPr>
        <w:jc w:val="center"/>
        <w:rPr>
          <w:rFonts w:asciiTheme="majorHAnsi" w:hAnsiTheme="majorHAnsi"/>
          <w:sz w:val="28"/>
        </w:rPr>
      </w:pPr>
      <w:r>
        <w:rPr>
          <w:rFonts w:asciiTheme="majorHAnsi" w:hAnsiTheme="majorHAnsi"/>
          <w:sz w:val="28"/>
        </w:rPr>
        <w:t>CURTEA EUROPEANĂ A DREPTURILOR OMULUI</w:t>
      </w:r>
    </w:p>
    <w:p w14:paraId="0760C21D" w14:textId="77777777" w:rsidR="0098410D" w:rsidRPr="00D435F2" w:rsidRDefault="0098410D" w:rsidP="00D435F2">
      <w:pPr>
        <w:jc w:val="center"/>
      </w:pPr>
    </w:p>
    <w:p w14:paraId="26037408" w14:textId="33C65011" w:rsidR="0098410D" w:rsidRPr="00D435F2" w:rsidRDefault="00220121" w:rsidP="00D435F2">
      <w:pPr>
        <w:pStyle w:val="DecHTitle"/>
      </w:pPr>
      <w:r>
        <w:t>SECŢIA A DOUA</w:t>
      </w:r>
    </w:p>
    <w:p w14:paraId="6D8711CC" w14:textId="75976B44" w:rsidR="008E6217" w:rsidRPr="00D435F2" w:rsidRDefault="008E6217" w:rsidP="002A72E2">
      <w:pPr>
        <w:pStyle w:val="JuTitle"/>
        <w:spacing w:before="960"/>
      </w:pPr>
      <w:bookmarkStart w:id="0" w:name="To"/>
      <w:r>
        <w:rPr>
          <w:color w:val="000000" w:themeColor="text1"/>
        </w:rPr>
        <w:t xml:space="preserve">CAUZA </w:t>
      </w:r>
      <w:bookmarkEnd w:id="0"/>
      <w:r>
        <w:t xml:space="preserve"> MØRCK JENSEN ÎMPOTRIVA DANEMARCEI</w:t>
      </w:r>
    </w:p>
    <w:p w14:paraId="71C2B678" w14:textId="1DD20B27" w:rsidR="00D74888" w:rsidRPr="00D435F2" w:rsidRDefault="008E6217" w:rsidP="00D435F2">
      <w:pPr>
        <w:pStyle w:val="ECHRCoverTitle4"/>
      </w:pPr>
      <w:r>
        <w:t>(Cererea nr. 60785/19)</w:t>
      </w:r>
    </w:p>
    <w:p w14:paraId="55DF0112" w14:textId="77777777" w:rsidR="0098410D" w:rsidRPr="00D435F2" w:rsidRDefault="0098410D" w:rsidP="002A72E2">
      <w:pPr>
        <w:pStyle w:val="DecHCase"/>
        <w:spacing w:after="360"/>
      </w:pPr>
    </w:p>
    <w:p w14:paraId="4E14AC58" w14:textId="77777777" w:rsidR="006139D3" w:rsidRPr="00D435F2" w:rsidRDefault="0098410D" w:rsidP="006139D3">
      <w:pPr>
        <w:pStyle w:val="DecHCase"/>
      </w:pPr>
      <w:r>
        <w:t>HOTĂRÂRE</w:t>
      </w:r>
      <w:r>
        <w:br/>
      </w:r>
    </w:p>
    <w:p w14:paraId="2532A63A" w14:textId="77777777" w:rsidR="006139D3" w:rsidRPr="002A72E2" w:rsidRDefault="006139D3" w:rsidP="006139D3">
      <w:pPr>
        <w:pStyle w:val="JuPara"/>
        <w:pBdr>
          <w:top w:val="single" w:sz="4" w:space="1" w:color="auto"/>
          <w:left w:val="single" w:sz="4" w:space="4" w:color="auto"/>
          <w:bottom w:val="single" w:sz="4" w:space="1" w:color="auto"/>
          <w:right w:val="single" w:sz="4" w:space="4" w:color="auto"/>
        </w:pBdr>
        <w:ind w:firstLine="0"/>
        <w:rPr>
          <w:sz w:val="22"/>
          <w:szCs w:val="22"/>
        </w:rPr>
      </w:pPr>
      <w:r>
        <w:rPr>
          <w:sz w:val="22"/>
        </w:rPr>
        <w:t xml:space="preserve">Art. 7 • </w:t>
      </w:r>
      <w:r>
        <w:rPr>
          <w:i/>
          <w:sz w:val="22"/>
        </w:rPr>
        <w:t>Nullum crimen sine lege</w:t>
      </w:r>
      <w:r>
        <w:rPr>
          <w:sz w:val="22"/>
        </w:rPr>
        <w:t xml:space="preserve"> • Condamnare pentru încălcarea interdicției de intrare și ședere într-o anumită zonă de conflict, care a fost ridicată în momentul judecării cauzei în urma unei modificări a situației din zona respectivă • Aplicarea legii penale în vigoare la momentul săvârșirii infracțiunii, întrucât abrogarea interdicției era atribuită doar circumstanțelor extrinseci, nerelevante pentru chestiunea vinovăției • Cauză care trebuie distinsă de jurisprudența privind principiul retroactivității legii penale mai favorabile • Infracțiune definită în mod clar în legislație, care îndeplinește cerințele de accesibilitate și previzibilitate</w:t>
      </w:r>
    </w:p>
    <w:p w14:paraId="0A249B8A" w14:textId="231FC7C1" w:rsidR="006139D3" w:rsidRPr="002A72E2" w:rsidRDefault="006139D3" w:rsidP="006139D3">
      <w:pPr>
        <w:pStyle w:val="JuPara"/>
        <w:pBdr>
          <w:top w:val="single" w:sz="4" w:space="1" w:color="auto"/>
          <w:left w:val="single" w:sz="4" w:space="4" w:color="auto"/>
          <w:bottom w:val="single" w:sz="4" w:space="1" w:color="auto"/>
          <w:right w:val="single" w:sz="4" w:space="4" w:color="auto"/>
        </w:pBdr>
        <w:ind w:firstLine="0"/>
        <w:rPr>
          <w:sz w:val="22"/>
          <w:szCs w:val="22"/>
        </w:rPr>
      </w:pPr>
      <w:r>
        <w:rPr>
          <w:sz w:val="22"/>
        </w:rPr>
        <w:t>Art. 2 din Protocolul nr. 4 • Libertatea de circulație • Resortisant danez căruia i s-a interzis intrarea și șederea, fără autorizație, în zonele în care o organizație teroristă este parte la un conflict armat aflat în curs de desfășurare (guvernoratul al-Raqqa din Siria) • Interdicție care nu are un caracter absolut • Marjă extinsă de apreciere • Echilibru just între interesele aflate în joc</w:t>
      </w:r>
    </w:p>
    <w:p w14:paraId="396FC25E" w14:textId="77777777" w:rsidR="006139D3" w:rsidRPr="00D435F2" w:rsidRDefault="006139D3" w:rsidP="006139D3">
      <w:pPr>
        <w:pStyle w:val="JuPara"/>
      </w:pPr>
    </w:p>
    <w:p w14:paraId="3B4F3F1C" w14:textId="77777777" w:rsidR="0098410D" w:rsidRPr="00D435F2" w:rsidRDefault="0098410D" w:rsidP="00D435F2">
      <w:pPr>
        <w:pStyle w:val="DecHCase"/>
      </w:pPr>
      <w:r>
        <w:t>STRASBOURG</w:t>
      </w:r>
    </w:p>
    <w:p w14:paraId="6A34DD1A" w14:textId="7CED10E6" w:rsidR="0098410D" w:rsidRPr="00D435F2" w:rsidRDefault="00220121" w:rsidP="002A72E2">
      <w:pPr>
        <w:pStyle w:val="DecHCase"/>
        <w:spacing w:after="360"/>
      </w:pPr>
      <w:r>
        <w:rPr>
          <w:rFonts w:ascii="Times New Roman" w:hAnsi="Times New Roman"/>
        </w:rPr>
        <w:t>18 octombrie 2022</w:t>
      </w:r>
    </w:p>
    <w:p w14:paraId="6157C97F" w14:textId="77777777" w:rsidR="002A72E2" w:rsidRPr="002A72E2" w:rsidRDefault="002A72E2" w:rsidP="002A72E2">
      <w:pPr>
        <w:pStyle w:val="jucase0"/>
        <w:ind w:firstLine="0"/>
        <w:jc w:val="center"/>
        <w:rPr>
          <w:color w:val="FF0000"/>
          <w:sz w:val="26"/>
          <w:szCs w:val="26"/>
          <w:u w:val="single"/>
        </w:rPr>
      </w:pPr>
      <w:bookmarkStart w:id="1" w:name="_Hlk59706592"/>
      <w:bookmarkStart w:id="2" w:name="_Hlk59704667"/>
      <w:r>
        <w:rPr>
          <w:color w:val="FF0000"/>
          <w:sz w:val="26"/>
          <w:u w:val="single"/>
        </w:rPr>
        <w:t>DEFINITIVĂ</w:t>
      </w:r>
    </w:p>
    <w:p w14:paraId="7FDA04CB" w14:textId="77777777" w:rsidR="002A72E2" w:rsidRPr="002A72E2" w:rsidRDefault="002A72E2" w:rsidP="002A72E2">
      <w:pPr>
        <w:pStyle w:val="jucase0"/>
        <w:ind w:firstLine="0"/>
        <w:jc w:val="center"/>
        <w:rPr>
          <w:b w:val="0"/>
          <w:bCs w:val="0"/>
          <w:color w:val="FF0000"/>
          <w:sz w:val="20"/>
          <w:szCs w:val="20"/>
          <w:u w:val="single"/>
        </w:rPr>
      </w:pPr>
    </w:p>
    <w:p w14:paraId="69F6E305" w14:textId="77777777" w:rsidR="002A72E2" w:rsidRPr="002A72E2" w:rsidRDefault="002A72E2" w:rsidP="002A72E2">
      <w:pPr>
        <w:pStyle w:val="jucase0"/>
        <w:ind w:firstLine="0"/>
        <w:jc w:val="center"/>
        <w:rPr>
          <w:b w:val="0"/>
          <w:color w:val="FF0000"/>
          <w:sz w:val="26"/>
          <w:szCs w:val="26"/>
        </w:rPr>
      </w:pPr>
      <w:r>
        <w:rPr>
          <w:b w:val="0"/>
          <w:color w:val="FF0000"/>
          <w:sz w:val="26"/>
        </w:rPr>
        <w:t>18 ianuarie 2023</w:t>
      </w:r>
    </w:p>
    <w:p w14:paraId="4AE90F5D" w14:textId="77777777" w:rsidR="00EF3AAE" w:rsidRDefault="00EF3AAE" w:rsidP="002A72E2">
      <w:pPr>
        <w:jc w:val="center"/>
        <w:rPr>
          <w:i/>
          <w:sz w:val="22"/>
        </w:rPr>
      </w:pPr>
    </w:p>
    <w:p w14:paraId="3C59915D" w14:textId="0AC88D80" w:rsidR="002422B6" w:rsidRPr="00D435F2" w:rsidRDefault="002A72E2" w:rsidP="002A72E2">
      <w:pPr>
        <w:jc w:val="center"/>
        <w:rPr>
          <w:i/>
          <w:sz w:val="22"/>
        </w:rPr>
      </w:pPr>
      <w:r>
        <w:rPr>
          <w:i/>
          <w:sz w:val="22"/>
        </w:rPr>
        <w:t xml:space="preserve">Hotărârea a rămas definitivă în condițiile prevăzute la art. 44 § 2 din Convenție. </w:t>
      </w:r>
      <w:r>
        <w:rPr>
          <w:i/>
          <w:sz w:val="22"/>
        </w:rPr>
        <w:br/>
        <w:t>Poate suferi modificări de formă.</w:t>
      </w:r>
      <w:bookmarkEnd w:id="1"/>
      <w:bookmarkEnd w:id="2"/>
    </w:p>
    <w:p w14:paraId="532A5E32" w14:textId="77777777" w:rsidR="0098410D" w:rsidRPr="00D435F2" w:rsidRDefault="0098410D" w:rsidP="00D435F2">
      <w:pPr>
        <w:sectPr w:rsidR="0098410D" w:rsidRPr="00D435F2" w:rsidSect="00D66471">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1B6C93F6" w14:textId="5CEEA284" w:rsidR="0098410D" w:rsidRDefault="0098410D" w:rsidP="00D435F2">
      <w:pPr>
        <w:pStyle w:val="JuCase"/>
      </w:pPr>
      <w:r>
        <w:lastRenderedPageBreak/>
        <w:t>În cauza Mørck Jensen împotriva Danemarcei</w:t>
      </w:r>
    </w:p>
    <w:p w14:paraId="2F74F825" w14:textId="39A860EA" w:rsidR="009F4C8F" w:rsidRPr="00D435F2" w:rsidRDefault="009F4C8F" w:rsidP="00D435F2">
      <w:pPr>
        <w:pStyle w:val="JuPara"/>
      </w:pPr>
      <w:bookmarkStart w:id="3" w:name="_GoBack"/>
      <w:bookmarkEnd w:id="3"/>
      <w:r>
        <w:t>Curtea Europeană a Drepturilor Omului (Secția a doua), reunită într-o cameră compusă din:</w:t>
      </w:r>
    </w:p>
    <w:p w14:paraId="2C48CA49" w14:textId="77777777" w:rsidR="001540FD" w:rsidRPr="00D435F2" w:rsidRDefault="001540FD" w:rsidP="00D435F2">
      <w:pPr>
        <w:pStyle w:val="JuJudges"/>
        <w:rPr>
          <w:i/>
        </w:rPr>
      </w:pPr>
      <w:r>
        <w:t>Carlo Ranzoni</w:t>
      </w:r>
      <w:r>
        <w:rPr>
          <w:i/>
        </w:rPr>
        <w:t>, Președinte,</w:t>
      </w:r>
    </w:p>
    <w:p w14:paraId="11B33772" w14:textId="77777777" w:rsidR="001540FD" w:rsidRPr="00D435F2" w:rsidRDefault="001540FD" w:rsidP="00D435F2">
      <w:pPr>
        <w:pStyle w:val="JuJudges"/>
        <w:rPr>
          <w:i/>
        </w:rPr>
      </w:pPr>
      <w:r>
        <w:t>Jon Fridrik Kjølbro,</w:t>
      </w:r>
    </w:p>
    <w:p w14:paraId="6382DFAE" w14:textId="77777777" w:rsidR="001540FD" w:rsidRPr="00D435F2" w:rsidRDefault="001540FD" w:rsidP="00D435F2">
      <w:pPr>
        <w:pStyle w:val="JuJudges"/>
        <w:rPr>
          <w:i/>
        </w:rPr>
      </w:pPr>
      <w:r>
        <w:t>Egidijus Kūris,</w:t>
      </w:r>
    </w:p>
    <w:p w14:paraId="431B9F36" w14:textId="77777777" w:rsidR="001540FD" w:rsidRPr="00D435F2" w:rsidRDefault="001540FD" w:rsidP="00D435F2">
      <w:pPr>
        <w:pStyle w:val="JuJudges"/>
        <w:rPr>
          <w:i/>
        </w:rPr>
      </w:pPr>
      <w:r>
        <w:t>Branko Lubarda,</w:t>
      </w:r>
    </w:p>
    <w:p w14:paraId="26ACB52B" w14:textId="77777777" w:rsidR="001540FD" w:rsidRPr="00D435F2" w:rsidRDefault="001540FD" w:rsidP="00D435F2">
      <w:pPr>
        <w:pStyle w:val="JuJudges"/>
        <w:rPr>
          <w:i/>
        </w:rPr>
      </w:pPr>
      <w:r>
        <w:t>Gilberto Felici,</w:t>
      </w:r>
    </w:p>
    <w:p w14:paraId="0E467600" w14:textId="77777777" w:rsidR="001540FD" w:rsidRPr="00D435F2" w:rsidRDefault="001540FD" w:rsidP="00D435F2">
      <w:pPr>
        <w:pStyle w:val="JuJudges"/>
        <w:rPr>
          <w:i/>
        </w:rPr>
      </w:pPr>
      <w:r>
        <w:t>Saadet Yüksel</w:t>
      </w:r>
      <w:r>
        <w:rPr>
          <w:i/>
        </w:rPr>
        <w:t>,</w:t>
      </w:r>
    </w:p>
    <w:p w14:paraId="1B2A8EAD" w14:textId="77777777" w:rsidR="001540FD" w:rsidRPr="00D435F2" w:rsidRDefault="001540FD" w:rsidP="00D435F2">
      <w:pPr>
        <w:pStyle w:val="JuJudges"/>
        <w:rPr>
          <w:i/>
        </w:rPr>
      </w:pPr>
      <w:r>
        <w:t>Diana Sârcu</w:t>
      </w:r>
      <w:r>
        <w:rPr>
          <w:i/>
        </w:rPr>
        <w:t>, judecători,</w:t>
      </w:r>
    </w:p>
    <w:p w14:paraId="35606AA0" w14:textId="4AB04097" w:rsidR="009F4C8F" w:rsidRPr="00D435F2" w:rsidRDefault="009F4C8F" w:rsidP="00D435F2">
      <w:pPr>
        <w:pStyle w:val="JuJudges"/>
        <w:rPr>
          <w:i/>
        </w:rPr>
      </w:pPr>
      <w:r>
        <w:t xml:space="preserve">și Hasan Bakırcı, </w:t>
      </w:r>
      <w:r>
        <w:rPr>
          <w:i/>
          <w:iCs/>
        </w:rPr>
        <w:t>grefier adjunct de secție</w:t>
      </w:r>
      <w:r>
        <w:t>,</w:t>
      </w:r>
    </w:p>
    <w:p w14:paraId="4EE74508" w14:textId="77777777" w:rsidR="00220121" w:rsidRPr="00D435F2" w:rsidRDefault="00220121" w:rsidP="00D435F2">
      <w:pPr>
        <w:pStyle w:val="JuPara"/>
      </w:pPr>
      <w:r>
        <w:t>Având în vedere:</w:t>
      </w:r>
    </w:p>
    <w:p w14:paraId="195013A2" w14:textId="77777777" w:rsidR="00220121" w:rsidRPr="00D435F2" w:rsidRDefault="00220121" w:rsidP="00D435F2">
      <w:pPr>
        <w:pStyle w:val="JuPara"/>
      </w:pPr>
      <w:r>
        <w:t>cererea (nr. 60785/19) îndreptată împotriva Regatului Danemarcei, prin care un resortisant danez, domnul Tommy Mørck Jensen („reclamantul”), a sesizat Curtea, la 15 noiembrie 2019, în temeiul art. 34 din Convenția pentru apărarea drepturilor omului și a libertăților fundamentale („Convenția”);</w:t>
      </w:r>
    </w:p>
    <w:p w14:paraId="300DEB85" w14:textId="77777777" w:rsidR="00220121" w:rsidRPr="00D435F2" w:rsidRDefault="00220121" w:rsidP="00D435F2">
      <w:pPr>
        <w:pStyle w:val="JuPara"/>
      </w:pPr>
      <w:r>
        <w:t>decizia de a comunica guvernului danez („Guvernul”) capetele de cerere formulate în temeiul art. 7 din Convenție și al art. 2 din Protocolul nr. 4 la Convenție și de a declara inadmisibile celelalte capete de cerere;</w:t>
      </w:r>
    </w:p>
    <w:p w14:paraId="2111139A" w14:textId="3E31B285" w:rsidR="00220121" w:rsidRPr="00D435F2" w:rsidRDefault="00220121" w:rsidP="00D435F2">
      <w:pPr>
        <w:pStyle w:val="JuPara"/>
      </w:pPr>
      <w:r>
        <w:t>observațiile părților;</w:t>
      </w:r>
    </w:p>
    <w:p w14:paraId="2729BCF5" w14:textId="27C9784F" w:rsidR="009F4C8F" w:rsidRPr="00D435F2" w:rsidRDefault="009F4C8F" w:rsidP="00D435F2">
      <w:pPr>
        <w:pStyle w:val="JuPara"/>
      </w:pPr>
      <w:r>
        <w:t>după ce a deliberat în camera de consiliu, la 27 septembrie 2022,</w:t>
      </w:r>
    </w:p>
    <w:p w14:paraId="0742DDD2" w14:textId="77777777" w:rsidR="009F4C8F" w:rsidRPr="00D435F2" w:rsidRDefault="009F4C8F" w:rsidP="00D435F2">
      <w:pPr>
        <w:pStyle w:val="JuPara"/>
      </w:pPr>
      <w:r>
        <w:t>pronunță prezenta hotărâre, adoptată la aceeași dată:</w:t>
      </w:r>
    </w:p>
    <w:p w14:paraId="2B447A76" w14:textId="77777777" w:rsidR="00220121" w:rsidRPr="00D435F2" w:rsidRDefault="00220121" w:rsidP="00D435F2">
      <w:pPr>
        <w:pStyle w:val="JuHHead"/>
        <w:numPr>
          <w:ilvl w:val="0"/>
          <w:numId w:val="0"/>
        </w:numPr>
      </w:pPr>
      <w:r>
        <w:t>INTRODUCERE</w:t>
      </w:r>
    </w:p>
    <w:p w14:paraId="632D2EAC" w14:textId="27342481" w:rsidR="00220121" w:rsidRPr="00D435F2" w:rsidRDefault="00220121" w:rsidP="00D435F2">
      <w:pPr>
        <w:pStyle w:val="JuPara"/>
        <w:rPr>
          <w:rFonts w:eastAsia="Times New Roman"/>
        </w:rPr>
      </w:pPr>
      <w:fldSimple w:instr=" SEQ level0 \*arabic ">
        <w:r w:rsidR="00D435F2" w:rsidRPr="00D435F2">
          <w:t>1</w:t>
        </w:r>
      </w:fldSimple>
      <w:r>
        <w:t>.  Cererea privea condamnarea reclamantului în temeiul art. 114j din codul penal, coroborat cu Ordinul nr. 1200 din 28 septembrie 2016 privind interzicerea intrării sau șederii în anumite zone de conflict (denumit în continuare „ordinul” sau „ordinul din 2016”) pentru că a intrat și și-a stabilit domiciliul în guvernoratul al-Raqqa din provincia Raqqa, Siria, fără autorizație din partea poliției și fără niciun scop legitim. Reclamantul a primit o pedeapsă privativă de libertate de șase luni.</w:t>
      </w:r>
    </w:p>
    <w:p w14:paraId="406D1305" w14:textId="5E1CD17A" w:rsidR="00220121" w:rsidRPr="00D435F2" w:rsidRDefault="00220121" w:rsidP="00D435F2">
      <w:pPr>
        <w:pStyle w:val="JuPara"/>
        <w:rPr>
          <w:rFonts w:eastAsia="Times New Roman"/>
        </w:rPr>
      </w:pPr>
      <w:r w:rsidRPr="00D435F2">
        <w:rPr>
          <w:rFonts w:eastAsia="Times New Roman"/>
        </w:rPr>
        <w:fldChar w:fldCharType="begin"/>
      </w:r>
      <w:r w:rsidRPr="00D435F2">
        <w:rPr>
          <w:rFonts w:eastAsia="Times New Roman"/>
        </w:rPr>
        <w:instrText xml:space="preserve"> SEQ level0 \*arabic \* MERGEFORMAT </w:instrText>
      </w:r>
      <w:r w:rsidRPr="00D435F2">
        <w:rPr>
          <w:rFonts w:eastAsia="Times New Roman"/>
        </w:rPr>
        <w:fldChar w:fldCharType="separate"/>
      </w:r>
      <w:r w:rsidR="00D435F2" w:rsidRPr="00D435F2">
        <w:rPr>
          <w:rFonts w:eastAsia="Times New Roman"/>
        </w:rPr>
        <w:t>2</w:t>
      </w:r>
      <w:r w:rsidRPr="00D435F2">
        <w:rPr>
          <w:rFonts w:eastAsia="Times New Roman"/>
        </w:rPr>
        <w:fldChar w:fldCharType="end"/>
      </w:r>
      <w:r>
        <w:t>.  În timp ce se afla în Siria, s-a angajat în conflictul armat împotriva organizației teroriste Statul Islamic („IS”) alături de mișcarea Unitățile de Apărare a Poporului Kurd („YPG”) în mai multe rânduri.</w:t>
      </w:r>
    </w:p>
    <w:p w14:paraId="11F072EB" w14:textId="36165DE1" w:rsidR="00220121" w:rsidRPr="00D435F2" w:rsidRDefault="00220121" w:rsidP="00D435F2">
      <w:pPr>
        <w:pStyle w:val="JuPara"/>
      </w:pPr>
      <w:r w:rsidRPr="00D435F2">
        <w:rPr>
          <w:rFonts w:eastAsia="Times New Roman"/>
        </w:rPr>
        <w:fldChar w:fldCharType="begin"/>
      </w:r>
      <w:r w:rsidRPr="00D435F2">
        <w:rPr>
          <w:rFonts w:eastAsia="Times New Roman"/>
        </w:rPr>
        <w:instrText xml:space="preserve"> SEQ level0 \*arabic \* MERGEFORMAT </w:instrText>
      </w:r>
      <w:r w:rsidRPr="00D435F2">
        <w:rPr>
          <w:rFonts w:eastAsia="Times New Roman"/>
        </w:rPr>
        <w:fldChar w:fldCharType="separate"/>
      </w:r>
      <w:r w:rsidR="00D435F2" w:rsidRPr="00D435F2">
        <w:rPr>
          <w:rFonts w:eastAsia="Times New Roman"/>
        </w:rPr>
        <w:t>3</w:t>
      </w:r>
      <w:r w:rsidRPr="00D435F2">
        <w:rPr>
          <w:rFonts w:eastAsia="Times New Roman"/>
        </w:rPr>
        <w:fldChar w:fldCharType="end"/>
      </w:r>
      <w:r>
        <w:t>.  În fața Curții, reclamantul s-a plâns că prin condamnarea sa și pedeapsa aplicată au fost încălcate art. 7 din Convenție și art. 2 din Protocolul nr. 4 la Convenție.</w:t>
      </w:r>
    </w:p>
    <w:p w14:paraId="50754EA1" w14:textId="77777777" w:rsidR="00220121" w:rsidRPr="00D435F2" w:rsidRDefault="00220121" w:rsidP="00D435F2">
      <w:pPr>
        <w:pStyle w:val="JuHHead"/>
      </w:pPr>
      <w:r>
        <w:t>ÎN FAPT</w:t>
      </w:r>
    </w:p>
    <w:p w14:paraId="3F56453D" w14:textId="52DF468E" w:rsidR="00220121" w:rsidRPr="00D435F2" w:rsidRDefault="00220121" w:rsidP="00D435F2">
      <w:pPr>
        <w:pStyle w:val="JuPara"/>
      </w:pPr>
      <w:fldSimple w:instr=" SEQ level0 \*arabic ">
        <w:r w:rsidR="00D435F2" w:rsidRPr="00D435F2">
          <w:t>4</w:t>
        </w:r>
      </w:fldSimple>
      <w:r>
        <w:t xml:space="preserve">.  Reclamantul s-a născut în 1978 și locuiește în Aarhus. I s-a acordat asistență juridică. A fost reprezentat de domnul </w:t>
      </w:r>
      <w:bookmarkStart w:id="4" w:name="_Hlk116919496"/>
      <w:r>
        <w:t>Bjørn Elmquist</w:t>
      </w:r>
      <w:bookmarkEnd w:id="4"/>
      <w:r>
        <w:t>, avocat în Copenhaga.</w:t>
      </w:r>
    </w:p>
    <w:p w14:paraId="3F7FC74C" w14:textId="4B372E50" w:rsidR="00220121" w:rsidRPr="00D435F2" w:rsidRDefault="00220121" w:rsidP="00D435F2">
      <w:pPr>
        <w:pStyle w:val="JuPara"/>
      </w:pPr>
      <w:r w:rsidRPr="00D435F2">
        <w:rPr>
          <w:rFonts w:cstheme="minorHAnsi"/>
        </w:rPr>
        <w:lastRenderedPageBreak/>
        <w:fldChar w:fldCharType="begin"/>
      </w:r>
      <w:r w:rsidRPr="00D435F2">
        <w:rPr>
          <w:rFonts w:cstheme="minorHAnsi"/>
        </w:rPr>
        <w:instrText xml:space="preserve"> SEQ level0 \*arabic </w:instrText>
      </w:r>
      <w:r w:rsidRPr="00D435F2">
        <w:rPr>
          <w:rFonts w:cstheme="minorHAnsi"/>
        </w:rPr>
        <w:fldChar w:fldCharType="separate"/>
      </w:r>
      <w:r w:rsidR="00D435F2" w:rsidRPr="00D435F2">
        <w:rPr>
          <w:rFonts w:cstheme="minorHAnsi"/>
        </w:rPr>
        <w:t>5</w:t>
      </w:r>
      <w:r w:rsidRPr="00D435F2">
        <w:rPr>
          <w:rFonts w:cstheme="minorHAnsi"/>
        </w:rPr>
        <w:fldChar w:fldCharType="end"/>
      </w:r>
      <w:r>
        <w:t>.  </w:t>
      </w:r>
      <w:r>
        <w:rPr>
          <w:color w:val="000000"/>
        </w:rPr>
        <w:t>Guvernul a fost reprezentat de agentul său guvernamental, domnul Michael Braad, din cadrul Ministerului Afacerilor Externe, și de agentul său guvernamental, doamna Nina Holst</w:t>
      </w:r>
      <w:r>
        <w:rPr>
          <w:color w:val="000000"/>
        </w:rPr>
        <w:noBreakHyphen/>
        <w:t>Christensen, din cadrul Ministerului Justiției</w:t>
      </w:r>
      <w:r>
        <w:rPr>
          <w:rFonts w:ascii="Arial" w:hAnsi="Arial"/>
          <w:color w:val="000000"/>
        </w:rPr>
        <w:t>.</w:t>
      </w:r>
    </w:p>
    <w:p w14:paraId="1BDE6B03" w14:textId="0293D2A2" w:rsidR="00220121" w:rsidRPr="00D435F2" w:rsidRDefault="00220121" w:rsidP="00D435F2">
      <w:pPr>
        <w:pStyle w:val="JuPara"/>
      </w:pPr>
      <w:fldSimple w:instr=" SEQ level0 \*arabic ">
        <w:r w:rsidR="00D435F2" w:rsidRPr="00D435F2">
          <w:t>6</w:t>
        </w:r>
      </w:fldSimple>
      <w:r>
        <w:t>.  Faptele cauzei pot fi rezumate după cum urmează.</w:t>
      </w:r>
    </w:p>
    <w:p w14:paraId="339AB395" w14:textId="13C6A4F3" w:rsidR="00220121" w:rsidRPr="00D435F2" w:rsidRDefault="00220121" w:rsidP="00D435F2">
      <w:pPr>
        <w:pStyle w:val="JuPara"/>
      </w:pPr>
      <w:fldSimple w:instr=" SEQ level0 \*arabic ">
        <w:r w:rsidR="00D435F2" w:rsidRPr="00D435F2">
          <w:t>7</w:t>
        </w:r>
      </w:fldSimple>
      <w:r>
        <w:t>.  În martie 2017, reclamantul a acordat diverse interviuri unui ziar online și altor mijloace de informare în masă în care afirma, printre altele, că s-a aflat în prima linie a frontului în satul Tal Saman, la aproximativ 30 km nord de Raqqa, într-una din diminețile începutului lunii ianuarie 2017. Considerând că satul era același cu Tal Elsamen, care se află în districtul al-Raqqa din provincia Raqqa, Siria, poliția a inițiat o anchetă în privința reclamantului.</w:t>
      </w:r>
    </w:p>
    <w:p w14:paraId="4FA40C89" w14:textId="364DDFAD" w:rsidR="00220121" w:rsidRPr="00D435F2" w:rsidRDefault="00351901" w:rsidP="00D435F2">
      <w:pPr>
        <w:pStyle w:val="JuPara"/>
      </w:pPr>
      <w:fldSimple w:instr=" SEQ level0 \*arabic \* MERGEFORMAT ">
        <w:r w:rsidR="00D435F2" w:rsidRPr="00D435F2">
          <w:t>8</w:t>
        </w:r>
      </w:fldSimple>
      <w:r>
        <w:t>.  La 1 februarie 2019, reclamantul a fost acuzat de încălcarea art. 114j(1) coroborat cu art.114j(3) Codul penal și a art. 1(1)(i) din Ordinul nr. 1200 din 28 septembrie 2016 privind interzicerea intrării și șederii în anumite zone de conflict (denumit în continuare „ordinul” sau „ordinul din 2016”), în sensul în care, în perioada cuprinsă între aproximativ 3 noiembrie 2016 și aproximativ 17 martie 2017, acesta a locuit în orașul Ayn Issa (scris și Ein Issa) din Siria fără autorizație din partea poliției sau fără un scop meritoriu. A fost acuzat că a călătorit de aproximativ douăzeci și cinci de ori de la această locație în guvernoratul al-Raqqa din provincia Raqqa și a locuit acolo, inclusiv în vecinătatea satului Tal Elsamen, și că a participat la conflictul armat împotriva IS în mai multe rânduri, de partea YPG.</w:t>
      </w:r>
    </w:p>
    <w:p w14:paraId="6381BE81" w14:textId="1F99B349" w:rsidR="00220121" w:rsidRPr="00D435F2" w:rsidRDefault="00351901" w:rsidP="00D435F2">
      <w:pPr>
        <w:pStyle w:val="JuPara"/>
      </w:pPr>
      <w:fldSimple w:instr=" SEQ level0 \*arabic \* MERGEFORMAT ">
        <w:r w:rsidR="00D435F2" w:rsidRPr="00D435F2">
          <w:t>9</w:t>
        </w:r>
      </w:fldSimple>
      <w:r>
        <w:t>.  În fața tribunalului districtual (</w:t>
      </w:r>
      <w:r>
        <w:rPr>
          <w:i/>
        </w:rPr>
        <w:t>Retten i Aarhus</w:t>
      </w:r>
      <w:r>
        <w:t>), reclamantul a pledat nevinovat. A afirmat că a părăsit Danemarca la 22 august 2016 și a intrat în Siria la 30 septembrie 2016. A părăsit Irakul la 7 aprilie 2017 și a intrat din nou în Danemarca la 8 aprilie 2017. Scopul călătoriei sale a fost acela de a sprijini revoluția, întrucât considera zona kurdă ca fiind o zonă autonomă. A stabilit contactul cu YPG, care l-a ajutat să ajungă în Siria, unde dorise să ia parte la luptele duse de YPG. La sosirea sa în Siria, a fost dus într-o tabără de instrucție, unde a urmat cursuri și instrucție în chestiuni precum manipularea armelor. La cererea sa, a devenit parte dintr-o unitate cu armament greu. Unitatea era staționată în orașul Ayn Issa, linia frontului fiind situată la unul sau doi kilometri în afara orașului. La două zile după sosirea sa, a fost lansată o operațiune împotriva orașului Raqqa, iar linia frontului s-a deplasat către Raqqa. Reclamantul a urmat linia frontului și a făcut câteva ocolișuri pentru a reveni în Ayn Issa. Reclamantul a afirmat că a putut trece cu ușurință granița guvernoratului de douăzeci și cinci de ori. A fost împușcat de șapte sau opt ori în timpul șederii sale și, într-un singur rând, a răspuns cu foc. Reclamantul a afirmat, de asemenea, că nu avea cunoștință de existența art. 114j Codul penal. A considerat că acțiunile sale ar putea fi criminale, dar nu le-a examinat și mai mult și, în plus, acest fapt nu a avut niciun impact asupra deciziei sale.</w:t>
      </w:r>
    </w:p>
    <w:p w14:paraId="775EBE99" w14:textId="301615A7" w:rsidR="00220121" w:rsidRPr="00D435F2" w:rsidRDefault="00351901" w:rsidP="00D435F2">
      <w:pPr>
        <w:pStyle w:val="JuPara"/>
      </w:pPr>
      <w:fldSimple w:instr=" SEQ level0 \*arabic \* MERGEFORMAT ">
        <w:r w:rsidR="00D435F2" w:rsidRPr="00D435F2">
          <w:t>10</w:t>
        </w:r>
      </w:fldSimple>
      <w:r>
        <w:t>.  La 4 iunie 2018, tribunalul districtual l-a găsit pe reclamant vinovat în baza acuzațiilor și l-a condamnat la o pedeapsă privativă de libertate de șase luni.</w:t>
      </w:r>
    </w:p>
    <w:p w14:paraId="6E5F8F0B" w14:textId="4DC9CEA0" w:rsidR="00220121" w:rsidRPr="00D435F2" w:rsidRDefault="00351901" w:rsidP="00D435F2">
      <w:pPr>
        <w:pStyle w:val="JuPara"/>
      </w:pPr>
      <w:fldSimple w:instr=" SEQ level0 \*arabic \* MERGEFORMAT ">
        <w:r w:rsidR="00D435F2" w:rsidRPr="00D435F2">
          <w:t>11</w:t>
        </w:r>
      </w:fldSimple>
      <w:r>
        <w:t>.  În apelul adresat Înaltei Curți (</w:t>
      </w:r>
      <w:r>
        <w:rPr>
          <w:i/>
        </w:rPr>
        <w:t>Vestre Landsret</w:t>
      </w:r>
      <w:r>
        <w:t>), reclamantul a declarat în plus că a făcut o fotografie a unei hărți desenate pe un perete de către liderul unității de luptă a reclamantului, în încercarea de a explica unde se aflau în Tal Elsamen, în comparație cu locul în care se afla IS.</w:t>
      </w:r>
    </w:p>
    <w:p w14:paraId="3A2ED66B" w14:textId="3447598E" w:rsidR="00220121" w:rsidRPr="00D435F2" w:rsidRDefault="00351901" w:rsidP="00D435F2">
      <w:pPr>
        <w:pStyle w:val="JuPara"/>
      </w:pPr>
      <w:fldSimple w:instr=" SEQ level0 \*arabic \* MERGEFORMAT ">
        <w:r w:rsidR="00D435F2" w:rsidRPr="00D435F2">
          <w:t>12</w:t>
        </w:r>
      </w:fldSimple>
      <w:r>
        <w:t>.  La 12 noiembrie 2018, Înalta Curte a menținut hotărârea tribunalului districtual. Înalta Curte a stabilit că reclamantul a intrat în mod intenționat și a rămas în zona interzisă a guvernoratului al-Raqqa din provincia Raqqa, Siria, fără autorizație din partea poliției și fără niciun scop legitim. Ordinul de interdicție includea o hartă și, întrucât atât din numele zonei, cât și din harta suprafețelor care erau în afara limitelor în ceea ce privește intrarea și șederea, Înalta Curte a constatat că interdicția era suficient de clar descrisă. De asemenea, Înalta Curte a constatat că restricția privind libera circulație a reclamantului nu constituia o încălcare a drepturilor sale în temeiul art. 2 din Protocolul nr. 4 la Convenție.</w:t>
      </w:r>
    </w:p>
    <w:p w14:paraId="2BF04C8A" w14:textId="256E18EE" w:rsidR="00220121" w:rsidRPr="00D435F2" w:rsidRDefault="00351901" w:rsidP="00D435F2">
      <w:pPr>
        <w:pStyle w:val="JuPara"/>
      </w:pPr>
      <w:fldSimple w:instr=" SEQ level0 \*arabic \* MERGEFORMAT ">
        <w:r w:rsidR="00D435F2" w:rsidRPr="00D435F2">
          <w:t>13</w:t>
        </w:r>
      </w:fldSimple>
      <w:r>
        <w:t>.  După ce a obținut autorizare pentru a introduce recurs, reclamantul a sesizat Curtea Supremă (</w:t>
      </w:r>
      <w:r>
        <w:rPr>
          <w:i/>
        </w:rPr>
        <w:t>Højesteret</w:t>
      </w:r>
      <w:r>
        <w:t>) cu întrebarea dacă faptele sale erau sancționabile în temeiul art. 114j Codul penal; dacă interdicția de la art. 114j era descrisă într-un mod suficient de clar pentru a fi condamnat și dacă era în conformitate cu art. 7 din Convenție; dacă condamnarea sa era contrară art. 2 din Protocolul nr. 4 la Convenție; și dacă trebuia achitat, întrucât nu mai era nevoie de autorizație pentru a intra sau a ședea în zona în cauză. Nu s-a contestat că faptele reclamantului se supun jurisdicției penale daneze.</w:t>
      </w:r>
    </w:p>
    <w:p w14:paraId="0A23D0CD" w14:textId="3E8B14E9" w:rsidR="00220121" w:rsidRPr="00D435F2" w:rsidRDefault="00351901" w:rsidP="00D435F2">
      <w:pPr>
        <w:pStyle w:val="JuPara"/>
      </w:pPr>
      <w:fldSimple w:instr=" SEQ level0 \*arabic \* MERGEFORMAT ">
        <w:r w:rsidR="00D435F2" w:rsidRPr="00D435F2">
          <w:t>14</w:t>
        </w:r>
      </w:fldSimple>
      <w:r>
        <w:t>.  Printr-o hotărâre din 27 august 2019, Curtea Supremă s-a pronunțat împotriva reclamantului. A considerat că intrarea și șederea reclamantului în guvernoratul al-Raqqa intra în domeniul de aplicare al textului art. 114j(1), coroborat cu art. 114j(3) Codul penal, coroborat cu art. 1(1)(i) din ordin. Situații precum cea în discuție, în care persoana în cauză a luptat împotriva unei organizații teroriste, se încadra, de asemenea, în domeniul de aplicare al dispozițiilor în cauză. Această constatare a urmat textului și notelor pregătitoare ale art. 114j Codul penal, inclusiv scopurile meritorii prevăzute la art. 114j(4).</w:t>
      </w:r>
    </w:p>
    <w:p w14:paraId="007F225D" w14:textId="4526EA23" w:rsidR="00220121" w:rsidRPr="00D435F2" w:rsidRDefault="00351901" w:rsidP="00D435F2">
      <w:pPr>
        <w:pStyle w:val="JuPara"/>
      </w:pPr>
      <w:fldSimple w:instr=" SEQ level0 \*arabic \* MERGEFORMAT ">
        <w:r w:rsidR="00D435F2" w:rsidRPr="00D435F2">
          <w:t>15</w:t>
        </w:r>
      </w:fldSimple>
      <w:r>
        <w:t>.  Curtea Supremă a considerat că prin condamnarea reclamantului nu a fost încălcat art. 7 din Convenție, întrucât dispozițiile erau accesibile și previzibile, iar art. 1(1)(i) din ordin preciza în mod clar că este ilegală intrarea și șederea în guvernoratul al‑Raqqa fără autorizație.</w:t>
      </w:r>
    </w:p>
    <w:p w14:paraId="029D4AA7" w14:textId="6B613EF5" w:rsidR="00220121" w:rsidRPr="00D435F2" w:rsidRDefault="00351901" w:rsidP="00D435F2">
      <w:pPr>
        <w:pStyle w:val="JuPara"/>
      </w:pPr>
      <w:fldSimple w:instr=" SEQ level0 \*arabic \* MERGEFORMAT ">
        <w:r w:rsidR="00D435F2" w:rsidRPr="00D435F2">
          <w:t>16</w:t>
        </w:r>
      </w:fldSimple>
      <w:r>
        <w:t xml:space="preserve">.  În plus, în ceea ce privește art. 2 din Protocolul nr. 4 la Convenție, Curtea Supremă a constatat că regimul prevăzut la art. 114j Codul penal era justificat de considerente semnificative de importanță generală, și anume securitatea națională, siguranța publică și prevenirea infracțiunilor, și că interdicția de intrare și ședere în districtul al-Raqqa nu depășea ceea ce era necesar pentru atingerea scopului urmărit. Curtea Supremă a subliniat că zona </w:t>
      </w:r>
      <w:r>
        <w:lastRenderedPageBreak/>
        <w:t>avea o dimensiune limitată și că ar fi fost posibil ca reclamantul să obțină autorizația de a călători și de a ședea în zonă în cazul în care vizita sa ar fi avut un scop meritoriu, în temeiul art.114j(4) Codul penal.</w:t>
      </w:r>
    </w:p>
    <w:p w14:paraId="6FEEA537" w14:textId="3B3B9AC7" w:rsidR="00220121" w:rsidRPr="00D435F2" w:rsidRDefault="00351901" w:rsidP="00D435F2">
      <w:pPr>
        <w:pStyle w:val="JuPara"/>
      </w:pPr>
      <w:fldSimple w:instr=" SEQ level0 \*arabic \* MERGEFORMAT ">
        <w:r w:rsidR="00D435F2" w:rsidRPr="00D435F2">
          <w:t>17</w:t>
        </w:r>
      </w:fldSimple>
      <w:r>
        <w:t>.  Curtea Supremă a examinat dacă reclamantul putea să fie achitat în temeiul art. 3(1) Codul penal, întrucât cerința de autorizare a intrării sau șederii în districtul al-Raqqa fusese ulterior abrogată prin Ordinul nr. 708 din 6 iulie 2019 („ordinul din 2019”). Curtea Supremă a observat în acest context că noile regulamente statutare nu revizuiseră domeniul de aplicare al sancțiunilor prevăzute la art. 114j Codul penal și că ordinul din 2019 nu redefinea culpabilitatea persoanelor care au încălcat interdicția de intrare și de ședere în zonele interzise enumerate în ordinul din 2016, în lipsa unei autorizații. Pe această bază, și cu trimitere la scrisoarea de informare din 8 iulie 2019 a ministrului Justiției adresată Parlamentului danez (</w:t>
      </w:r>
      <w:r>
        <w:rPr>
          <w:i/>
        </w:rPr>
        <w:t>Folketinget</w:t>
      </w:r>
      <w:r>
        <w:t>) și la un comunicat de presă emis la 26 aprilie 2019, Curtea Supremă a constatat că abrogarea ordinului din 2016 a fost atribuită circumstanțelor extrinseci care au rezultat din modificări specifice ale situației din Siria. Aceste modificări au avut loc după săvârșirea infracțiunii și, prin urmare, nu erau relevante pentru chestiunea vinovăției, iar acțiunile reclamantului trebuiau să fie judecate în temeiul dreptului penal aplicabil la momentul săvârșirii infracțiunii, în conformitate cu art. 3(1) teza a doua din Codul penal.</w:t>
      </w:r>
    </w:p>
    <w:p w14:paraId="71EA970D" w14:textId="2E41719A" w:rsidR="00220121" w:rsidRPr="00D435F2" w:rsidRDefault="00351901" w:rsidP="00D435F2">
      <w:pPr>
        <w:pStyle w:val="JuPara"/>
      </w:pPr>
      <w:fldSimple w:instr=" SEQ level0 \*arabic \* MERGEFORMAT ">
        <w:r w:rsidR="00D435F2" w:rsidRPr="00D435F2">
          <w:t>18</w:t>
        </w:r>
      </w:fldSimple>
      <w:r>
        <w:t>.  Curtea Supremă a ținut seama de jurisprudența Curții și a amintit în această privință că nici art. 7 din Convenție, nici art. 49 alin. (1) teza a treia din Carta drepturilor fundamentale a Uniunii Europene, în cazul în care Carta ar fi fost aplicabilă în speță [a se vedea art. 51 alin. (1)], nu puteau fi considerate ca împiedicând sancționarea reclamantului pentru încălcarea art. 114j Codul penal.</w:t>
      </w:r>
    </w:p>
    <w:p w14:paraId="45FC3226" w14:textId="5EBE9ED5" w:rsidR="00220121" w:rsidRPr="00D435F2" w:rsidRDefault="00351901" w:rsidP="00D435F2">
      <w:pPr>
        <w:pStyle w:val="JuPara"/>
      </w:pPr>
      <w:fldSimple w:instr=" SEQ level0 \*arabic \* MERGEFORMAT ">
        <w:r w:rsidR="00D435F2" w:rsidRPr="00D435F2">
          <w:t>19</w:t>
        </w:r>
      </w:fldSimple>
      <w:r>
        <w:t>.  Curtea Supremă a confirmat sentința reclamantului de șase luni de pedeapsă privativă de libertate și a refuzat să considere circumstanță atenuantă faptul că reclamantul luase parte la conflictul armat împotriva IS în timpul șederii sale în guvernoratul al-Raqqa. În plus, a constatat că sancționarea reclamantului nu ar fi contrară art. 7 din Convenție.</w:t>
      </w:r>
    </w:p>
    <w:p w14:paraId="72F3B1BE" w14:textId="23FD25F1" w:rsidR="00220121" w:rsidRPr="00D435F2" w:rsidRDefault="00351901" w:rsidP="00D435F2">
      <w:pPr>
        <w:pStyle w:val="JuPara"/>
      </w:pPr>
      <w:fldSimple w:instr=" SEQ level0 \*arabic \* MERGEFORMAT ">
        <w:r w:rsidR="00D435F2" w:rsidRPr="00D435F2">
          <w:t>20</w:t>
        </w:r>
      </w:fldSimple>
      <w:r>
        <w:t>.  Doi judecători aflați în minoritate au considerat că reclamantul ar trebui să primească o pedeapsă privativă de libertate cu suspendare pe o perioadă de trei luni. Aceștia au considerat că din notele pregătitoare se putea deduce că includerea art.114j Codul penal nu servea scopului independent de a introduce sancțiuni pentru participarea la conflicte armate în zonele care fac obiectul interdicției de intrare și de ședere atunci când o astfel de participare implică activități împotriva unei organizații teroriste, dar că dispoziția era necesară din motive probatorii în scopul combaterii terorismului. Judecătorii aflați în minoritate au făcut trimitere la faptul că reclamantul fusese condamnat doar pentru încălcarea interdicției de intrare și ședere în Districtul al-Raqqa, unde a luat parte la conflictul armat al YPG împotriva IS și că, potrivit informațiilor disponibile, YPG, care nu era organizație teroristă, a jucat un rol crucial în eforturile militare de combatere a IS.</w:t>
      </w:r>
    </w:p>
    <w:p w14:paraId="2409A5C3" w14:textId="4FB1CC33" w:rsidR="00220121" w:rsidRPr="00D435F2" w:rsidRDefault="00220121" w:rsidP="00D435F2">
      <w:pPr>
        <w:pStyle w:val="JuHHead"/>
      </w:pPr>
      <w:r>
        <w:lastRenderedPageBreak/>
        <w:t>CADRUL JURIDIC ȘI PRACTICA RELEVANTE</w:t>
      </w:r>
    </w:p>
    <w:p w14:paraId="2128E8B5" w14:textId="77777777" w:rsidR="00220121" w:rsidRPr="00D435F2" w:rsidRDefault="00220121" w:rsidP="00D435F2">
      <w:pPr>
        <w:pStyle w:val="JuHIRoman"/>
      </w:pPr>
      <w:r>
        <w:t>Codul penal</w:t>
      </w:r>
    </w:p>
    <w:p w14:paraId="580334B7" w14:textId="0A68978A" w:rsidR="00220121" w:rsidRPr="00D435F2" w:rsidRDefault="00220121" w:rsidP="00D435F2">
      <w:pPr>
        <w:pStyle w:val="JuPara"/>
      </w:pPr>
      <w:fldSimple w:instr=" SEQ level0 \*arabic ">
        <w:r w:rsidR="00D435F2" w:rsidRPr="00D435F2">
          <w:t>21</w:t>
        </w:r>
      </w:fldSimple>
      <w:r>
        <w:t>.  Prevederile relevante din Codul penal în vigoare la momentul faptelor se citesc după cum urmează:</w:t>
      </w:r>
    </w:p>
    <w:p w14:paraId="388CFDDA" w14:textId="09F6B179" w:rsidR="00220121" w:rsidRPr="00D435F2" w:rsidRDefault="00220121" w:rsidP="00D435F2">
      <w:pPr>
        <w:pStyle w:val="JuHArticle"/>
        <w:rPr>
          <w:i/>
        </w:rPr>
      </w:pPr>
      <w:r>
        <w:t>Articolul 3</w:t>
      </w:r>
    </w:p>
    <w:p w14:paraId="13F37501" w14:textId="77777777" w:rsidR="00220121" w:rsidRPr="00D435F2" w:rsidRDefault="00220121" w:rsidP="00D435F2">
      <w:pPr>
        <w:pStyle w:val="JuQuot"/>
      </w:pPr>
      <w:r>
        <w:t>„(1) Dacă legea penală aplicabilă la momentul judecării unei fapte este diferită de legea în vigoare la momentul comiterii faptei respective, chestiunile privitoare la angajarea răspunderii și la stabilirea pedepsei aplicabile se soluționează potrivit legii mai noi, cu condiția ca pedeapsa aplicată să nu fie mai severă decât cea aplicabilă potrivit legii vechi. În cazul în care statutul nu se mai aplică din cauza circumstanțelor extrinsece irelevante pentru chestiunea vinovăției, fapta penală trebuie judecată în temeiul fostului statut.”</w:t>
      </w:r>
    </w:p>
    <w:p w14:paraId="7DDC74E9" w14:textId="77777777" w:rsidR="00220121" w:rsidRPr="00D435F2" w:rsidRDefault="00220121" w:rsidP="00D435F2">
      <w:pPr>
        <w:pStyle w:val="JuHArticle"/>
        <w:rPr>
          <w:b w:val="0"/>
        </w:rPr>
      </w:pPr>
      <w:r>
        <w:t>Articolul 114e</w:t>
      </w:r>
    </w:p>
    <w:p w14:paraId="0D7E0EC6" w14:textId="77777777" w:rsidR="00220121" w:rsidRPr="00D435F2" w:rsidRDefault="00220121" w:rsidP="00D435F2">
      <w:pPr>
        <w:pStyle w:val="JuQuot"/>
      </w:pPr>
      <w:r>
        <w:t>„Persoana care sprijină o persoană, o grupare sau o asociație care a comis sau are în intenție să comită fapte dintre cele prevăzute de art. 114, 114a, 114b, 114c sau 114d se pedepsește cu închisoare de până la 6 ani [aceste dispoziții incriminează terorismul (art. 114), infracțiuni considerate acte teroriste în temeiul Convenției Consiliului Europei privind prevenirea terorismului care nu intră deja sub incidența art. 114 (art. 114a), finanțarea terorismului (art. 114b), recrutarea în scopuri teroriste (art. 114c) și instrucție în terorism (art. 114d)]. Dacă persoana respectivă face parte dintr-o forță armată, pedeapsa poate fi de până la 10 ani de închisoare, iar în împrejurări deosebit de grave până la 16 ani închisoare. Sunt considerate circumstanțe agravante cazurile în care persoana în cauză a participat la acțiuni de luptă.”</w:t>
      </w:r>
    </w:p>
    <w:p w14:paraId="38098CC9" w14:textId="77777777" w:rsidR="00220121" w:rsidRPr="00D435F2" w:rsidRDefault="00220121" w:rsidP="00D435F2">
      <w:pPr>
        <w:pStyle w:val="JuHArticle"/>
      </w:pPr>
      <w:r>
        <w:t>Articolul 114j</w:t>
      </w:r>
    </w:p>
    <w:p w14:paraId="616AC01A" w14:textId="77777777" w:rsidR="00220121" w:rsidRPr="00D435F2" w:rsidRDefault="00220121" w:rsidP="00D435F2">
      <w:pPr>
        <w:pStyle w:val="JuQuot"/>
      </w:pPr>
      <w:r>
        <w:t>„(1) Persoana care are cetățenie daneză sau domiciliul în statul danez și care, fără permisiune, intră sau stă într-o zonă menționată în alin. (3), se pedepsește cu amendă sau cu închisoare de până la 6 ani, sub rezerva dispozițiilor alin. (2).</w:t>
      </w:r>
    </w:p>
    <w:p w14:paraId="5758916A" w14:textId="77777777" w:rsidR="00220121" w:rsidRPr="00D435F2" w:rsidRDefault="00220121" w:rsidP="00D435F2">
      <w:pPr>
        <w:pStyle w:val="JuQuot"/>
      </w:pPr>
      <w:r>
        <w:t>(2) Alin. (1) nu se aplică în cazul intrării și șederii cu prilejul exercitării unui serviciu public danez, străin sau internaţional.</w:t>
      </w:r>
    </w:p>
    <w:p w14:paraId="7BCF85E4" w14:textId="77777777" w:rsidR="00220121" w:rsidRPr="00D435F2" w:rsidRDefault="00220121" w:rsidP="00D435F2">
      <w:pPr>
        <w:pStyle w:val="JuQuot"/>
      </w:pPr>
      <w:r>
        <w:t>(3) Ministrul Justiției poate stabili, în urma negocierilor cu ministrul Afacerilor Externe și cu ministrul Apărării, norme prin care o zonă, unde un grup sau o asociație la care se face referire în art. 114e este parte a unui conflict armat, să se reglementeze conform alin. (1). Parlamentul poate, prin rezoluție parlamentară, să abroge normele stabilite de ministrul Justiției conform alin. (1).</w:t>
      </w:r>
    </w:p>
    <w:p w14:paraId="63507BBB" w14:textId="77777777" w:rsidR="00220121" w:rsidRPr="00D435F2" w:rsidRDefault="00220121" w:rsidP="00D435F2">
      <w:pPr>
        <w:pStyle w:val="JuQuot"/>
      </w:pPr>
      <w:r>
        <w:t>(4) Ministrul Justiției sau persoana împuternicită în acest sens, permite, la cerere, unei persoane să intre sau să stea într-o zonă menționată de alin. (1) dacă intrarea sau șederea are un scop recunoscut. Permisiunea se poate acorda unui grup de persoane asociate unei anumite societăți sau organizații etc.</w:t>
      </w:r>
    </w:p>
    <w:p w14:paraId="21A7912C" w14:textId="77777777" w:rsidR="00220121" w:rsidRPr="00D435F2" w:rsidRDefault="00220121" w:rsidP="00D435F2">
      <w:pPr>
        <w:pStyle w:val="JuQuot"/>
      </w:pPr>
      <w:r>
        <w:t>(5) Ministrul Justiției poate stabili modalități detaliate de depunere a cererilor în temeiul alin. (4), inclusiv termenul limită pentru aceasta. În acest sens, ministrul Justiției poate să prevadă ca deciziile emise potrivit alin. (4) să nu poată fi atacate la autoritatea administrativă superioară.”</w:t>
      </w:r>
    </w:p>
    <w:p w14:paraId="34790F77" w14:textId="62AB0EBD" w:rsidR="00220121" w:rsidRPr="00D435F2" w:rsidRDefault="00351901" w:rsidP="00D435F2">
      <w:pPr>
        <w:pStyle w:val="JuPara"/>
      </w:pPr>
      <w:fldSimple w:instr=" SEQ level0 \*arabic \* MERGEFORMAT ">
        <w:r w:rsidR="00D435F2" w:rsidRPr="00D435F2">
          <w:t>22</w:t>
        </w:r>
      </w:fldSimple>
      <w:r>
        <w:t>.  Art. 114j a fost introdus în Codul penal prin Legea nr. 642 din 8 iunie 2016. Din notele generale la proiectul de lege rezultă următoarele (a se vedea Legea nr. L 187 din 4 mai 2016, astfel cum a fost promulgată la pagina 2 din Suplimentul A la Raportul oficial privind procedurile parlamentare (</w:t>
      </w:r>
      <w:r>
        <w:rPr>
          <w:i/>
        </w:rPr>
        <w:t>Folketingstidende</w:t>
      </w:r>
      <w:r>
        <w:t>) pentru 2015</w:t>
      </w:r>
      <w:r>
        <w:noBreakHyphen/>
        <w:t>16 privind Legea nr. 187, astfel cum au fost introduse):</w:t>
      </w:r>
    </w:p>
    <w:p w14:paraId="235310D7" w14:textId="77777777" w:rsidR="00220121" w:rsidRPr="00D435F2" w:rsidRDefault="00220121" w:rsidP="00D435F2">
      <w:pPr>
        <w:pStyle w:val="JuQuot"/>
      </w:pPr>
      <w:r>
        <w:t>„1. Introducere</w:t>
      </w:r>
    </w:p>
    <w:p w14:paraId="44B9BBF5" w14:textId="77777777" w:rsidR="00220121" w:rsidRPr="00D435F2" w:rsidRDefault="00220121" w:rsidP="00D435F2">
      <w:pPr>
        <w:pStyle w:val="JuQuot"/>
      </w:pPr>
      <w:r>
        <w:t>Scopul proiectului de lege este în principal acela de a întări garanțiile dreptului penal pentru a preveni participarea grupurilor teroriste la conflictele armate din străinătate prin introducerea unor pedepse mai severe și a unei noi puteri de a interzice intrarea și șederea în anumite zone de conflict fără autorizare prealabilă. În plus, se propune introducerea unei noi prevederi de drept penal privind primirea de asistență financiară de la o organizație teroristă.</w:t>
      </w:r>
    </w:p>
    <w:p w14:paraId="246C7428" w14:textId="77777777" w:rsidR="00220121" w:rsidRPr="00D435F2" w:rsidRDefault="00220121" w:rsidP="00D435F2">
      <w:pPr>
        <w:pStyle w:val="JuQuot"/>
      </w:pPr>
      <w:r>
        <w:t>Potrivit evaluării serviciului danez de securitate și informații (</w:t>
      </w:r>
      <w:r>
        <w:rPr>
          <w:i/>
        </w:rPr>
        <w:t>Politiets Efterretningstjeneste</w:t>
      </w:r>
      <w:r>
        <w:t>), persoanele care se întorc în Danemarca după ce au participat la operațiunile de luptă din Siria și Irak constituie o amenințare teroristă specială pentru Danemarca. Guvernul dorește așadar să își înăsprească controlul asupra luptătorilor în străinătate care iau în considerare posibilitatea de a părăsi Danemarca pentru a se alătura conflictelor armate precum cele din Siria și Irak. Scopul general al proiectului de lege este acela de a crește consecințele asupra celor care pleacă în străinătate și de a consolida puterile autorităților pentru a-i urmări penal pe luptătorii în străinătate care se întorc în țară.</w:t>
      </w:r>
    </w:p>
    <w:p w14:paraId="6FB0E750" w14:textId="77777777" w:rsidR="00220121" w:rsidRPr="00D435F2" w:rsidRDefault="00220121" w:rsidP="00D435F2">
      <w:pPr>
        <w:pStyle w:val="JuQuot"/>
      </w:pPr>
      <w:r>
        <w:t>Proiectul de lege conține următoarele trei elemente principale:</w:t>
      </w:r>
    </w:p>
    <w:p w14:paraId="70A6DE86" w14:textId="033511A5" w:rsidR="00220121" w:rsidRPr="00D435F2" w:rsidRDefault="00220121" w:rsidP="00D435F2">
      <w:pPr>
        <w:pStyle w:val="JuQuot"/>
      </w:pPr>
      <w:r>
        <w:t>[...]</w:t>
      </w:r>
    </w:p>
    <w:p w14:paraId="4CB39B43" w14:textId="77777777" w:rsidR="00220121" w:rsidRPr="00D435F2" w:rsidRDefault="00220121" w:rsidP="00D435F2">
      <w:pPr>
        <w:pStyle w:val="JuQuot"/>
      </w:pPr>
      <w:r>
        <w:rPr>
          <w:i/>
        </w:rPr>
        <w:t>În al doilea rând</w:t>
      </w:r>
      <w:r>
        <w:t>, se propune introducerea unei puteri de a impune, prin decizie administrativă, o interdicție care să nu permită resortisanților danezi și străinilor rezidenți în Danemarca dreptul de intrare și de ședere într-o zonă în care o organizație teroristă este parte la un conflict armat, cu excepția cazului în care au autorizație din partea autorităților daneze. Cu toate acestea, se propune ca o persoană care are o funcție sau o poziție publică în cadrul unei organizații daneze, străine sau internațională să aibă dreptul de intrare și ședere într-o astfel de zonă fără o autorizare prealabilă. Orice intrare și ședere în alte scopuri necesită autorizare prealabilă, care poate fi acordată la cerere în cazul în care intrarea sau șederea servește unui scop meritoriu. Există puterea de a emite o autorizație individuală anumitor persoane și autorizație colectivă unui grup de persoane definit prin afilierea acestora la o anumită întreprindere, organizație sau entitate similară. Se propune ca încălcările acestor interdicții de intrare și ședere să fie pedepsite cu amendă sau cu pedeapsă privativă de libertate pe o perioadă care să nu depășească șase ani.</w:t>
      </w:r>
    </w:p>
    <w:p w14:paraId="2158386D" w14:textId="77777777" w:rsidR="00220121" w:rsidRPr="00D435F2" w:rsidRDefault="00220121" w:rsidP="00D435F2">
      <w:pPr>
        <w:pStyle w:val="JuQuot"/>
      </w:pPr>
      <w:r>
        <w:t>Scopul acestei propuneri este de a facilita sancționarea indivizilor care uzează dreptul de intrare sau ședere într-o zonă de conflict pentru a lua parte la un conflict armat, alături de o organizație teroristă sau de o parte similară. Așa cum este cazul astăzi, nu va fi necesar să se dovedească faptul că persoanele relevante au încălcat prevederile din Codul penal privind terorismul sau prevederea privind trădarea prin înscrierea în forțe armate ostile. Va fi suficient să se poată proba că persoana în cauză a intrat sau a rămas în zona desemnată fără autorizație.”</w:t>
      </w:r>
    </w:p>
    <w:p w14:paraId="50797454" w14:textId="3CE71365" w:rsidR="00220121" w:rsidRPr="00D435F2" w:rsidRDefault="00351901" w:rsidP="00D435F2">
      <w:pPr>
        <w:pStyle w:val="JuPara"/>
      </w:pPr>
      <w:fldSimple w:instr=" SEQ level0 \*arabic \* MERGEFORMAT ">
        <w:r w:rsidR="00D435F2" w:rsidRPr="00D435F2">
          <w:t>23</w:t>
        </w:r>
      </w:fldSimple>
      <w:r>
        <w:t xml:space="preserve">.  În notele specifice referitoare la art. 114j Codul penal reies următoarele (a se vedea pag. 23 și urm. din Suplimentul A la Raportul oficial </w:t>
      </w:r>
      <w:r>
        <w:lastRenderedPageBreak/>
        <w:t>privind procedurile parlamentare pentru perioada 2015-16 privind proiectul de lege nr. 187, astfel cum a fost el introdus):</w:t>
      </w:r>
    </w:p>
    <w:p w14:paraId="5E70A656" w14:textId="6699725D" w:rsidR="00220121" w:rsidRPr="00D435F2" w:rsidRDefault="00220121" w:rsidP="00D435F2">
      <w:pPr>
        <w:pStyle w:val="JuQuot"/>
      </w:pPr>
      <w:r>
        <w:t>„[...] Se propune ca sancțiunile minime și maxime pentru încălcarea interdicției de intrare și ședere să fie o amendă sau o pedeapsă privativă de libertate pe o perioadă care să nu depășească șase ani.</w:t>
      </w:r>
    </w:p>
    <w:p w14:paraId="22AA19B2" w14:textId="77777777" w:rsidR="00220121" w:rsidRPr="00D435F2" w:rsidRDefault="00220121" w:rsidP="00D435F2">
      <w:pPr>
        <w:pStyle w:val="JuQuot"/>
      </w:pPr>
      <w:r>
        <w:t>Va constitui o încălcare a interdicției ori de câte ori o persoană uzează dreptul de intrare sau ședere fără autorizație în alt scop decât cel specificat în autorizație sau după expirarea autorizației.</w:t>
      </w:r>
    </w:p>
    <w:p w14:paraId="72A87D14" w14:textId="55C736DD" w:rsidR="00220121" w:rsidRPr="00D435F2" w:rsidRDefault="00220121" w:rsidP="00D435F2">
      <w:pPr>
        <w:pStyle w:val="JuQuot"/>
      </w:pPr>
      <w:r>
        <w:t>Doar încălcările intenționate ale interdicției sunt infracțiuni sancționabile: a se vedea art. 19 Codul penal. Cu toate acestea, ignorarea dispozițiilor de drept penal nu exclude posibilitatea unei intenții. Din acest motiv, nu este necesară existența unei intenții pentru a fi găsit vinovat pentru intrare și ședere într-o zonă supusă obligației de autorizare prealabilă. Pe de altă parte, intenția este necesară pentru a fi găsit vinovat pentru intrare sau ședere într-o zonă care a fost astfel desemnată. Prin urmare, nicio persoană nu poate fi condamnată pentru intrare sau ședere neintenționată în zonă. [...]</w:t>
      </w:r>
    </w:p>
    <w:p w14:paraId="44D36A0B" w14:textId="77777777" w:rsidR="00220121" w:rsidRPr="00D435F2" w:rsidRDefault="00220121" w:rsidP="00D435F2">
      <w:pPr>
        <w:pStyle w:val="JuQuot"/>
      </w:pPr>
      <w:r>
        <w:t>Sancțiunea pentru încălcarea interdicției de intrare și ședere ar fi, în mod normal, o pedeapsă scurtă privativă de libertate, măsurată în luni, în cazul unei prime infracțiuni. În cazul în care există circumstanțe atenuante, inclusiv atunci când o persoană prezintă dovada unui scop meritoriu pentru intrarea sau șederea sa, ar fi, în mod normal, posibilă aplicarea unei sancțiuni sub forma unei amenzi.</w:t>
      </w:r>
    </w:p>
    <w:p w14:paraId="7D97F28C" w14:textId="77777777" w:rsidR="00220121" w:rsidRPr="00D435F2" w:rsidRDefault="00220121" w:rsidP="00D435F2">
      <w:pPr>
        <w:pStyle w:val="JuQuot"/>
      </w:pPr>
      <w:r>
        <w:t>Pedepsele trebuie încă stabilite de instanțe pe baza unei evaluări specifice în cauză în mod individual, luând în considerare toate circumstanțele cauzei, iar nivelul sancțiunii individuale poate fi, prin urmare, majorat sau diminuat dacă există circumstanțe agravante sau atenuante: a se vedea în acest sens regulile generale din Partea 10 din Codul penal privind sancțiunea.</w:t>
      </w:r>
    </w:p>
    <w:p w14:paraId="4940DACC" w14:textId="77777777" w:rsidR="00220121" w:rsidRPr="00D435F2" w:rsidRDefault="00220121" w:rsidP="00D435F2">
      <w:pPr>
        <w:pStyle w:val="JuQuot"/>
      </w:pPr>
      <w:r>
        <w:t>Prin art. 2 se propune ca nicio interdicție de intrare și ședere, astfel cum se menționează la art. 1, să nu se aplice intrării sau șederii în scopul exercitării unei funcții sau poziții publice în cadrul unei organizații daneze, străine sau internaționale. Această derogare se extinde, de asemenea, la orice intrare și ședere în timpul serviciului în cadrul forțelor armate guvernamentale daneze sau străine sau în cadrul forțelor armate internaționale.</w:t>
      </w:r>
    </w:p>
    <w:p w14:paraId="58169A5A" w14:textId="77777777" w:rsidR="00220121" w:rsidRPr="00D435F2" w:rsidRDefault="00220121" w:rsidP="00D435F2">
      <w:pPr>
        <w:pStyle w:val="JuQuot"/>
      </w:pPr>
      <w:r>
        <w:t>Situațiile menționate la art. (2) nu intră în domeniul de aplicare al interdicției de intrare și ședere menționate la art. (1). Prin urmare, nu este necesară nici o autorizație pentru intrare și ședere în vederea exercitării unei funcții sau poziții publice.</w:t>
      </w:r>
    </w:p>
    <w:p w14:paraId="762C4B27" w14:textId="77777777" w:rsidR="00220121" w:rsidRPr="00D435F2" w:rsidRDefault="00220121" w:rsidP="00D435F2">
      <w:pPr>
        <w:pStyle w:val="JuQuot"/>
      </w:pPr>
      <w:r>
        <w:t>Interdicția de intrare și ședere în temeiul art. (1) se aplică zonelor enumerate la art. (3).</w:t>
      </w:r>
    </w:p>
    <w:p w14:paraId="1C4C1CEB" w14:textId="77777777" w:rsidR="00220121" w:rsidRPr="00D435F2" w:rsidRDefault="00220121" w:rsidP="00D435F2">
      <w:pPr>
        <w:pStyle w:val="JuQuot"/>
      </w:pPr>
      <w:r>
        <w:t>Conform textului propus al art. (3), ministrul Justiției are autoritatea, în urma negocierilor cu ministrul Afacerilor Externe și Ministrul Apărării, de a stabili, prin ordin, zonele care vor fi supuse interdicției de intrare și ședere în temeiul art. (1). Dispoziția trebuie înțeleasă în sensul că interdicția de intrare și ședere nu este posibilă decât în zone situate în afara teritoriului statului danez.</w:t>
      </w:r>
    </w:p>
    <w:p w14:paraId="2EFE1FB1" w14:textId="77777777" w:rsidR="00220121" w:rsidRPr="00D435F2" w:rsidRDefault="00220121" w:rsidP="00D435F2">
      <w:pPr>
        <w:pStyle w:val="JuQuot"/>
      </w:pPr>
      <w:r>
        <w:t>O zonă poate fi inclusă pe lista zonelor care fac obiectul interdicției de intrare și ședere în cazul în care un grup sau o asociație care săvârșește sau intenționează să săvârșească acte care intră sub incidența art. 114, 114a, 114b, 114c sau 114d este parte la un conflict armat în zona desemnată. Trimiterile la un conflict armat și la o parte la un conflict armat trebuie înțelese în conformitate cu dreptul umanitar internațional.</w:t>
      </w:r>
    </w:p>
    <w:p w14:paraId="6612853E" w14:textId="77777777" w:rsidR="00220121" w:rsidRPr="00D435F2" w:rsidRDefault="00220121" w:rsidP="00D435F2">
      <w:pPr>
        <w:pStyle w:val="JuQuot"/>
      </w:pPr>
      <w:r>
        <w:lastRenderedPageBreak/>
        <w:t>În cazul în care această condiție a fost îndeplinită, Guvernul are puteri discreționare ample pentru a stabili zonele care urmează să fie supuse interdicției de intrare și ședere în temeiul art. (1) propus. Atunci când este adoptată o astfel de decizie, trebuie avută în vedere securitatea și politica externă și de securitate, inclusiv relațiile cu puterile străine și instituțiile internaționale.</w:t>
      </w:r>
    </w:p>
    <w:p w14:paraId="6F8E8159" w14:textId="77777777" w:rsidR="00220121" w:rsidRPr="00D435F2" w:rsidRDefault="00220121" w:rsidP="00D435F2">
      <w:pPr>
        <w:pStyle w:val="JuQuot"/>
      </w:pPr>
      <w:r>
        <w:t>Guvernul nu este obligat să stabilească că o zonă în care a fost îndeplinită condiția relevantă trebuie să facă obiectul unei interdicții de intrare și de ședere.</w:t>
      </w:r>
    </w:p>
    <w:p w14:paraId="49052DC4" w14:textId="029FE987" w:rsidR="00220121" w:rsidRPr="00D435F2" w:rsidRDefault="00220121" w:rsidP="00D435F2">
      <w:pPr>
        <w:pStyle w:val="JuQuot"/>
      </w:pPr>
      <w:r>
        <w:t>[...]</w:t>
      </w:r>
    </w:p>
    <w:p w14:paraId="66B98A8C" w14:textId="77777777" w:rsidR="00220121" w:rsidRPr="00D435F2" w:rsidRDefault="00220121" w:rsidP="00D435F2">
      <w:pPr>
        <w:pStyle w:val="JuQuot"/>
      </w:pPr>
      <w:r>
        <w:t>Se propune, în conformitate cu art. 4 prima teză, ca ministrul Justiției sau persoana autorizată în acest sens de ministru să acorde unei persoane, la cerere, dreptul de intrare și ședere într-o zonă care face obiectul unei interdicții în temeiul art. (1), în cazul în care intrarea sau șederea servește unui scop meritoriu.</w:t>
      </w:r>
    </w:p>
    <w:p w14:paraId="77050E99" w14:textId="4DDEB3EC" w:rsidR="00220121" w:rsidRPr="00D435F2" w:rsidRDefault="00220121" w:rsidP="00D435F2">
      <w:pPr>
        <w:pStyle w:val="JuQuot"/>
      </w:pPr>
      <w:r>
        <w:t>[...]</w:t>
      </w:r>
    </w:p>
    <w:p w14:paraId="180DF972" w14:textId="77777777" w:rsidR="00220121" w:rsidRPr="00D435F2" w:rsidRDefault="00220121" w:rsidP="00D435F2">
      <w:pPr>
        <w:pStyle w:val="JuQuot"/>
      </w:pPr>
      <w:r>
        <w:t>În general, scopuri meritorii sunt considerate acele scopuri care nu au legătură cu conflictul armat și care sunt considerate activități rezonabile, în pofida conflictului armat în curs de desfășurare. Orice intrare și ședere pentru a efectua activități jurnalistice, pentru a oferi ajutor umanitar, pentru a vizita membrii apropiați ai familiei sau pentru a desfășura activități comerciale existente reprezintă în mod normal scopuri meritorii.</w:t>
      </w:r>
    </w:p>
    <w:p w14:paraId="6B27599C" w14:textId="77777777" w:rsidR="00220121" w:rsidRPr="00D435F2" w:rsidRDefault="00220121" w:rsidP="00D435F2">
      <w:pPr>
        <w:pStyle w:val="JuQuot"/>
      </w:pPr>
      <w:r>
        <w:t>Orice intrare și ședere în vederea desfășurării de activități jurnalistice sau a oferirii de ajutor umanitar reprezintă în mod normal scop meritoriu chiar și atunci când activitățile jurnalistice și ajutorul umanitar au legătură cu conflictul armat. Același lucru este valabil pentru orice intrare și ședere în scopul studiilor sau cercetării legate de conflictul armat.</w:t>
      </w:r>
    </w:p>
    <w:p w14:paraId="5FA5B5A6" w14:textId="77777777" w:rsidR="00220121" w:rsidRPr="00D435F2" w:rsidRDefault="00220121" w:rsidP="00D435F2">
      <w:pPr>
        <w:pStyle w:val="JuQuot"/>
      </w:pPr>
      <w:r>
        <w:t>Nicio intrare și nicio ședere pentru a desfășura activități comerciale legate de livrări către părțile aflate în război sau pentru a vizita un membru al familiei care participă în prezent la conflictul armat nu ar servi drept scop meritoriu. Cu toate acestea, intrarea și șederea pentru a vizita un membru al familiei care a luat parte anterior sau urmează să participe ulterior la conflictul armat, dar care nu participă în prezent la conflictul armat, reprezintă scop meritoriu, fără a ține seama de faptul că membrul familiei este în permisie sau similar sau a fost spitalizat din cauza rănilor suferite.</w:t>
      </w:r>
    </w:p>
    <w:p w14:paraId="7336846F" w14:textId="77777777" w:rsidR="00220121" w:rsidRPr="00D435F2" w:rsidRDefault="00220121" w:rsidP="00D435F2">
      <w:pPr>
        <w:pStyle w:val="JuQuot"/>
      </w:pPr>
      <w:r>
        <w:t>Nu reprezintă scop meritoriu nicio intrare și nicio ședere pentru a participa la conflictul armat sau pentru a sprijini oricare dintre părțile la conflictul armat, în temeiul art. (4).”</w:t>
      </w:r>
    </w:p>
    <w:p w14:paraId="0D837C15" w14:textId="6CAA169A" w:rsidR="00220121" w:rsidRPr="00D435F2" w:rsidRDefault="00351901" w:rsidP="00D435F2">
      <w:pPr>
        <w:pStyle w:val="JuPara"/>
      </w:pPr>
      <w:fldSimple w:instr=" SEQ level0 \*arabic \* MERGEFORMAT ">
        <w:r w:rsidR="00D435F2" w:rsidRPr="00D435F2">
          <w:t>24</w:t>
        </w:r>
      </w:fldSimple>
      <w:r>
        <w:t>.  În ceea ce privește compatibilitatea cu drepturile omului, în proiectul de lege apar următoarele (a se vedea pag. 16 și urm. din suplimentul A la Raportul oficial privind procedurile parlamentare pentru perioada 2015-16 privind proiectul de lege nr. 187, astfel cum a fost el introdus):</w:t>
      </w:r>
    </w:p>
    <w:p w14:paraId="083BD885" w14:textId="77777777" w:rsidR="00220121" w:rsidRPr="00D435F2" w:rsidRDefault="00220121" w:rsidP="00D435F2">
      <w:pPr>
        <w:pStyle w:val="JuQuot"/>
      </w:pPr>
      <w:r>
        <w:t>„6. Compatibilitatea cu drepturile omului</w:t>
      </w:r>
    </w:p>
    <w:p w14:paraId="7AEE2434" w14:textId="77777777" w:rsidR="00220121" w:rsidRPr="00D435F2" w:rsidRDefault="00220121" w:rsidP="00D435F2">
      <w:pPr>
        <w:pStyle w:val="JuQuot"/>
      </w:pPr>
      <w:r>
        <w:t>În funcție de circumstanțe, regimul propus la art. 114 j, în temeiul căruia orice resortisant danez sau persoană cu reședința obișnuită în Danemarca care exercită dreptul de intrare și ședere fără autorizație în anumite zone definite de ministrul Justiției poate primi o pedeapsă privativă de libertate pentru o perioadă care să nu depășească șase ani, poate interfera cu drepturile garantate de Convenție.</w:t>
      </w:r>
    </w:p>
    <w:p w14:paraId="1CEFE072" w14:textId="00FBDD81" w:rsidR="00220121" w:rsidRPr="00D435F2" w:rsidRDefault="00220121" w:rsidP="00D435F2">
      <w:pPr>
        <w:pStyle w:val="JuQuot"/>
      </w:pPr>
      <w:r>
        <w:t xml:space="preserve">Principalele drepturi în discuție sunt cele acordate în temeiul art. 2 din Protocolul nr. 4 la Convenție în ceea ce privește libertatea de circulație și libertatea de a-și alege </w:t>
      </w:r>
      <w:r>
        <w:lastRenderedPageBreak/>
        <w:t>propria reședință, art. 8 din Convenție în ceea ce privește dreptul la respectarea vieții private și de familie și art. 10 din Convenție în ceea ce privește libertatea de exprimare.</w:t>
      </w:r>
    </w:p>
    <w:p w14:paraId="39822B23" w14:textId="77777777" w:rsidR="00220121" w:rsidRPr="00D435F2" w:rsidRDefault="00220121" w:rsidP="00D435F2">
      <w:pPr>
        <w:pStyle w:val="JuQuot"/>
      </w:pPr>
      <w:r>
        <w:t xml:space="preserve">În cazul în care autorităților le-au fost acordate puteri discreționare prin legislația unui stat parte, în totalitate sau parțial, Curtea Europeană a Drepturilor Omului nu efectuează, în mod normal, o examinare </w:t>
      </w:r>
      <w:r>
        <w:rPr>
          <w:i/>
          <w:iCs/>
        </w:rPr>
        <w:t>in abstracto</w:t>
      </w:r>
      <w:r>
        <w:t xml:space="preserve"> a conformității legislației cu Convenția. Factorul decisiv este constituit de modul în care legislația este aplicată în practică.</w:t>
      </w:r>
    </w:p>
    <w:p w14:paraId="51BDC09F" w14:textId="531839CB" w:rsidR="00220121" w:rsidRPr="00D435F2" w:rsidRDefault="00220121" w:rsidP="00D435F2">
      <w:pPr>
        <w:pStyle w:val="JuQuot"/>
        <w:rPr>
          <w:rFonts w:cstheme="minorHAnsi"/>
          <w:szCs w:val="20"/>
        </w:rPr>
      </w:pPr>
      <w:r>
        <w:t xml:space="preserve">Rezultă din art. 2 din Protocolul nr. 4 la Convenție că orice persoană care are reședința legală pe teritoriul unui stat are, pe teritoriul respectiv, dreptul la libertatea de circulație și la libertatea de a-și alege propria reședință și că orice persoană este liberă să părăsească orice țară, inclusiv propria sa țară. Rezultă din jurisprudența Curții Europene a Drepturilor Omului că această dispoziție creează, de asemenea, dreptul de a merge într-o țară la propria alegere, cu condiția să fie permisă intrarea, a se vedea, </w:t>
      </w:r>
      <w:r>
        <w:rPr>
          <w:i/>
          <w:iCs/>
        </w:rPr>
        <w:t>inter alia</w:t>
      </w:r>
      <w:r>
        <w:t xml:space="preserve">, hotărârea din 20 februarie 1995, </w:t>
      </w:r>
      <w:r>
        <w:rPr>
          <w:i/>
        </w:rPr>
        <w:t>Peltonen împotriva Finlandei</w:t>
      </w:r>
      <w:r>
        <w:t>.</w:t>
      </w:r>
    </w:p>
    <w:p w14:paraId="7793649B" w14:textId="40B82938" w:rsidR="00220121" w:rsidRPr="00D435F2" w:rsidRDefault="00220121" w:rsidP="00D435F2">
      <w:pPr>
        <w:pStyle w:val="JuQuot"/>
      </w:pPr>
      <w:r>
        <w:t>[...]</w:t>
      </w:r>
    </w:p>
    <w:p w14:paraId="6C878E22" w14:textId="77777777" w:rsidR="00220121" w:rsidRPr="00D435F2" w:rsidRDefault="00220121" w:rsidP="00D435F2">
      <w:pPr>
        <w:pStyle w:val="JuQuot"/>
      </w:pPr>
      <w:r>
        <w:t xml:space="preserve">Cu toate acestea, protecția conferită de aceste dispoziții nu este absolută. Este posibil o ingerință la adresa drepturilor menționate anterior în cazul în care ingerința este prevăzută de lege și este necesară într-o societate democratică (și anume, ingerința îndeplinește cerința de proporționalitate) și servește unui scop clar, inclusiv securității naționale, siguranței publice și prevenirii infracțiunilor: a se vedea art. 2 </w:t>
      </w:r>
      <w:r>
        <w:rPr>
          <w:color w:val="000000"/>
        </w:rPr>
        <w:t>§</w:t>
      </w:r>
      <w:r>
        <w:t xml:space="preserve"> 3 din Protocolul nr. 4 la Convenție și art. 8 </w:t>
      </w:r>
      <w:r>
        <w:rPr>
          <w:color w:val="000000"/>
        </w:rPr>
        <w:t>§</w:t>
      </w:r>
      <w:r>
        <w:t xml:space="preserve"> 2 și art. 10 </w:t>
      </w:r>
      <w:r>
        <w:rPr>
          <w:color w:val="000000"/>
        </w:rPr>
        <w:t xml:space="preserve">§ </w:t>
      </w:r>
      <w:r>
        <w:t>2 din Convenție.</w:t>
      </w:r>
    </w:p>
    <w:p w14:paraId="2764AA0F" w14:textId="77777777" w:rsidR="00220121" w:rsidRPr="00D435F2" w:rsidRDefault="00220121" w:rsidP="00D435F2">
      <w:pPr>
        <w:pStyle w:val="JuQuot"/>
      </w:pPr>
      <w:r>
        <w:t>Regimul propus care interzice o astfel de intrare și ședere este inserată în Codul penal și, astfel cum se menționează la enunțul 1 de mai sus, scopul regimului este acela de a consolida garanțiile de drept penal pentru a împiedica persoanele fizice să ia parte la conflicte armate în străinătate, prin creșterea consecințelor asupra celor care pleacă în străinătate și prin consolidarea puterilor autorităților de a-i urmări penal pe luptătorii din străinătate care se întorc în tară. Prin urmare, interdicția de intrare și ședere propusă are așadar ca scop să facă mai ușoară sancționarea persoanelor care utilizează dreptul de intrare sau ședere într-o zonă de conflict pentru a participa la un conflict armat, alături de o organizație teroristă sau o parte similară, întrucât va fi suficient să se probeze că persoana în cauză a utilizat dreptul de intrare sau ședere într-o zonă desemnată fără autorizație.</w:t>
      </w:r>
    </w:p>
    <w:p w14:paraId="5BDCD717" w14:textId="77777777" w:rsidR="00220121" w:rsidRPr="00D435F2" w:rsidRDefault="00220121" w:rsidP="00D435F2">
      <w:pPr>
        <w:pStyle w:val="JuQuot"/>
      </w:pPr>
      <w:r>
        <w:t>În ceea ce privește contextul regimului, rezultă din clauza 1 de mai sus că serviciul danez de securitate și informații este cel care evaluează dacă persoanele care se întorc în Danemarca după ce au participat la operațiuni de luptă în Siria sau în Irak constituie o amenințare teroristă specială pentru Danemarca. Guvernul dorește așadar să își sporească controlul asupra luptătorilor în străinătate care iau în considerare posibilitatea de a părăsi Danemarca pentru a se alătura conflictelor armate precum cele din Siria și Irak.</w:t>
      </w:r>
    </w:p>
    <w:p w14:paraId="42347ECC" w14:textId="77777777" w:rsidR="00220121" w:rsidRPr="00D435F2" w:rsidRDefault="00220121" w:rsidP="00D435F2">
      <w:pPr>
        <w:pStyle w:val="JuQuot"/>
      </w:pPr>
      <w:r>
        <w:t>Ministrul Justiției are autoritatea, în urma negocierilor cu ministrul Afacerilor Externe și ministrul Apărării, de a stabili reguli care să determine zonele care vor fi supuse acestor interdicții de intrare și ședere.</w:t>
      </w:r>
    </w:p>
    <w:p w14:paraId="72F13218" w14:textId="77777777" w:rsidR="00220121" w:rsidRPr="00D435F2" w:rsidRDefault="00220121" w:rsidP="00D435F2">
      <w:pPr>
        <w:pStyle w:val="JuQuot"/>
      </w:pPr>
      <w:r>
        <w:t>O zonă poate fi inclusă pe lista zonelor care fac obiectul interdicției de intrare și ședere în cazul în care un grup sau o asociație care săvârșește sau intenționează să săvârșească acte care intră sub incidența art. 114, 114a, 114b, 114c sau 114d este parte la un conflict armat în zona desemnată. Dispoziția propusă restricționează astfel zonele care pot fi desemnate ca zone care fac obiectul interdicției de intrare și ședere.</w:t>
      </w:r>
    </w:p>
    <w:p w14:paraId="2A1BC8B1" w14:textId="77777777" w:rsidR="00220121" w:rsidRPr="00D435F2" w:rsidRDefault="00220121" w:rsidP="00D435F2">
      <w:pPr>
        <w:pStyle w:val="JuQuot"/>
      </w:pPr>
      <w:r>
        <w:lastRenderedPageBreak/>
        <w:t>Atunci când condiția de mai sus a fost îndeplinită, Guvernul are puteri discreționare ample pentru a determina zonele care fac obiectul unei astfel de interdicții. În acest sens, pot fi luate în considerare chestiuni de securitate, relații cu puterile externe și cu instituțiile internaționale și factori similari.</w:t>
      </w:r>
    </w:p>
    <w:p w14:paraId="06EEFF74" w14:textId="77777777" w:rsidR="00220121" w:rsidRPr="00D435F2" w:rsidRDefault="00220121" w:rsidP="00D435F2">
      <w:pPr>
        <w:pStyle w:val="JuQuot"/>
      </w:pPr>
      <w:r>
        <w:t>Zonele interzise vor fi enumerate într-un ordin, care pune la dispoziția fiecărui cetățean informații privind aria geografică de aplicare a interdicției de intrare și de ședere.</w:t>
      </w:r>
    </w:p>
    <w:p w14:paraId="19CAADC1" w14:textId="77777777" w:rsidR="00220121" w:rsidRPr="00D435F2" w:rsidRDefault="00220121" w:rsidP="00D435F2">
      <w:pPr>
        <w:pStyle w:val="JuQuot"/>
      </w:pPr>
      <w:r>
        <w:t>Orice decizie care autorizează o persoană să aibă drept de intrare și ședere într-o zonă supusă interdicției de intrare și ședere se bazează pe o evaluare individuală și specifică.</w:t>
      </w:r>
    </w:p>
    <w:p w14:paraId="0F7889D3" w14:textId="75EB1E9B" w:rsidR="00220121" w:rsidRPr="00D435F2" w:rsidRDefault="00220121" w:rsidP="00D435F2">
      <w:pPr>
        <w:pStyle w:val="JuQuot"/>
      </w:pPr>
      <w:r>
        <w:t>[...]</w:t>
      </w:r>
    </w:p>
    <w:p w14:paraId="1E4C2CC9" w14:textId="77777777" w:rsidR="00220121" w:rsidRPr="00D435F2" w:rsidRDefault="00220121" w:rsidP="00D435F2">
      <w:pPr>
        <w:pStyle w:val="JuQuot"/>
      </w:pPr>
      <w:r>
        <w:t>Trebuie acordată autorizația în cazul în care intrarea sau șederea servește unui scop meritoriu. Potrivit notelor explicative la proiectul de lege, în general, scopurile meritorii sunt considerate acele scopuri care nu au legătură cu conflictul armat și care sunt considerate activități rezonabile, în pofida conflictului armat în desfășurare. Orice intrare și ședere pentru a efectua activități jurnalistice, pentru a oferi ajutor umanitar, pentru a vizita membrii apropiați ai familiei sau pentru a desfășura activități comerciale existente reprezintă în mod normal scopuri meritorii. De asemenea, se pare că activitățile jurnalistice sau umanitare și studiile sau cercetările legate de conflictul armat ar constitui scopuri meritorii.</w:t>
      </w:r>
    </w:p>
    <w:p w14:paraId="6B5ED948" w14:textId="77777777" w:rsidR="00220121" w:rsidRPr="00D435F2" w:rsidRDefault="00220121" w:rsidP="00D435F2">
      <w:pPr>
        <w:pStyle w:val="JuQuot"/>
      </w:pPr>
      <w:r>
        <w:t>Trebuie subliniat că prevederea propusă dispune în mod explicit că interdicția de intrare și ședere nu se aplică intrării și șederii în scopul exercitării unei funcții sau poziții publice în cadrul unei organizații daneze, străine sau internaționale. Prin urmare, nu este necesar să se solicite autorizație prealabilă de intrare sau de ședere în aceste scopuri.</w:t>
      </w:r>
    </w:p>
    <w:p w14:paraId="30C29D30" w14:textId="64BD124D" w:rsidR="00220121" w:rsidRPr="00D435F2" w:rsidRDefault="00220121" w:rsidP="00D435F2">
      <w:pPr>
        <w:pStyle w:val="JuQuot"/>
      </w:pPr>
      <w:r>
        <w:t>[...]</w:t>
      </w:r>
    </w:p>
    <w:p w14:paraId="351501FF" w14:textId="77777777" w:rsidR="00220121" w:rsidRPr="00D435F2" w:rsidRDefault="00220121" w:rsidP="00D435F2">
      <w:pPr>
        <w:pStyle w:val="JuQuot"/>
      </w:pPr>
      <w:r>
        <w:t>Regimul propus este justificat de considerente importante de importanță generală, și anume securitatea națională, siguranța publică și prevenirea infracțiunilor, și nu depășește ceea ce este necesar pentru atingerea obiectivului propus, potrivit Ministerului Justiției.</w:t>
      </w:r>
    </w:p>
    <w:p w14:paraId="01FA5906" w14:textId="77777777" w:rsidR="00220121" w:rsidRPr="00D435F2" w:rsidRDefault="00220121" w:rsidP="00D435F2">
      <w:pPr>
        <w:pStyle w:val="JuQuot"/>
      </w:pPr>
      <w:r>
        <w:t>În acest context, Ministerul Justiției constată că regimul propus nu contravine Convenției Europene a Drepturilor Omului.”</w:t>
      </w:r>
    </w:p>
    <w:p w14:paraId="37A47659" w14:textId="50761E31" w:rsidR="00220121" w:rsidRPr="00D435F2" w:rsidRDefault="00220121" w:rsidP="00D435F2">
      <w:pPr>
        <w:pStyle w:val="JuHIRoman"/>
      </w:pPr>
      <w:r>
        <w:rPr>
          <w:caps w:val="0"/>
        </w:rPr>
        <w:t>Ordinul nr</w:t>
      </w:r>
      <w:r>
        <w:t>. 1200 din 28 septembrie 2016 privind interdicția de intrare sau ședere în anumite zone de conflict</w:t>
      </w:r>
    </w:p>
    <w:p w14:paraId="7C6B5A5A" w14:textId="492C3EF3" w:rsidR="00220121" w:rsidRPr="00D435F2" w:rsidRDefault="00351901" w:rsidP="00D435F2">
      <w:pPr>
        <w:pStyle w:val="JuPara"/>
      </w:pPr>
      <w:fldSimple w:instr=" SEQ level0 \*arabic \* MERGEFORMAT ">
        <w:r w:rsidR="00D435F2" w:rsidRPr="00D435F2">
          <w:t>25</w:t>
        </w:r>
      </w:fldSimple>
      <w:r>
        <w:t>.  Dispozițiile relevante ale ordinului din 2016 sunt formulate după cum urmează:</w:t>
      </w:r>
    </w:p>
    <w:p w14:paraId="74C53EB4" w14:textId="3B5D113E" w:rsidR="00220121" w:rsidRPr="00D435F2" w:rsidRDefault="00220121" w:rsidP="00D435F2">
      <w:pPr>
        <w:pStyle w:val="JuHArticle"/>
        <w:rPr>
          <w:bCs/>
        </w:rPr>
      </w:pPr>
      <w:r>
        <w:t>Articolul 1</w:t>
      </w:r>
    </w:p>
    <w:p w14:paraId="778DBAEB" w14:textId="77777777" w:rsidR="00220121" w:rsidRPr="00D435F2" w:rsidRDefault="00220121" w:rsidP="00D435F2">
      <w:pPr>
        <w:pStyle w:val="JuQuot"/>
      </w:pPr>
      <w:r>
        <w:t>„(1</w:t>
      </w:r>
      <w:r>
        <w:rPr>
          <w:i/>
        </w:rPr>
        <w:t>)</w:t>
      </w:r>
      <w:r>
        <w:t xml:space="preserve"> În temeiul prezentului ordin, este necesară autorizația [a se vedea art. 114j(3) Codul penal] de intrare sau ședere în următoarele zone [a se vedea, de asemenea, anexa 1 (harta zonei)]: -</w:t>
      </w:r>
    </w:p>
    <w:p w14:paraId="6BBFEED5" w14:textId="77777777" w:rsidR="00220121" w:rsidRPr="00D435F2" w:rsidRDefault="00220121" w:rsidP="00D435F2">
      <w:pPr>
        <w:pStyle w:val="JuQuot"/>
      </w:pPr>
      <w:r>
        <w:t>(i) districtul al-Bab din guvernoratul Alep, districtul al-Thawrah și districtul al-Raqqa din guvernoratul Raqqa și guvernoratul Deir al-Zour din Siria;</w:t>
      </w:r>
    </w:p>
    <w:p w14:paraId="01431F89" w14:textId="77777777" w:rsidR="00220121" w:rsidRPr="00D435F2" w:rsidRDefault="00220121" w:rsidP="00D435F2">
      <w:pPr>
        <w:pStyle w:val="JuQuot"/>
      </w:pPr>
      <w:r>
        <w:t>(ii) districtul Mosul din guvernoratul Nineve din Irak.</w:t>
      </w:r>
    </w:p>
    <w:p w14:paraId="5C9C57FD" w14:textId="3D3A5106" w:rsidR="00220121" w:rsidRPr="00D435F2" w:rsidRDefault="00220121" w:rsidP="00D435F2">
      <w:pPr>
        <w:pStyle w:val="JuQuot"/>
      </w:pPr>
      <w:r>
        <w:lastRenderedPageBreak/>
        <w:t>(2) Resortisanții danezi și persoanele care au reședința obișnuită în statul danez trebuie să obțină autorizație, cu excepția cazului în care scopul intrării sau șederii lor este acela de a exercita o funcție publică sau un post public în cadrul unei organizații daneze, străine sau internaționale.”</w:t>
      </w:r>
    </w:p>
    <w:p w14:paraId="1208227C" w14:textId="620640E5" w:rsidR="00220121" w:rsidRPr="00D435F2" w:rsidRDefault="00220121" w:rsidP="00D435F2">
      <w:pPr>
        <w:pStyle w:val="JuHIRoman"/>
      </w:pPr>
      <w:r>
        <w:rPr>
          <w:caps w:val="0"/>
        </w:rPr>
        <w:t>Ordinul nr</w:t>
      </w:r>
      <w:r>
        <w:t>. 708 din 6 iulie 2019 privind interdicția de intrare sau ședere în anumite zone de conflict</w:t>
      </w:r>
    </w:p>
    <w:p w14:paraId="230AE083" w14:textId="7F4142A9" w:rsidR="00220121" w:rsidRPr="00D435F2" w:rsidRDefault="00351901" w:rsidP="00D435F2">
      <w:pPr>
        <w:pStyle w:val="JuPara"/>
      </w:pPr>
      <w:fldSimple w:instr=" SEQ level0 \*arabic \* MERGEFORMAT ">
        <w:r w:rsidR="00D435F2" w:rsidRPr="00D435F2">
          <w:t>26</w:t>
        </w:r>
      </w:fldSimple>
      <w:r>
        <w:t>.  Dispozițiile relevante ale ordinului din 2019 sunt formulate după cum urmează:</w:t>
      </w:r>
    </w:p>
    <w:p w14:paraId="313447CF" w14:textId="5D1FABB3" w:rsidR="00220121" w:rsidRPr="00D435F2" w:rsidRDefault="00220121" w:rsidP="00D435F2">
      <w:pPr>
        <w:pStyle w:val="JuHArticle"/>
      </w:pPr>
      <w:r>
        <w:t>Art. 1</w:t>
      </w:r>
    </w:p>
    <w:p w14:paraId="6F3BE8FD" w14:textId="77777777" w:rsidR="00220121" w:rsidRPr="00D435F2" w:rsidRDefault="00220121" w:rsidP="00D435F2">
      <w:pPr>
        <w:pStyle w:val="JuQuot"/>
      </w:pPr>
      <w:r>
        <w:t>„(1) În temeiul prezentului ordin, este necesară autorizația [a se vedea art. 114j(3) Codul penal] de intrare sau ședere în următoarele zone [a se vedea, de asemenea, anexa 1 (harta zonei)]: -</w:t>
      </w:r>
    </w:p>
    <w:p w14:paraId="32ABDF25" w14:textId="77777777" w:rsidR="00220121" w:rsidRPr="00D435F2" w:rsidRDefault="00220121" w:rsidP="00D435F2">
      <w:pPr>
        <w:pStyle w:val="JuQuot"/>
      </w:pPr>
      <w:r>
        <w:t>guvernoratul Dayr al-Zawr din Siria (a se vedea, de asemenea, punctul 2 din anexa 1);</w:t>
      </w:r>
    </w:p>
    <w:p w14:paraId="3A75F707" w14:textId="77777777" w:rsidR="00220121" w:rsidRPr="00D435F2" w:rsidRDefault="00220121" w:rsidP="00D435F2">
      <w:pPr>
        <w:pStyle w:val="JuQuot"/>
      </w:pPr>
      <w:r>
        <w:t>guvernoratul Idlib din Siria (a se vedea, de asemenea, punctul 3 din anexa 1);</w:t>
      </w:r>
    </w:p>
    <w:p w14:paraId="28CC6036" w14:textId="069C6FB4" w:rsidR="00220121" w:rsidRPr="00D435F2" w:rsidRDefault="00220121" w:rsidP="00D435F2">
      <w:pPr>
        <w:pStyle w:val="JuQuot"/>
      </w:pPr>
      <w:r>
        <w:t>(2) Resortisanții danezi și persoanele care au reședința obișnuită în statul danez trebuie să obțină autorizație, cu excepția cazului în care scopul intrării sau șederii lor este acela de a exercita o funcție publică sau un post public în cadrul unei organizații daneze, străine sau internaționale.”</w:t>
      </w:r>
    </w:p>
    <w:p w14:paraId="428E8915" w14:textId="2A523D1A" w:rsidR="00220121" w:rsidRPr="00D435F2" w:rsidRDefault="00351901" w:rsidP="00D435F2">
      <w:pPr>
        <w:pStyle w:val="JuPara"/>
      </w:pPr>
      <w:fldSimple w:instr=" SEQ level0 \*arabic \* MERGEFORMAT ">
        <w:r w:rsidR="00D435F2" w:rsidRPr="00D435F2">
          <w:t>27</w:t>
        </w:r>
      </w:fldSimple>
      <w:r>
        <w:t>.  Comunicatul de presă din 26 aprilie 2019 al ministrului Justiției afirma următoarele:</w:t>
      </w:r>
    </w:p>
    <w:p w14:paraId="01393F67" w14:textId="77777777" w:rsidR="00220121" w:rsidRPr="00D435F2" w:rsidRDefault="00220121" w:rsidP="00D435F2">
      <w:pPr>
        <w:pStyle w:val="JuQuot"/>
      </w:pPr>
      <w:r>
        <w:t>„Situația din Siria și Irak s-a schimbat de la introducerea interdicției de intrare și ședere în anumite părți ale țării de către guvernul anterior. Organizația teroristă ISIL nu mai controlează niciun teritoriu din Siria și Irak. De asemenea, numărul luptătorilor străini din vestul acestor teritorii s-a modificat. Din aceste motive, Guvernul dorește acum să abroge interdicția de intrare și ședere în Irak și să actualizeze lista zonelor desemnate ca zone interzise în Siria.</w:t>
      </w:r>
    </w:p>
    <w:p w14:paraId="454A78E0" w14:textId="712DB302" w:rsidR="00220121" w:rsidRPr="00D435F2" w:rsidRDefault="00220121" w:rsidP="00D435F2">
      <w:pPr>
        <w:pStyle w:val="JuQuot"/>
      </w:pPr>
      <w:r>
        <w:t>[...] Persoanele care au locuit deja ilegal în zonele desemnate anterior ca zone interzise pot fi încă pedepsite. [...]</w:t>
      </w:r>
    </w:p>
    <w:p w14:paraId="5C05B292" w14:textId="77777777" w:rsidR="00220121" w:rsidRPr="00D435F2" w:rsidRDefault="00220121" w:rsidP="00D435F2">
      <w:pPr>
        <w:pStyle w:val="JuQuot"/>
      </w:pPr>
      <w:r>
        <w:t>Fostele zone interzise care nu vor mai fi supuse interdicției de intrare și ședere:</w:t>
      </w:r>
    </w:p>
    <w:p w14:paraId="62859F49" w14:textId="77777777" w:rsidR="00220121" w:rsidRPr="00D435F2" w:rsidRDefault="00220121" w:rsidP="00D435F2">
      <w:pPr>
        <w:pStyle w:val="JuQuot"/>
      </w:pPr>
      <w:r>
        <w:t>[...] Districtul al-Raqqa din guvernoratul Raqqa din Siria. [...]”</w:t>
      </w:r>
    </w:p>
    <w:p w14:paraId="2935C7B5" w14:textId="760BA7C0" w:rsidR="00220121" w:rsidRPr="00D435F2" w:rsidRDefault="00351901" w:rsidP="00D435F2">
      <w:pPr>
        <w:pStyle w:val="JuPara"/>
      </w:pPr>
      <w:fldSimple w:instr=" SEQ level0 \*arabic \* MERGEFORMAT ">
        <w:r w:rsidR="00D435F2" w:rsidRPr="00D435F2">
          <w:t>28</w:t>
        </w:r>
      </w:fldSimple>
      <w:r>
        <w:t>.  În scrisoarea de informare din 8 iulie 2019, ministrul Justiției a comunicat în scris Parlamentului danez următoarele:</w:t>
      </w:r>
    </w:p>
    <w:p w14:paraId="1ED97F25" w14:textId="77777777" w:rsidR="00220121" w:rsidRPr="00D435F2" w:rsidRDefault="00220121" w:rsidP="00D435F2">
      <w:pPr>
        <w:pStyle w:val="JuQuot"/>
      </w:pPr>
      <w:r>
        <w:t>„Situația din Siria și Irak a evoluat de la adoptarea ordinului [2016], astfel încât este oportun să se actualizeze aria geografică de aplicare a acestuia. Din acest motiv, Ministerul Justiției a elaborat, în consultare cu Ministerul Apărării și Ministerul Afacerilor Externe, propunerea anexată pentru un ordin [2019] cu o listă actualizată a zonelor desemnate ca zone care fac obiectul interdicției de intrare și ședere; a se vedea art. 1 din ordinul propus.</w:t>
      </w:r>
    </w:p>
    <w:p w14:paraId="35EA9F3F" w14:textId="77777777" w:rsidR="00220121" w:rsidRPr="00D435F2" w:rsidRDefault="00220121" w:rsidP="00D435F2">
      <w:pPr>
        <w:pStyle w:val="JuQuot"/>
      </w:pPr>
      <w:r>
        <w:t>Ca urmare a actualizării:</w:t>
      </w:r>
    </w:p>
    <w:p w14:paraId="6D78BA04" w14:textId="77777777" w:rsidR="00220121" w:rsidRPr="00D435F2" w:rsidRDefault="00220121" w:rsidP="00D435F2">
      <w:pPr>
        <w:pStyle w:val="JuQuot"/>
      </w:pPr>
      <w:r>
        <w:t>[...] districtul al-Raqqa din guvernoratul Raqqa din Siria [...] este eliminat de pe lista zonelor care fac obiectul interdicției.</w:t>
      </w:r>
    </w:p>
    <w:p w14:paraId="0A226A0A" w14:textId="04EC0497" w:rsidR="00220121" w:rsidRPr="00D435F2" w:rsidRDefault="00220121" w:rsidP="00D435F2">
      <w:pPr>
        <w:pStyle w:val="JuQuot"/>
      </w:pPr>
      <w:r>
        <w:lastRenderedPageBreak/>
        <w:t>Urmează să fie emis ordinul peste câteva zile și acesta va intra în vigoare două zile mai târziu. Se observă, formal, că persoanele care locuiesc ilegal într-o zonă desemnată ca zonă care intră sub incidența actualului ordin, dar care nu este inclusă în domeniul de aplicare al noului ordin, pot fi încă pedepsite pentru ședere ilegală în zona care făcea anterior obiectul unei interdicții.”</w:t>
      </w:r>
    </w:p>
    <w:p w14:paraId="654AAB24" w14:textId="77777777" w:rsidR="00220121" w:rsidRPr="00D435F2" w:rsidRDefault="00220121" w:rsidP="00D435F2">
      <w:pPr>
        <w:pStyle w:val="JuQuot"/>
      </w:pPr>
    </w:p>
    <w:p w14:paraId="7C94760A" w14:textId="77777777" w:rsidR="00220121" w:rsidRPr="00D435F2" w:rsidRDefault="00220121" w:rsidP="00D435F2">
      <w:pPr>
        <w:pStyle w:val="JuHHead"/>
        <w:numPr>
          <w:ilvl w:val="0"/>
          <w:numId w:val="2"/>
        </w:numPr>
        <w:tabs>
          <w:tab w:val="num" w:pos="340"/>
        </w:tabs>
        <w:ind w:left="340" w:hanging="340"/>
      </w:pPr>
      <w:r>
        <w:t>ÎN DREPT</w:t>
      </w:r>
    </w:p>
    <w:p w14:paraId="66816866" w14:textId="59410F75" w:rsidR="00220121" w:rsidRPr="00D435F2" w:rsidRDefault="00220121" w:rsidP="00D435F2">
      <w:pPr>
        <w:pStyle w:val="JuHIRoman"/>
        <w:numPr>
          <w:ilvl w:val="0"/>
          <w:numId w:val="0"/>
        </w:numPr>
      </w:pPr>
      <w:r>
        <w:t>I. CU PRIVIRE LA PRETINSA ÎNCĂLCARE A ART. 7 DIN CONVENȚIE</w:t>
      </w:r>
    </w:p>
    <w:p w14:paraId="0D8EFA2F" w14:textId="17B69C49" w:rsidR="00220121" w:rsidRPr="00D435F2" w:rsidRDefault="00220121" w:rsidP="00D435F2">
      <w:pPr>
        <w:pStyle w:val="JuPara"/>
      </w:pPr>
      <w:fldSimple w:instr=" SEQ level0 \*arabic ">
        <w:r w:rsidR="00D435F2" w:rsidRPr="00D435F2">
          <w:t>29</w:t>
        </w:r>
      </w:fldSimple>
      <w:r>
        <w:t>.  Reclamantul s-a plâns că i-a fost încălcat dreptul la libertate de exprimare, cu încălcarea art. 7 din Convenție, care prevede următoarele:</w:t>
      </w:r>
    </w:p>
    <w:p w14:paraId="41208A7B" w14:textId="77777777" w:rsidR="00220121" w:rsidRPr="00D435F2" w:rsidRDefault="00220121" w:rsidP="00D435F2">
      <w:pPr>
        <w:pStyle w:val="JuQuot"/>
      </w:pPr>
      <w:r>
        <w:t>„1.  Nimeni nu poate fi condamnat pentru o acțiune sau o omisiune care, în momentul în care a fost săvârșită, nu constituia o infracțiune, potrivit dreptului național și internațional.  De asemenea, nu se poate aplica o pedeapsa mai severă decât aceea care era aplicabilă în momentul săvârșirii infracțiunii.</w:t>
      </w:r>
    </w:p>
    <w:p w14:paraId="186D6D5F" w14:textId="77777777" w:rsidR="00220121" w:rsidRPr="00D435F2" w:rsidRDefault="00220121" w:rsidP="00D435F2">
      <w:pPr>
        <w:pStyle w:val="JuQuot"/>
      </w:pPr>
      <w:r>
        <w:t>2.  Prezentul articol nu va aduce atingere judecării și pedepsirii unei persoane vinovate de o acțiune sau de o omisiune care, în momentul săvârșirii sale, era considerată infracțiune potrivit principiilor generale de drept recunoscute de națiunile civilizate.”</w:t>
      </w:r>
    </w:p>
    <w:p w14:paraId="3909A370" w14:textId="4675356B" w:rsidR="00220121" w:rsidRPr="00D435F2" w:rsidRDefault="00220121" w:rsidP="00D435F2">
      <w:pPr>
        <w:pStyle w:val="JuHA"/>
        <w:numPr>
          <w:ilvl w:val="0"/>
          <w:numId w:val="0"/>
        </w:numPr>
        <w:ind w:left="170"/>
      </w:pPr>
      <w:r>
        <w:t>A.  Cu privire la admisibilitate</w:t>
      </w:r>
    </w:p>
    <w:p w14:paraId="41CFD5EE" w14:textId="11613ECF" w:rsidR="00220121" w:rsidRPr="00D435F2" w:rsidRDefault="00220121" w:rsidP="00D435F2">
      <w:pPr>
        <w:pStyle w:val="JuPara"/>
      </w:pPr>
      <w:fldSimple w:instr=" SEQ level0 \*arabic ">
        <w:r w:rsidR="00D435F2" w:rsidRPr="00D435F2">
          <w:t>30</w:t>
        </w:r>
      </w:fldSimple>
      <w:r>
        <w:t>.  Guvernul a susținut că era necesar ca cererea în cauză să fie declarată inadmisibilă întrucât este în mod vădit nefondată.</w:t>
      </w:r>
    </w:p>
    <w:p w14:paraId="5D4EE7EC" w14:textId="362C08CC" w:rsidR="00220121" w:rsidRPr="00D435F2" w:rsidRDefault="00220121" w:rsidP="00D435F2">
      <w:pPr>
        <w:pStyle w:val="JuPara"/>
      </w:pPr>
      <w:fldSimple w:instr=" SEQ level0 \*arabic ">
        <w:r w:rsidR="00D435F2" w:rsidRPr="00D435F2">
          <w:t>31</w:t>
        </w:r>
      </w:fldSimple>
      <w:r>
        <w:t>.  Reclamantul a respins acest argument.</w:t>
      </w:r>
    </w:p>
    <w:p w14:paraId="3724281E" w14:textId="258BF8EA" w:rsidR="00220121" w:rsidRPr="00D435F2" w:rsidRDefault="00220121" w:rsidP="00D435F2">
      <w:pPr>
        <w:pStyle w:val="JuPara"/>
      </w:pPr>
      <w:fldSimple w:instr=" SEQ level0 \*arabic ">
        <w:r w:rsidR="00D435F2" w:rsidRPr="00D435F2">
          <w:t>32</w:t>
        </w:r>
      </w:fldSimple>
      <w:r>
        <w:t>.  Curtea constată că cererea nu este nici vădit nefondată, nici inadmisibilă pentru alte motive enumerate la art. 35 din Convenție. Prin urmare, este necesar să fie declarată admisibilă.</w:t>
      </w:r>
    </w:p>
    <w:p w14:paraId="0123E982" w14:textId="4EDB67EC" w:rsidR="00220121" w:rsidRPr="00D435F2" w:rsidRDefault="00220121" w:rsidP="00D435F2">
      <w:pPr>
        <w:pStyle w:val="JuHA"/>
        <w:numPr>
          <w:ilvl w:val="0"/>
          <w:numId w:val="0"/>
        </w:numPr>
        <w:ind w:left="170"/>
      </w:pPr>
      <w:r>
        <w:t>B. Cu privire la fond</w:t>
      </w:r>
    </w:p>
    <w:p w14:paraId="4F729792" w14:textId="0EABAD3A" w:rsidR="00220121" w:rsidRPr="00D435F2" w:rsidRDefault="00220121" w:rsidP="00D435F2">
      <w:pPr>
        <w:pStyle w:val="JuH1"/>
      </w:pPr>
      <w:r>
        <w:t>Argumentele părților</w:t>
      </w:r>
    </w:p>
    <w:p w14:paraId="41EFC981" w14:textId="3E07AE3A" w:rsidR="00220121" w:rsidRPr="00D435F2" w:rsidRDefault="00220121" w:rsidP="00D435F2">
      <w:pPr>
        <w:pStyle w:val="JuPara"/>
      </w:pPr>
      <w:fldSimple w:instr=" SEQ level0 \*arabic ">
        <w:r w:rsidR="00D435F2" w:rsidRPr="00D435F2">
          <w:t>33</w:t>
        </w:r>
      </w:fldSimple>
      <w:r>
        <w:t>.  Reclamantul a susținut printre altele că legea era lipsită de previzibilitate. Art. 114j Codul penal nu se aplica într-o situație similară celei actuale, unde a aderat la o organizație străină aliată, respectiv YPG, și a luptat împotriva unei organizații teroriste. În plus, ordinul și harta anexată erau prea vagi și lipseau detalii, astfel încât era imposibil să se stabilească zonele care făceau obiectul interdicției de intrare și de ședere.</w:t>
      </w:r>
    </w:p>
    <w:p w14:paraId="01B5024A" w14:textId="65F8551C" w:rsidR="00220121" w:rsidRPr="00D435F2" w:rsidRDefault="00351901" w:rsidP="00D435F2">
      <w:pPr>
        <w:pStyle w:val="JuPara"/>
        <w:rPr>
          <w:rFonts w:eastAsia="Times New Roman"/>
        </w:rPr>
      </w:pPr>
      <w:fldSimple w:instr=" SEQ level0 \*arabic \* MERGEFORMAT ">
        <w:r w:rsidR="00D435F2" w:rsidRPr="00D435F2">
          <w:t>34</w:t>
        </w:r>
      </w:fldSimple>
      <w:r>
        <w:t>.  În plus, ordinul din 2019, în temeiul căruia nu mai era necesară autorizație pentru intrare și ședere în guvernoratul al-Raqqa din Siria, ar fi trebuit aplicat în cazul său, fapt care ar fi dus la achitarea sa.</w:t>
      </w:r>
    </w:p>
    <w:p w14:paraId="71A716DA" w14:textId="74C75B17" w:rsidR="00220121" w:rsidRPr="00D435F2" w:rsidRDefault="00220121" w:rsidP="00D435F2">
      <w:pPr>
        <w:pStyle w:val="JuPara"/>
      </w:pPr>
      <w:fldSimple w:instr=" SEQ level0 \*arabic ">
        <w:r w:rsidR="00D435F2" w:rsidRPr="00D435F2">
          <w:t>35</w:t>
        </w:r>
      </w:fldSimple>
      <w:r>
        <w:t xml:space="preserve">.  Guvernul a susținut că astfel, condamnarea reclamantului a avut un temei juridic suficient în dreptul intern, accesibil și previzibil în ceea ce </w:t>
      </w:r>
      <w:r>
        <w:lastRenderedPageBreak/>
        <w:t>privește efectele sale. Acesta a făcut trimitere la redactarea art. 114j(1) și (3) Codul penal și la art. 1(1)(i) din ordinul din 2016, la harta ilustrativă, la notele pregătitoare și la constatările instanțelor interne.</w:t>
      </w:r>
    </w:p>
    <w:p w14:paraId="00EB6D1F" w14:textId="71A1328C" w:rsidR="00220121" w:rsidRPr="00D435F2" w:rsidRDefault="00220121" w:rsidP="00D435F2">
      <w:pPr>
        <w:pStyle w:val="JuPara"/>
      </w:pPr>
      <w:r w:rsidRPr="00D435F2">
        <w:rPr>
          <w:rFonts w:eastAsia="Times New Roman"/>
        </w:rPr>
        <w:fldChar w:fldCharType="begin"/>
      </w:r>
      <w:r w:rsidRPr="00D435F2">
        <w:rPr>
          <w:rFonts w:eastAsia="Times New Roman"/>
        </w:rPr>
        <w:instrText xml:space="preserve"> SEQ level0 \*arabic \* MERGEFORMAT </w:instrText>
      </w:r>
      <w:r w:rsidRPr="00D435F2">
        <w:rPr>
          <w:rFonts w:eastAsia="Times New Roman"/>
        </w:rPr>
        <w:fldChar w:fldCharType="separate"/>
      </w:r>
      <w:r w:rsidR="00D435F2" w:rsidRPr="00D435F2">
        <w:rPr>
          <w:rFonts w:eastAsia="Times New Roman"/>
        </w:rPr>
        <w:t>36</w:t>
      </w:r>
      <w:r w:rsidRPr="00D435F2">
        <w:rPr>
          <w:rFonts w:eastAsia="Times New Roman"/>
        </w:rPr>
        <w:fldChar w:fldCharType="end"/>
      </w:r>
      <w:r>
        <w:t>.  În plus, a subliniat faptul că guvernoratul al-Raqqa nu mai fusese inclus în ordinul din 2019, întrucât IS nu mai controla nicio zonă din Siria. Cu toate acestea, nu a existat o redefinire a culpabilității persoanelor care încălcaseră deja interdicția de intrare și de ședere în zonele interzise menționate în listă. Prin urmare, abrogarea ordinului era relevantă doar pentru circumstanțele extrinseci care au avut loc după săvârșirea infracțiunii.</w:t>
      </w:r>
    </w:p>
    <w:p w14:paraId="43B45D87" w14:textId="227E3690" w:rsidR="00220121" w:rsidRPr="00D435F2" w:rsidRDefault="00220121" w:rsidP="00D435F2">
      <w:pPr>
        <w:pStyle w:val="JuH1"/>
      </w:pPr>
      <w:r>
        <w:t>Motivarea Curții</w:t>
      </w:r>
    </w:p>
    <w:p w14:paraId="145F8E0B" w14:textId="1DE23CBC" w:rsidR="00220121" w:rsidRPr="00D435F2" w:rsidRDefault="00220121" w:rsidP="00D435F2">
      <w:pPr>
        <w:pStyle w:val="JuHa0"/>
      </w:pPr>
      <w:r>
        <w:t>Cu privire la întrebarea dacă condamnarea reclamantului era prevăzută de lege</w:t>
      </w:r>
    </w:p>
    <w:p w14:paraId="6810A0B9" w14:textId="1094F233" w:rsidR="00220121" w:rsidRPr="00D435F2" w:rsidRDefault="00351901" w:rsidP="00D435F2">
      <w:pPr>
        <w:pStyle w:val="JuPara"/>
      </w:pPr>
      <w:fldSimple w:instr=" SEQ level0 \*arabic \* MERGEFORMAT ">
        <w:r w:rsidR="00D435F2" w:rsidRPr="00D435F2">
          <w:t>37</w:t>
        </w:r>
      </w:fldSimple>
      <w:r>
        <w:t xml:space="preserve">. </w:t>
      </w:r>
      <w:sdt>
        <w:sdtPr>
          <w:alias w:val="Citate standard_art 7 - nr. 22/07/2022"/>
          <w:tag w:val="StandardCitation"/>
          <w:id w:val="-574352884"/>
          <w:placeholder>
            <w:docPart w:val="B1AB65324B2B4D1BA41DB83B2E212A38"/>
          </w:placeholder>
        </w:sdtPr>
        <w:sdtEndPr/>
        <w:sdtContent>
          <w:r>
            <w:t>Curtea a subliniat că, atunci când se vorbește despre „lege” („</w:t>
          </w:r>
          <w:r>
            <w:rPr>
              <w:i/>
            </w:rPr>
            <w:t>droit</w:t>
          </w:r>
          <w:r>
            <w:t xml:space="preserve">”), art. 7 face referire la aceeași noțiune ca aceea la care se referă Convenția în altă parte, atunci când utilizează acest termen, o noțiune care cuprinde atât dreptul statutar, cât și jurisprudența și implică cerințe calitative, în special pe cele privind accesibilitatea și previzibilitatea [a se vedea </w:t>
          </w:r>
          <w:r>
            <w:rPr>
              <w:i/>
            </w:rPr>
            <w:t>Del Río Prada împotriva Spaniei</w:t>
          </w:r>
          <w:r>
            <w:t xml:space="preserve"> (MC), nr. 42750/09, pct. 91, CEDO 2013, și </w:t>
          </w:r>
          <w:r>
            <w:rPr>
              <w:i/>
            </w:rPr>
            <w:t>Vasiliauskas împotriva Lituaniei</w:t>
          </w:r>
          <w:r>
            <w:t xml:space="preserve"> (MC), nr. 35343/05, pct. 154, CEDO 2015]. Aceste cerințe calitative trebuie îndeplinite atât în ceea ce privește definirea unei infracțiuni, cât și în ceea ce privește pedeapsa pe care o presupune infracțiunea [a se vedea </w:t>
          </w:r>
          <w:r>
            <w:rPr>
              <w:i/>
            </w:rPr>
            <w:t>Del Río Prada</w:t>
          </w:r>
          <w:r>
            <w:t xml:space="preserve">, citată anterior, pct. 91; </w:t>
          </w:r>
          <w:r>
            <w:rPr>
              <w:i/>
            </w:rPr>
            <w:t>Jidic împotriva României</w:t>
          </w:r>
          <w:r>
            <w:t xml:space="preserve">, nr. 45776/16 pct. 79, 18 februarie 2020; și </w:t>
          </w:r>
          <w:r>
            <w:rPr>
              <w:i/>
            </w:rPr>
            <w:t>Aviz consultativ privind aplicabilitatea prescripției extincitve în cazul urmăririi penale, condamnării și pedepsei pentru o infracțiune care constituie, în esență, un act de tortură</w:t>
          </w:r>
          <w:r>
            <w:t xml:space="preserve"> (MC), cererea nr. P16-2021-001, Curtea de Casație din Armenia, pct. 67, 26 aprilie 2022 („</w:t>
          </w:r>
          <w:r>
            <w:rPr>
              <w:i/>
            </w:rPr>
            <w:t>avizul consultativ P16-2021-001</w:t>
          </w:r>
          <w:r>
            <w:t>”).</w:t>
          </w:r>
        </w:sdtContent>
      </w:sdt>
    </w:p>
    <w:p w14:paraId="60F2BD9C" w14:textId="7FAC9D10" w:rsidR="00220121" w:rsidRPr="00D435F2" w:rsidRDefault="00220121" w:rsidP="00D435F2">
      <w:pPr>
        <w:pStyle w:val="JuPara"/>
        <w:rPr>
          <w:rStyle w:val="JuParaChar"/>
        </w:rPr>
      </w:pPr>
      <w:r w:rsidRPr="00D435F2">
        <w:rPr>
          <w:rStyle w:val="JuParaChar"/>
        </w:rPr>
        <w:fldChar w:fldCharType="begin"/>
      </w:r>
      <w:r w:rsidRPr="00D435F2">
        <w:rPr>
          <w:rStyle w:val="JuParaChar"/>
        </w:rPr>
        <w:instrText xml:space="preserve"> SEQ level0 \*arabic </w:instrText>
      </w:r>
      <w:r w:rsidRPr="00D435F2">
        <w:rPr>
          <w:rStyle w:val="JuParaChar"/>
        </w:rPr>
        <w:fldChar w:fldCharType="separate"/>
      </w:r>
      <w:r w:rsidR="00D435F2" w:rsidRPr="00D435F2">
        <w:rPr>
          <w:rStyle w:val="JuParaChar"/>
        </w:rPr>
        <w:t>38</w:t>
      </w:r>
      <w:r w:rsidRPr="00D435F2">
        <w:rPr>
          <w:rStyle w:val="JuParaChar"/>
        </w:rPr>
        <w:fldChar w:fldCharType="end"/>
      </w:r>
      <w:r>
        <w:rPr>
          <w:rStyle w:val="JuParaChar"/>
        </w:rPr>
        <w:t xml:space="preserve">.  Faptul că formularea statutului nu este întotdeauna precisă este consecința logică a principiului potrivit căruia legile trebuie să aibă o aplicare generală. Una dintre tehnicile standard de reglementare prin norme este utilizarea categoriilor generale, spre deosebire de listele exhaustive. Prin urmare, multe dintre legi sunt în mod inevitabil elaborate în termeni care, într-o măsură mai mare sau mai mică, sunt vagi și a căror interpretare și aplicare constituie chestiuni de practică (a se vedea </w:t>
      </w:r>
      <w:r>
        <w:rPr>
          <w:rStyle w:val="JuParaChar"/>
          <w:i/>
        </w:rPr>
        <w:t>Kokkinakis împotriva Greciei</w:t>
      </w:r>
      <w:r>
        <w:rPr>
          <w:rStyle w:val="JuParaChar"/>
        </w:rPr>
        <w:t>, 25 mai 1993, pct. 40, Seria A nr. 260</w:t>
      </w:r>
      <w:r>
        <w:rPr>
          <w:rStyle w:val="JuParaChar"/>
        </w:rPr>
        <w:noBreakHyphen/>
        <w:t xml:space="preserve"> A; </w:t>
      </w:r>
      <w:r>
        <w:rPr>
          <w:rStyle w:val="JuParaChar"/>
          <w:i/>
        </w:rPr>
        <w:t>Del Río Prada</w:t>
      </w:r>
      <w:r>
        <w:rPr>
          <w:rStyle w:val="JuParaChar"/>
        </w:rPr>
        <w:t xml:space="preserve">, citată anterior, pct. 92; și </w:t>
      </w:r>
      <w:r>
        <w:rPr>
          <w:rStyle w:val="JuParaChar"/>
          <w:i/>
        </w:rPr>
        <w:t>avizul consultativ</w:t>
      </w:r>
      <w:r>
        <w:rPr>
          <w:rStyle w:val="JuParaChar"/>
        </w:rPr>
        <w:t xml:space="preserve"> P16-2021-001, citat anterior, pct. 67). Atunci când se utilizează tehnica legislativă de clasificare, vor exista adesea zone gri la marginea definiției. Această penumbră de îndoială în legătură cu faptele aflate la limită nu face ca o dispoziție să fie în sine incompatibilă cu art. 7, cu condiția ca aceasta să se dovedească a fi suficient de clară în marea majoritate </w:t>
      </w:r>
      <w:r>
        <w:t xml:space="preserve"> </w:t>
      </w:r>
      <w:r>
        <w:rPr>
          <w:rStyle w:val="JuParaChar"/>
        </w:rPr>
        <w:t xml:space="preserve">a cauzelor (a se vedea </w:t>
      </w:r>
      <w:r>
        <w:rPr>
          <w:rStyle w:val="JuParaChar"/>
          <w:i/>
        </w:rPr>
        <w:t>Cantoni împotriva Franței</w:t>
      </w:r>
      <w:r>
        <w:rPr>
          <w:rStyle w:val="JuParaChar"/>
        </w:rPr>
        <w:t xml:space="preserve">, 15 noiembrie 1996, pct. 32, </w:t>
      </w:r>
      <w:r>
        <w:rPr>
          <w:rStyle w:val="JuParaChar"/>
          <w:i/>
        </w:rPr>
        <w:t xml:space="preserve">Culegere de hotărâri și decizii </w:t>
      </w:r>
      <w:r>
        <w:rPr>
          <w:rStyle w:val="JuParaChar"/>
        </w:rPr>
        <w:t>1996</w:t>
      </w:r>
      <w:r>
        <w:rPr>
          <w:rStyle w:val="JuParaChar"/>
        </w:rPr>
        <w:noBreakHyphen/>
        <w:t>V).</w:t>
      </w:r>
    </w:p>
    <w:p w14:paraId="3B213235" w14:textId="1662EE15" w:rsidR="00184E33" w:rsidRPr="00D435F2" w:rsidRDefault="00220121" w:rsidP="00D435F2">
      <w:pPr>
        <w:ind w:firstLine="284"/>
        <w:jc w:val="both"/>
        <w:rPr>
          <w:rStyle w:val="JuParaChar"/>
        </w:rPr>
      </w:pPr>
      <w:r w:rsidRPr="00D435F2">
        <w:rPr>
          <w:rStyle w:val="JuParaChar"/>
        </w:rPr>
        <w:lastRenderedPageBreak/>
        <w:fldChar w:fldCharType="begin"/>
      </w:r>
      <w:r w:rsidRPr="00D435F2">
        <w:rPr>
          <w:rStyle w:val="JuParaChar"/>
        </w:rPr>
        <w:instrText xml:space="preserve"> SEQ level0 \*arabic \* MERGEFORMAT </w:instrText>
      </w:r>
      <w:r w:rsidRPr="00D435F2">
        <w:rPr>
          <w:rStyle w:val="JuParaChar"/>
        </w:rPr>
        <w:fldChar w:fldCharType="separate"/>
      </w:r>
      <w:r w:rsidR="00D435F2" w:rsidRPr="00D435F2">
        <w:rPr>
          <w:rStyle w:val="JuParaChar"/>
        </w:rPr>
        <w:t>39</w:t>
      </w:r>
      <w:r w:rsidRPr="00D435F2">
        <w:rPr>
          <w:rStyle w:val="JuParaChar"/>
        </w:rPr>
        <w:fldChar w:fldCharType="end"/>
      </w:r>
      <w:r>
        <w:rPr>
          <w:rStyle w:val="JuParaChar"/>
        </w:rPr>
        <w:t xml:space="preserve">.  Curtea reamintește jurisprudența sa constantă potrivit căreia le revine în principal autorităților naționale sarcina de a interpreta și aplica dreptul intern (a se vedea, </w:t>
      </w:r>
      <w:r>
        <w:rPr>
          <w:rStyle w:val="JuParaChar"/>
          <w:i/>
        </w:rPr>
        <w:t>inter alia</w:t>
      </w:r>
      <w:r>
        <w:rPr>
          <w:rStyle w:val="JuParaChar"/>
        </w:rPr>
        <w:t xml:space="preserve">, </w:t>
      </w:r>
      <w:r>
        <w:rPr>
          <w:rStyle w:val="JuParaChar"/>
          <w:i/>
        </w:rPr>
        <w:t>Del Río Prada</w:t>
      </w:r>
      <w:r>
        <w:rPr>
          <w:rStyle w:val="JuParaChar"/>
        </w:rPr>
        <w:t xml:space="preserve">, citată anterior, pct. 105, și </w:t>
      </w:r>
      <w:r>
        <w:rPr>
          <w:rStyle w:val="JuParaChar"/>
          <w:i/>
        </w:rPr>
        <w:t>Jorgic împotriva Germaniei</w:t>
      </w:r>
      <w:r>
        <w:rPr>
          <w:rStyle w:val="JuParaChar"/>
        </w:rPr>
        <w:t xml:space="preserve">, nr. 74613/01, pct. 102, CEDO 2007-III). Cu toate acestea, atunci când chiar un drept din Convenție, art. 7 în prezenta cauză, impune existența unui temei juridic pentru condamnare și pronunțarea pedepsei, competențele de control ale Curții cuprind o examinare a întrebării dacă rezultatul la care au ajuns instanțele interne este compatibil cu art. 7 din Convenție, chiar dacă există diferențe între abordarea juridică și motivarea Curții și deciziile interne relevante. A acorda Curții o putere mai redusă de control ar face ca art. 7 să fie lipsit de scopul său (a se vedea, de exemplu, </w:t>
      </w:r>
      <w:r>
        <w:rPr>
          <w:rStyle w:val="JuParaChar"/>
          <w:i/>
        </w:rPr>
        <w:t>Vasiliauskas împotriva Lituaniei</w:t>
      </w:r>
      <w:r>
        <w:rPr>
          <w:rStyle w:val="JuParaChar"/>
        </w:rPr>
        <w:t>, citată anterior, pct. 160</w:t>
      </w:r>
      <w:r>
        <w:rPr>
          <w:rStyle w:val="JuParaChar"/>
        </w:rPr>
        <w:noBreakHyphen/>
        <w:t>161).</w:t>
      </w:r>
    </w:p>
    <w:p w14:paraId="227A7279" w14:textId="43963A96" w:rsidR="00220121" w:rsidRPr="00D435F2" w:rsidRDefault="00220121" w:rsidP="00D435F2">
      <w:pPr>
        <w:pStyle w:val="JuPara"/>
      </w:pPr>
      <w:fldSimple w:instr=" SEQ level0 \*arabic ">
        <w:r w:rsidR="00D435F2" w:rsidRPr="00D435F2">
          <w:t>40</w:t>
        </w:r>
      </w:fldSimple>
      <w:r>
        <w:t>.  Curtea observă că toate instanțele judiciare, și anume tribunalul districtual, Înalta Curte și Curtea Supremă, au constatat că legea era suficient de clar redactată la art. 114j(1) coroborat cu art. 114j(3) Codul penal și la art. 1(1)(i) din ordinul din 2016.</w:t>
      </w:r>
    </w:p>
    <w:p w14:paraId="0F75D46A" w14:textId="5B6343BD" w:rsidR="00220121" w:rsidRPr="00D435F2" w:rsidRDefault="00351901" w:rsidP="00D435F2">
      <w:pPr>
        <w:pStyle w:val="JuPara"/>
      </w:pPr>
      <w:fldSimple w:instr=" SEQ level0 \*arabic \* MERGEFORMAT ">
        <w:r w:rsidR="00D435F2" w:rsidRPr="00D435F2">
          <w:t>41</w:t>
        </w:r>
      </w:fldSimple>
      <w:r>
        <w:t xml:space="preserve">.  Acestea au examinat redactarea art. 114j și a notelor pregătitoare, potrivit cărora scopul general al art. 114j Codul penal era acela de a incrimina intrarea sau șederea într-o zonă aflată într-un conflict armat la care era parte un grup sau o asociație, astfel cum se menționează la art. 114e. Prin urmare, scopul intrării sau șederii era irelevant. Prin urmare, exista, de asemenea, intenția de a considera infracțiune cazul în care persoana relevantă a luptat împotriva unei organizații teroriste. Acest lucru a fost exprimat în mod clar în notele privind regimul autorizării prevăzut la art. 114j 4, care prevedea că nicio intrare și nicio ședere pentru a participa la un conflict armat sau pentru a sprijini </w:t>
      </w:r>
      <w:r>
        <w:rPr>
          <w:b/>
          <w:bCs/>
        </w:rPr>
        <w:t>oricare dintre părți</w:t>
      </w:r>
      <w:r>
        <w:t xml:space="preserve"> (subliniere adăugată) la conflictul armat ar constitui un scop meritoriu care ar putea justifica acordarea autorizației de intrare și ședere într-o zonă interzisă (a se vedea supra, pct. 23).</w:t>
      </w:r>
    </w:p>
    <w:p w14:paraId="7ECE74D2" w14:textId="4B86FE98" w:rsidR="00220121" w:rsidRPr="00D435F2" w:rsidRDefault="00351901" w:rsidP="00D435F2">
      <w:pPr>
        <w:pStyle w:val="JuPara"/>
      </w:pPr>
      <w:fldSimple w:instr=" SEQ level0 \*arabic \* MERGEFORMAT ">
        <w:r w:rsidR="00D435F2" w:rsidRPr="00D435F2">
          <w:t>42</w:t>
        </w:r>
      </w:fldSimple>
      <w:r>
        <w:t>.  Acestea au constatat, de asemenea, că din art. 1(1)(i) din ordinul din 2016, inclusiv harta anexată, rezultă suficient de clar că nu este legală intrarea și șederea în guvernoratul al-Raqa fără autorizație (a se vedea supra, pct. 12 și 15).</w:t>
      </w:r>
    </w:p>
    <w:p w14:paraId="1AA96CF9" w14:textId="7D4863FD" w:rsidR="00220121" w:rsidRPr="00D435F2" w:rsidRDefault="00351901" w:rsidP="00D435F2">
      <w:pPr>
        <w:pStyle w:val="JuPara"/>
      </w:pPr>
      <w:fldSimple w:instr=" SEQ level0 \*arabic \* MERGEFORMAT ">
        <w:r w:rsidR="00D435F2" w:rsidRPr="00D435F2">
          <w:t>43</w:t>
        </w:r>
      </w:fldSimple>
      <w:r>
        <w:t xml:space="preserve">.  Având în vedere cele de mai sus, Curtea nu identifică niciun motiv pentru a critica constatarea instanțelor interne în această privință (a se vedea supra, pct. 40). Având în vedere redactarea art. 114j și notele pregătitoare, este convinsă că infracțiunea a fost clar definită în lege și a îndeplinit cerințele în special în materie de accesibilitate și previzibilitate (a se vedea, de exemplu, </w:t>
      </w:r>
      <w:r>
        <w:rPr>
          <w:i/>
        </w:rPr>
        <w:t>Jorgic împotriva Germaniei</w:t>
      </w:r>
      <w:r>
        <w:t>, citată anterior, pct. 100). Rezultă că nu a fost încălcat art. 7 din Convenție cu privire la acest capăt de cerere.</w:t>
      </w:r>
    </w:p>
    <w:p w14:paraId="02868EDE" w14:textId="77777777" w:rsidR="00220121" w:rsidRPr="00D435F2" w:rsidRDefault="00220121" w:rsidP="00D435F2">
      <w:pPr>
        <w:pStyle w:val="JuHa0"/>
      </w:pPr>
      <w:r>
        <w:t>Cu privire la întrebarea dacă reclamantul ar fi trebuit să fie achitat întrucât ordinul din 2019 nu mai includea guvernoratul al-Raqqa</w:t>
      </w:r>
    </w:p>
    <w:p w14:paraId="7CBBCFB2" w14:textId="5CC85B40" w:rsidR="00220121" w:rsidRPr="00D435F2" w:rsidRDefault="00220121" w:rsidP="00D435F2">
      <w:pPr>
        <w:pStyle w:val="JuPara"/>
      </w:pPr>
      <w:fldSimple w:instr=" SEQ level0 \*arabic ">
        <w:r w:rsidR="00D435F2" w:rsidRPr="00D435F2">
          <w:t>44</w:t>
        </w:r>
      </w:fldSimple>
      <w:r>
        <w:t xml:space="preserve">.  Curtea reamintește că art. 7 § 1 din Convenție garantează nu doar principiul neretroactivității legii penale mai severe, ci și, implicit, principiul </w:t>
      </w:r>
      <w:r>
        <w:lastRenderedPageBreak/>
        <w:t xml:space="preserve">retroactivității legii penale mai favorabile. Acest principiu este încorporat în regula potrivit căreia, atunci când există diferențe între legea penală în vigoare la momentul comiterii infracțiunii și legile penale ulterioare adoptate înainte de pronunțarea unei hotărâri definitive, instanțele trebuie să aplice legea ale cărei dispoziții sunt cele mai favorabile acuzatului [a se vedea </w:t>
      </w:r>
      <w:r>
        <w:rPr>
          <w:i/>
        </w:rPr>
        <w:t>Scoppola împotriva Italiei (nr. 2)</w:t>
      </w:r>
      <w:r>
        <w:t xml:space="preserve"> (MC), nr. 10249/03, pct. 109, 17 septembrie 2009; </w:t>
      </w:r>
      <w:r>
        <w:rPr>
          <w:i/>
        </w:rPr>
        <w:t>Aviz consultativ privind utilizarea tehnicii „trimiterii absolute” sau a „legislație cu trimiteri” în definirea unei infracțiuni și standardele de comparație între legea penală în vigoare la momentul săvârșirii infracțiunii și legea penală modificată</w:t>
      </w:r>
      <w:r>
        <w:t xml:space="preserve"> (MC), cererea nr. P16-2019-001, Curtea Constituțională a Armeniei, pct. 81, 29 mai 2020 („</w:t>
      </w:r>
      <w:r>
        <w:rPr>
          <w:i/>
        </w:rPr>
        <w:t>avizul consultativ P16-2019-001</w:t>
      </w:r>
      <w:r>
        <w:t xml:space="preserve">”); și </w:t>
      </w:r>
      <w:r>
        <w:rPr>
          <w:i/>
        </w:rPr>
        <w:t>Jidic</w:t>
      </w:r>
      <w:r>
        <w:t xml:space="preserve">, citată anterior, pct. 80). Principiul aplicării retrospective a legii penale mai favorabile se aplică, de asemenea, în contextul unei modificări referitoare la definiția infracțiunii (a se vedea </w:t>
      </w:r>
      <w:r>
        <w:rPr>
          <w:i/>
          <w:iCs/>
        </w:rPr>
        <w:t xml:space="preserve">Parmak și Bakır împotriva </w:t>
      </w:r>
      <w:r>
        <w:rPr>
          <w:i/>
        </w:rPr>
        <w:t>Turciei</w:t>
      </w:r>
      <w:r>
        <w:t xml:space="preserve">, nr. 22429/07 și 25195/07, pct. 64, 3 decembrie 2019, și </w:t>
      </w:r>
      <w:r>
        <w:rPr>
          <w:i/>
        </w:rPr>
        <w:t>avizul consultativ P16-2019-001</w:t>
      </w:r>
      <w:r>
        <w:t>, citat anterior, pct. 82).</w:t>
      </w:r>
    </w:p>
    <w:p w14:paraId="4C1BD035" w14:textId="6F23F71C" w:rsidR="00220121" w:rsidRPr="00D435F2" w:rsidRDefault="00220121" w:rsidP="00D435F2">
      <w:pPr>
        <w:pStyle w:val="JuPara"/>
      </w:pPr>
      <w:fldSimple w:instr=" SEQ level0 \*arabic ">
        <w:r w:rsidR="00D435F2" w:rsidRPr="00D435F2">
          <w:t>45</w:t>
        </w:r>
      </w:fldSimple>
      <w:r>
        <w:t xml:space="preserve">.  Nu este sarcina Curții să verifice </w:t>
      </w:r>
      <w:r>
        <w:rPr>
          <w:i/>
        </w:rPr>
        <w:t>in abstracto</w:t>
      </w:r>
      <w:r>
        <w:t xml:space="preserve"> dacă presupusa neaplicare retroactivă a noii legi penale este, </w:t>
      </w:r>
      <w:r>
        <w:rPr>
          <w:i/>
        </w:rPr>
        <w:t>per se,</w:t>
      </w:r>
      <w:r>
        <w:t xml:space="preserve"> incompatibilă cu art. 7 din Convenție. Această chestiune trebuie apreciată de la caz la caz, luând în considerare circumstanțele specifice fiecărei cauze și, în special, dacă instanțele interne au aplicat legea ale cărei dispoziții sunt cele mai favorabile pârâtului [a se vedea </w:t>
      </w:r>
      <w:r>
        <w:rPr>
          <w:i/>
        </w:rPr>
        <w:t>Maktouf și Damjanović împotriva Bosniei și Herțegovinei</w:t>
      </w:r>
      <w:r>
        <w:t xml:space="preserve"> [(MC), nr. 2312/08 și 34179/08, pct. 65, CEDO 2013, și </w:t>
      </w:r>
      <w:r>
        <w:rPr>
          <w:i/>
          <w:iCs/>
        </w:rPr>
        <w:t>Jidic</w:t>
      </w:r>
      <w:r>
        <w:t xml:space="preserve">, citată anterior, pct. 82]. Ceea ce este crucial este să se stabilească dacă, în urma unei evaluări concrete a faptelor concrete, aplicarea unei legi penale în locul celeilalte nu a pus pârâtul într-o poziție dezavantajoasă în ceea ce privește condamnarea primită (a se vedea </w:t>
      </w:r>
      <w:r>
        <w:rPr>
          <w:i/>
        </w:rPr>
        <w:t>Maktouf și Damjanović,</w:t>
      </w:r>
      <w:r>
        <w:t xml:space="preserve"> citată anterior, pct. 69-70, și </w:t>
      </w:r>
      <w:r>
        <w:rPr>
          <w:i/>
        </w:rPr>
        <w:t>Jidic</w:t>
      </w:r>
      <w:r>
        <w:t>, citată anterior, pct. 85).</w:t>
      </w:r>
    </w:p>
    <w:p w14:paraId="620F547F" w14:textId="165C30D9" w:rsidR="00220121" w:rsidRPr="00D435F2" w:rsidRDefault="00220121" w:rsidP="00D435F2">
      <w:pPr>
        <w:pStyle w:val="JuPara"/>
      </w:pPr>
      <w:fldSimple w:instr=" SEQ level0 \*arabic ">
        <w:r w:rsidR="00D435F2" w:rsidRPr="00D435F2">
          <w:t>46</w:t>
        </w:r>
      </w:fldSimple>
      <w:r>
        <w:t xml:space="preserve">.  Chiar dacă principiul concretizării a fost dezvoltat în cauze legate de modificarea sancțiunilor relevante, Curtea consideră că același principiu se aplică și în cauzele care implică o comparație între definiția infracțiunii la momentul săvârșirii acesteia și modificarea ulterioară (a se vedea </w:t>
      </w:r>
      <w:r>
        <w:rPr>
          <w:i/>
        </w:rPr>
        <w:t>avizul consultativ</w:t>
      </w:r>
      <w:r>
        <w:t xml:space="preserve"> </w:t>
      </w:r>
      <w:r>
        <w:rPr>
          <w:i/>
        </w:rPr>
        <w:t>P16-2019-001</w:t>
      </w:r>
      <w:r>
        <w:t xml:space="preserve">, citat anterior, pct. 90). </w:t>
      </w:r>
    </w:p>
    <w:p w14:paraId="012984C7" w14:textId="42D123A7" w:rsidR="00220121" w:rsidRPr="00D435F2" w:rsidRDefault="00220121" w:rsidP="00D435F2">
      <w:pPr>
        <w:pStyle w:val="JuPara"/>
      </w:pPr>
      <w:fldSimple w:instr=" SEQ level0 \*arabic ">
        <w:r w:rsidR="00D435F2" w:rsidRPr="00D435F2">
          <w:t>47</w:t>
        </w:r>
      </w:fldSimple>
      <w:r>
        <w:t xml:space="preserve">.  Curtea Supremă a examinat dacă, în temeiul art. 3(1) Codul penal, reclamantul ar trebui să fie achitat, întrucât, în temeiul ordinului din 2019, care a intrat în vigoare la 11 iulie 2019, nu mai exista interdicție de intrare sau de ședere în guvernoratul al-Raqqa din Siria fără autorizație. Din art. 3(1) rezultă că dacă legea penală aplicabilă la momentul judecării unei fapte era diferită de legea în vigoare la momentul comiterii faptei respective, chestiunile privitoare la angajarea răspunderii și la stabilirea pedepsei aplicabile se soluționau potrivit legii mai noi, cu condiția ca pedeapsa aplicată să nu fie mai severă decât cea aplicabilă potrivit legii vechi. În cazul în care statutul nu se mai aplica din cauza circumstanțelor extrinsece irelevante </w:t>
      </w:r>
      <w:r>
        <w:lastRenderedPageBreak/>
        <w:t>pentru chestiunea vinovăției, fapta penală trebuia judecată în temeiul fostului statut.</w:t>
      </w:r>
    </w:p>
    <w:p w14:paraId="30D76457" w14:textId="0A93CEAC" w:rsidR="00220121" w:rsidRPr="00D435F2" w:rsidRDefault="00351901" w:rsidP="00D435F2">
      <w:pPr>
        <w:pStyle w:val="JuPara"/>
      </w:pPr>
      <w:fldSimple w:instr=" SEQ level0 \*arabic \* MERGEFORMAT ">
        <w:r w:rsidR="00D435F2" w:rsidRPr="00D435F2">
          <w:t>48</w:t>
        </w:r>
      </w:fldSimple>
      <w:r>
        <w:t>.  Curtea Supremă a luat act de faptul că ministrul Justiției, într-un comunicat de presă și într-o scrisoare de informare adresată Parlamentului danez, datate aprilie și, respectiv, iulie 2019 (a se vedea supra, pct. 27 și 28), declarase că situația din Siria a evoluat de la adoptarea ordinului din 2016, astfel încât era oportun să se actualizeze aria geografică de aplicare a ordinului. Organizația teroristă IS nu mai controla niciun teritoriu din Siria, iar numărul luptătorilor străini din vestul țării se modificase, de asemenea.</w:t>
      </w:r>
    </w:p>
    <w:p w14:paraId="03F40E45" w14:textId="04F1CE10" w:rsidR="00220121" w:rsidRPr="00D435F2" w:rsidRDefault="00351901" w:rsidP="00D435F2">
      <w:pPr>
        <w:pStyle w:val="JuPara"/>
      </w:pPr>
      <w:fldSimple w:instr=" SEQ level0 \*arabic \* MERGEFORMAT ">
        <w:r w:rsidR="00D435F2" w:rsidRPr="00D435F2">
          <w:t>49</w:t>
        </w:r>
      </w:fldSimple>
      <w:r>
        <w:t>.  Curtea Supremă a observat, de asemenea, că ordinul din 2019 nu a revizuit domeniul de aplicare al sancțiunilor prevăzute la art. 114j Codul penal. În plus, în opinia Curții Supreme, ordinul din 2019 nu a redefinit vinovăția persoanelor care au încălcat interdicția de intrare și de ședere în zonele interzise enumerate în ordinul din 2016, fără autorizație. Abrogarea ordinului din 2016 a fost atribuită doar circumstanțelor extrinseci care au rezultat din modificările specifice ale situației din Siria care au avut loc după data săvârșirii infracțiunii și, prin urmare, nu au avut relevanță în ceea ce privește chestiunea vinovăției.</w:t>
      </w:r>
    </w:p>
    <w:p w14:paraId="165C23EA" w14:textId="39288363" w:rsidR="00220121" w:rsidRPr="00D435F2" w:rsidRDefault="00351901" w:rsidP="00D435F2">
      <w:pPr>
        <w:pStyle w:val="JuPara"/>
      </w:pPr>
      <w:fldSimple w:instr=" SEQ level0 \*arabic \* MERGEFORMAT ">
        <w:r w:rsidR="00D435F2" w:rsidRPr="00D435F2">
          <w:t>50</w:t>
        </w:r>
      </w:fldSimple>
      <w:r>
        <w:t>.  În concluzie, Curtea Supremă a constatat că trebuia ca acțiunile reclamantului să fie judecate în temeiul dreptului penal aplicabil la momentul săvârșirii infracțiunii [a se vedea art. 3(1) teza a doua Codul penal].</w:t>
      </w:r>
    </w:p>
    <w:p w14:paraId="47BF67AE" w14:textId="1FBE7D19" w:rsidR="00220121" w:rsidRPr="00D435F2" w:rsidRDefault="00351901" w:rsidP="00D435F2">
      <w:pPr>
        <w:pStyle w:val="JuPara"/>
      </w:pPr>
      <w:fldSimple w:instr=" SEQ level0 \*arabic \* MERGEFORMAT ">
        <w:r w:rsidR="00D435F2" w:rsidRPr="00D435F2">
          <w:t>51</w:t>
        </w:r>
      </w:fldSimple>
      <w:r>
        <w:t>.  În plus, având în vedere jurisprudența Curții, a considerat că sancționarea reclamantului nu ar fi contrară art. 7 din Convenție.</w:t>
      </w:r>
    </w:p>
    <w:p w14:paraId="7CE64E25" w14:textId="0997C582" w:rsidR="00220121" w:rsidRPr="00D435F2" w:rsidRDefault="00220121" w:rsidP="00D435F2">
      <w:pPr>
        <w:pStyle w:val="JuPara"/>
        <w:rPr>
          <w:rFonts w:cstheme="minorHAnsi"/>
        </w:rPr>
      </w:pPr>
      <w:r w:rsidRPr="00D435F2">
        <w:rPr>
          <w:rFonts w:cstheme="minorHAnsi"/>
        </w:rPr>
        <w:fldChar w:fldCharType="begin"/>
      </w:r>
      <w:r w:rsidRPr="00D435F2">
        <w:rPr>
          <w:rFonts w:cstheme="minorHAnsi"/>
        </w:rPr>
        <w:instrText xml:space="preserve"> SEQ level0 \*arabic \* MERGEFORMAT </w:instrText>
      </w:r>
      <w:r w:rsidRPr="00D435F2">
        <w:rPr>
          <w:rFonts w:cstheme="minorHAnsi"/>
        </w:rPr>
        <w:fldChar w:fldCharType="separate"/>
      </w:r>
      <w:r w:rsidR="00D435F2" w:rsidRPr="00D435F2">
        <w:rPr>
          <w:rFonts w:cstheme="minorHAnsi"/>
        </w:rPr>
        <w:t>52</w:t>
      </w:r>
      <w:r w:rsidRPr="00D435F2">
        <w:rPr>
          <w:rFonts w:cstheme="minorHAnsi"/>
        </w:rPr>
        <w:fldChar w:fldCharType="end"/>
      </w:r>
      <w:r>
        <w:t xml:space="preserve">.  Curtea observă că prezenta cauză diferă în mod semnificativ de jurisprudența sa anterioară privind principiul retroactivității dreptului penal mai favorabil. Aceasta reamintește că a constatat o încălcare în cauzele în care legea penală sau procedura penală a fost modificată (a se vedea, printre altele, </w:t>
      </w:r>
      <w:r>
        <w:rPr>
          <w:i/>
        </w:rPr>
        <w:t>Scoppola</w:t>
      </w:r>
      <w:r>
        <w:t xml:space="preserve">, citată anterior, și </w:t>
      </w:r>
      <w:r>
        <w:rPr>
          <w:i/>
        </w:rPr>
        <w:t>Sinan Çetinkaya și Ağyar Çetinkaya împotriva Turciei</w:t>
      </w:r>
      <w:r>
        <w:t xml:space="preserve">, nr. 74536/10, 24 mai 2022) sau atunci când instanțele naționale și-au exercitat ulterior puterea de apreciere judiciară într-un mod extins, adoptând o interpretare neconformă atât cu jurisprudența națională predominantă, cât și cu esența infracțiunii, astfel cum era definită de dreptul național (a se vedea, de exemplu, </w:t>
      </w:r>
      <w:r>
        <w:rPr>
          <w:i/>
        </w:rPr>
        <w:t>Parmak și Bakır</w:t>
      </w:r>
      <w:r>
        <w:t>, citată anterior). Cu toate acestea, în prezenta cauză, Codul penal și procedura au rămas neschimbate. Modificarea din ordinul din 2019 privea doar schimbarea circumstanțelor de fapt care au avut loc după data infracțiunii, care au rezultat din modificările specifice situației din Siria. Prin urmare, nu avea nicio legătură cu evaluarea faptei penale săvârșite în 2016/2017 (a se vedea supra, pct. 17).</w:t>
      </w:r>
    </w:p>
    <w:p w14:paraId="3B3E0D35" w14:textId="53B232B9" w:rsidR="00220121" w:rsidRPr="00D435F2" w:rsidRDefault="00220121" w:rsidP="00D435F2">
      <w:pPr>
        <w:pStyle w:val="JuPara"/>
        <w:rPr>
          <w:rFonts w:cstheme="minorHAnsi"/>
        </w:rPr>
      </w:pPr>
      <w:r w:rsidRPr="00D435F2">
        <w:rPr>
          <w:rFonts w:cstheme="minorHAnsi"/>
        </w:rPr>
        <w:fldChar w:fldCharType="begin"/>
      </w:r>
      <w:r w:rsidRPr="00D435F2">
        <w:rPr>
          <w:rFonts w:cstheme="minorHAnsi"/>
        </w:rPr>
        <w:instrText xml:space="preserve"> SEQ level0 \*arabic \* MERGEFORMAT </w:instrText>
      </w:r>
      <w:r w:rsidRPr="00D435F2">
        <w:rPr>
          <w:rFonts w:cstheme="minorHAnsi"/>
        </w:rPr>
        <w:fldChar w:fldCharType="separate"/>
      </w:r>
      <w:r w:rsidR="00D435F2" w:rsidRPr="00D435F2">
        <w:rPr>
          <w:rFonts w:cstheme="minorHAnsi"/>
        </w:rPr>
        <w:t>53</w:t>
      </w:r>
      <w:r w:rsidRPr="00D435F2">
        <w:rPr>
          <w:rFonts w:cstheme="minorHAnsi"/>
        </w:rPr>
        <w:fldChar w:fldCharType="end"/>
      </w:r>
      <w:r>
        <w:t>.  În lumina considerentelor de mai sus, Curtea nu vede niciun motiv pentru a pune în discuție constatarea Curții Supreme potrivit căreia trebuia ca acțiunile reclamantului să fie judecate în temeiul dreptului penal aplicabil la momentul săvârșirii infracțiunii, în conformitate cu art. 3(1) teza a doua Codul penal.</w:t>
      </w:r>
    </w:p>
    <w:p w14:paraId="0DCC617F" w14:textId="666EFC52" w:rsidR="00220121" w:rsidRPr="00D435F2" w:rsidRDefault="00220121" w:rsidP="00D435F2">
      <w:pPr>
        <w:pStyle w:val="JuPara"/>
        <w:rPr>
          <w:rFonts w:cstheme="minorHAnsi"/>
        </w:rPr>
      </w:pPr>
      <w:r w:rsidRPr="00D435F2">
        <w:rPr>
          <w:rFonts w:cstheme="minorHAnsi"/>
        </w:rPr>
        <w:lastRenderedPageBreak/>
        <w:fldChar w:fldCharType="begin"/>
      </w:r>
      <w:r w:rsidRPr="00D435F2">
        <w:rPr>
          <w:rFonts w:cstheme="minorHAnsi"/>
        </w:rPr>
        <w:instrText xml:space="preserve"> SEQ level0 \*arabic \* MERGEFORMAT </w:instrText>
      </w:r>
      <w:r w:rsidRPr="00D435F2">
        <w:rPr>
          <w:rFonts w:cstheme="minorHAnsi"/>
        </w:rPr>
        <w:fldChar w:fldCharType="separate"/>
      </w:r>
      <w:r w:rsidR="00D435F2" w:rsidRPr="00D435F2">
        <w:rPr>
          <w:rFonts w:cstheme="minorHAnsi"/>
        </w:rPr>
        <w:t>54</w:t>
      </w:r>
      <w:r w:rsidRPr="00D435F2">
        <w:rPr>
          <w:rFonts w:cstheme="minorHAnsi"/>
        </w:rPr>
        <w:fldChar w:fldCharType="end"/>
      </w:r>
      <w:r>
        <w:t>.  Rezultă că nu a fost încălcat art. 7 din Convenție cu privire la acest capăt de cerere.</w:t>
      </w:r>
    </w:p>
    <w:p w14:paraId="46C40B34" w14:textId="2BCE9EA2" w:rsidR="00220121" w:rsidRPr="00D435F2" w:rsidRDefault="00C13CF7" w:rsidP="00D435F2">
      <w:pPr>
        <w:pStyle w:val="JuHIRoman"/>
        <w:numPr>
          <w:ilvl w:val="0"/>
          <w:numId w:val="0"/>
        </w:numPr>
        <w:tabs>
          <w:tab w:val="clear" w:pos="454"/>
          <w:tab w:val="clear" w:pos="539"/>
          <w:tab w:val="left" w:pos="426"/>
        </w:tabs>
      </w:pPr>
      <w:r>
        <w:t>II.   CU PRIVIRE LA PRETINSA ÎNCĂLCARE A ART. 2 DIN PROTOCOLUL NR. 4 LA CONVENȚIE</w:t>
      </w:r>
    </w:p>
    <w:p w14:paraId="5E253073" w14:textId="2F90B037" w:rsidR="00220121" w:rsidRPr="00D435F2" w:rsidRDefault="00220121" w:rsidP="00D435F2">
      <w:pPr>
        <w:pStyle w:val="JuPara"/>
      </w:pPr>
      <w:fldSimple w:instr=" SEQ level0 \*arabic ">
        <w:r w:rsidR="00D435F2" w:rsidRPr="00D435F2">
          <w:t>55</w:t>
        </w:r>
      </w:fldSimple>
      <w:r>
        <w:t>.  Reclamantul s-a plâns că a fost condamnat cu încălcarea art. 2 din Protocolul nr. 4 la Convenție, care este redactat după cum urmează:</w:t>
      </w:r>
    </w:p>
    <w:p w14:paraId="53C0A16A" w14:textId="77777777" w:rsidR="00220121" w:rsidRPr="00D435F2" w:rsidRDefault="00220121" w:rsidP="00D435F2">
      <w:pPr>
        <w:pStyle w:val="JuQuot"/>
      </w:pPr>
      <w:r>
        <w:t>„1.  Oricine se găsește în mod legal pe teritoriul unui stat are dreptul să circule în mod liber și să-și aleagă în mod liber reședința sa.</w:t>
      </w:r>
    </w:p>
    <w:p w14:paraId="1FFD4018" w14:textId="77777777" w:rsidR="00220121" w:rsidRPr="00D435F2" w:rsidRDefault="00220121" w:rsidP="00D435F2">
      <w:pPr>
        <w:pStyle w:val="JuQuot"/>
      </w:pPr>
      <w:r>
        <w:t>2.  Orice persoană este liberă să părăseascã orice țară, inclusiv pe a sa.</w:t>
      </w:r>
    </w:p>
    <w:p w14:paraId="5190915D" w14:textId="77777777" w:rsidR="00220121" w:rsidRPr="00D435F2" w:rsidRDefault="00220121" w:rsidP="00D435F2">
      <w:pPr>
        <w:pStyle w:val="JuQuot"/>
      </w:pPr>
      <w:r>
        <w:t>3.  Exercitarea acestor drepturi nu poate face obiectul altor restrângeri decât acelea care, prevăzute de lege, constituie măsuri necesare, într-o societate democratică, pentru securitatea națională, siguranța publică, menținerea ordinii publice, prevenirea faptelor penale, protecția sănătății sau a moralei, ori pentru protejarea drepturilor și libertăților altora.</w:t>
      </w:r>
    </w:p>
    <w:p w14:paraId="322582EA" w14:textId="77777777" w:rsidR="00220121" w:rsidRPr="00D435F2" w:rsidRDefault="00220121" w:rsidP="00D435F2">
      <w:pPr>
        <w:pStyle w:val="JuQuot"/>
      </w:pPr>
      <w:r>
        <w:t>4.  Drepturile recunoscute în paragraful 1 pot, de asemenea, în anumite zone determinate, să facă obiectul unor restrângeri care, prevăzute de lege, sunt justificate de interesul public într-o societate democratică.”</w:t>
      </w:r>
    </w:p>
    <w:p w14:paraId="641C1496" w14:textId="6756B6A4" w:rsidR="00220121" w:rsidRPr="00D435F2" w:rsidRDefault="00184E33" w:rsidP="00D435F2">
      <w:pPr>
        <w:pStyle w:val="JuHA"/>
        <w:numPr>
          <w:ilvl w:val="0"/>
          <w:numId w:val="0"/>
        </w:numPr>
        <w:ind w:left="851" w:hanging="142"/>
      </w:pPr>
      <w:r>
        <w:t>A.  Cu privire la admisibilitate</w:t>
      </w:r>
    </w:p>
    <w:p w14:paraId="244EA692" w14:textId="139DADDB" w:rsidR="00220121" w:rsidRPr="00D435F2" w:rsidRDefault="00351901" w:rsidP="00D435F2">
      <w:pPr>
        <w:pStyle w:val="JuPara"/>
      </w:pPr>
      <w:fldSimple w:instr=" SEQ level0 \*arabic \* MERGEFORMAT ">
        <w:r w:rsidR="00D435F2" w:rsidRPr="00D435F2">
          <w:t>56</w:t>
        </w:r>
      </w:fldSimple>
      <w:r>
        <w:t>.  Guvernul a susținut că era necesar ca această cerere să fie declarată inadmisibilă întrucât este în mod vădit nefondată.</w:t>
      </w:r>
    </w:p>
    <w:p w14:paraId="7858EDFA" w14:textId="6EE1C667" w:rsidR="00220121" w:rsidRPr="00D435F2" w:rsidRDefault="00220121" w:rsidP="00D435F2">
      <w:pPr>
        <w:pStyle w:val="JuPara"/>
      </w:pPr>
      <w:fldSimple w:instr=" SEQ level0 \*arabic ">
        <w:r w:rsidR="00D435F2" w:rsidRPr="00D435F2">
          <w:t>57</w:t>
        </w:r>
      </w:fldSimple>
      <w:r>
        <w:t>.  Reclamantul a respins acest argument.</w:t>
      </w:r>
    </w:p>
    <w:p w14:paraId="06AE7FD8" w14:textId="233776EF" w:rsidR="00220121" w:rsidRPr="00D435F2" w:rsidRDefault="00220121" w:rsidP="00D435F2">
      <w:pPr>
        <w:pStyle w:val="JuPara"/>
      </w:pPr>
      <w:fldSimple w:instr=" SEQ level0 \*arabic ">
        <w:r w:rsidR="00D435F2" w:rsidRPr="00D435F2">
          <w:t>58</w:t>
        </w:r>
      </w:fldSimple>
      <w:r>
        <w:t>.  Curtea constată că această cerere nu este nici vădit nefondată, nici inadmisibilă pentru alte motive enumerate la art. 35 din Convenție. Prin urmare, este necesar să fie declarată admisibilă.</w:t>
      </w:r>
    </w:p>
    <w:p w14:paraId="6F6B23DC" w14:textId="202B6A0E" w:rsidR="00220121" w:rsidRPr="00D435F2" w:rsidRDefault="00220121" w:rsidP="00D435F2">
      <w:pPr>
        <w:pStyle w:val="JuHA"/>
        <w:numPr>
          <w:ilvl w:val="0"/>
          <w:numId w:val="0"/>
        </w:numPr>
        <w:ind w:left="851" w:hanging="142"/>
      </w:pPr>
      <w:r>
        <w:t>B. Cu privire la fond</w:t>
      </w:r>
    </w:p>
    <w:p w14:paraId="021A9979" w14:textId="62E5BFD2" w:rsidR="00220121" w:rsidRPr="00D435F2" w:rsidRDefault="00220121" w:rsidP="00D435F2">
      <w:pPr>
        <w:pStyle w:val="JuPara"/>
      </w:pPr>
      <w:fldSimple w:instr=" SEQ level0 \*arabic ">
        <w:r w:rsidR="00D435F2" w:rsidRPr="00D435F2">
          <w:t>59</w:t>
        </w:r>
      </w:fldSimple>
      <w:r>
        <w:t>.  Reclamantul a susținut că restricția privind intrarea și șederea sa în districtul al-Raqqa nu era conformă cu legea sau necesară într-o societate democratică. A subliniat în această privință că nu a pactizat cu o organizație teroristă sau o parte similară. Dimpotrivă, a dorit să contribuie în mod activ la protecția democrației, inclusiv împotriva atacurilor teroriste. În opinia sa, luptătorii străini împotriva teroriștilor nu intrau în sfera art. 114j Codul penal și nici nu existau argumente substanțiale pentru includerea lor.</w:t>
      </w:r>
    </w:p>
    <w:p w14:paraId="79D73538" w14:textId="6031853E" w:rsidR="00220121" w:rsidRPr="00D435F2" w:rsidRDefault="00351901" w:rsidP="00D435F2">
      <w:pPr>
        <w:pStyle w:val="JuPara"/>
      </w:pPr>
      <w:fldSimple w:instr=" SEQ level0 \*arabic \* MERGEFORMAT ">
        <w:r w:rsidR="00D435F2" w:rsidRPr="00D435F2">
          <w:t>60</w:t>
        </w:r>
      </w:fldSimple>
      <w:r>
        <w:t xml:space="preserve">.  Guvernul a susținut că ingerința fusese prevăzută de lege și urmărise scopuri legitime legate de securitatea națională, siguranța publică și prevenirea infracțiunilor. Din notele pregătitoare la art. 114 j reiese că scopul a fost de a facilita pedepsirea persoanelor care au utilizat dreptul de intrare sau ședere într-o zonă de conflict pentru a participa la un conflict armat, alături, de exemplu, de o organizație teroristă, întrucât ar fi suficient să se </w:t>
      </w:r>
      <w:r>
        <w:lastRenderedPageBreak/>
        <w:t>probeze că persoana în cauză a utilizat dreptul de intrare sau ședere într-o zonă desemnată fără autorizație.</w:t>
      </w:r>
      <w:r>
        <w:rPr>
          <w:sz w:val="23"/>
        </w:rPr>
        <w:t xml:space="preserve"> </w:t>
      </w:r>
      <w:r>
        <w:t>Nu era decisiv cu ce parte din conflictul armat s-a aliat persoana în cauză. În plus, ingerința fusese necesară într-o societate democratică și proporțională cu scopul urmărit. Guvernul a făcut trimitere în special la motivele invocate de Curtea Supremă.</w:t>
      </w:r>
    </w:p>
    <w:p w14:paraId="5026A5E9" w14:textId="1653DA4A" w:rsidR="00220121" w:rsidRPr="00D435F2" w:rsidRDefault="00220121" w:rsidP="00D435F2">
      <w:pPr>
        <w:pStyle w:val="JuPara"/>
      </w:pPr>
      <w:fldSimple w:instr=" SEQ level0 \*arabic ">
        <w:r w:rsidR="00D435F2" w:rsidRPr="00D435F2">
          <w:t>61</w:t>
        </w:r>
      </w:fldSimple>
      <w:r>
        <w:t xml:space="preserve">.  Curtea reamintește că </w:t>
      </w:r>
      <w:bookmarkStart w:id="5" w:name="lt_pId047"/>
      <w:r>
        <w:t xml:space="preserve">art. 2 din Protocolul nr. 4 garantează că orice persoană este liberă să părăsească orice țară, inclusiv propria țară. Prevederea nu abordează în mod direct restricțiile privind deplasarea în anumite zone din alte țări. Cu toate acestea, implică dreptul de a călători în orice țară, la alegerea persoanei, în care poate fi admisă (a se vedea, </w:t>
      </w:r>
      <w:r>
        <w:rPr>
          <w:i/>
        </w:rPr>
        <w:t>inter alia</w:t>
      </w:r>
      <w:r>
        <w:t xml:space="preserve">, </w:t>
      </w:r>
      <w:r>
        <w:rPr>
          <w:i/>
        </w:rPr>
        <w:t>Baumann împotriva Franței</w:t>
      </w:r>
      <w:r>
        <w:t xml:space="preserve">, nr. 33592/96, pct. 61, CEDO 2001-V, și </w:t>
      </w:r>
      <w:r>
        <w:rPr>
          <w:i/>
        </w:rPr>
        <w:t>Khlyustov împotriva Rusiei</w:t>
      </w:r>
      <w:r>
        <w:t>, nr. 28975/05, pct. 64, 11 iulie 2013).</w:t>
      </w:r>
      <w:bookmarkEnd w:id="5"/>
    </w:p>
    <w:p w14:paraId="75B7C9DC" w14:textId="70440059" w:rsidR="00220121" w:rsidRPr="00D435F2" w:rsidRDefault="00220121" w:rsidP="00D435F2">
      <w:pPr>
        <w:pStyle w:val="JuPara"/>
        <w:rPr>
          <w:rFonts w:eastAsia="Times New Roman"/>
          <w:sz w:val="17"/>
          <w:szCs w:val="17"/>
        </w:rPr>
      </w:pPr>
      <w:r w:rsidRPr="00D435F2">
        <w:rPr>
          <w:rFonts w:eastAsia="Times New Roman"/>
        </w:rPr>
        <w:fldChar w:fldCharType="begin"/>
      </w:r>
      <w:r w:rsidRPr="00D435F2">
        <w:rPr>
          <w:rFonts w:eastAsia="Times New Roman"/>
        </w:rPr>
        <w:instrText xml:space="preserve"> SEQ level0 \*arabic \* MERGEFORMAT </w:instrText>
      </w:r>
      <w:r w:rsidRPr="00D435F2">
        <w:rPr>
          <w:rFonts w:eastAsia="Times New Roman"/>
        </w:rPr>
        <w:fldChar w:fldCharType="separate"/>
      </w:r>
      <w:r w:rsidR="00D435F2" w:rsidRPr="00D435F2">
        <w:rPr>
          <w:rFonts w:eastAsia="Times New Roman"/>
        </w:rPr>
        <w:t>62</w:t>
      </w:r>
      <w:r w:rsidRPr="00D435F2">
        <w:rPr>
          <w:rFonts w:eastAsia="Times New Roman"/>
        </w:rPr>
        <w:fldChar w:fldCharType="end"/>
      </w:r>
      <w:r>
        <w:t xml:space="preserve">.  În speță, reclamantul era liber să părăsească Danemarca. Cu toate acestea, în contextul prevenirii participării la conflictele armate din străinătate, în temeiul art. 114j(1) coroborat cu art. 114j(3) Codul penal și cu art. 1(1) din ordinul din 2016, acestuia i se interzicea, în calitate de resortisant danez, intrarea și șederea în guvernoratul al-Raqqa din Siria fără autorizație din partea statului danez. Pornind de la ipoteza că o astfel de restricție intră sub incidența art. 2 din Protocolul nr. 4, trebuie, așadar, să se examineze dacă ingerința a fost „prevăzută de lege”, a urmărit unul sau mai multe dintre scopurile legitime prevăzute la art. 2 § 3 din Protocolul nr. 4 și a fost „necesară într-o societate democratică” pentru atingerea acestui scop [a se vedea </w:t>
      </w:r>
      <w:r>
        <w:rPr>
          <w:i/>
        </w:rPr>
        <w:t>Nalbantski împotriva Bulgariei</w:t>
      </w:r>
      <w:r>
        <w:t xml:space="preserve">, nr. 30943/04, pct. 61, 10 februarie 2011; </w:t>
      </w:r>
      <w:r>
        <w:rPr>
          <w:i/>
        </w:rPr>
        <w:t>Stamose împotriva Bulgariei</w:t>
      </w:r>
      <w:r>
        <w:t xml:space="preserve">, nr. 29713/05, pct. 30, CEDO 2012; </w:t>
      </w:r>
      <w:r>
        <w:rPr>
          <w:i/>
        </w:rPr>
        <w:t xml:space="preserve">Kerimli împotriva </w:t>
      </w:r>
      <w:r>
        <w:rPr>
          <w:i/>
          <w:iCs/>
        </w:rPr>
        <w:t>Azerbaidjanului</w:t>
      </w:r>
      <w:r>
        <w:t xml:space="preserve">, nr. 3967/09, pct. 45, 16 iulie 2015, și </w:t>
      </w:r>
      <w:r>
        <w:rPr>
          <w:i/>
        </w:rPr>
        <w:t>De Tommaso împotriva Italiei</w:t>
      </w:r>
      <w:r>
        <w:t xml:space="preserve"> (MC), nr. </w:t>
      </w:r>
      <w:hyperlink r:id="rId15" w:anchor="{%22appno%22:[%2243395/09%22]}" w:tgtFrame="_blank" w:history="1">
        <w:r>
          <w:t>43395/09</w:t>
        </w:r>
      </w:hyperlink>
      <w:r>
        <w:t>, pct. 105, 23 februarie 2017].</w:t>
      </w:r>
    </w:p>
    <w:bookmarkStart w:id="6" w:name="lt_pId055"/>
    <w:p w14:paraId="3585616F" w14:textId="1A26C319" w:rsidR="00220121" w:rsidRPr="00D435F2" w:rsidRDefault="00220121" w:rsidP="00D435F2">
      <w:pPr>
        <w:pStyle w:val="JuPara"/>
        <w:rPr>
          <w:rFonts w:eastAsia="Times New Roman"/>
        </w:rPr>
      </w:pPr>
      <w:r w:rsidRPr="00D435F2">
        <w:rPr>
          <w:rFonts w:eastAsia="Times New Roman"/>
        </w:rPr>
        <w:fldChar w:fldCharType="begin"/>
      </w:r>
      <w:r w:rsidRPr="00D435F2">
        <w:rPr>
          <w:rFonts w:eastAsia="Times New Roman"/>
        </w:rPr>
        <w:instrText xml:space="preserve"> SEQ level0 \*arabic \* MERGEFORMAT </w:instrText>
      </w:r>
      <w:r w:rsidRPr="00D435F2">
        <w:rPr>
          <w:rFonts w:eastAsia="Times New Roman"/>
        </w:rPr>
        <w:fldChar w:fldCharType="separate"/>
      </w:r>
      <w:r w:rsidR="00D435F2" w:rsidRPr="00D435F2">
        <w:rPr>
          <w:rFonts w:eastAsia="Times New Roman"/>
        </w:rPr>
        <w:t>63</w:t>
      </w:r>
      <w:r w:rsidRPr="00D435F2">
        <w:rPr>
          <w:rFonts w:eastAsia="Times New Roman"/>
        </w:rPr>
        <w:fldChar w:fldCharType="end"/>
      </w:r>
      <w:r>
        <w:t xml:space="preserve">.  În ceea ce privește legalitatea, Curtea face trimitere la constatările sale în temeiul art. 7 din Convenție (a se vedea supra, pct. 40-44; a se vedea de asemenea, de exemplu, </w:t>
      </w:r>
      <w:r>
        <w:rPr>
          <w:i/>
        </w:rPr>
        <w:t>Baldassi și alții împotriva Franței</w:t>
      </w:r>
      <w:r>
        <w:t>, nr. 15271/16 și alte 6 cereri, pct. 41 și 59, 11 iunie 2020).</w:t>
      </w:r>
    </w:p>
    <w:bookmarkEnd w:id="6"/>
    <w:p w14:paraId="626319A4" w14:textId="3AFF6901" w:rsidR="00220121" w:rsidRPr="00D435F2" w:rsidRDefault="00220121" w:rsidP="00D435F2">
      <w:pPr>
        <w:pStyle w:val="JuPara"/>
      </w:pPr>
      <w:r w:rsidRPr="00D435F2">
        <w:fldChar w:fldCharType="begin"/>
      </w:r>
      <w:r w:rsidRPr="00D435F2">
        <w:instrText xml:space="preserve"> SEQ level0 \*arabic \* MERGEFORMAT </w:instrText>
      </w:r>
      <w:r w:rsidRPr="00D435F2">
        <w:fldChar w:fldCharType="separate"/>
      </w:r>
      <w:r w:rsidR="00D435F2" w:rsidRPr="00D435F2">
        <w:t>64</w:t>
      </w:r>
      <w:r w:rsidRPr="00D435F2">
        <w:fldChar w:fldCharType="end"/>
      </w:r>
      <w:r>
        <w:t>.  Având în vedere notele pregătitoare la art. 114j (a se vedea supra, pct. 22-24) și constatările instanțelor interne, Curtea este de asemenea convinsă că ingerința a urmărit scopurile legitime legate de securitatea națională, siguranța publică și prevenirea infracțiunilor.</w:t>
      </w:r>
    </w:p>
    <w:p w14:paraId="14D6AAA3" w14:textId="4FC45257" w:rsidR="00220121" w:rsidRPr="00D435F2" w:rsidRDefault="00351901" w:rsidP="00D435F2">
      <w:pPr>
        <w:pStyle w:val="JuPara"/>
      </w:pPr>
      <w:fldSimple w:instr=" SEQ level0 \*arabic \* MERGEFORMAT ">
        <w:r w:rsidR="00D435F2" w:rsidRPr="00D435F2">
          <w:t>65</w:t>
        </w:r>
      </w:fldSimple>
      <w:r>
        <w:t>.  Curtea Supremă a examinat cu atenție cauza în temeiul art. 2 din Protocolul nr. 4 și, după efectuarea exercițiului de punere în balanță necesar în lumina principiilor Convenției, a constatat că restricția la libertatea de circulație a reclamantului era proporțională, în special întrucât guvernoratul al-Raqqa avea o dimensiune limitată, iar reclamantul ar fi putut obține autorizația de intrare și de ședere acolo dacă ar fi avut un scop meritoriu (a se vedea supra, pct. 16).</w:t>
      </w:r>
    </w:p>
    <w:p w14:paraId="1A460515" w14:textId="34FC0C8D" w:rsidR="00220121" w:rsidRPr="00D435F2" w:rsidRDefault="00351901" w:rsidP="00D435F2">
      <w:pPr>
        <w:pStyle w:val="JuPara"/>
      </w:pPr>
      <w:fldSimple w:instr=" SEQ level0 \*arabic \* MERGEFORMAT ">
        <w:r w:rsidR="00D435F2" w:rsidRPr="00D435F2">
          <w:t>66</w:t>
        </w:r>
      </w:fldSimple>
      <w:r>
        <w:t xml:space="preserve">.  Curtea consideră că astfel, calitatea controlului jurisdicțional al măsurii generale contestate și aplicarea acesteia în speță militează în favoarea </w:t>
      </w:r>
      <w:r>
        <w:lastRenderedPageBreak/>
        <w:t xml:space="preserve">unei marje largi de apreciere (a se vedea, </w:t>
      </w:r>
      <w:r>
        <w:rPr>
          <w:i/>
        </w:rPr>
        <w:t>mutatis</w:t>
      </w:r>
      <w:r>
        <w:t xml:space="preserve"> </w:t>
      </w:r>
      <w:r>
        <w:rPr>
          <w:i/>
        </w:rPr>
        <w:t>mutandis</w:t>
      </w:r>
      <w:r>
        <w:t xml:space="preserve">, </w:t>
      </w:r>
      <w:r>
        <w:rPr>
          <w:i/>
          <w:iCs/>
        </w:rPr>
        <w:t>Lings împotriva Danemarcei</w:t>
      </w:r>
      <w:r>
        <w:t>, nr. 15136/20, pct. 58, 12 aprilie 2022).</w:t>
      </w:r>
    </w:p>
    <w:p w14:paraId="2AA1F8C1" w14:textId="29032533" w:rsidR="00220121" w:rsidRPr="00D435F2" w:rsidRDefault="00351901" w:rsidP="00D435F2">
      <w:pPr>
        <w:pStyle w:val="JuPara"/>
      </w:pPr>
      <w:fldSimple w:instr=" SEQ level0 \*arabic \* MERGEFORMAT ">
        <w:r w:rsidR="00D435F2" w:rsidRPr="00D435F2">
          <w:t>67</w:t>
        </w:r>
      </w:fldSimple>
      <w:r>
        <w:t>.  În plus, Curtea observă că restricția privea doar zonele în cauză în care o organizație teroristă era parte la un conflict armat aflat în curs de desfășurare. În plus, interdicția de intrare și ședere fără autorizație nu era absolută, întrucât persoanele care exercitau o funcție sau o poziție publică în cadrul unei organizații daneze, străine sau internaționale erau exceptate în mod explicit de la această dispoziție. În plus, zonele relevante au fost revizuite cu atenție în permanență și, prin urmare, guvernoratul al-Raqqa nu a fost inclus în ordinul ulterior din 2019. În sfârșit, restricția a avut ca scop să asigure faptul că persoanele care erau resortisanți danezi sau care aveau reședința obișnuită în statul danez nu se alăturau în mod independent niciuneia dintre părțile aflate în conflict armat și nu reprezentau o amenințare pentru societate la întoarcerea lor în Danemarca (a se vedea supra, pct. 22).</w:t>
      </w:r>
    </w:p>
    <w:p w14:paraId="421C0899" w14:textId="0BAC172A" w:rsidR="00220121" w:rsidRPr="00D435F2" w:rsidRDefault="00351901" w:rsidP="00D435F2">
      <w:pPr>
        <w:pStyle w:val="JuPara"/>
      </w:pPr>
      <w:fldSimple w:instr=" SEQ level0 \*arabic \* MERGEFORMAT ">
        <w:r w:rsidR="00D435F2" w:rsidRPr="00D435F2">
          <w:t>68</w:t>
        </w:r>
      </w:fldSimple>
      <w:r>
        <w:t>.  În aceste condiții, Curtea este convinsă că ingerința la adresa dreptului la liberă circulație al reclamantului a menținut un just echilibru între interesul public și drepturile persoanei și că era necesară într-o societate democratică.</w:t>
      </w:r>
    </w:p>
    <w:p w14:paraId="1E77957A" w14:textId="44897468" w:rsidR="00220121" w:rsidRPr="00D435F2" w:rsidRDefault="00220121" w:rsidP="00D435F2">
      <w:pPr>
        <w:pStyle w:val="JuPara"/>
      </w:pPr>
      <w:fldSimple w:instr=" SEQ level0 \*arabic ">
        <w:r w:rsidR="00D435F2" w:rsidRPr="00D435F2">
          <w:t>69</w:t>
        </w:r>
      </w:fldSimple>
      <w:r>
        <w:t>.  Prin urmare, nu a fost încălcat art. 2 din Protocolul nr. 4 la Convenție.</w:t>
      </w:r>
    </w:p>
    <w:p w14:paraId="6CAE30B9" w14:textId="77777777" w:rsidR="00220121" w:rsidRPr="00D435F2" w:rsidRDefault="00220121" w:rsidP="00D435F2">
      <w:pPr>
        <w:pStyle w:val="JuHHead"/>
        <w:numPr>
          <w:ilvl w:val="0"/>
          <w:numId w:val="1"/>
        </w:numPr>
        <w:ind w:left="360" w:hanging="360"/>
      </w:pPr>
      <w:r>
        <w:t>PENTRU ACESTE MOTIVE, CURTEA, ÎN UNANIMITATE,</w:t>
      </w:r>
    </w:p>
    <w:p w14:paraId="71902D61" w14:textId="16EC51E0" w:rsidR="00220121" w:rsidRPr="00D435F2" w:rsidRDefault="00220121" w:rsidP="00D435F2">
      <w:pPr>
        <w:pStyle w:val="JuList"/>
      </w:pPr>
      <w:r>
        <w:rPr>
          <w:i/>
        </w:rPr>
        <w:t>declară</w:t>
      </w:r>
      <w:r>
        <w:t xml:space="preserve"> cererea admisibilă;</w:t>
      </w:r>
    </w:p>
    <w:p w14:paraId="4329CBF6" w14:textId="030DC3C3" w:rsidR="00220121" w:rsidRPr="00D435F2" w:rsidRDefault="00220121" w:rsidP="00D435F2">
      <w:pPr>
        <w:pStyle w:val="JuList"/>
      </w:pPr>
      <w:r>
        <w:rPr>
          <w:i/>
          <w:iCs/>
        </w:rPr>
        <w:t>hotărăște</w:t>
      </w:r>
      <w:r>
        <w:t xml:space="preserve"> că nu a fost încălcat art. 7 din Convenție.</w:t>
      </w:r>
    </w:p>
    <w:p w14:paraId="35828199" w14:textId="513261EC" w:rsidR="004D0EC7" w:rsidRPr="00D435F2" w:rsidRDefault="00220121" w:rsidP="00D435F2">
      <w:pPr>
        <w:pStyle w:val="JuList"/>
      </w:pPr>
      <w:r>
        <w:rPr>
          <w:i/>
        </w:rPr>
        <w:t>hotărăște</w:t>
      </w:r>
      <w:r>
        <w:t xml:space="preserve"> că nu a fost încălcat art. 2 din Protocolul nr. 4 la Convenție.</w:t>
      </w:r>
    </w:p>
    <w:p w14:paraId="6AB28D44" w14:textId="1B15A074" w:rsidR="008E3A08" w:rsidRPr="00D435F2" w:rsidRDefault="007E2C8C" w:rsidP="00D435F2">
      <w:pPr>
        <w:pStyle w:val="JuParaLast"/>
      </w:pPr>
      <w:r>
        <w:t>Redactată în limba engleză și comunicată în scris la 18 octombrie 2022, în conformitate cu art. 77 § 2 și art. 77 § 3 din Regulamentul Curții.</w:t>
      </w:r>
    </w:p>
    <w:p w14:paraId="5EE25CDE" w14:textId="144D9255" w:rsidR="008B092C" w:rsidRPr="006139D3" w:rsidRDefault="00281B7C" w:rsidP="00D435F2">
      <w:pPr>
        <w:pStyle w:val="ECHRPlaceholder"/>
        <w:rPr>
          <w:szCs w:val="22"/>
        </w:rPr>
      </w:pPr>
      <w:r>
        <w:tab/>
      </w:r>
    </w:p>
    <w:p w14:paraId="2D119175" w14:textId="66A36A2B" w:rsidR="001C055B" w:rsidRPr="00D435F2" w:rsidRDefault="002E7764" w:rsidP="00D435F2">
      <w:pPr>
        <w:pStyle w:val="JuSigned"/>
      </w:pPr>
      <w:r>
        <w:tab/>
        <w:t xml:space="preserve">Hasan Bakırcı </w:t>
      </w:r>
      <w:r>
        <w:tab/>
        <w:t>Carlo Ranzoni</w:t>
      </w:r>
      <w:r>
        <w:br/>
      </w:r>
      <w:r>
        <w:tab/>
        <w:t>Grefier</w:t>
      </w:r>
      <w:r>
        <w:tab/>
        <w:t>Președinte</w:t>
      </w:r>
    </w:p>
    <w:p w14:paraId="236C24E6" w14:textId="533902CA" w:rsidR="00182EBA" w:rsidRPr="00D435F2" w:rsidRDefault="00182EBA" w:rsidP="00D435F2">
      <w:pPr>
        <w:rPr>
          <w:lang w:val="it-IT"/>
        </w:rPr>
      </w:pPr>
    </w:p>
    <w:sectPr w:rsidR="00182EBA" w:rsidRPr="00D435F2" w:rsidSect="007D3701">
      <w:headerReference w:type="even" r:id="rId16"/>
      <w:headerReference w:type="default" r:id="rId17"/>
      <w:footerReference w:type="even" r:id="rId18"/>
      <w:footerReference w:type="default" r:id="rId19"/>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9AD7D" w14:textId="77777777" w:rsidR="00735D38" w:rsidRPr="00220121" w:rsidRDefault="00735D38" w:rsidP="0098410D">
      <w:r w:rsidRPr="00220121">
        <w:separator/>
      </w:r>
    </w:p>
  </w:endnote>
  <w:endnote w:type="continuationSeparator" w:id="0">
    <w:p w14:paraId="5E40C7D4" w14:textId="77777777" w:rsidR="00735D38" w:rsidRPr="00220121" w:rsidRDefault="00735D38" w:rsidP="0098410D">
      <w:r w:rsidRPr="002201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6E90E" w14:textId="0C088073" w:rsidR="00220121" w:rsidRPr="00150BFA" w:rsidRDefault="00220121" w:rsidP="0020718E">
    <w:pPr>
      <w:jc w:val="center"/>
    </w:pPr>
    <w:r>
      <w:rPr>
        <w:noProof/>
        <w:lang w:val="en-US"/>
      </w:rPr>
      <w:drawing>
        <wp:inline distT="0" distB="0" distL="0" distR="0" wp14:anchorId="0EBC2AC6" wp14:editId="63C19471">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7B74C4EA" w14:textId="14689AD4" w:rsidR="0098410D" w:rsidRPr="00220121"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8CC9E" w14:textId="27D0521D" w:rsidR="00220121" w:rsidRPr="00150BFA" w:rsidRDefault="00220121" w:rsidP="0020718E">
    <w:pPr>
      <w:jc w:val="center"/>
    </w:pPr>
    <w:r>
      <w:rPr>
        <w:noProof/>
        <w:lang w:val="en-US"/>
      </w:rPr>
      <w:drawing>
        <wp:inline distT="0" distB="0" distL="0" distR="0" wp14:anchorId="0F9E14ED" wp14:editId="3E9586AA">
          <wp:extent cx="771525" cy="619125"/>
          <wp:effectExtent l="0" t="0" r="9525" b="9525"/>
          <wp:docPr id="6" name="Picture 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31990390" w14:textId="095BF4F0" w:rsidR="009E7A6F" w:rsidRPr="00220121"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FBDA" w14:textId="227B877E" w:rsidR="00182EBA" w:rsidRDefault="00220121" w:rsidP="009A115C">
    <w:pPr>
      <w:pStyle w:val="JuHeader"/>
    </w:pPr>
    <w:r>
      <w:rPr>
        <w:rStyle w:val="PageNumber"/>
      </w:rPr>
      <w:fldChar w:fldCharType="begin"/>
    </w:r>
    <w:r>
      <w:rPr>
        <w:rStyle w:val="PageNumber"/>
      </w:rPr>
      <w:instrText xml:space="preserve"> PAGE </w:instrText>
    </w:r>
    <w:r>
      <w:rPr>
        <w:rStyle w:val="PageNumber"/>
      </w:rPr>
      <w:fldChar w:fldCharType="separate"/>
    </w:r>
    <w:r w:rsidR="00BC4400">
      <w:rPr>
        <w:rStyle w:val="PageNumber"/>
        <w:noProof/>
      </w:rPr>
      <w:t>18</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EC09B" w14:textId="2746A70A" w:rsidR="00182EBA" w:rsidRPr="000B7195" w:rsidRDefault="00220121" w:rsidP="007D3701">
    <w:pPr>
      <w:pStyle w:val="JuHeader"/>
    </w:pPr>
    <w:r>
      <w:fldChar w:fldCharType="begin"/>
    </w:r>
    <w:r>
      <w:instrText xml:space="preserve"> PAGE </w:instrText>
    </w:r>
    <w:r>
      <w:fldChar w:fldCharType="separate"/>
    </w:r>
    <w:r w:rsidR="00BC4400">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1BBDA" w14:textId="77777777" w:rsidR="00735D38" w:rsidRPr="00220121" w:rsidRDefault="00735D38" w:rsidP="0098410D">
      <w:r w:rsidRPr="00220121">
        <w:separator/>
      </w:r>
    </w:p>
  </w:footnote>
  <w:footnote w:type="continuationSeparator" w:id="0">
    <w:p w14:paraId="1CCCB0A1" w14:textId="77777777" w:rsidR="00735D38" w:rsidRPr="00220121" w:rsidRDefault="00735D38" w:rsidP="0098410D">
      <w:r w:rsidRPr="002201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587E4" w14:textId="7B727B5E" w:rsidR="00220121" w:rsidRPr="00A45145" w:rsidRDefault="00220121" w:rsidP="00A45145">
    <w:pPr>
      <w:jc w:val="center"/>
    </w:pPr>
    <w:r>
      <w:rPr>
        <w:noProof/>
        <w:lang w:val="en-US"/>
      </w:rPr>
      <w:drawing>
        <wp:inline distT="0" distB="0" distL="0" distR="0" wp14:anchorId="006CB729" wp14:editId="65BB5CA9">
          <wp:extent cx="2962275" cy="1219200"/>
          <wp:effectExtent l="0" t="0" r="9525" b="0"/>
          <wp:docPr id="2" name="Picture 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4F8E5D4F" w14:textId="5FDEA526" w:rsidR="0098410D" w:rsidRPr="00220121"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45C21" w14:textId="20A25372" w:rsidR="00707A7C" w:rsidRDefault="00707A7C" w:rsidP="00707A7C">
    <w:pPr>
      <w:jc w:val="right"/>
    </w:pPr>
    <w:r>
      <w:t xml:space="preserve">                                           </w:t>
    </w:r>
    <w:r>
      <w:t>Tradus și revizuit de IER (</w:t>
    </w:r>
    <w:hyperlink r:id="rId1" w:history="1">
      <w:r w:rsidRPr="007C5C0E">
        <w:rPr>
          <w:rStyle w:val="Hyperlink"/>
        </w:rPr>
        <w:t>http://ier.gov.ro/</w:t>
      </w:r>
    </w:hyperlink>
    <w:r>
      <w:t>)</w:t>
    </w:r>
  </w:p>
  <w:p w14:paraId="6C93067A" w14:textId="09EC80C3" w:rsidR="00220121" w:rsidRPr="00A45145" w:rsidRDefault="00220121" w:rsidP="00707A7C">
    <w:pPr>
      <w:jc w:val="center"/>
    </w:pPr>
    <w:r>
      <w:rPr>
        <w:noProof/>
        <w:lang w:val="en-US"/>
      </w:rPr>
      <w:drawing>
        <wp:inline distT="0" distB="0" distL="0" distR="0" wp14:anchorId="5AAD96CF" wp14:editId="507F625C">
          <wp:extent cx="2962275" cy="1219200"/>
          <wp:effectExtent l="0" t="0" r="9525" b="0"/>
          <wp:docPr id="5" name="Picture 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3B168" w14:textId="438500D3" w:rsidR="00182EBA" w:rsidRPr="004D0EC7" w:rsidRDefault="00220121" w:rsidP="004D0EC7">
    <w:pPr>
      <w:pStyle w:val="JuHeader"/>
    </w:pPr>
    <w:r>
      <w:t>HOTĂRÂREA MØRCK JENSEN ÎMPOTRIVA DANEMARCEI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A6166" w14:textId="1CCC096C" w:rsidR="00182EBA" w:rsidRPr="00882CD5" w:rsidRDefault="00220121" w:rsidP="007D3701">
    <w:pPr>
      <w:pStyle w:val="JuHeader"/>
    </w:pPr>
    <w:r>
      <w:t xml:space="preserve">HOTĂRÂREA </w:t>
    </w:r>
    <w:r>
      <w:t>MØRCK JENSEN ÎMPOTRIVA DANEMARCEI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9"/>
  </w:num>
  <w:num w:numId="2">
    <w:abstractNumId w:val="17"/>
  </w:num>
  <w:num w:numId="3">
    <w:abstractNumId w:val="14"/>
  </w:num>
  <w:num w:numId="4">
    <w:abstractNumId w:val="12"/>
  </w:num>
  <w:num w:numId="5">
    <w:abstractNumId w:val="11"/>
  </w:num>
  <w:num w:numId="6">
    <w:abstractNumId w:val="18"/>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3"/>
  </w:num>
  <w:num w:numId="18">
    <w:abstractNumId w:val="16"/>
  </w:num>
  <w:num w:numId="19">
    <w:abstractNumId w:val="15"/>
  </w:num>
  <w:num w:numId="20">
    <w:abstractNumId w:val="16"/>
  </w:num>
  <w:num w:numId="21">
    <w:abstractNumId w:val="10"/>
  </w:num>
  <w:num w:numId="22">
    <w:abstractNumId w:val="9"/>
  </w:num>
  <w:num w:numId="23">
    <w:abstractNumId w:val="10"/>
  </w:num>
  <w:num w:numId="24">
    <w:abstractNumId w:val="14"/>
  </w:num>
  <w:num w:numId="25">
    <w:abstractNumId w:val="12"/>
  </w:num>
  <w:num w:numId="26">
    <w:abstractNumId w:val="11"/>
  </w:num>
  <w:num w:numId="27">
    <w:abstractNumId w:val="18"/>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15"/>
  </w:num>
  <w:num w:numId="38">
    <w:abstractNumId w:val="13"/>
  </w:num>
  <w:num w:numId="39">
    <w:abstractNumId w:val="16"/>
  </w:num>
  <w:num w:numId="40">
    <w:abstractNumId w:val="15"/>
  </w:num>
  <w:num w:numId="41">
    <w:abstractNumId w:val="15"/>
  </w:num>
  <w:num w:numId="42">
    <w:abstractNumId w:val="15"/>
  </w:num>
  <w:num w:numId="43">
    <w:abstractNumId w:val="15"/>
  </w:num>
  <w:num w:numId="44">
    <w:abstractNumId w:val="10"/>
  </w:num>
  <w:num w:numId="45">
    <w:abstractNumId w:val="16"/>
  </w:num>
  <w:num w:numId="46">
    <w:abstractNumId w:val="16"/>
  </w:num>
  <w:num w:numId="4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 w:name="SignForeName" w:val="0"/>
  </w:docVars>
  <w:rsids>
    <w:rsidRoot w:val="00220121"/>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55122"/>
    <w:rsid w:val="000602DF"/>
    <w:rsid w:val="00061B05"/>
    <w:rsid w:val="00062443"/>
    <w:rsid w:val="000632D5"/>
    <w:rsid w:val="000644EE"/>
    <w:rsid w:val="0007780A"/>
    <w:rsid w:val="00085457"/>
    <w:rsid w:val="000925AD"/>
    <w:rsid w:val="00096FE1"/>
    <w:rsid w:val="00097A62"/>
    <w:rsid w:val="000A24EB"/>
    <w:rsid w:val="000B686A"/>
    <w:rsid w:val="000B6923"/>
    <w:rsid w:val="000B7195"/>
    <w:rsid w:val="000C5F3C"/>
    <w:rsid w:val="000C6DCC"/>
    <w:rsid w:val="000D0D45"/>
    <w:rsid w:val="000D47AA"/>
    <w:rsid w:val="000D721F"/>
    <w:rsid w:val="000E069B"/>
    <w:rsid w:val="000E0E82"/>
    <w:rsid w:val="000E1DC5"/>
    <w:rsid w:val="000E223F"/>
    <w:rsid w:val="000E46B8"/>
    <w:rsid w:val="000E7D45"/>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46966"/>
    <w:rsid w:val="001540FD"/>
    <w:rsid w:val="001561B6"/>
    <w:rsid w:val="00162A12"/>
    <w:rsid w:val="00166530"/>
    <w:rsid w:val="00170027"/>
    <w:rsid w:val="00182EBA"/>
    <w:rsid w:val="001832BD"/>
    <w:rsid w:val="00184E33"/>
    <w:rsid w:val="001943B5"/>
    <w:rsid w:val="00195134"/>
    <w:rsid w:val="001A020C"/>
    <w:rsid w:val="001A145B"/>
    <w:rsid w:val="001A2CC4"/>
    <w:rsid w:val="001A3E09"/>
    <w:rsid w:val="001A674C"/>
    <w:rsid w:val="001B3B24"/>
    <w:rsid w:val="001C055B"/>
    <w:rsid w:val="001C0F98"/>
    <w:rsid w:val="001C2A42"/>
    <w:rsid w:val="001D63ED"/>
    <w:rsid w:val="001D7348"/>
    <w:rsid w:val="001E035B"/>
    <w:rsid w:val="001E0961"/>
    <w:rsid w:val="001E353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20121"/>
    <w:rsid w:val="00230D00"/>
    <w:rsid w:val="00231DF7"/>
    <w:rsid w:val="00231FD1"/>
    <w:rsid w:val="002339E0"/>
    <w:rsid w:val="00233CF8"/>
    <w:rsid w:val="0023575D"/>
    <w:rsid w:val="00237148"/>
    <w:rsid w:val="0024222D"/>
    <w:rsid w:val="002422B6"/>
    <w:rsid w:val="00243F8E"/>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A72E2"/>
    <w:rsid w:val="002B444B"/>
    <w:rsid w:val="002B5887"/>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190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CDA"/>
    <w:rsid w:val="003C6E2A"/>
    <w:rsid w:val="003D0299"/>
    <w:rsid w:val="003E6D80"/>
    <w:rsid w:val="003F05FA"/>
    <w:rsid w:val="003F244A"/>
    <w:rsid w:val="003F2517"/>
    <w:rsid w:val="003F30B8"/>
    <w:rsid w:val="003F4C45"/>
    <w:rsid w:val="003F5F7B"/>
    <w:rsid w:val="003F7D64"/>
    <w:rsid w:val="00402D77"/>
    <w:rsid w:val="0040433A"/>
    <w:rsid w:val="00414300"/>
    <w:rsid w:val="00414F27"/>
    <w:rsid w:val="00420703"/>
    <w:rsid w:val="00425C67"/>
    <w:rsid w:val="004268F1"/>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C6C0E"/>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F0EB3"/>
    <w:rsid w:val="005F51E1"/>
    <w:rsid w:val="00611C80"/>
    <w:rsid w:val="006139D3"/>
    <w:rsid w:val="00620692"/>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4B9F"/>
    <w:rsid w:val="00675AF2"/>
    <w:rsid w:val="00682BF2"/>
    <w:rsid w:val="0068573E"/>
    <w:rsid w:val="006859CE"/>
    <w:rsid w:val="00691270"/>
    <w:rsid w:val="00694BA8"/>
    <w:rsid w:val="006A037C"/>
    <w:rsid w:val="006A0C84"/>
    <w:rsid w:val="006A36F4"/>
    <w:rsid w:val="006A406F"/>
    <w:rsid w:val="006A5D3A"/>
    <w:rsid w:val="006B1942"/>
    <w:rsid w:val="006C23D4"/>
    <w:rsid w:val="006C7BB0"/>
    <w:rsid w:val="006D3237"/>
    <w:rsid w:val="006E2E37"/>
    <w:rsid w:val="006E3CF1"/>
    <w:rsid w:val="006E68A3"/>
    <w:rsid w:val="006E7E80"/>
    <w:rsid w:val="006F1C2D"/>
    <w:rsid w:val="006F48CA"/>
    <w:rsid w:val="006F64DD"/>
    <w:rsid w:val="006F712D"/>
    <w:rsid w:val="00707A7C"/>
    <w:rsid w:val="00715127"/>
    <w:rsid w:val="00715E8E"/>
    <w:rsid w:val="00723580"/>
    <w:rsid w:val="00723755"/>
    <w:rsid w:val="0073136C"/>
    <w:rsid w:val="00731F0F"/>
    <w:rsid w:val="00733250"/>
    <w:rsid w:val="00735D38"/>
    <w:rsid w:val="00741404"/>
    <w:rsid w:val="007449E5"/>
    <w:rsid w:val="0074750E"/>
    <w:rsid w:val="00747FF0"/>
    <w:rsid w:val="0075566E"/>
    <w:rsid w:val="00763602"/>
    <w:rsid w:val="00764D4E"/>
    <w:rsid w:val="00765A1F"/>
    <w:rsid w:val="00775B6D"/>
    <w:rsid w:val="00776D68"/>
    <w:rsid w:val="0078323E"/>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F1905"/>
    <w:rsid w:val="007F27E4"/>
    <w:rsid w:val="007F3437"/>
    <w:rsid w:val="00802C64"/>
    <w:rsid w:val="00805E52"/>
    <w:rsid w:val="008061D0"/>
    <w:rsid w:val="00807897"/>
    <w:rsid w:val="00810B38"/>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77795"/>
    <w:rsid w:val="0088060C"/>
    <w:rsid w:val="00882CD5"/>
    <w:rsid w:val="00883151"/>
    <w:rsid w:val="00893576"/>
    <w:rsid w:val="00893E73"/>
    <w:rsid w:val="008B02DC"/>
    <w:rsid w:val="008B092C"/>
    <w:rsid w:val="008B57CE"/>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747"/>
    <w:rsid w:val="00941EFB"/>
    <w:rsid w:val="00947AFB"/>
    <w:rsid w:val="00951AA3"/>
    <w:rsid w:val="00951D7D"/>
    <w:rsid w:val="00956D0C"/>
    <w:rsid w:val="009630C7"/>
    <w:rsid w:val="00966F8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82359"/>
    <w:rsid w:val="00A865D2"/>
    <w:rsid w:val="00A90BCD"/>
    <w:rsid w:val="00A94C20"/>
    <w:rsid w:val="00AA1B09"/>
    <w:rsid w:val="00AA227F"/>
    <w:rsid w:val="00AA3BC7"/>
    <w:rsid w:val="00AA754A"/>
    <w:rsid w:val="00AB099E"/>
    <w:rsid w:val="00AB4328"/>
    <w:rsid w:val="00AC4CD4"/>
    <w:rsid w:val="00AE0A2E"/>
    <w:rsid w:val="00AE354C"/>
    <w:rsid w:val="00AF4B07"/>
    <w:rsid w:val="00AF6186"/>
    <w:rsid w:val="00AF7A3A"/>
    <w:rsid w:val="00B02587"/>
    <w:rsid w:val="00B049D1"/>
    <w:rsid w:val="00B149BF"/>
    <w:rsid w:val="00B160DB"/>
    <w:rsid w:val="00B20836"/>
    <w:rsid w:val="00B235BB"/>
    <w:rsid w:val="00B27A44"/>
    <w:rsid w:val="00B30BBF"/>
    <w:rsid w:val="00B33C03"/>
    <w:rsid w:val="00B4421F"/>
    <w:rsid w:val="00B44E56"/>
    <w:rsid w:val="00B45917"/>
    <w:rsid w:val="00B46543"/>
    <w:rsid w:val="00B47D33"/>
    <w:rsid w:val="00B52BE0"/>
    <w:rsid w:val="00B54133"/>
    <w:rsid w:val="00B63BD1"/>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4400"/>
    <w:rsid w:val="00BC6BBF"/>
    <w:rsid w:val="00BD1572"/>
    <w:rsid w:val="00BE14E3"/>
    <w:rsid w:val="00BE3774"/>
    <w:rsid w:val="00BE41E5"/>
    <w:rsid w:val="00BF118F"/>
    <w:rsid w:val="00BF4109"/>
    <w:rsid w:val="00BF4CC3"/>
    <w:rsid w:val="00C054C7"/>
    <w:rsid w:val="00C057B5"/>
    <w:rsid w:val="00C07D0E"/>
    <w:rsid w:val="00C115C3"/>
    <w:rsid w:val="00C13CF7"/>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4810"/>
    <w:rsid w:val="00C77935"/>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6A63"/>
    <w:rsid w:val="00D07E0E"/>
    <w:rsid w:val="00D10CD6"/>
    <w:rsid w:val="00D11478"/>
    <w:rsid w:val="00D15ED0"/>
    <w:rsid w:val="00D164BF"/>
    <w:rsid w:val="00D21B3E"/>
    <w:rsid w:val="00D21FED"/>
    <w:rsid w:val="00D23048"/>
    <w:rsid w:val="00D24251"/>
    <w:rsid w:val="00D26E72"/>
    <w:rsid w:val="00D3387A"/>
    <w:rsid w:val="00D343E2"/>
    <w:rsid w:val="00D361A2"/>
    <w:rsid w:val="00D37272"/>
    <w:rsid w:val="00D435F2"/>
    <w:rsid w:val="00D44C2E"/>
    <w:rsid w:val="00D45414"/>
    <w:rsid w:val="00D50A0A"/>
    <w:rsid w:val="00D53548"/>
    <w:rsid w:val="00D5576B"/>
    <w:rsid w:val="00D566BD"/>
    <w:rsid w:val="00D57A4D"/>
    <w:rsid w:val="00D60AA7"/>
    <w:rsid w:val="00D6435F"/>
    <w:rsid w:val="00D66471"/>
    <w:rsid w:val="00D70641"/>
    <w:rsid w:val="00D74888"/>
    <w:rsid w:val="00D7488B"/>
    <w:rsid w:val="00D75E28"/>
    <w:rsid w:val="00D772C2"/>
    <w:rsid w:val="00D8008E"/>
    <w:rsid w:val="00D82C45"/>
    <w:rsid w:val="00D908A8"/>
    <w:rsid w:val="00D977B6"/>
    <w:rsid w:val="00DA1223"/>
    <w:rsid w:val="00DA4A31"/>
    <w:rsid w:val="00DA7B04"/>
    <w:rsid w:val="00DB36C2"/>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63EC7"/>
    <w:rsid w:val="00E64915"/>
    <w:rsid w:val="00E64D3A"/>
    <w:rsid w:val="00E661D4"/>
    <w:rsid w:val="00E67565"/>
    <w:rsid w:val="00E70091"/>
    <w:rsid w:val="00E70D2E"/>
    <w:rsid w:val="00E720F5"/>
    <w:rsid w:val="00E76D47"/>
    <w:rsid w:val="00E827BC"/>
    <w:rsid w:val="00E849F7"/>
    <w:rsid w:val="00E90302"/>
    <w:rsid w:val="00E91D05"/>
    <w:rsid w:val="00E9262D"/>
    <w:rsid w:val="00E95C1E"/>
    <w:rsid w:val="00E97396"/>
    <w:rsid w:val="00EA0180"/>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AAE"/>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0B80"/>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5A4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D435F2"/>
    <w:rPr>
      <w:sz w:val="24"/>
      <w:szCs w:val="24"/>
    </w:rPr>
  </w:style>
  <w:style w:type="paragraph" w:styleId="Heading1">
    <w:name w:val="heading 1"/>
    <w:basedOn w:val="Normal"/>
    <w:next w:val="Normal"/>
    <w:link w:val="Heading1Char"/>
    <w:uiPriority w:val="98"/>
    <w:semiHidden/>
    <w:rsid w:val="00D435F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D435F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D435F2"/>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D435F2"/>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D435F2"/>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D435F2"/>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D435F2"/>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D435F2"/>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D435F2"/>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D435F2"/>
    <w:rPr>
      <w:rFonts w:ascii="Tahoma" w:hAnsi="Tahoma" w:cs="Tahoma"/>
      <w:sz w:val="16"/>
      <w:szCs w:val="16"/>
    </w:rPr>
  </w:style>
  <w:style w:type="character" w:customStyle="1" w:styleId="BalloonTextChar">
    <w:name w:val="Balloon Text Char"/>
    <w:basedOn w:val="DefaultParagraphFont"/>
    <w:link w:val="BalloonText"/>
    <w:uiPriority w:val="98"/>
    <w:semiHidden/>
    <w:rsid w:val="00D435F2"/>
    <w:rPr>
      <w:rFonts w:ascii="Tahoma" w:hAnsi="Tahoma" w:cs="Tahoma"/>
      <w:sz w:val="16"/>
      <w:szCs w:val="16"/>
      <w:lang w:val="ro-RO"/>
    </w:rPr>
  </w:style>
  <w:style w:type="character" w:styleId="BookTitle">
    <w:name w:val="Book Title"/>
    <w:uiPriority w:val="98"/>
    <w:semiHidden/>
    <w:qFormat/>
    <w:rsid w:val="00D435F2"/>
    <w:rPr>
      <w:i/>
      <w:iCs/>
      <w:smallCaps/>
      <w:spacing w:val="5"/>
    </w:rPr>
  </w:style>
  <w:style w:type="paragraph" w:customStyle="1" w:styleId="JuHeader">
    <w:name w:val="Ju_Header"/>
    <w:aliases w:val="_Header"/>
    <w:basedOn w:val="Header"/>
    <w:uiPriority w:val="29"/>
    <w:qFormat/>
    <w:rsid w:val="00966F87"/>
    <w:pPr>
      <w:tabs>
        <w:tab w:val="clear" w:pos="4536"/>
        <w:tab w:val="clear" w:pos="9072"/>
      </w:tabs>
      <w:jc w:val="center"/>
    </w:pPr>
    <w:rPr>
      <w:sz w:val="18"/>
    </w:rPr>
  </w:style>
  <w:style w:type="paragraph" w:customStyle="1" w:styleId="NormalJustified">
    <w:name w:val="Normal_Justified"/>
    <w:basedOn w:val="Normal"/>
    <w:semiHidden/>
    <w:rsid w:val="00966F87"/>
    <w:pPr>
      <w:jc w:val="both"/>
    </w:pPr>
  </w:style>
  <w:style w:type="character" w:styleId="Strong">
    <w:name w:val="Strong"/>
    <w:uiPriority w:val="98"/>
    <w:semiHidden/>
    <w:qFormat/>
    <w:rsid w:val="00D435F2"/>
    <w:rPr>
      <w:b/>
      <w:bCs/>
    </w:rPr>
  </w:style>
  <w:style w:type="paragraph" w:styleId="NoSpacing">
    <w:name w:val="No Spacing"/>
    <w:basedOn w:val="Normal"/>
    <w:link w:val="NoSpacingChar"/>
    <w:uiPriority w:val="98"/>
    <w:semiHidden/>
    <w:qFormat/>
    <w:rsid w:val="00D435F2"/>
  </w:style>
  <w:style w:type="character" w:customStyle="1" w:styleId="NoSpacingChar">
    <w:name w:val="No Spacing Char"/>
    <w:basedOn w:val="DefaultParagraphFont"/>
    <w:link w:val="NoSpacing"/>
    <w:uiPriority w:val="98"/>
    <w:semiHidden/>
    <w:rsid w:val="00D435F2"/>
    <w:rPr>
      <w:sz w:val="24"/>
      <w:szCs w:val="24"/>
      <w:lang w:val="ro-RO"/>
    </w:rPr>
  </w:style>
  <w:style w:type="paragraph" w:customStyle="1" w:styleId="JuQuot">
    <w:name w:val="Ju_Quot"/>
    <w:aliases w:val="_Quote"/>
    <w:basedOn w:val="NormalJustified"/>
    <w:uiPriority w:val="20"/>
    <w:qFormat/>
    <w:rsid w:val="00966F87"/>
    <w:pPr>
      <w:spacing w:before="120" w:after="120"/>
      <w:ind w:left="425" w:firstLine="142"/>
    </w:pPr>
    <w:rPr>
      <w:sz w:val="20"/>
    </w:rPr>
  </w:style>
  <w:style w:type="paragraph" w:customStyle="1" w:styleId="DummyStyle">
    <w:name w:val="Dummy_Style"/>
    <w:aliases w:val="_Dummy"/>
    <w:basedOn w:val="Normal"/>
    <w:semiHidden/>
    <w:qFormat/>
    <w:rsid w:val="00D435F2"/>
    <w:rPr>
      <w:color w:val="00B050"/>
      <w:sz w:val="22"/>
    </w:rPr>
  </w:style>
  <w:style w:type="paragraph" w:customStyle="1" w:styleId="JuList">
    <w:name w:val="Ju_List"/>
    <w:aliases w:val="_List_1"/>
    <w:basedOn w:val="NormalJustified"/>
    <w:uiPriority w:val="23"/>
    <w:qFormat/>
    <w:rsid w:val="00966F87"/>
    <w:pPr>
      <w:numPr>
        <w:numId w:val="38"/>
      </w:numPr>
      <w:spacing w:before="280" w:after="60"/>
    </w:pPr>
  </w:style>
  <w:style w:type="paragraph" w:customStyle="1" w:styleId="JuLista">
    <w:name w:val="Ju_List_a"/>
    <w:aliases w:val="_List_2"/>
    <w:basedOn w:val="NormalJustified"/>
    <w:uiPriority w:val="23"/>
    <w:rsid w:val="00966F87"/>
    <w:pPr>
      <w:numPr>
        <w:ilvl w:val="1"/>
        <w:numId w:val="38"/>
      </w:numPr>
    </w:pPr>
  </w:style>
  <w:style w:type="paragraph" w:customStyle="1" w:styleId="JuListi">
    <w:name w:val="Ju_List_i"/>
    <w:aliases w:val="_List_3"/>
    <w:basedOn w:val="NormalJustified"/>
    <w:uiPriority w:val="23"/>
    <w:rsid w:val="00966F87"/>
    <w:pPr>
      <w:numPr>
        <w:ilvl w:val="2"/>
        <w:numId w:val="38"/>
      </w:numPr>
    </w:pPr>
  </w:style>
  <w:style w:type="paragraph" w:customStyle="1" w:styleId="JuHArticle">
    <w:name w:val="Ju_H_Article"/>
    <w:aliases w:val="_Title_Quote"/>
    <w:basedOn w:val="Normal"/>
    <w:next w:val="JuQuot"/>
    <w:uiPriority w:val="19"/>
    <w:qFormat/>
    <w:rsid w:val="00966F87"/>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D435F2"/>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D435F2"/>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966F87"/>
    <w:pPr>
      <w:keepNext/>
      <w:keepLines/>
      <w:numPr>
        <w:numId w:val="44"/>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D435F2"/>
    <w:pPr>
      <w:numPr>
        <w:numId w:val="16"/>
      </w:numPr>
    </w:pPr>
  </w:style>
  <w:style w:type="paragraph" w:customStyle="1" w:styleId="JuSigned">
    <w:name w:val="Ju_Signed"/>
    <w:aliases w:val="_Signature"/>
    <w:basedOn w:val="Normal"/>
    <w:next w:val="JuPara"/>
    <w:uiPriority w:val="31"/>
    <w:qFormat/>
    <w:rsid w:val="00966F87"/>
    <w:pPr>
      <w:tabs>
        <w:tab w:val="center" w:pos="1418"/>
        <w:tab w:val="center" w:pos="5954"/>
      </w:tabs>
      <w:spacing w:before="720"/>
    </w:pPr>
  </w:style>
  <w:style w:type="paragraph" w:styleId="Title">
    <w:name w:val="Title"/>
    <w:basedOn w:val="Normal"/>
    <w:next w:val="Normal"/>
    <w:link w:val="TitleChar"/>
    <w:uiPriority w:val="98"/>
    <w:semiHidden/>
    <w:qFormat/>
    <w:rsid w:val="00D435F2"/>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D435F2"/>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D435F2"/>
    <w:pPr>
      <w:numPr>
        <w:numId w:val="17"/>
      </w:numPr>
    </w:pPr>
  </w:style>
  <w:style w:type="numbering" w:customStyle="1" w:styleId="ECHRA1StyleNumberedList">
    <w:name w:val="ECHR_A1_Style_Numbered_List"/>
    <w:basedOn w:val="NoList"/>
    <w:rsid w:val="00D435F2"/>
    <w:pPr>
      <w:numPr>
        <w:numId w:val="18"/>
      </w:numPr>
    </w:pPr>
  </w:style>
  <w:style w:type="table" w:customStyle="1" w:styleId="ECHRTable2019">
    <w:name w:val="ECHR_Table_2019"/>
    <w:basedOn w:val="TableNormal"/>
    <w:uiPriority w:val="99"/>
    <w:rsid w:val="00D435F2"/>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966F87"/>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966F87"/>
    <w:pPr>
      <w:keepNext/>
      <w:keepLines/>
      <w:numPr>
        <w:ilvl w:val="1"/>
        <w:numId w:val="4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966F87"/>
    <w:pPr>
      <w:keepNext/>
      <w:keepLines/>
      <w:numPr>
        <w:ilvl w:val="2"/>
        <w:numId w:val="4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966F87"/>
    <w:pPr>
      <w:keepNext/>
      <w:keepLines/>
      <w:numPr>
        <w:ilvl w:val="3"/>
        <w:numId w:val="44"/>
      </w:numPr>
      <w:spacing w:before="100" w:beforeAutospacing="1" w:after="120"/>
      <w:jc w:val="both"/>
    </w:pPr>
    <w:rPr>
      <w:b w:val="0"/>
      <w:color w:val="auto"/>
      <w:sz w:val="24"/>
    </w:rPr>
  </w:style>
  <w:style w:type="paragraph" w:styleId="Header">
    <w:name w:val="header"/>
    <w:basedOn w:val="Normal"/>
    <w:link w:val="HeaderChar"/>
    <w:uiPriority w:val="98"/>
    <w:semiHidden/>
    <w:rsid w:val="00D435F2"/>
    <w:pPr>
      <w:tabs>
        <w:tab w:val="center" w:pos="4536"/>
        <w:tab w:val="right" w:pos="9072"/>
      </w:tabs>
    </w:pPr>
  </w:style>
  <w:style w:type="character" w:customStyle="1" w:styleId="HeaderChar">
    <w:name w:val="Header Char"/>
    <w:basedOn w:val="DefaultParagraphFont"/>
    <w:link w:val="Header"/>
    <w:uiPriority w:val="98"/>
    <w:semiHidden/>
    <w:rsid w:val="00D435F2"/>
    <w:rPr>
      <w:sz w:val="24"/>
      <w:szCs w:val="24"/>
      <w:lang w:val="ro-RO"/>
    </w:rPr>
  </w:style>
  <w:style w:type="character" w:customStyle="1" w:styleId="Heading1Char">
    <w:name w:val="Heading 1 Char"/>
    <w:basedOn w:val="DefaultParagraphFont"/>
    <w:link w:val="Heading1"/>
    <w:uiPriority w:val="98"/>
    <w:semiHidden/>
    <w:rsid w:val="00D435F2"/>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966F87"/>
    <w:pPr>
      <w:keepNext/>
      <w:keepLines/>
      <w:numPr>
        <w:ilvl w:val="4"/>
        <w:numId w:val="44"/>
      </w:numPr>
      <w:spacing w:before="100" w:beforeAutospacing="1" w:after="120"/>
      <w:jc w:val="both"/>
    </w:pPr>
    <w:rPr>
      <w:color w:val="auto"/>
      <w:sz w:val="20"/>
    </w:rPr>
  </w:style>
  <w:style w:type="paragraph" w:customStyle="1" w:styleId="JuHi">
    <w:name w:val="Ju_H_i"/>
    <w:aliases w:val="_Head_6"/>
    <w:basedOn w:val="Heading6"/>
    <w:next w:val="JuPara"/>
    <w:uiPriority w:val="17"/>
    <w:rsid w:val="00966F87"/>
    <w:pPr>
      <w:keepNext/>
      <w:keepLines/>
      <w:numPr>
        <w:ilvl w:val="5"/>
        <w:numId w:val="4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D435F2"/>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966F87"/>
    <w:pPr>
      <w:keepNext/>
      <w:keepLines/>
      <w:numPr>
        <w:ilvl w:val="6"/>
        <w:numId w:val="4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966F87"/>
    <w:pPr>
      <w:keepNext/>
      <w:keepLines/>
      <w:numPr>
        <w:ilvl w:val="7"/>
        <w:numId w:val="44"/>
      </w:numPr>
      <w:spacing w:before="100" w:beforeAutospacing="1" w:after="120"/>
      <w:jc w:val="both"/>
    </w:pPr>
    <w:rPr>
      <w:i/>
    </w:rPr>
  </w:style>
  <w:style w:type="character" w:customStyle="1" w:styleId="Heading3Char">
    <w:name w:val="Heading 3 Char"/>
    <w:basedOn w:val="DefaultParagraphFont"/>
    <w:link w:val="Heading3"/>
    <w:uiPriority w:val="98"/>
    <w:semiHidden/>
    <w:rsid w:val="00D435F2"/>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966F87"/>
    <w:pPr>
      <w:keepNext/>
      <w:keepLines/>
      <w:spacing w:before="240" w:after="240"/>
      <w:ind w:firstLine="284"/>
    </w:pPr>
  </w:style>
  <w:style w:type="paragraph" w:customStyle="1" w:styleId="JuJudges">
    <w:name w:val="Ju_Judges"/>
    <w:aliases w:val="_Judges"/>
    <w:basedOn w:val="Normal"/>
    <w:uiPriority w:val="32"/>
    <w:qFormat/>
    <w:rsid w:val="00966F87"/>
    <w:pPr>
      <w:tabs>
        <w:tab w:val="left" w:pos="567"/>
        <w:tab w:val="left" w:pos="1134"/>
      </w:tabs>
    </w:pPr>
  </w:style>
  <w:style w:type="character" w:customStyle="1" w:styleId="Heading4Char">
    <w:name w:val="Heading 4 Char"/>
    <w:basedOn w:val="DefaultParagraphFont"/>
    <w:link w:val="Heading4"/>
    <w:uiPriority w:val="98"/>
    <w:semiHidden/>
    <w:rsid w:val="00D435F2"/>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966F87"/>
    <w:pPr>
      <w:tabs>
        <w:tab w:val="center" w:pos="6407"/>
      </w:tabs>
      <w:spacing w:before="720"/>
      <w:jc w:val="right"/>
    </w:pPr>
  </w:style>
  <w:style w:type="character" w:customStyle="1" w:styleId="Heading5Char">
    <w:name w:val="Heading 5 Char"/>
    <w:basedOn w:val="DefaultParagraphFont"/>
    <w:link w:val="Heading5"/>
    <w:uiPriority w:val="98"/>
    <w:semiHidden/>
    <w:rsid w:val="00D435F2"/>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966F87"/>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966F87"/>
    <w:rPr>
      <w:caps w:val="0"/>
      <w:smallCaps/>
    </w:rPr>
  </w:style>
  <w:style w:type="character" w:styleId="SubtleEmphasis">
    <w:name w:val="Subtle Emphasis"/>
    <w:uiPriority w:val="98"/>
    <w:semiHidden/>
    <w:qFormat/>
    <w:rsid w:val="00D435F2"/>
    <w:rPr>
      <w:i/>
      <w:iCs/>
    </w:rPr>
  </w:style>
  <w:style w:type="table" w:customStyle="1" w:styleId="ECHRTable">
    <w:name w:val="ECHR_Table"/>
    <w:basedOn w:val="TableNormal"/>
    <w:rsid w:val="00D435F2"/>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D435F2"/>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D435F2"/>
    <w:rPr>
      <w:b/>
      <w:bCs/>
      <w:i/>
      <w:iCs/>
      <w:spacing w:val="10"/>
      <w:bdr w:val="none" w:sz="0" w:space="0" w:color="auto"/>
      <w:shd w:val="clear" w:color="auto" w:fill="auto"/>
    </w:rPr>
  </w:style>
  <w:style w:type="paragraph" w:styleId="Footer0">
    <w:name w:val="footer"/>
    <w:basedOn w:val="Normal"/>
    <w:link w:val="FooterChar"/>
    <w:uiPriority w:val="98"/>
    <w:semiHidden/>
    <w:rsid w:val="00D435F2"/>
    <w:pPr>
      <w:tabs>
        <w:tab w:val="center" w:pos="3686"/>
        <w:tab w:val="right" w:pos="7371"/>
      </w:tabs>
    </w:pPr>
  </w:style>
  <w:style w:type="character" w:customStyle="1" w:styleId="FooterChar">
    <w:name w:val="Footer Char"/>
    <w:basedOn w:val="DefaultParagraphFont"/>
    <w:link w:val="Footer0"/>
    <w:uiPriority w:val="98"/>
    <w:semiHidden/>
    <w:rsid w:val="00D435F2"/>
    <w:rPr>
      <w:sz w:val="24"/>
      <w:szCs w:val="24"/>
      <w:lang w:val="ro-RO"/>
    </w:rPr>
  </w:style>
  <w:style w:type="character" w:styleId="FootnoteReference">
    <w:name w:val="footnote reference"/>
    <w:basedOn w:val="DefaultParagraphFont"/>
    <w:uiPriority w:val="98"/>
    <w:semiHidden/>
    <w:rsid w:val="00D435F2"/>
    <w:rPr>
      <w:vertAlign w:val="superscript"/>
    </w:rPr>
  </w:style>
  <w:style w:type="paragraph" w:styleId="FootnoteText">
    <w:name w:val="footnote text"/>
    <w:basedOn w:val="NormalJustified"/>
    <w:link w:val="FootnoteTextChar"/>
    <w:uiPriority w:val="98"/>
    <w:semiHidden/>
    <w:rsid w:val="00D435F2"/>
    <w:rPr>
      <w:sz w:val="20"/>
      <w:szCs w:val="20"/>
    </w:rPr>
  </w:style>
  <w:style w:type="character" w:customStyle="1" w:styleId="FootnoteTextChar">
    <w:name w:val="Footnote Text Char"/>
    <w:basedOn w:val="DefaultParagraphFont"/>
    <w:link w:val="FootnoteText"/>
    <w:uiPriority w:val="98"/>
    <w:semiHidden/>
    <w:rsid w:val="00D435F2"/>
    <w:rPr>
      <w:sz w:val="20"/>
      <w:szCs w:val="20"/>
      <w:lang w:val="ro-RO"/>
    </w:rPr>
  </w:style>
  <w:style w:type="character" w:customStyle="1" w:styleId="Heading6Char">
    <w:name w:val="Heading 6 Char"/>
    <w:basedOn w:val="DefaultParagraphFont"/>
    <w:link w:val="Heading6"/>
    <w:uiPriority w:val="98"/>
    <w:semiHidden/>
    <w:rsid w:val="00D435F2"/>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D435F2"/>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D435F2"/>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D435F2"/>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D435F2"/>
    <w:rPr>
      <w:color w:val="0072BC" w:themeColor="hyperlink"/>
      <w:u w:val="single"/>
    </w:rPr>
  </w:style>
  <w:style w:type="character" w:styleId="IntenseEmphasis">
    <w:name w:val="Intense Emphasis"/>
    <w:uiPriority w:val="98"/>
    <w:semiHidden/>
    <w:qFormat/>
    <w:rsid w:val="00D435F2"/>
    <w:rPr>
      <w:b/>
      <w:bCs/>
    </w:rPr>
  </w:style>
  <w:style w:type="paragraph" w:styleId="IntenseQuote">
    <w:name w:val="Intense Quote"/>
    <w:basedOn w:val="Normal"/>
    <w:next w:val="Normal"/>
    <w:link w:val="IntenseQuoteChar"/>
    <w:uiPriority w:val="98"/>
    <w:semiHidden/>
    <w:qFormat/>
    <w:rsid w:val="00D435F2"/>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D435F2"/>
    <w:rPr>
      <w:b/>
      <w:bCs/>
      <w:i/>
      <w:iCs/>
      <w:sz w:val="24"/>
      <w:szCs w:val="24"/>
      <w:lang w:val="ro-RO" w:bidi="en-US"/>
    </w:rPr>
  </w:style>
  <w:style w:type="character" w:styleId="IntenseReference">
    <w:name w:val="Intense Reference"/>
    <w:uiPriority w:val="98"/>
    <w:semiHidden/>
    <w:qFormat/>
    <w:rsid w:val="00D435F2"/>
    <w:rPr>
      <w:smallCaps/>
      <w:spacing w:val="5"/>
      <w:u w:val="single"/>
    </w:rPr>
  </w:style>
  <w:style w:type="paragraph" w:styleId="ListParagraph">
    <w:name w:val="List Paragraph"/>
    <w:basedOn w:val="Normal"/>
    <w:uiPriority w:val="98"/>
    <w:semiHidden/>
    <w:qFormat/>
    <w:rsid w:val="00D435F2"/>
    <w:pPr>
      <w:ind w:left="720"/>
      <w:contextualSpacing/>
    </w:pPr>
  </w:style>
  <w:style w:type="table" w:customStyle="1" w:styleId="LtrTableAddress">
    <w:name w:val="Ltr_Table_Address"/>
    <w:aliases w:val="ECHR_Ltr_Table_Address"/>
    <w:basedOn w:val="TableNormal"/>
    <w:uiPriority w:val="99"/>
    <w:rsid w:val="00966F87"/>
    <w:rPr>
      <w:sz w:val="24"/>
      <w:szCs w:val="24"/>
    </w:rPr>
    <w:tblPr>
      <w:tblInd w:w="5103" w:type="dxa"/>
    </w:tblPr>
  </w:style>
  <w:style w:type="paragraph" w:styleId="Quote">
    <w:name w:val="Quote"/>
    <w:basedOn w:val="Normal"/>
    <w:next w:val="Normal"/>
    <w:link w:val="QuoteChar"/>
    <w:uiPriority w:val="98"/>
    <w:semiHidden/>
    <w:qFormat/>
    <w:rsid w:val="00D435F2"/>
    <w:pPr>
      <w:spacing w:before="200"/>
      <w:ind w:left="360" w:right="360"/>
    </w:pPr>
    <w:rPr>
      <w:i/>
      <w:iCs/>
      <w:lang w:bidi="en-US"/>
    </w:rPr>
  </w:style>
  <w:style w:type="character" w:customStyle="1" w:styleId="QuoteChar">
    <w:name w:val="Quote Char"/>
    <w:basedOn w:val="DefaultParagraphFont"/>
    <w:link w:val="Quote"/>
    <w:uiPriority w:val="98"/>
    <w:semiHidden/>
    <w:rsid w:val="00D435F2"/>
    <w:rPr>
      <w:i/>
      <w:iCs/>
      <w:sz w:val="24"/>
      <w:szCs w:val="24"/>
      <w:lang w:val="ro-RO" w:bidi="en-US"/>
    </w:rPr>
  </w:style>
  <w:style w:type="character" w:styleId="SubtleReference">
    <w:name w:val="Subtle Reference"/>
    <w:uiPriority w:val="98"/>
    <w:semiHidden/>
    <w:qFormat/>
    <w:rsid w:val="00D435F2"/>
    <w:rPr>
      <w:smallCaps/>
    </w:rPr>
  </w:style>
  <w:style w:type="table" w:styleId="TableGrid">
    <w:name w:val="Table Grid"/>
    <w:basedOn w:val="TableNormal"/>
    <w:uiPriority w:val="59"/>
    <w:semiHidden/>
    <w:rsid w:val="00D435F2"/>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D435F2"/>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D435F2"/>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D435F2"/>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D435F2"/>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D435F2"/>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D435F2"/>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966F87"/>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966F87"/>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966F87"/>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D435F2"/>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D435F2"/>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D435F2"/>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D435F2"/>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D435F2"/>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D435F2"/>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D435F2"/>
    <w:pPr>
      <w:numPr>
        <w:numId w:val="3"/>
      </w:numPr>
    </w:pPr>
  </w:style>
  <w:style w:type="paragraph" w:customStyle="1" w:styleId="JuPara">
    <w:name w:val="Ju_Para"/>
    <w:aliases w:val="_Para"/>
    <w:basedOn w:val="NormalJustified"/>
    <w:link w:val="JuParaChar"/>
    <w:uiPriority w:val="4"/>
    <w:qFormat/>
    <w:rsid w:val="00966F87"/>
    <w:pPr>
      <w:ind w:firstLine="284"/>
    </w:pPr>
  </w:style>
  <w:style w:type="numbering" w:styleId="1ai">
    <w:name w:val="Outline List 1"/>
    <w:basedOn w:val="NoList"/>
    <w:uiPriority w:val="99"/>
    <w:semiHidden/>
    <w:unhideWhenUsed/>
    <w:rsid w:val="00D435F2"/>
    <w:pPr>
      <w:numPr>
        <w:numId w:val="4"/>
      </w:numPr>
    </w:pPr>
  </w:style>
  <w:style w:type="table" w:customStyle="1" w:styleId="ECHRTableSimpleBox">
    <w:name w:val="ECHR_Table_Simple_Box"/>
    <w:basedOn w:val="TableNormal"/>
    <w:uiPriority w:val="99"/>
    <w:rsid w:val="00D435F2"/>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D435F2"/>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D435F2"/>
    <w:pPr>
      <w:numPr>
        <w:numId w:val="5"/>
      </w:numPr>
    </w:pPr>
  </w:style>
  <w:style w:type="table" w:customStyle="1" w:styleId="ECHRTableForInternalUse">
    <w:name w:val="ECHR_Table_For_Internal_Use"/>
    <w:basedOn w:val="TableNormal"/>
    <w:uiPriority w:val="99"/>
    <w:rsid w:val="00D435F2"/>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435F2"/>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D435F2"/>
  </w:style>
  <w:style w:type="paragraph" w:styleId="BlockText">
    <w:name w:val="Block Text"/>
    <w:basedOn w:val="Normal"/>
    <w:uiPriority w:val="98"/>
    <w:semiHidden/>
    <w:rsid w:val="00D435F2"/>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D435F2"/>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D435F2"/>
    <w:pPr>
      <w:spacing w:after="120"/>
    </w:pPr>
  </w:style>
  <w:style w:type="character" w:customStyle="1" w:styleId="BodyTextChar">
    <w:name w:val="Body Text Char"/>
    <w:basedOn w:val="DefaultParagraphFont"/>
    <w:link w:val="BodyText"/>
    <w:uiPriority w:val="98"/>
    <w:semiHidden/>
    <w:rsid w:val="00D435F2"/>
    <w:rPr>
      <w:sz w:val="24"/>
      <w:szCs w:val="24"/>
      <w:lang w:val="ro-RO"/>
    </w:rPr>
  </w:style>
  <w:style w:type="table" w:customStyle="1" w:styleId="ECHRTableOddBanded">
    <w:name w:val="ECHR_Table_Odd_Banded"/>
    <w:basedOn w:val="TableNormal"/>
    <w:uiPriority w:val="99"/>
    <w:rsid w:val="00D435F2"/>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D435F2"/>
    <w:pPr>
      <w:spacing w:after="120" w:line="480" w:lineRule="auto"/>
    </w:pPr>
  </w:style>
  <w:style w:type="table" w:customStyle="1" w:styleId="ECHRHeaderTableReduced">
    <w:name w:val="ECHR_Header_Table_Reduced"/>
    <w:basedOn w:val="TableNormal"/>
    <w:uiPriority w:val="99"/>
    <w:rsid w:val="00D435F2"/>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D435F2"/>
    <w:pPr>
      <w:ind w:firstLine="284"/>
    </w:pPr>
    <w:rPr>
      <w:b/>
    </w:rPr>
  </w:style>
  <w:style w:type="character" w:styleId="PageNumber">
    <w:name w:val="page number"/>
    <w:uiPriority w:val="98"/>
    <w:semiHidden/>
    <w:rsid w:val="00D435F2"/>
    <w:rPr>
      <w:sz w:val="18"/>
    </w:rPr>
  </w:style>
  <w:style w:type="paragraph" w:styleId="ListBullet">
    <w:name w:val="List Bullet"/>
    <w:basedOn w:val="Normal"/>
    <w:uiPriority w:val="98"/>
    <w:semiHidden/>
    <w:rsid w:val="00D435F2"/>
    <w:pPr>
      <w:numPr>
        <w:numId w:val="27"/>
      </w:numPr>
    </w:pPr>
  </w:style>
  <w:style w:type="paragraph" w:styleId="ListBullet3">
    <w:name w:val="List Bullet 3"/>
    <w:basedOn w:val="Normal"/>
    <w:uiPriority w:val="98"/>
    <w:semiHidden/>
    <w:rsid w:val="00D435F2"/>
    <w:pPr>
      <w:numPr>
        <w:numId w:val="29"/>
      </w:numPr>
      <w:contextualSpacing/>
    </w:pPr>
  </w:style>
  <w:style w:type="character" w:customStyle="1" w:styleId="BodyText2Char">
    <w:name w:val="Body Text 2 Char"/>
    <w:basedOn w:val="DefaultParagraphFont"/>
    <w:link w:val="BodyText2"/>
    <w:uiPriority w:val="98"/>
    <w:semiHidden/>
    <w:rsid w:val="00D435F2"/>
    <w:rPr>
      <w:sz w:val="24"/>
      <w:szCs w:val="24"/>
      <w:lang w:val="ro-RO"/>
    </w:rPr>
  </w:style>
  <w:style w:type="paragraph" w:styleId="BodyText3">
    <w:name w:val="Body Text 3"/>
    <w:basedOn w:val="Normal"/>
    <w:link w:val="BodyText3Char"/>
    <w:uiPriority w:val="98"/>
    <w:semiHidden/>
    <w:rsid w:val="00D435F2"/>
    <w:pPr>
      <w:spacing w:after="120"/>
    </w:pPr>
    <w:rPr>
      <w:sz w:val="16"/>
      <w:szCs w:val="16"/>
    </w:rPr>
  </w:style>
  <w:style w:type="character" w:customStyle="1" w:styleId="BodyText3Char">
    <w:name w:val="Body Text 3 Char"/>
    <w:basedOn w:val="DefaultParagraphFont"/>
    <w:link w:val="BodyText3"/>
    <w:uiPriority w:val="98"/>
    <w:semiHidden/>
    <w:rsid w:val="00D435F2"/>
    <w:rPr>
      <w:sz w:val="16"/>
      <w:szCs w:val="16"/>
      <w:lang w:val="ro-RO"/>
    </w:rPr>
  </w:style>
  <w:style w:type="paragraph" w:styleId="BodyTextFirstIndent">
    <w:name w:val="Body Text First Indent"/>
    <w:basedOn w:val="BodyText"/>
    <w:link w:val="BodyTextFirstIndentChar"/>
    <w:uiPriority w:val="98"/>
    <w:semiHidden/>
    <w:rsid w:val="00D435F2"/>
    <w:pPr>
      <w:spacing w:after="0"/>
      <w:ind w:firstLine="360"/>
    </w:pPr>
  </w:style>
  <w:style w:type="character" w:customStyle="1" w:styleId="BodyTextFirstIndentChar">
    <w:name w:val="Body Text First Indent Char"/>
    <w:basedOn w:val="BodyTextChar"/>
    <w:link w:val="BodyTextFirstIndent"/>
    <w:uiPriority w:val="98"/>
    <w:semiHidden/>
    <w:rsid w:val="00D435F2"/>
    <w:rPr>
      <w:sz w:val="24"/>
      <w:szCs w:val="24"/>
      <w:lang w:val="ro-RO"/>
    </w:rPr>
  </w:style>
  <w:style w:type="paragraph" w:styleId="BodyTextIndent">
    <w:name w:val="Body Text Indent"/>
    <w:basedOn w:val="Normal"/>
    <w:link w:val="BodyTextIndentChar"/>
    <w:uiPriority w:val="98"/>
    <w:semiHidden/>
    <w:rsid w:val="00D435F2"/>
    <w:pPr>
      <w:spacing w:after="120"/>
      <w:ind w:left="283"/>
    </w:pPr>
  </w:style>
  <w:style w:type="character" w:customStyle="1" w:styleId="BodyTextIndentChar">
    <w:name w:val="Body Text Indent Char"/>
    <w:basedOn w:val="DefaultParagraphFont"/>
    <w:link w:val="BodyTextIndent"/>
    <w:uiPriority w:val="98"/>
    <w:semiHidden/>
    <w:rsid w:val="00D435F2"/>
    <w:rPr>
      <w:sz w:val="24"/>
      <w:szCs w:val="24"/>
      <w:lang w:val="ro-RO"/>
    </w:rPr>
  </w:style>
  <w:style w:type="paragraph" w:styleId="BodyTextFirstIndent2">
    <w:name w:val="Body Text First Indent 2"/>
    <w:basedOn w:val="BodyTextIndent"/>
    <w:link w:val="BodyTextFirstIndent2Char"/>
    <w:uiPriority w:val="98"/>
    <w:semiHidden/>
    <w:rsid w:val="00D435F2"/>
    <w:pPr>
      <w:spacing w:after="0"/>
      <w:ind w:left="360" w:firstLine="360"/>
    </w:pPr>
  </w:style>
  <w:style w:type="character" w:customStyle="1" w:styleId="BodyTextFirstIndent2Char">
    <w:name w:val="Body Text First Indent 2 Char"/>
    <w:basedOn w:val="BodyTextIndentChar"/>
    <w:link w:val="BodyTextFirstIndent2"/>
    <w:uiPriority w:val="98"/>
    <w:semiHidden/>
    <w:rsid w:val="00D435F2"/>
    <w:rPr>
      <w:sz w:val="24"/>
      <w:szCs w:val="24"/>
      <w:lang w:val="ro-RO"/>
    </w:rPr>
  </w:style>
  <w:style w:type="paragraph" w:styleId="BodyTextIndent2">
    <w:name w:val="Body Text Indent 2"/>
    <w:basedOn w:val="Normal"/>
    <w:link w:val="BodyTextIndent2Char"/>
    <w:uiPriority w:val="98"/>
    <w:semiHidden/>
    <w:rsid w:val="00D435F2"/>
    <w:pPr>
      <w:spacing w:after="120" w:line="480" w:lineRule="auto"/>
      <w:ind w:left="283"/>
    </w:pPr>
  </w:style>
  <w:style w:type="character" w:customStyle="1" w:styleId="BodyTextIndent2Char">
    <w:name w:val="Body Text Indent 2 Char"/>
    <w:basedOn w:val="DefaultParagraphFont"/>
    <w:link w:val="BodyTextIndent2"/>
    <w:uiPriority w:val="98"/>
    <w:semiHidden/>
    <w:rsid w:val="00D435F2"/>
    <w:rPr>
      <w:sz w:val="24"/>
      <w:szCs w:val="24"/>
      <w:lang w:val="ro-RO"/>
    </w:rPr>
  </w:style>
  <w:style w:type="paragraph" w:styleId="BodyTextIndent3">
    <w:name w:val="Body Text Indent 3"/>
    <w:basedOn w:val="Normal"/>
    <w:link w:val="BodyTextIndent3Char"/>
    <w:uiPriority w:val="98"/>
    <w:semiHidden/>
    <w:rsid w:val="00D435F2"/>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D435F2"/>
    <w:rPr>
      <w:sz w:val="16"/>
      <w:szCs w:val="16"/>
      <w:lang w:val="ro-RO"/>
    </w:rPr>
  </w:style>
  <w:style w:type="paragraph" w:styleId="Caption">
    <w:name w:val="caption"/>
    <w:basedOn w:val="Normal"/>
    <w:next w:val="Normal"/>
    <w:uiPriority w:val="98"/>
    <w:semiHidden/>
    <w:qFormat/>
    <w:rsid w:val="00D435F2"/>
    <w:pPr>
      <w:spacing w:after="200"/>
    </w:pPr>
    <w:rPr>
      <w:b/>
      <w:bCs/>
      <w:color w:val="0072BC" w:themeColor="accent1"/>
      <w:sz w:val="18"/>
      <w:szCs w:val="18"/>
    </w:rPr>
  </w:style>
  <w:style w:type="paragraph" w:styleId="Closing">
    <w:name w:val="Closing"/>
    <w:basedOn w:val="Normal"/>
    <w:link w:val="ClosingChar"/>
    <w:uiPriority w:val="98"/>
    <w:semiHidden/>
    <w:rsid w:val="00D435F2"/>
    <w:pPr>
      <w:ind w:left="4252"/>
    </w:pPr>
  </w:style>
  <w:style w:type="character" w:customStyle="1" w:styleId="ClosingChar">
    <w:name w:val="Closing Char"/>
    <w:basedOn w:val="DefaultParagraphFont"/>
    <w:link w:val="Closing"/>
    <w:uiPriority w:val="98"/>
    <w:semiHidden/>
    <w:rsid w:val="00D435F2"/>
    <w:rPr>
      <w:sz w:val="24"/>
      <w:szCs w:val="24"/>
      <w:lang w:val="ro-RO"/>
    </w:rPr>
  </w:style>
  <w:style w:type="table" w:styleId="ColorfulGrid">
    <w:name w:val="Colorful Grid"/>
    <w:basedOn w:val="TableNormal"/>
    <w:uiPriority w:val="73"/>
    <w:semiHidden/>
    <w:rsid w:val="00D435F2"/>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435F2"/>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D435F2"/>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D435F2"/>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D435F2"/>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D435F2"/>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D435F2"/>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D435F2"/>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435F2"/>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D435F2"/>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D435F2"/>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D435F2"/>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D435F2"/>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D435F2"/>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D435F2"/>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435F2"/>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435F2"/>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435F2"/>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D435F2"/>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435F2"/>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435F2"/>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D435F2"/>
    <w:rPr>
      <w:sz w:val="16"/>
      <w:szCs w:val="16"/>
    </w:rPr>
  </w:style>
  <w:style w:type="paragraph" w:styleId="CommentText">
    <w:name w:val="annotation text"/>
    <w:basedOn w:val="Normal"/>
    <w:link w:val="CommentTextChar"/>
    <w:uiPriority w:val="98"/>
    <w:semiHidden/>
    <w:rsid w:val="00D435F2"/>
    <w:rPr>
      <w:sz w:val="20"/>
      <w:szCs w:val="20"/>
    </w:rPr>
  </w:style>
  <w:style w:type="character" w:customStyle="1" w:styleId="CommentTextChar">
    <w:name w:val="Comment Text Char"/>
    <w:basedOn w:val="DefaultParagraphFont"/>
    <w:link w:val="CommentText"/>
    <w:uiPriority w:val="98"/>
    <w:semiHidden/>
    <w:rsid w:val="00D435F2"/>
    <w:rPr>
      <w:sz w:val="20"/>
      <w:szCs w:val="20"/>
      <w:lang w:val="ro-RO"/>
    </w:rPr>
  </w:style>
  <w:style w:type="paragraph" w:styleId="CommentSubject">
    <w:name w:val="annotation subject"/>
    <w:basedOn w:val="CommentText"/>
    <w:next w:val="CommentText"/>
    <w:link w:val="CommentSubjectChar"/>
    <w:uiPriority w:val="98"/>
    <w:semiHidden/>
    <w:rsid w:val="00D435F2"/>
    <w:rPr>
      <w:b/>
      <w:bCs/>
    </w:rPr>
  </w:style>
  <w:style w:type="character" w:customStyle="1" w:styleId="CommentSubjectChar">
    <w:name w:val="Comment Subject Char"/>
    <w:basedOn w:val="CommentTextChar"/>
    <w:link w:val="CommentSubject"/>
    <w:uiPriority w:val="98"/>
    <w:semiHidden/>
    <w:rsid w:val="00D435F2"/>
    <w:rPr>
      <w:b/>
      <w:bCs/>
      <w:sz w:val="20"/>
      <w:szCs w:val="20"/>
      <w:lang w:val="ro-RO"/>
    </w:rPr>
  </w:style>
  <w:style w:type="table" w:styleId="DarkList">
    <w:name w:val="Dark List"/>
    <w:basedOn w:val="TableNormal"/>
    <w:uiPriority w:val="70"/>
    <w:semiHidden/>
    <w:rsid w:val="00D435F2"/>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435F2"/>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D435F2"/>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D435F2"/>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D435F2"/>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D435F2"/>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D435F2"/>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D435F2"/>
  </w:style>
  <w:style w:type="character" w:customStyle="1" w:styleId="DateChar">
    <w:name w:val="Date Char"/>
    <w:basedOn w:val="DefaultParagraphFont"/>
    <w:link w:val="Date"/>
    <w:uiPriority w:val="98"/>
    <w:semiHidden/>
    <w:rsid w:val="00D435F2"/>
    <w:rPr>
      <w:sz w:val="24"/>
      <w:szCs w:val="24"/>
      <w:lang w:val="ro-RO"/>
    </w:rPr>
  </w:style>
  <w:style w:type="paragraph" w:styleId="DocumentMap">
    <w:name w:val="Document Map"/>
    <w:basedOn w:val="Normal"/>
    <w:link w:val="DocumentMapChar"/>
    <w:uiPriority w:val="98"/>
    <w:semiHidden/>
    <w:rsid w:val="00D435F2"/>
    <w:rPr>
      <w:rFonts w:ascii="Tahoma" w:hAnsi="Tahoma" w:cs="Tahoma"/>
      <w:sz w:val="16"/>
      <w:szCs w:val="16"/>
    </w:rPr>
  </w:style>
  <w:style w:type="character" w:customStyle="1" w:styleId="DocumentMapChar">
    <w:name w:val="Document Map Char"/>
    <w:basedOn w:val="DefaultParagraphFont"/>
    <w:link w:val="DocumentMap"/>
    <w:uiPriority w:val="98"/>
    <w:semiHidden/>
    <w:rsid w:val="00D435F2"/>
    <w:rPr>
      <w:rFonts w:ascii="Tahoma" w:hAnsi="Tahoma" w:cs="Tahoma"/>
      <w:sz w:val="16"/>
      <w:szCs w:val="16"/>
      <w:lang w:val="ro-RO"/>
    </w:rPr>
  </w:style>
  <w:style w:type="paragraph" w:styleId="E-mailSignature">
    <w:name w:val="E-mail Signature"/>
    <w:basedOn w:val="Normal"/>
    <w:link w:val="E-mailSignatureChar"/>
    <w:uiPriority w:val="98"/>
    <w:semiHidden/>
    <w:rsid w:val="00D435F2"/>
  </w:style>
  <w:style w:type="character" w:customStyle="1" w:styleId="E-mailSignatureChar">
    <w:name w:val="E-mail Signature Char"/>
    <w:basedOn w:val="DefaultParagraphFont"/>
    <w:link w:val="E-mailSignature"/>
    <w:uiPriority w:val="98"/>
    <w:semiHidden/>
    <w:rsid w:val="00D435F2"/>
    <w:rPr>
      <w:sz w:val="24"/>
      <w:szCs w:val="24"/>
      <w:lang w:val="ro-RO"/>
    </w:rPr>
  </w:style>
  <w:style w:type="character" w:styleId="EndnoteReference">
    <w:name w:val="endnote reference"/>
    <w:basedOn w:val="DefaultParagraphFont"/>
    <w:uiPriority w:val="98"/>
    <w:semiHidden/>
    <w:rsid w:val="00D435F2"/>
    <w:rPr>
      <w:vertAlign w:val="superscript"/>
    </w:rPr>
  </w:style>
  <w:style w:type="paragraph" w:styleId="EndnoteText">
    <w:name w:val="endnote text"/>
    <w:basedOn w:val="Normal"/>
    <w:link w:val="EndnoteTextChar"/>
    <w:uiPriority w:val="98"/>
    <w:semiHidden/>
    <w:rsid w:val="00D435F2"/>
    <w:rPr>
      <w:sz w:val="20"/>
      <w:szCs w:val="20"/>
    </w:rPr>
  </w:style>
  <w:style w:type="character" w:customStyle="1" w:styleId="EndnoteTextChar">
    <w:name w:val="Endnote Text Char"/>
    <w:basedOn w:val="DefaultParagraphFont"/>
    <w:link w:val="EndnoteText"/>
    <w:uiPriority w:val="98"/>
    <w:semiHidden/>
    <w:rsid w:val="00D435F2"/>
    <w:rPr>
      <w:sz w:val="20"/>
      <w:szCs w:val="20"/>
      <w:lang w:val="ro-RO"/>
    </w:rPr>
  </w:style>
  <w:style w:type="paragraph" w:styleId="EnvelopeAddress">
    <w:name w:val="envelope address"/>
    <w:basedOn w:val="Normal"/>
    <w:uiPriority w:val="98"/>
    <w:semiHidden/>
    <w:rsid w:val="00D435F2"/>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D435F2"/>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D435F2"/>
    <w:rPr>
      <w:color w:val="7030A0" w:themeColor="followedHyperlink"/>
      <w:u w:val="single"/>
    </w:rPr>
  </w:style>
  <w:style w:type="character" w:styleId="HTMLAcronym">
    <w:name w:val="HTML Acronym"/>
    <w:basedOn w:val="DefaultParagraphFont"/>
    <w:uiPriority w:val="98"/>
    <w:semiHidden/>
    <w:rsid w:val="00D435F2"/>
  </w:style>
  <w:style w:type="paragraph" w:styleId="HTMLAddress">
    <w:name w:val="HTML Address"/>
    <w:basedOn w:val="Normal"/>
    <w:link w:val="HTMLAddressChar"/>
    <w:uiPriority w:val="98"/>
    <w:semiHidden/>
    <w:rsid w:val="00D435F2"/>
    <w:rPr>
      <w:i/>
      <w:iCs/>
    </w:rPr>
  </w:style>
  <w:style w:type="character" w:customStyle="1" w:styleId="HTMLAddressChar">
    <w:name w:val="HTML Address Char"/>
    <w:basedOn w:val="DefaultParagraphFont"/>
    <w:link w:val="HTMLAddress"/>
    <w:uiPriority w:val="98"/>
    <w:semiHidden/>
    <w:rsid w:val="00D435F2"/>
    <w:rPr>
      <w:i/>
      <w:iCs/>
      <w:sz w:val="24"/>
      <w:szCs w:val="24"/>
      <w:lang w:val="ro-RO"/>
    </w:rPr>
  </w:style>
  <w:style w:type="character" w:styleId="HTMLCite">
    <w:name w:val="HTML Cite"/>
    <w:basedOn w:val="DefaultParagraphFont"/>
    <w:uiPriority w:val="98"/>
    <w:semiHidden/>
    <w:rsid w:val="00D435F2"/>
    <w:rPr>
      <w:i/>
      <w:iCs/>
    </w:rPr>
  </w:style>
  <w:style w:type="character" w:styleId="HTMLCode">
    <w:name w:val="HTML Code"/>
    <w:basedOn w:val="DefaultParagraphFont"/>
    <w:uiPriority w:val="98"/>
    <w:semiHidden/>
    <w:rsid w:val="00D435F2"/>
    <w:rPr>
      <w:rFonts w:ascii="Consolas" w:hAnsi="Consolas" w:cs="Consolas"/>
      <w:sz w:val="20"/>
      <w:szCs w:val="20"/>
    </w:rPr>
  </w:style>
  <w:style w:type="character" w:styleId="HTMLDefinition">
    <w:name w:val="HTML Definition"/>
    <w:basedOn w:val="DefaultParagraphFont"/>
    <w:uiPriority w:val="98"/>
    <w:semiHidden/>
    <w:rsid w:val="00D435F2"/>
    <w:rPr>
      <w:i/>
      <w:iCs/>
    </w:rPr>
  </w:style>
  <w:style w:type="character" w:styleId="HTMLKeyboard">
    <w:name w:val="HTML Keyboard"/>
    <w:basedOn w:val="DefaultParagraphFont"/>
    <w:uiPriority w:val="98"/>
    <w:semiHidden/>
    <w:rsid w:val="00D435F2"/>
    <w:rPr>
      <w:rFonts w:ascii="Consolas" w:hAnsi="Consolas" w:cs="Consolas"/>
      <w:sz w:val="20"/>
      <w:szCs w:val="20"/>
    </w:rPr>
  </w:style>
  <w:style w:type="paragraph" w:styleId="HTMLPreformatted">
    <w:name w:val="HTML Preformatted"/>
    <w:basedOn w:val="Normal"/>
    <w:link w:val="HTMLPreformattedChar"/>
    <w:uiPriority w:val="98"/>
    <w:semiHidden/>
    <w:rsid w:val="00D435F2"/>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D435F2"/>
    <w:rPr>
      <w:rFonts w:ascii="Consolas" w:hAnsi="Consolas" w:cs="Consolas"/>
      <w:sz w:val="20"/>
      <w:szCs w:val="20"/>
      <w:lang w:val="ro-RO"/>
    </w:rPr>
  </w:style>
  <w:style w:type="character" w:styleId="HTMLSample">
    <w:name w:val="HTML Sample"/>
    <w:basedOn w:val="DefaultParagraphFont"/>
    <w:uiPriority w:val="98"/>
    <w:semiHidden/>
    <w:rsid w:val="00D435F2"/>
    <w:rPr>
      <w:rFonts w:ascii="Consolas" w:hAnsi="Consolas" w:cs="Consolas"/>
      <w:sz w:val="24"/>
      <w:szCs w:val="24"/>
    </w:rPr>
  </w:style>
  <w:style w:type="character" w:styleId="HTMLTypewriter">
    <w:name w:val="HTML Typewriter"/>
    <w:basedOn w:val="DefaultParagraphFont"/>
    <w:uiPriority w:val="98"/>
    <w:semiHidden/>
    <w:rsid w:val="00D435F2"/>
    <w:rPr>
      <w:rFonts w:ascii="Consolas" w:hAnsi="Consolas" w:cs="Consolas"/>
      <w:sz w:val="20"/>
      <w:szCs w:val="20"/>
    </w:rPr>
  </w:style>
  <w:style w:type="character" w:styleId="HTMLVariable">
    <w:name w:val="HTML Variable"/>
    <w:basedOn w:val="DefaultParagraphFont"/>
    <w:uiPriority w:val="98"/>
    <w:semiHidden/>
    <w:rsid w:val="00D435F2"/>
    <w:rPr>
      <w:i/>
      <w:iCs/>
    </w:rPr>
  </w:style>
  <w:style w:type="paragraph" w:styleId="Index1">
    <w:name w:val="index 1"/>
    <w:basedOn w:val="Normal"/>
    <w:next w:val="Normal"/>
    <w:autoRedefine/>
    <w:uiPriority w:val="98"/>
    <w:semiHidden/>
    <w:rsid w:val="00D435F2"/>
    <w:pPr>
      <w:ind w:left="240" w:hanging="240"/>
    </w:pPr>
  </w:style>
  <w:style w:type="paragraph" w:styleId="Index2">
    <w:name w:val="index 2"/>
    <w:basedOn w:val="Normal"/>
    <w:next w:val="Normal"/>
    <w:autoRedefine/>
    <w:uiPriority w:val="98"/>
    <w:semiHidden/>
    <w:rsid w:val="00D435F2"/>
    <w:pPr>
      <w:ind w:left="480" w:hanging="240"/>
    </w:pPr>
  </w:style>
  <w:style w:type="paragraph" w:styleId="Index3">
    <w:name w:val="index 3"/>
    <w:basedOn w:val="Normal"/>
    <w:next w:val="Normal"/>
    <w:autoRedefine/>
    <w:uiPriority w:val="98"/>
    <w:semiHidden/>
    <w:rsid w:val="00D435F2"/>
    <w:pPr>
      <w:ind w:left="720" w:hanging="240"/>
    </w:pPr>
  </w:style>
  <w:style w:type="paragraph" w:styleId="Index4">
    <w:name w:val="index 4"/>
    <w:basedOn w:val="Normal"/>
    <w:next w:val="Normal"/>
    <w:autoRedefine/>
    <w:uiPriority w:val="98"/>
    <w:semiHidden/>
    <w:rsid w:val="00D435F2"/>
    <w:pPr>
      <w:ind w:left="960" w:hanging="240"/>
    </w:pPr>
  </w:style>
  <w:style w:type="paragraph" w:styleId="Index5">
    <w:name w:val="index 5"/>
    <w:basedOn w:val="Normal"/>
    <w:next w:val="Normal"/>
    <w:autoRedefine/>
    <w:uiPriority w:val="98"/>
    <w:semiHidden/>
    <w:rsid w:val="00D435F2"/>
    <w:pPr>
      <w:ind w:left="1200" w:hanging="240"/>
    </w:pPr>
  </w:style>
  <w:style w:type="paragraph" w:styleId="Index6">
    <w:name w:val="index 6"/>
    <w:basedOn w:val="Normal"/>
    <w:next w:val="Normal"/>
    <w:autoRedefine/>
    <w:uiPriority w:val="98"/>
    <w:semiHidden/>
    <w:rsid w:val="00D435F2"/>
    <w:pPr>
      <w:ind w:left="1440" w:hanging="240"/>
    </w:pPr>
  </w:style>
  <w:style w:type="paragraph" w:styleId="Index7">
    <w:name w:val="index 7"/>
    <w:basedOn w:val="Normal"/>
    <w:next w:val="Normal"/>
    <w:autoRedefine/>
    <w:uiPriority w:val="98"/>
    <w:semiHidden/>
    <w:rsid w:val="00D435F2"/>
    <w:pPr>
      <w:ind w:left="1680" w:hanging="240"/>
    </w:pPr>
  </w:style>
  <w:style w:type="paragraph" w:styleId="Index8">
    <w:name w:val="index 8"/>
    <w:basedOn w:val="Normal"/>
    <w:next w:val="Normal"/>
    <w:autoRedefine/>
    <w:uiPriority w:val="98"/>
    <w:semiHidden/>
    <w:rsid w:val="00D435F2"/>
    <w:pPr>
      <w:ind w:left="1920" w:hanging="240"/>
    </w:pPr>
  </w:style>
  <w:style w:type="paragraph" w:styleId="Index9">
    <w:name w:val="index 9"/>
    <w:basedOn w:val="Normal"/>
    <w:next w:val="Normal"/>
    <w:autoRedefine/>
    <w:uiPriority w:val="98"/>
    <w:semiHidden/>
    <w:rsid w:val="00D435F2"/>
    <w:pPr>
      <w:ind w:left="2160" w:hanging="240"/>
    </w:pPr>
  </w:style>
  <w:style w:type="paragraph" w:styleId="IndexHeading">
    <w:name w:val="index heading"/>
    <w:basedOn w:val="Normal"/>
    <w:next w:val="Index1"/>
    <w:uiPriority w:val="98"/>
    <w:semiHidden/>
    <w:rsid w:val="00D435F2"/>
    <w:rPr>
      <w:rFonts w:asciiTheme="majorHAnsi" w:eastAsiaTheme="majorEastAsia" w:hAnsiTheme="majorHAnsi" w:cstheme="majorBidi"/>
      <w:b/>
      <w:bCs/>
    </w:rPr>
  </w:style>
  <w:style w:type="table" w:styleId="LightGrid">
    <w:name w:val="Light Grid"/>
    <w:basedOn w:val="TableNormal"/>
    <w:uiPriority w:val="62"/>
    <w:semiHidden/>
    <w:rsid w:val="00D435F2"/>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435F2"/>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D435F2"/>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D435F2"/>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D435F2"/>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D435F2"/>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D435F2"/>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D435F2"/>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435F2"/>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D435F2"/>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D435F2"/>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D435F2"/>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D435F2"/>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D435F2"/>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D435F2"/>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435F2"/>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D435F2"/>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D435F2"/>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D435F2"/>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D435F2"/>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D435F2"/>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D435F2"/>
  </w:style>
  <w:style w:type="paragraph" w:styleId="List">
    <w:name w:val="List"/>
    <w:basedOn w:val="Normal"/>
    <w:uiPriority w:val="98"/>
    <w:semiHidden/>
    <w:rsid w:val="00D435F2"/>
    <w:pPr>
      <w:ind w:left="283" w:hanging="283"/>
      <w:contextualSpacing/>
    </w:pPr>
  </w:style>
  <w:style w:type="paragraph" w:styleId="List2">
    <w:name w:val="List 2"/>
    <w:basedOn w:val="Normal"/>
    <w:uiPriority w:val="98"/>
    <w:semiHidden/>
    <w:rsid w:val="00D435F2"/>
    <w:pPr>
      <w:ind w:left="566" w:hanging="283"/>
      <w:contextualSpacing/>
    </w:pPr>
  </w:style>
  <w:style w:type="paragraph" w:styleId="List3">
    <w:name w:val="List 3"/>
    <w:basedOn w:val="Normal"/>
    <w:uiPriority w:val="98"/>
    <w:semiHidden/>
    <w:rsid w:val="00D435F2"/>
    <w:pPr>
      <w:ind w:left="849" w:hanging="283"/>
      <w:contextualSpacing/>
    </w:pPr>
  </w:style>
  <w:style w:type="paragraph" w:styleId="List4">
    <w:name w:val="List 4"/>
    <w:basedOn w:val="Normal"/>
    <w:uiPriority w:val="98"/>
    <w:semiHidden/>
    <w:rsid w:val="00D435F2"/>
    <w:pPr>
      <w:ind w:left="1132" w:hanging="283"/>
      <w:contextualSpacing/>
    </w:pPr>
  </w:style>
  <w:style w:type="paragraph" w:styleId="List5">
    <w:name w:val="List 5"/>
    <w:basedOn w:val="Normal"/>
    <w:uiPriority w:val="98"/>
    <w:semiHidden/>
    <w:rsid w:val="00D435F2"/>
    <w:pPr>
      <w:ind w:left="1415" w:hanging="283"/>
      <w:contextualSpacing/>
    </w:pPr>
  </w:style>
  <w:style w:type="paragraph" w:styleId="ListBullet2">
    <w:name w:val="List Bullet 2"/>
    <w:basedOn w:val="Normal"/>
    <w:uiPriority w:val="98"/>
    <w:semiHidden/>
    <w:rsid w:val="00D435F2"/>
    <w:pPr>
      <w:numPr>
        <w:numId w:val="28"/>
      </w:numPr>
      <w:contextualSpacing/>
    </w:pPr>
  </w:style>
  <w:style w:type="paragraph" w:styleId="ListBullet4">
    <w:name w:val="List Bullet 4"/>
    <w:basedOn w:val="Normal"/>
    <w:uiPriority w:val="98"/>
    <w:semiHidden/>
    <w:rsid w:val="00D435F2"/>
    <w:pPr>
      <w:numPr>
        <w:numId w:val="30"/>
      </w:numPr>
      <w:contextualSpacing/>
    </w:pPr>
  </w:style>
  <w:style w:type="paragraph" w:styleId="ListBullet5">
    <w:name w:val="List Bullet 5"/>
    <w:basedOn w:val="Normal"/>
    <w:uiPriority w:val="98"/>
    <w:semiHidden/>
    <w:rsid w:val="00D435F2"/>
    <w:pPr>
      <w:numPr>
        <w:numId w:val="31"/>
      </w:numPr>
      <w:contextualSpacing/>
    </w:pPr>
  </w:style>
  <w:style w:type="paragraph" w:styleId="ListContinue">
    <w:name w:val="List Continue"/>
    <w:basedOn w:val="Normal"/>
    <w:uiPriority w:val="98"/>
    <w:semiHidden/>
    <w:rsid w:val="00D435F2"/>
    <w:pPr>
      <w:spacing w:after="120"/>
      <w:ind w:left="283"/>
      <w:contextualSpacing/>
    </w:pPr>
  </w:style>
  <w:style w:type="paragraph" w:styleId="ListContinue2">
    <w:name w:val="List Continue 2"/>
    <w:basedOn w:val="Normal"/>
    <w:uiPriority w:val="98"/>
    <w:semiHidden/>
    <w:rsid w:val="00D435F2"/>
    <w:pPr>
      <w:spacing w:after="120"/>
      <w:ind w:left="566"/>
      <w:contextualSpacing/>
    </w:pPr>
  </w:style>
  <w:style w:type="paragraph" w:styleId="ListContinue3">
    <w:name w:val="List Continue 3"/>
    <w:basedOn w:val="Normal"/>
    <w:uiPriority w:val="98"/>
    <w:semiHidden/>
    <w:rsid w:val="00D435F2"/>
    <w:pPr>
      <w:spacing w:after="120"/>
      <w:ind w:left="849"/>
      <w:contextualSpacing/>
    </w:pPr>
  </w:style>
  <w:style w:type="paragraph" w:styleId="ListContinue4">
    <w:name w:val="List Continue 4"/>
    <w:basedOn w:val="Normal"/>
    <w:uiPriority w:val="98"/>
    <w:semiHidden/>
    <w:rsid w:val="00D435F2"/>
    <w:pPr>
      <w:spacing w:after="120"/>
      <w:ind w:left="1132"/>
      <w:contextualSpacing/>
    </w:pPr>
  </w:style>
  <w:style w:type="paragraph" w:styleId="ListContinue5">
    <w:name w:val="List Continue 5"/>
    <w:basedOn w:val="Normal"/>
    <w:uiPriority w:val="98"/>
    <w:semiHidden/>
    <w:rsid w:val="00D435F2"/>
    <w:pPr>
      <w:spacing w:after="120"/>
      <w:ind w:left="1415"/>
      <w:contextualSpacing/>
    </w:pPr>
  </w:style>
  <w:style w:type="paragraph" w:styleId="ListNumber">
    <w:name w:val="List Number"/>
    <w:basedOn w:val="Normal"/>
    <w:uiPriority w:val="98"/>
    <w:semiHidden/>
    <w:rsid w:val="00D435F2"/>
    <w:pPr>
      <w:numPr>
        <w:numId w:val="32"/>
      </w:numPr>
      <w:contextualSpacing/>
    </w:pPr>
  </w:style>
  <w:style w:type="paragraph" w:styleId="ListNumber2">
    <w:name w:val="List Number 2"/>
    <w:basedOn w:val="Normal"/>
    <w:uiPriority w:val="98"/>
    <w:semiHidden/>
    <w:rsid w:val="00D435F2"/>
    <w:pPr>
      <w:numPr>
        <w:numId w:val="33"/>
      </w:numPr>
      <w:contextualSpacing/>
    </w:pPr>
  </w:style>
  <w:style w:type="paragraph" w:styleId="ListNumber3">
    <w:name w:val="List Number 3"/>
    <w:basedOn w:val="Normal"/>
    <w:uiPriority w:val="98"/>
    <w:semiHidden/>
    <w:rsid w:val="00D435F2"/>
    <w:pPr>
      <w:numPr>
        <w:numId w:val="34"/>
      </w:numPr>
      <w:contextualSpacing/>
    </w:pPr>
  </w:style>
  <w:style w:type="paragraph" w:styleId="ListNumber4">
    <w:name w:val="List Number 4"/>
    <w:basedOn w:val="Normal"/>
    <w:uiPriority w:val="98"/>
    <w:semiHidden/>
    <w:rsid w:val="00D435F2"/>
    <w:pPr>
      <w:numPr>
        <w:numId w:val="35"/>
      </w:numPr>
      <w:contextualSpacing/>
    </w:pPr>
  </w:style>
  <w:style w:type="paragraph" w:styleId="ListNumber5">
    <w:name w:val="List Number 5"/>
    <w:basedOn w:val="Normal"/>
    <w:uiPriority w:val="98"/>
    <w:semiHidden/>
    <w:rsid w:val="00D435F2"/>
    <w:pPr>
      <w:numPr>
        <w:numId w:val="36"/>
      </w:numPr>
      <w:contextualSpacing/>
    </w:pPr>
  </w:style>
  <w:style w:type="paragraph" w:styleId="MacroText">
    <w:name w:val="macro"/>
    <w:link w:val="MacroTextChar"/>
    <w:uiPriority w:val="98"/>
    <w:semiHidden/>
    <w:rsid w:val="00D435F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D435F2"/>
    <w:rPr>
      <w:rFonts w:ascii="Consolas" w:eastAsiaTheme="minorEastAsia" w:hAnsi="Consolas" w:cs="Consolas"/>
      <w:sz w:val="20"/>
      <w:szCs w:val="20"/>
    </w:rPr>
  </w:style>
  <w:style w:type="table" w:styleId="MediumGrid1">
    <w:name w:val="Medium Grid 1"/>
    <w:basedOn w:val="TableNormal"/>
    <w:uiPriority w:val="67"/>
    <w:semiHidden/>
    <w:rsid w:val="00D435F2"/>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435F2"/>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D435F2"/>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D435F2"/>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D435F2"/>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D435F2"/>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D435F2"/>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D435F2"/>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D435F2"/>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D435F2"/>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D435F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D435F2"/>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D435F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D435F2"/>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D435F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D435F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D435F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D435F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D435F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D435F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D435F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D435F2"/>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435F2"/>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D435F2"/>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D435F2"/>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D435F2"/>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D435F2"/>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D435F2"/>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D435F2"/>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435F2"/>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435F2"/>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435F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435F2"/>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435F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435F2"/>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D435F2"/>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435F2"/>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435F2"/>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435F2"/>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435F2"/>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435F2"/>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435F2"/>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435F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435F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435F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435F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435F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435F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435F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D435F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D435F2"/>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D435F2"/>
    <w:rPr>
      <w:rFonts w:ascii="Times New Roman" w:hAnsi="Times New Roman" w:cs="Times New Roman"/>
    </w:rPr>
  </w:style>
  <w:style w:type="paragraph" w:styleId="NormalIndent">
    <w:name w:val="Normal Indent"/>
    <w:basedOn w:val="Normal"/>
    <w:uiPriority w:val="98"/>
    <w:semiHidden/>
    <w:rsid w:val="00D435F2"/>
    <w:pPr>
      <w:ind w:left="720"/>
    </w:pPr>
  </w:style>
  <w:style w:type="paragraph" w:styleId="NoteHeading">
    <w:name w:val="Note Heading"/>
    <w:basedOn w:val="Normal"/>
    <w:next w:val="Normal"/>
    <w:link w:val="NoteHeadingChar"/>
    <w:uiPriority w:val="98"/>
    <w:semiHidden/>
    <w:rsid w:val="00D435F2"/>
  </w:style>
  <w:style w:type="character" w:customStyle="1" w:styleId="NoteHeadingChar">
    <w:name w:val="Note Heading Char"/>
    <w:basedOn w:val="DefaultParagraphFont"/>
    <w:link w:val="NoteHeading"/>
    <w:uiPriority w:val="98"/>
    <w:semiHidden/>
    <w:rsid w:val="00D435F2"/>
    <w:rPr>
      <w:sz w:val="24"/>
      <w:szCs w:val="24"/>
      <w:lang w:val="ro-RO"/>
    </w:rPr>
  </w:style>
  <w:style w:type="character" w:styleId="PlaceholderText">
    <w:name w:val="Placeholder Text"/>
    <w:basedOn w:val="DefaultParagraphFont"/>
    <w:uiPriority w:val="98"/>
    <w:semiHidden/>
    <w:rsid w:val="00D435F2"/>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D435F2"/>
    <w:rPr>
      <w:rFonts w:ascii="Consolas" w:hAnsi="Consolas" w:cs="Consolas"/>
      <w:sz w:val="21"/>
      <w:szCs w:val="21"/>
    </w:rPr>
  </w:style>
  <w:style w:type="character" w:customStyle="1" w:styleId="PlainTextChar">
    <w:name w:val="Plain Text Char"/>
    <w:basedOn w:val="DefaultParagraphFont"/>
    <w:link w:val="PlainText"/>
    <w:uiPriority w:val="98"/>
    <w:semiHidden/>
    <w:rsid w:val="00D435F2"/>
    <w:rPr>
      <w:rFonts w:ascii="Consolas" w:hAnsi="Consolas" w:cs="Consolas"/>
      <w:sz w:val="21"/>
      <w:szCs w:val="21"/>
      <w:lang w:val="ro-RO"/>
    </w:rPr>
  </w:style>
  <w:style w:type="paragraph" w:styleId="Salutation">
    <w:name w:val="Salutation"/>
    <w:basedOn w:val="Normal"/>
    <w:next w:val="Normal"/>
    <w:link w:val="SalutationChar"/>
    <w:uiPriority w:val="98"/>
    <w:semiHidden/>
    <w:rsid w:val="00D435F2"/>
  </w:style>
  <w:style w:type="character" w:customStyle="1" w:styleId="SalutationChar">
    <w:name w:val="Salutation Char"/>
    <w:basedOn w:val="DefaultParagraphFont"/>
    <w:link w:val="Salutation"/>
    <w:uiPriority w:val="98"/>
    <w:semiHidden/>
    <w:rsid w:val="00D435F2"/>
    <w:rPr>
      <w:sz w:val="24"/>
      <w:szCs w:val="24"/>
      <w:lang w:val="ro-RO"/>
    </w:rPr>
  </w:style>
  <w:style w:type="paragraph" w:styleId="Signature">
    <w:name w:val="Signature"/>
    <w:basedOn w:val="Normal"/>
    <w:link w:val="SignatureChar"/>
    <w:uiPriority w:val="98"/>
    <w:semiHidden/>
    <w:rsid w:val="00D435F2"/>
    <w:pPr>
      <w:ind w:left="4252"/>
    </w:pPr>
  </w:style>
  <w:style w:type="character" w:customStyle="1" w:styleId="SignatureChar">
    <w:name w:val="Signature Char"/>
    <w:basedOn w:val="DefaultParagraphFont"/>
    <w:link w:val="Signature"/>
    <w:uiPriority w:val="98"/>
    <w:semiHidden/>
    <w:rsid w:val="00D435F2"/>
    <w:rPr>
      <w:sz w:val="24"/>
      <w:szCs w:val="24"/>
      <w:lang w:val="ro-RO"/>
    </w:rPr>
  </w:style>
  <w:style w:type="table" w:styleId="Table3Deffects1">
    <w:name w:val="Table 3D effects 1"/>
    <w:basedOn w:val="TableNormal"/>
    <w:uiPriority w:val="99"/>
    <w:semiHidden/>
    <w:unhideWhenUsed/>
    <w:rsid w:val="00D435F2"/>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435F2"/>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435F2"/>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435F2"/>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435F2"/>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435F2"/>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435F2"/>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435F2"/>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435F2"/>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435F2"/>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435F2"/>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435F2"/>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435F2"/>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435F2"/>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435F2"/>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435F2"/>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435F2"/>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435F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435F2"/>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435F2"/>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435F2"/>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435F2"/>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435F2"/>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435F2"/>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435F2"/>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435F2"/>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435F2"/>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435F2"/>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435F2"/>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435F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435F2"/>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435F2"/>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435F2"/>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D435F2"/>
    <w:pPr>
      <w:ind w:left="240" w:hanging="240"/>
    </w:pPr>
  </w:style>
  <w:style w:type="paragraph" w:styleId="TableofFigures">
    <w:name w:val="table of figures"/>
    <w:basedOn w:val="Normal"/>
    <w:next w:val="Normal"/>
    <w:uiPriority w:val="98"/>
    <w:semiHidden/>
    <w:rsid w:val="00D435F2"/>
  </w:style>
  <w:style w:type="table" w:styleId="TableProfessional">
    <w:name w:val="Table Professional"/>
    <w:basedOn w:val="TableNormal"/>
    <w:uiPriority w:val="99"/>
    <w:semiHidden/>
    <w:unhideWhenUsed/>
    <w:rsid w:val="00D435F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435F2"/>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435F2"/>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435F2"/>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435F2"/>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435F2"/>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435F2"/>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435F2"/>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435F2"/>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435F2"/>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D435F2"/>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D435F2"/>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D435F2"/>
    <w:pPr>
      <w:spacing w:after="100"/>
      <w:ind w:left="1680"/>
    </w:pPr>
  </w:style>
  <w:style w:type="paragraph" w:styleId="TOC9">
    <w:name w:val="toc 9"/>
    <w:basedOn w:val="Normal"/>
    <w:next w:val="Normal"/>
    <w:autoRedefine/>
    <w:uiPriority w:val="98"/>
    <w:semiHidden/>
    <w:rsid w:val="00D435F2"/>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D435F2"/>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D435F2"/>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966F87"/>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D435F2"/>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D435F2"/>
    <w:pPr>
      <w:numPr>
        <w:numId w:val="43"/>
      </w:numPr>
      <w:spacing w:before="60" w:after="60"/>
    </w:pPr>
  </w:style>
  <w:style w:type="paragraph" w:customStyle="1" w:styleId="ECHRBullet2">
    <w:name w:val="ECHR_Bullet_2"/>
    <w:aliases w:val="_Bul_2"/>
    <w:basedOn w:val="ECHRBullet1"/>
    <w:uiPriority w:val="23"/>
    <w:semiHidden/>
    <w:rsid w:val="00D435F2"/>
    <w:pPr>
      <w:numPr>
        <w:ilvl w:val="1"/>
      </w:numPr>
    </w:pPr>
  </w:style>
  <w:style w:type="paragraph" w:customStyle="1" w:styleId="ECHRBullet3">
    <w:name w:val="ECHR_Bullet_3"/>
    <w:aliases w:val="_Bul_3"/>
    <w:basedOn w:val="ECHRBullet2"/>
    <w:uiPriority w:val="23"/>
    <w:semiHidden/>
    <w:rsid w:val="00D435F2"/>
    <w:pPr>
      <w:numPr>
        <w:ilvl w:val="2"/>
      </w:numPr>
    </w:pPr>
  </w:style>
  <w:style w:type="paragraph" w:customStyle="1" w:styleId="ECHRBullet4">
    <w:name w:val="ECHR_Bullet_4"/>
    <w:aliases w:val="_Bul_4"/>
    <w:basedOn w:val="ECHRBullet3"/>
    <w:uiPriority w:val="23"/>
    <w:semiHidden/>
    <w:rsid w:val="00D435F2"/>
    <w:pPr>
      <w:numPr>
        <w:ilvl w:val="3"/>
      </w:numPr>
    </w:pPr>
  </w:style>
  <w:style w:type="paragraph" w:customStyle="1" w:styleId="ECHRConfidential">
    <w:name w:val="ECHR_Confidential"/>
    <w:aliases w:val="_Confidential"/>
    <w:basedOn w:val="Normal"/>
    <w:next w:val="Normal"/>
    <w:uiPriority w:val="42"/>
    <w:semiHidden/>
    <w:qFormat/>
    <w:rsid w:val="00D435F2"/>
    <w:pPr>
      <w:jc w:val="right"/>
    </w:pPr>
    <w:rPr>
      <w:color w:val="C00000"/>
      <w:sz w:val="20"/>
    </w:rPr>
  </w:style>
  <w:style w:type="paragraph" w:customStyle="1" w:styleId="ECHRDecisionBody">
    <w:name w:val="ECHR_Decision_Body"/>
    <w:aliases w:val="_Decision_Body"/>
    <w:basedOn w:val="NormalJustified"/>
    <w:uiPriority w:val="54"/>
    <w:semiHidden/>
    <w:rsid w:val="00D435F2"/>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D435F2"/>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D435F2"/>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D435F2"/>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D435F2"/>
    <w:pPr>
      <w:jc w:val="right"/>
    </w:pPr>
    <w:rPr>
      <w:sz w:val="20"/>
    </w:rPr>
  </w:style>
  <w:style w:type="paragraph" w:customStyle="1" w:styleId="ECHRHeaderRefIt">
    <w:name w:val="ECHR_Header_Ref_It"/>
    <w:aliases w:val="_Ref_Ital"/>
    <w:basedOn w:val="Normal"/>
    <w:next w:val="ECHRHeaderDate"/>
    <w:uiPriority w:val="43"/>
    <w:qFormat/>
    <w:rsid w:val="00D435F2"/>
    <w:pPr>
      <w:jc w:val="right"/>
    </w:pPr>
    <w:rPr>
      <w:i/>
      <w:sz w:val="20"/>
    </w:rPr>
  </w:style>
  <w:style w:type="paragraph" w:customStyle="1" w:styleId="ECHRHeading9">
    <w:name w:val="ECHR_Heading_9"/>
    <w:aliases w:val="_Head_9"/>
    <w:basedOn w:val="Heading9"/>
    <w:uiPriority w:val="17"/>
    <w:semiHidden/>
    <w:rsid w:val="00D435F2"/>
    <w:pPr>
      <w:keepNext/>
      <w:keepLines/>
      <w:numPr>
        <w:ilvl w:val="8"/>
        <w:numId w:val="44"/>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D435F2"/>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D435F2"/>
    <w:pPr>
      <w:numPr>
        <w:numId w:val="47"/>
      </w:numPr>
      <w:spacing w:before="60" w:after="60"/>
    </w:pPr>
  </w:style>
  <w:style w:type="paragraph" w:customStyle="1" w:styleId="ECHRNumberedList2">
    <w:name w:val="ECHR_Numbered_List_2"/>
    <w:aliases w:val="_Num_2"/>
    <w:basedOn w:val="ECHRNumberedList1"/>
    <w:uiPriority w:val="23"/>
    <w:semiHidden/>
    <w:rsid w:val="00D435F2"/>
    <w:pPr>
      <w:numPr>
        <w:ilvl w:val="1"/>
      </w:numPr>
    </w:pPr>
  </w:style>
  <w:style w:type="paragraph" w:customStyle="1" w:styleId="ECHRNumberedList3">
    <w:name w:val="ECHR_Numbered_List_3"/>
    <w:aliases w:val="_Num_3"/>
    <w:basedOn w:val="ECHRNumberedList2"/>
    <w:uiPriority w:val="23"/>
    <w:semiHidden/>
    <w:rsid w:val="00D435F2"/>
    <w:pPr>
      <w:numPr>
        <w:ilvl w:val="2"/>
      </w:numPr>
    </w:pPr>
  </w:style>
  <w:style w:type="paragraph" w:customStyle="1" w:styleId="ECHRParaHanging">
    <w:name w:val="ECHR_Para_Hanging"/>
    <w:aliases w:val="_Hanging"/>
    <w:basedOn w:val="NormalJustified"/>
    <w:uiPriority w:val="8"/>
    <w:semiHidden/>
    <w:qFormat/>
    <w:rsid w:val="00D435F2"/>
    <w:pPr>
      <w:ind w:left="567" w:hanging="567"/>
    </w:pPr>
  </w:style>
  <w:style w:type="paragraph" w:customStyle="1" w:styleId="ECHRParaIndent">
    <w:name w:val="ECHR_Para_Indent"/>
    <w:aliases w:val="_Indent"/>
    <w:basedOn w:val="NormalJustified"/>
    <w:uiPriority w:val="7"/>
    <w:semiHidden/>
    <w:qFormat/>
    <w:rsid w:val="00D435F2"/>
    <w:pPr>
      <w:spacing w:before="120" w:after="120"/>
      <w:ind w:left="284"/>
    </w:pPr>
  </w:style>
  <w:style w:type="character" w:customStyle="1" w:styleId="ECHRRed">
    <w:name w:val="ECHR_Red"/>
    <w:aliases w:val="_Red"/>
    <w:basedOn w:val="DefaultParagraphFont"/>
    <w:uiPriority w:val="15"/>
    <w:semiHidden/>
    <w:qFormat/>
    <w:rsid w:val="00D435F2"/>
    <w:rPr>
      <w:color w:val="C00000" w:themeColor="accent2"/>
    </w:rPr>
  </w:style>
  <w:style w:type="paragraph" w:customStyle="1" w:styleId="DecList">
    <w:name w:val="Dec_List"/>
    <w:aliases w:val="_List"/>
    <w:basedOn w:val="JuList"/>
    <w:uiPriority w:val="22"/>
    <w:rsid w:val="00D435F2"/>
    <w:pPr>
      <w:numPr>
        <w:numId w:val="0"/>
      </w:numPr>
      <w:ind w:left="284"/>
    </w:pPr>
  </w:style>
  <w:style w:type="table" w:customStyle="1" w:styleId="ECHRTable2">
    <w:name w:val="ECHR_Table_2"/>
    <w:basedOn w:val="TableNormal"/>
    <w:uiPriority w:val="99"/>
    <w:rsid w:val="00D435F2"/>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D435F2"/>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D435F2"/>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D435F2"/>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D435F2"/>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D435F2"/>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D435F2"/>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D435F2"/>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D435F2"/>
    <w:pPr>
      <w:outlineLvl w:val="0"/>
    </w:pPr>
  </w:style>
  <w:style w:type="paragraph" w:customStyle="1" w:styleId="ECHRTitleTOC1">
    <w:name w:val="ECHR_Title_TOC_1"/>
    <w:aliases w:val="_Title_L_TOC"/>
    <w:basedOn w:val="ECHRTitle1"/>
    <w:next w:val="Normal"/>
    <w:uiPriority w:val="27"/>
    <w:semiHidden/>
    <w:qFormat/>
    <w:rsid w:val="00D435F2"/>
    <w:pPr>
      <w:outlineLvl w:val="0"/>
    </w:pPr>
  </w:style>
  <w:style w:type="paragraph" w:customStyle="1" w:styleId="ECHRPlaceholder">
    <w:name w:val="ECHR_Placeholder"/>
    <w:aliases w:val="_Placeholder"/>
    <w:basedOn w:val="JuSigned"/>
    <w:uiPriority w:val="31"/>
    <w:rsid w:val="00D435F2"/>
    <w:rPr>
      <w:color w:val="FFFFFF"/>
    </w:rPr>
  </w:style>
  <w:style w:type="paragraph" w:customStyle="1" w:styleId="ECHRSpacer">
    <w:name w:val="ECHR_Spacer"/>
    <w:aliases w:val="_Spacer"/>
    <w:basedOn w:val="Normal"/>
    <w:uiPriority w:val="45"/>
    <w:semiHidden/>
    <w:rsid w:val="00D435F2"/>
    <w:rPr>
      <w:sz w:val="4"/>
    </w:rPr>
  </w:style>
  <w:style w:type="table" w:customStyle="1" w:styleId="ECHRTableGrey">
    <w:name w:val="ECHR_Table_Grey"/>
    <w:basedOn w:val="TableNormal"/>
    <w:uiPriority w:val="99"/>
    <w:rsid w:val="00D435F2"/>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D435F2"/>
    <w:rPr>
      <w:color w:val="605E5C"/>
      <w:shd w:val="clear" w:color="auto" w:fill="E1DFDD"/>
    </w:rPr>
  </w:style>
  <w:style w:type="character" w:customStyle="1" w:styleId="JuParaChar">
    <w:name w:val="Ju_Para Char"/>
    <w:aliases w:val="_Para Char"/>
    <w:link w:val="JuPara"/>
    <w:uiPriority w:val="4"/>
    <w:rsid w:val="00220121"/>
    <w:rPr>
      <w:sz w:val="24"/>
      <w:szCs w:val="24"/>
      <w:lang w:val="ro-RO"/>
    </w:rPr>
  </w:style>
  <w:style w:type="table" w:styleId="GridTable1Light">
    <w:name w:val="Grid Table 1 Light"/>
    <w:basedOn w:val="TableNormal"/>
    <w:uiPriority w:val="46"/>
    <w:semiHidden/>
    <w:rsid w:val="0022012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220121"/>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220121"/>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20121"/>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20121"/>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20121"/>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20121"/>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20121"/>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22012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220121"/>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220121"/>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220121"/>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220121"/>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220121"/>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220121"/>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2201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22012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22012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22012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22012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22012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22012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2201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22012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22012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22012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22012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22012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22012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22012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22012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22012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22012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22012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22012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22012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2201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220121"/>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220121"/>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220121"/>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220121"/>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220121"/>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220121"/>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2201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220121"/>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220121"/>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220121"/>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220121"/>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220121"/>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220121"/>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220121"/>
    <w:rPr>
      <w:color w:val="2B579A"/>
      <w:shd w:val="clear" w:color="auto" w:fill="E1DFDD"/>
    </w:rPr>
  </w:style>
  <w:style w:type="table" w:styleId="ListTable1Light">
    <w:name w:val="List Table 1 Light"/>
    <w:basedOn w:val="TableNormal"/>
    <w:uiPriority w:val="46"/>
    <w:semiHidden/>
    <w:rsid w:val="0022012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220121"/>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220121"/>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220121"/>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220121"/>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220121"/>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220121"/>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22012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220121"/>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220121"/>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220121"/>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220121"/>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220121"/>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220121"/>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22012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220121"/>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220121"/>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220121"/>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220121"/>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220121"/>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220121"/>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2201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22012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22012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22012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22012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22012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22012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220121"/>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20121"/>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20121"/>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20121"/>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20121"/>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20121"/>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20121"/>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22012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220121"/>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220121"/>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220121"/>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220121"/>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220121"/>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220121"/>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22012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220121"/>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220121"/>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220121"/>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220121"/>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220121"/>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220121"/>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220121"/>
    <w:rPr>
      <w:color w:val="2B579A"/>
      <w:shd w:val="clear" w:color="auto" w:fill="E1DFDD"/>
    </w:rPr>
  </w:style>
  <w:style w:type="table" w:styleId="PlainTable1">
    <w:name w:val="Plain Table 1"/>
    <w:basedOn w:val="TableNormal"/>
    <w:uiPriority w:val="41"/>
    <w:semiHidden/>
    <w:rsid w:val="00220121"/>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22012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22012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2012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22012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220121"/>
    <w:rPr>
      <w:u w:val="dotted"/>
    </w:rPr>
  </w:style>
  <w:style w:type="character" w:customStyle="1" w:styleId="SmartLink1">
    <w:name w:val="SmartLink1"/>
    <w:basedOn w:val="DefaultParagraphFont"/>
    <w:uiPriority w:val="99"/>
    <w:semiHidden/>
    <w:unhideWhenUsed/>
    <w:rsid w:val="00220121"/>
    <w:rPr>
      <w:color w:val="0000FF"/>
      <w:u w:val="single"/>
      <w:shd w:val="clear" w:color="auto" w:fill="F3F2F1"/>
    </w:rPr>
  </w:style>
  <w:style w:type="table" w:styleId="TableGridLight">
    <w:name w:val="Grid Table Light"/>
    <w:basedOn w:val="TableNormal"/>
    <w:uiPriority w:val="40"/>
    <w:semiHidden/>
    <w:rsid w:val="00220121"/>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220121"/>
    <w:rPr>
      <w:sz w:val="24"/>
      <w:szCs w:val="24"/>
    </w:rPr>
  </w:style>
  <w:style w:type="paragraph" w:customStyle="1" w:styleId="jupara0">
    <w:name w:val="jupara"/>
    <w:basedOn w:val="Normal"/>
    <w:rsid w:val="002A72E2"/>
    <w:pPr>
      <w:ind w:firstLine="284"/>
      <w:jc w:val="both"/>
    </w:pPr>
    <w:rPr>
      <w:rFonts w:ascii="Times New Roman" w:eastAsia="Times New Roman" w:hAnsi="Times New Roman" w:cs="Times New Roman"/>
      <w:lang w:eastAsia="en-GB"/>
    </w:rPr>
  </w:style>
  <w:style w:type="paragraph" w:customStyle="1" w:styleId="jucase0">
    <w:name w:val="jucase"/>
    <w:basedOn w:val="Normal"/>
    <w:rsid w:val="002A72E2"/>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hudoc.echr.coe.int/eng"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AB65324B2B4D1BA41DB83B2E212A38"/>
        <w:category>
          <w:name w:val="General"/>
          <w:gallery w:val="placeholder"/>
        </w:category>
        <w:types>
          <w:type w:val="bbPlcHdr"/>
        </w:types>
        <w:behaviors>
          <w:behavior w:val="content"/>
        </w:behaviors>
        <w:guid w:val="{678C9F1B-5940-42F7-9CE1-B074A2E5C0BF}"/>
      </w:docPartPr>
      <w:docPartBody>
        <w:p w:rsidR="000E54A1" w:rsidRDefault="001C2E02" w:rsidP="001C2E02">
          <w:pPr>
            <w:pStyle w:val="B1AB65324B2B4D1BA41DB83B2E212A38"/>
          </w:pPr>
          <w:r w:rsidRPr="00E85E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E02"/>
    <w:rsid w:val="000E54A1"/>
    <w:rsid w:val="001C2E02"/>
    <w:rsid w:val="003E6B0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8"/>
    <w:semiHidden/>
    <w:rsid w:val="001C2E02"/>
    <w:rPr>
      <w:color w:val="auto"/>
      <w:bdr w:val="none" w:sz="0" w:space="0" w:color="auto"/>
      <w:shd w:val="clear" w:color="auto" w:fill="D0CECE" w:themeFill="background2" w:themeFillShade="E6"/>
    </w:rPr>
  </w:style>
  <w:style w:type="paragraph" w:customStyle="1" w:styleId="B1AB65324B2B4D1BA41DB83B2E212A38">
    <w:name w:val="B1AB65324B2B4D1BA41DB83B2E212A38"/>
    <w:rsid w:val="001C2E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21D2F-D8CE-49FE-A521-9A39A7990E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83AEAC-29C1-4103-9946-8E365443A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96789DE-4759-4DED-8434-B15299C7BE32}">
  <ds:schemaRefs>
    <ds:schemaRef ds:uri="http://schemas.microsoft.com/sharepoint/v3/contenttype/forms"/>
  </ds:schemaRefs>
</ds:datastoreItem>
</file>

<file path=customXml/itemProps4.xml><?xml version="1.0" encoding="utf-8"?>
<ds:datastoreItem xmlns:ds="http://schemas.openxmlformats.org/officeDocument/2006/customXml" ds:itemID="{B2B66F2C-7A06-4ADE-A042-42DE24537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9043</Words>
  <Characters>51549</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60472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2023-02-13T10:30:00Z</dcterms:created>
  <dcterms:modified xsi:type="dcterms:W3CDTF">2023-07-19T13:15:00Z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60785/19</vt:lpwstr>
  </property>
  <property fmtid="{D5CDD505-2E9C-101B-9397-08002B2CF9AE}" pid="4" name="CASEID">
    <vt:lpwstr>1498796</vt:lpwstr>
  </property>
  <property fmtid="{D5CDD505-2E9C-101B-9397-08002B2CF9AE}" pid="5" name="ContentTypeId">
    <vt:lpwstr>0x010100558EB02BDB9E204AB350EDD385B68E10</vt:lpwstr>
  </property>
</Properties>
</file>