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E833E" w14:textId="77777777" w:rsidR="00250DE1" w:rsidRPr="00DB0EFA" w:rsidRDefault="00250DE1" w:rsidP="00DB0EFA">
      <w:pPr>
        <w:jc w:val="center"/>
        <w:rPr>
          <w:rFonts w:ascii="Times New Roman" w:hAnsi="Times New Roman" w:cs="Times New Roman"/>
        </w:rPr>
      </w:pPr>
    </w:p>
    <w:p w14:paraId="7DBF842F" w14:textId="3883002B" w:rsidR="0098410D" w:rsidRPr="00DB0EFA" w:rsidRDefault="0098410D" w:rsidP="00DB0EFA">
      <w:pPr>
        <w:jc w:val="center"/>
      </w:pPr>
    </w:p>
    <w:p w14:paraId="14AA3F2D" w14:textId="09469FB9" w:rsidR="00DB0EFA" w:rsidRPr="00736D67" w:rsidRDefault="00736D67" w:rsidP="00DB0EFA">
      <w:pPr>
        <w:jc w:val="center"/>
        <w:rPr>
          <w:rFonts w:asciiTheme="majorHAnsi" w:hAnsiTheme="majorHAnsi"/>
          <w:sz w:val="28"/>
        </w:rPr>
      </w:pPr>
      <w:r>
        <w:rPr>
          <w:rFonts w:asciiTheme="majorHAnsi" w:hAnsiTheme="majorHAnsi"/>
          <w:sz w:val="28"/>
        </w:rPr>
        <w:t>CURTEA EUROPEANĂ A DREPTURILOR OMULUI</w:t>
      </w:r>
    </w:p>
    <w:p w14:paraId="373F0738" w14:textId="17888591" w:rsidR="0098410D" w:rsidRPr="00DB0EFA" w:rsidRDefault="00250DE1" w:rsidP="00DB0EFA">
      <w:pPr>
        <w:pStyle w:val="DecHTitle"/>
      </w:pPr>
      <w:r>
        <w:t>SECȚIA A PATRA</w:t>
      </w:r>
    </w:p>
    <w:p w14:paraId="0804CAD6" w14:textId="15AE25C9" w:rsidR="008E6217" w:rsidRPr="00DB0EFA" w:rsidRDefault="008E6217" w:rsidP="00DB0EFA">
      <w:pPr>
        <w:pStyle w:val="JuTitle"/>
      </w:pPr>
      <w:bookmarkStart w:id="0" w:name="To"/>
      <w:r>
        <w:rPr>
          <w:color w:val="000000" w:themeColor="text1"/>
        </w:rPr>
        <w:t xml:space="preserve">CAUZA </w:t>
      </w:r>
      <w:bookmarkEnd w:id="0"/>
      <w:r>
        <w:t>CĂLIN</w:t>
      </w:r>
      <w:r>
        <w:rPr>
          <w:color w:val="000000" w:themeColor="text1"/>
        </w:rPr>
        <w:t xml:space="preserve"> ÎMPOTRIVA ROMÂNIEI</w:t>
      </w:r>
    </w:p>
    <w:p w14:paraId="3AE61EE7" w14:textId="0AD93FEA" w:rsidR="00D74888" w:rsidRPr="00DB0EFA" w:rsidRDefault="008E6217" w:rsidP="00DB0EFA">
      <w:pPr>
        <w:pStyle w:val="ECHRCoverTitle4"/>
      </w:pPr>
      <w:r>
        <w:t>(Cererea nr. 54491/14)</w:t>
      </w:r>
    </w:p>
    <w:p w14:paraId="293C4F5F" w14:textId="77777777" w:rsidR="0098410D" w:rsidRPr="00DB0EFA" w:rsidRDefault="0098410D" w:rsidP="00DB0EFA">
      <w:pPr>
        <w:pStyle w:val="DecHCase"/>
      </w:pPr>
    </w:p>
    <w:p w14:paraId="33447976" w14:textId="77777777" w:rsidR="0098410D" w:rsidRPr="00DB0EFA" w:rsidRDefault="0098410D" w:rsidP="00DB0EFA">
      <w:pPr>
        <w:pStyle w:val="DecHCase"/>
      </w:pPr>
    </w:p>
    <w:p w14:paraId="65D383A6" w14:textId="77777777" w:rsidR="00DB0EFA" w:rsidRPr="00DB0EFA" w:rsidRDefault="0098410D" w:rsidP="00DB0EFA">
      <w:pPr>
        <w:pStyle w:val="DecHCase"/>
      </w:pPr>
      <w:r>
        <w:t>HOTĂRÂRE</w:t>
      </w:r>
      <w:r>
        <w:br/>
      </w:r>
    </w:p>
    <w:p w14:paraId="7985363B" w14:textId="77777777" w:rsidR="00DB0EFA" w:rsidRPr="00DB0EFA" w:rsidRDefault="00DB0EFA" w:rsidP="00F21B8E">
      <w:pPr>
        <w:pStyle w:val="DecHCase"/>
        <w:pBdr>
          <w:top w:val="single" w:sz="4" w:space="1" w:color="auto"/>
          <w:left w:val="single" w:sz="4" w:space="4" w:color="auto"/>
          <w:bottom w:val="single" w:sz="4" w:space="1" w:color="auto"/>
          <w:right w:val="single" w:sz="4" w:space="4" w:color="auto"/>
        </w:pBdr>
        <w:spacing w:after="0"/>
        <w:jc w:val="both"/>
      </w:pPr>
      <w:r>
        <w:t>Art. 1 P1 • Reglementarea folosinței bunurilor • Sechestrul îndelungat asupra bunurilor reclamantului în contextul urmăririi penale împotriva sa • Lipsa unei posibilități de a contesta efectiv sechestrul • Inexistența dovezilor privind posibilitatea de a obține compensații • Sarcina excesivă</w:t>
      </w:r>
    </w:p>
    <w:p w14:paraId="7E6E6B84" w14:textId="067E7B8F" w:rsidR="00DB0EFA" w:rsidRPr="00DB0EFA" w:rsidRDefault="00DB0EFA" w:rsidP="00F21B8E">
      <w:pPr>
        <w:pStyle w:val="DecHCase"/>
        <w:pBdr>
          <w:top w:val="single" w:sz="4" w:space="1" w:color="auto"/>
          <w:left w:val="single" w:sz="4" w:space="4" w:color="auto"/>
          <w:bottom w:val="single" w:sz="4" w:space="1" w:color="auto"/>
          <w:right w:val="single" w:sz="4" w:space="4" w:color="auto"/>
        </w:pBdr>
        <w:spacing w:after="0"/>
        <w:jc w:val="both"/>
      </w:pPr>
      <w:r>
        <w:t>Art. 6 § 1 (penal) • Durata excesivă a procedurilor penale</w:t>
      </w:r>
    </w:p>
    <w:p w14:paraId="64F4613B" w14:textId="6D1F9C97" w:rsidR="0098410D" w:rsidRPr="00DB0EFA" w:rsidRDefault="0098410D" w:rsidP="00DB0EFA">
      <w:pPr>
        <w:pStyle w:val="DecHCase"/>
      </w:pPr>
    </w:p>
    <w:p w14:paraId="0E430B93" w14:textId="77777777" w:rsidR="0098410D" w:rsidRPr="00DB0EFA" w:rsidRDefault="0098410D" w:rsidP="00DB0EFA">
      <w:pPr>
        <w:pStyle w:val="DecHCase"/>
      </w:pPr>
      <w:r>
        <w:t>STRASBOURG</w:t>
      </w:r>
    </w:p>
    <w:p w14:paraId="3D1FB289" w14:textId="3EB3AD85" w:rsidR="0098410D" w:rsidRPr="00DB0EFA" w:rsidRDefault="00250DE1" w:rsidP="00DB0EFA">
      <w:pPr>
        <w:pStyle w:val="DecHCase"/>
      </w:pPr>
      <w:r>
        <w:rPr>
          <w:rFonts w:ascii="Times New Roman" w:hAnsi="Times New Roman"/>
        </w:rPr>
        <w:t>5 aprilie 2022</w:t>
      </w:r>
    </w:p>
    <w:p w14:paraId="6CEB4D2E" w14:textId="77777777" w:rsidR="00351847" w:rsidRDefault="00351847" w:rsidP="00351847">
      <w:pPr>
        <w:pStyle w:val="jucase0"/>
        <w:ind w:firstLine="0"/>
        <w:jc w:val="center"/>
        <w:rPr>
          <w:color w:val="FF0000"/>
          <w:sz w:val="28"/>
          <w:szCs w:val="28"/>
          <w:u w:val="single"/>
        </w:rPr>
      </w:pPr>
      <w:bookmarkStart w:id="1" w:name="_Hlk59706592"/>
      <w:r>
        <w:rPr>
          <w:color w:val="FF0000"/>
          <w:sz w:val="28"/>
          <w:u w:val="single"/>
        </w:rPr>
        <w:t>DEFINITIVĂ</w:t>
      </w:r>
    </w:p>
    <w:p w14:paraId="19FCE256" w14:textId="77777777" w:rsidR="00351847" w:rsidRPr="00D04090" w:rsidRDefault="00351847" w:rsidP="00351847">
      <w:pPr>
        <w:pStyle w:val="jucase0"/>
        <w:ind w:firstLine="0"/>
        <w:jc w:val="center"/>
        <w:rPr>
          <w:b w:val="0"/>
          <w:bCs w:val="0"/>
          <w:color w:val="FF0000"/>
          <w:u w:val="single"/>
        </w:rPr>
      </w:pPr>
    </w:p>
    <w:p w14:paraId="1583C434" w14:textId="77777777" w:rsidR="00351847" w:rsidRPr="00E974D6" w:rsidRDefault="00351847" w:rsidP="00351847">
      <w:pPr>
        <w:pStyle w:val="jucase0"/>
        <w:ind w:firstLine="0"/>
        <w:jc w:val="center"/>
        <w:rPr>
          <w:b w:val="0"/>
          <w:color w:val="FF0000"/>
          <w:sz w:val="28"/>
          <w:szCs w:val="28"/>
        </w:rPr>
      </w:pPr>
      <w:r>
        <w:rPr>
          <w:b w:val="0"/>
          <w:color w:val="FF0000"/>
          <w:sz w:val="28"/>
        </w:rPr>
        <w:t>5 iulie 2022</w:t>
      </w:r>
    </w:p>
    <w:p w14:paraId="7B0AB2E3" w14:textId="77777777" w:rsidR="00351847" w:rsidRPr="00261F46" w:rsidRDefault="00351847" w:rsidP="00351847">
      <w:pPr>
        <w:pStyle w:val="jupara0"/>
        <w:ind w:firstLine="0"/>
        <w:jc w:val="center"/>
      </w:pPr>
    </w:p>
    <w:p w14:paraId="1CE31240" w14:textId="647DB0EA" w:rsidR="002422B6" w:rsidRPr="00DB0EFA" w:rsidRDefault="00351847" w:rsidP="00351847">
      <w:pPr>
        <w:rPr>
          <w:i/>
          <w:sz w:val="22"/>
        </w:rPr>
      </w:pPr>
      <w:r>
        <w:rPr>
          <w:i/>
          <w:sz w:val="22"/>
        </w:rPr>
        <w:t>Hotărârea a rămas definitivă în condițiile prevăzute la art. 44 § 2 din Convenție. Poate suferi modificări de formă.</w:t>
      </w:r>
      <w:bookmarkEnd w:id="1"/>
    </w:p>
    <w:p w14:paraId="4E3FF11F" w14:textId="77777777" w:rsidR="0098410D" w:rsidRPr="00DB0EFA" w:rsidRDefault="0098410D" w:rsidP="00DB0EFA">
      <w:pPr>
        <w:sectPr w:rsidR="0098410D" w:rsidRPr="00DB0EFA"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0612243B" w14:textId="0599A326" w:rsidR="0098410D" w:rsidRPr="00DB0EFA" w:rsidRDefault="0098410D" w:rsidP="00DB0EFA">
      <w:pPr>
        <w:pStyle w:val="JuCase"/>
      </w:pPr>
      <w:r>
        <w:lastRenderedPageBreak/>
        <w:t>În cauza Călin împotriva României,</w:t>
      </w:r>
    </w:p>
    <w:p w14:paraId="0104A97A" w14:textId="041CE218" w:rsidR="009F4C8F" w:rsidRPr="00DB0EFA" w:rsidRDefault="009F4C8F" w:rsidP="00DB0EFA">
      <w:pPr>
        <w:pStyle w:val="JuPara"/>
      </w:pPr>
      <w:r>
        <w:t>Curtea Europeană a Drepturilor Omului (Secția a patra), reunită într-o cameră compusă din:</w:t>
      </w:r>
    </w:p>
    <w:p w14:paraId="2AE67015" w14:textId="0269053B" w:rsidR="009F4C8F" w:rsidRPr="00DB0EFA" w:rsidRDefault="0076043E" w:rsidP="00DB0EFA">
      <w:pPr>
        <w:pStyle w:val="JuJudges"/>
      </w:pPr>
      <w:r>
        <w:tab/>
        <w:t>Yonko Grozev,</w:t>
      </w:r>
      <w:r>
        <w:rPr>
          <w:i/>
        </w:rPr>
        <w:t xml:space="preserve"> președinte,</w:t>
      </w:r>
      <w:r>
        <w:rPr>
          <w:i/>
        </w:rPr>
        <w:br/>
      </w:r>
      <w:r>
        <w:tab/>
        <w:t>Tim Eicke,</w:t>
      </w:r>
      <w:r>
        <w:rPr>
          <w:i/>
        </w:rPr>
        <w:br/>
      </w:r>
      <w:r>
        <w:tab/>
        <w:t>Faris Vehabović,</w:t>
      </w:r>
      <w:r>
        <w:rPr>
          <w:i/>
        </w:rPr>
        <w:br/>
      </w:r>
      <w:r>
        <w:tab/>
        <w:t>Iulia Antoanella Motoc,</w:t>
      </w:r>
      <w:r>
        <w:rPr>
          <w:i/>
        </w:rPr>
        <w:br/>
      </w:r>
      <w:r>
        <w:tab/>
        <w:t>Armen Harutyunyan,</w:t>
      </w:r>
      <w:r>
        <w:rPr>
          <w:i/>
        </w:rPr>
        <w:br/>
      </w:r>
      <w:r>
        <w:tab/>
        <w:t>Gabriele Kucsko-Stadlmayer,</w:t>
      </w:r>
      <w:r>
        <w:rPr>
          <w:i/>
        </w:rPr>
        <w:br/>
      </w:r>
      <w:r>
        <w:tab/>
        <w:t>Ana Maria Guerra Martins,</w:t>
      </w:r>
      <w:r>
        <w:rPr>
          <w:i/>
        </w:rPr>
        <w:t xml:space="preserve"> judecători,</w:t>
      </w:r>
      <w:r>
        <w:rPr>
          <w:i/>
        </w:rPr>
        <w:br/>
      </w:r>
      <w:r>
        <w:t xml:space="preserve">și Ilse Freiwirth, </w:t>
      </w:r>
      <w:r>
        <w:rPr>
          <w:i/>
          <w:iCs/>
        </w:rPr>
        <w:t>grefier adjunct de secție</w:t>
      </w:r>
      <w:r>
        <w:rPr>
          <w:i/>
        </w:rPr>
        <w:t>,</w:t>
      </w:r>
    </w:p>
    <w:p w14:paraId="6566A966" w14:textId="77777777" w:rsidR="00250DE1" w:rsidRPr="00DB0EFA" w:rsidRDefault="00250DE1" w:rsidP="00DB0EFA">
      <w:pPr>
        <w:pStyle w:val="JuPara"/>
      </w:pPr>
      <w:r>
        <w:t>Având în vedere:</w:t>
      </w:r>
    </w:p>
    <w:p w14:paraId="2E7D963E" w14:textId="77777777" w:rsidR="00250DE1" w:rsidRPr="00DB0EFA" w:rsidRDefault="00250DE1" w:rsidP="00DB0EFA">
      <w:pPr>
        <w:pStyle w:val="JuPara"/>
      </w:pPr>
      <w:r>
        <w:t>cererea (nr. 54491/14) îndreptată împotriva României, prin care un resortisant al acestui stat, domnul Oprea Călin („reclamantul”), a sesizat Curtea, la 25 iulie 2014, în temeiul art. 34 din Convenția pentru apărarea drepturilor omului şi a libertăților fundamentale („Convenția“);</w:t>
      </w:r>
    </w:p>
    <w:p w14:paraId="22F9A523" w14:textId="77777777" w:rsidR="00250DE1" w:rsidRPr="00DB0EFA" w:rsidRDefault="00250DE1" w:rsidP="00DB0EFA">
      <w:pPr>
        <w:pStyle w:val="JuPara"/>
      </w:pPr>
      <w:r>
        <w:t>decizia de a comunica cererea Guvernului României („Guvernul”);</w:t>
      </w:r>
    </w:p>
    <w:p w14:paraId="5E40F6AC" w14:textId="40B59994" w:rsidR="00250DE1" w:rsidRPr="00DB0EFA" w:rsidRDefault="00250DE1" w:rsidP="00DB0EFA">
      <w:pPr>
        <w:pStyle w:val="JuPara"/>
      </w:pPr>
      <w:r>
        <w:t>observațiile părților;</w:t>
      </w:r>
    </w:p>
    <w:p w14:paraId="7D43FED8" w14:textId="1803FB1A" w:rsidR="009F4C8F" w:rsidRPr="00DB0EFA" w:rsidRDefault="009F4C8F" w:rsidP="00DB0EFA">
      <w:pPr>
        <w:pStyle w:val="JuPara"/>
      </w:pPr>
      <w:r>
        <w:t>după ce a deliberat în camera de consiliu, la 15 martie 2022,</w:t>
      </w:r>
    </w:p>
    <w:p w14:paraId="3494A6EC" w14:textId="77777777" w:rsidR="009F4C8F" w:rsidRPr="00DB0EFA" w:rsidRDefault="009F4C8F" w:rsidP="00DB0EFA">
      <w:pPr>
        <w:pStyle w:val="JuPara"/>
      </w:pPr>
      <w:r>
        <w:t>pronunță prezenta hotărâre, adoptată la aceeași dată:</w:t>
      </w:r>
    </w:p>
    <w:p w14:paraId="45D4685A" w14:textId="77777777" w:rsidR="00250DE1" w:rsidRPr="00DB0EFA" w:rsidRDefault="00250DE1" w:rsidP="00DB0EFA">
      <w:pPr>
        <w:pStyle w:val="JuHHead"/>
        <w:numPr>
          <w:ilvl w:val="0"/>
          <w:numId w:val="0"/>
        </w:numPr>
      </w:pPr>
      <w:r>
        <w:t>INTRODUCERE</w:t>
      </w:r>
    </w:p>
    <w:p w14:paraId="00B41C84" w14:textId="31047CE5" w:rsidR="00250DE1" w:rsidRPr="00DB0EFA" w:rsidRDefault="00250DE1" w:rsidP="00DB0EFA">
      <w:pPr>
        <w:pStyle w:val="JuPara"/>
      </w:pPr>
      <w:fldSimple w:instr=" SEQ level0 \*arabic ">
        <w:r w:rsidR="00DB0EFA" w:rsidRPr="00DB0EFA">
          <w:t>1</w:t>
        </w:r>
      </w:fldSimple>
      <w:r>
        <w:t>.  Cererea privește, în special, plângerea reclamantului că bunurile sale au fost confiscate pentru o perioadă excesivă, ceea ce constituia o încălcare a dreptului său la respectarea bunurilor sale  în lipsa unei căi de atac efective. Privește, de asemenea, presupusa durată excesivă a anchetei penale în legătură cu reclamantul. Cauza ridică probleme în temeiul art. 6 § 1 din Convenţie şi al art. 1 din Protocolul nr. 1.</w:t>
      </w:r>
    </w:p>
    <w:p w14:paraId="18B6A2F0" w14:textId="77777777" w:rsidR="00250DE1" w:rsidRPr="00DB0EFA" w:rsidRDefault="00250DE1" w:rsidP="00DB0EFA">
      <w:pPr>
        <w:pStyle w:val="JuHHead"/>
        <w:numPr>
          <w:ilvl w:val="0"/>
          <w:numId w:val="0"/>
        </w:numPr>
      </w:pPr>
      <w:r>
        <w:t>ÎN FAPT</w:t>
      </w:r>
    </w:p>
    <w:p w14:paraId="31958065" w14:textId="159AD9E3" w:rsidR="00250DE1" w:rsidRPr="00DB0EFA" w:rsidRDefault="00250DE1" w:rsidP="00DB0EFA">
      <w:pPr>
        <w:pStyle w:val="JuPara"/>
      </w:pPr>
      <w:fldSimple w:instr=" SEQ level0 \*arabic ">
        <w:r w:rsidR="00DB0EFA" w:rsidRPr="00DB0EFA">
          <w:t>2</w:t>
        </w:r>
      </w:fldSimple>
      <w:r>
        <w:t>.  Reclamantul s-a născut în 1937 și locuiește în București. A fost reprezentat de doamna E.R. Cozma, un avocat care profesează în București.</w:t>
      </w:r>
    </w:p>
    <w:p w14:paraId="4F6B724D" w14:textId="1E91AFD9" w:rsidR="00250DE1" w:rsidRPr="00DB0EFA" w:rsidRDefault="00250DE1" w:rsidP="00DB0EFA">
      <w:pPr>
        <w:pStyle w:val="JuPara"/>
      </w:pPr>
      <w:fldSimple w:instr=" SEQ level0 \*arabic ">
        <w:r w:rsidR="00DB0EFA" w:rsidRPr="00DB0EFA">
          <w:t>3</w:t>
        </w:r>
      </w:fldSimple>
      <w:r>
        <w:t>.  Guvernul a fost reprezentat de agentul guvernamental, cel mai recent doamna S.M. Teodoroiu, din cadrul Ministerului Afacerilor Externe.</w:t>
      </w:r>
    </w:p>
    <w:p w14:paraId="680CE0BB" w14:textId="25898961" w:rsidR="00250DE1" w:rsidRPr="00DB0EFA" w:rsidRDefault="00250DE1" w:rsidP="00DB0EFA">
      <w:pPr>
        <w:pStyle w:val="JuPara"/>
      </w:pPr>
      <w:fldSimple w:instr=" SEQ level0 \*arabic ">
        <w:r w:rsidR="00DB0EFA" w:rsidRPr="00DB0EFA">
          <w:t>4</w:t>
        </w:r>
      </w:fldSimple>
      <w:r>
        <w:t>.  Faptele cauzei, astfel cum au fost expuse de părți, pot fi rezumate după cum urmează.</w:t>
      </w:r>
    </w:p>
    <w:p w14:paraId="5116458B" w14:textId="36CDE326" w:rsidR="00250DE1" w:rsidRPr="00DB0EFA" w:rsidRDefault="00250DE1" w:rsidP="00DB0EFA">
      <w:pPr>
        <w:pStyle w:val="JuHIRoman"/>
      </w:pPr>
      <w:r>
        <w:t>Procedură penală</w:t>
      </w:r>
    </w:p>
    <w:p w14:paraId="5E76B6A4" w14:textId="604B3AA9" w:rsidR="00250DE1" w:rsidRPr="00DB0EFA" w:rsidRDefault="00250DE1" w:rsidP="00DB0EFA">
      <w:pPr>
        <w:pStyle w:val="JuPara"/>
      </w:pPr>
      <w:fldSimple w:instr=" SEQ level0 \*arabic ">
        <w:r w:rsidR="00DB0EFA" w:rsidRPr="00DB0EFA">
          <w:t>5</w:t>
        </w:r>
      </w:fldSimple>
      <w:r>
        <w:t xml:space="preserve">.  La 20 martie 2003, în urma unei plângeri depuse de o bancă, a fost începută urmărirea penală de către Direcția Generală de Poliție a Municipiului București („DGPMB“) împotriva reclamantului și a altor 17 </w:t>
      </w:r>
      <w:r>
        <w:lastRenderedPageBreak/>
        <w:t>persoane suspectate de aprobarea ilicită a creditelor neperformante în calitatea lor de membri ai consiliului de administrație al băncii în chestiune.</w:t>
      </w:r>
    </w:p>
    <w:bookmarkStart w:id="2" w:name="P6"/>
    <w:p w14:paraId="0C7A48DA" w14:textId="735F5B48"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6</w:t>
      </w:r>
      <w:r w:rsidRPr="00DB0EFA">
        <w:fldChar w:fldCharType="end"/>
      </w:r>
      <w:bookmarkEnd w:id="2"/>
      <w:r>
        <w:t xml:space="preserve">.  La 1 aprilie 2003 DGPMB, în baza art. 163-166 din vechiul Cod de procedură penală (denumit în continuare „C. proc. pen.” – a se vedea infra, pct. </w:t>
      </w:r>
      <w:r w:rsidRPr="00DB0EFA">
        <w:fldChar w:fldCharType="begin"/>
      </w:r>
      <w:r w:rsidRPr="00DB0EFA">
        <w:instrText xml:space="preserve"> REF P29 \h  \* MERGEFORMAT </w:instrText>
      </w:r>
      <w:r w:rsidRPr="00DB0EFA">
        <w:fldChar w:fldCharType="separate"/>
      </w:r>
      <w:r w:rsidR="00DB0EFA" w:rsidRPr="00DB0EFA">
        <w:t>29</w:t>
      </w:r>
      <w:r w:rsidRPr="00DB0EFA">
        <w:fldChar w:fldCharType="end"/>
      </w:r>
      <w:r>
        <w:t xml:space="preserve">), a dispus sechestrul asupra tuturor bunurilor deținute de reclamant </w:t>
      </w:r>
      <w:bookmarkStart w:id="3" w:name="_Hlk94879233"/>
      <w:r>
        <w:t xml:space="preserve">pentru a acoperi prejudiciul în sumă de 360 500 de dolari americani </w:t>
      </w:r>
      <w:bookmarkEnd w:id="3"/>
      <w:r>
        <w:t>(USD) presupus a fi fost cauzat băncii de infracțiunile cercetate.</w:t>
      </w:r>
    </w:p>
    <w:bookmarkStart w:id="4" w:name="P7"/>
    <w:p w14:paraId="23954A15" w14:textId="35BC7A5F"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7</w:t>
      </w:r>
      <w:r w:rsidRPr="00DB0EFA">
        <w:fldChar w:fldCharType="end"/>
      </w:r>
      <w:bookmarkEnd w:id="4"/>
      <w:r>
        <w:t xml:space="preserve">.  În baza deciziei de mai sus, la 2 aprilie 2003, ofițeri de poliție din cadrul DGPMB au efectuat o percheziție la domiciliul reclamantului. Procesul-verbal de sechestru, întocmit de agenții de poliție ulterior percheziției, menționa că măsura sechestrului fusese luată în legătură cu apartamentul și două mașini ale reclamantului; titlul de proprietate pentru apartament și documentele de înregistrare și de proprietate pentru cele două mașini urmau să fie păstrate de către organele de poliție, în vreme ce bunurile în cauză rămâneau în posesia reclamantului. Conform documentelor autorităților fiscale, valoarea apartamentului sechestrat era de aproximativ 141 873 USD. Procesul-verbal de percheziție, întocmit de asemenea la aceeași dată, menționa că titlul de proprietate pentru apartamentul reclamantului și documentele de proprietate și de înregistrare pentru cele două mașini ale sale și numerar în diferite monede în cuantum de aproximativ 4 000 euro (EUR) care fuseseră găsite în timpul percheziției, vor fi sechestrate în temeiul art. 96-97 C. proc. pen. (a se vedea infra, pct. </w:t>
      </w:r>
      <w:r w:rsidRPr="00DB0EFA">
        <w:fldChar w:fldCharType="begin"/>
      </w:r>
      <w:r w:rsidRPr="00DB0EFA">
        <w:instrText xml:space="preserve"> REF P31 \h </w:instrText>
      </w:r>
      <w:r w:rsidRPr="00DB0EFA">
        <w:fldChar w:fldCharType="separate"/>
      </w:r>
      <w:r w:rsidR="00DB0EFA" w:rsidRPr="00DB0EFA">
        <w:t>31</w:t>
      </w:r>
      <w:r w:rsidRPr="00DB0EFA">
        <w:fldChar w:fldCharType="end"/>
      </w:r>
      <w:r>
        <w:t>).</w:t>
      </w:r>
    </w:p>
    <w:bookmarkStart w:id="5" w:name="P8"/>
    <w:p w14:paraId="3147D0C3" w14:textId="67BA1F2A"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8</w:t>
      </w:r>
      <w:r w:rsidRPr="00DB0EFA">
        <w:fldChar w:fldCharType="end"/>
      </w:r>
      <w:bookmarkEnd w:id="5"/>
      <w:r>
        <w:t>.  La 3 aprilie 2003 reclamantul a fost informat că era acuzat de neglijență în serviciu și la 6 mai 2003 a dat o declarație la poliție.</w:t>
      </w:r>
    </w:p>
    <w:p w14:paraId="2B20871B" w14:textId="239444E2" w:rsidR="00250DE1" w:rsidRPr="00DB0EFA" w:rsidRDefault="00736D67" w:rsidP="00DB0EFA">
      <w:pPr>
        <w:pStyle w:val="JuPara"/>
      </w:pPr>
      <w:fldSimple w:instr=" SEQ level0 \*arabic \* MERGEFORMAT ">
        <w:r w:rsidR="00DB0EFA" w:rsidRPr="00DB0EFA">
          <w:t>9</w:t>
        </w:r>
      </w:fldSimple>
      <w:r>
        <w:t>.  Pe tot parcursul anului 2003 poliția a solicitat un raport de expertiză contabilă și au fost luate declarații celorlalți suspecți și unui martor.</w:t>
      </w:r>
    </w:p>
    <w:bookmarkStart w:id="6" w:name="P10"/>
    <w:p w14:paraId="19EBEE7A" w14:textId="58A5EDD9"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10</w:t>
      </w:r>
      <w:r w:rsidRPr="00DB0EFA">
        <w:fldChar w:fldCharType="end"/>
      </w:r>
      <w:bookmarkEnd w:id="6"/>
      <w:r>
        <w:t>.  </w:t>
      </w:r>
      <w:bookmarkStart w:id="7" w:name="_Hlk94879291"/>
      <w:r>
        <w:t>Raportul de expertiză contabilă a fost prezentat la 26 august 2004 și estima că prejudiciul cauzat băncii se ridica la 415 804 USD.</w:t>
      </w:r>
      <w:bookmarkEnd w:id="7"/>
      <w:r>
        <w:t xml:space="preserve"> O lună mai târziu, reclamantul a dat o nouă declarație la poliție.</w:t>
      </w:r>
    </w:p>
    <w:bookmarkStart w:id="8" w:name="P11"/>
    <w:p w14:paraId="0B2885BB" w14:textId="52C51E96"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11</w:t>
      </w:r>
      <w:r w:rsidRPr="00DB0EFA">
        <w:fldChar w:fldCharType="end"/>
      </w:r>
      <w:bookmarkEnd w:id="8"/>
      <w:r>
        <w:t>.  În 2005 și 2006 mai multe parchete și-au declinat competența de a se ocupa de caz.</w:t>
      </w:r>
    </w:p>
    <w:p w14:paraId="22688B23" w14:textId="6206D9BD" w:rsidR="00250DE1" w:rsidRPr="00DB0EFA" w:rsidRDefault="00736D67" w:rsidP="00DB0EFA">
      <w:pPr>
        <w:pStyle w:val="JuPara"/>
      </w:pPr>
      <w:fldSimple w:instr=" SEQ level0 \*arabic \* MERGEFORMAT ">
        <w:r w:rsidR="00DB0EFA" w:rsidRPr="00DB0EFA">
          <w:t>12</w:t>
        </w:r>
      </w:fldSimple>
      <w:r>
        <w:t>.  La 16 noiembrie 2006 poliția a finalizat cercetarea și a trimis dosarul la procuror cu propunerea de trimitere a câtorva dintre inculpați în judecată și de încetare a urmăririi penale în ceea ce privește alți inculpați, inclusiv reclamantul.</w:t>
      </w:r>
    </w:p>
    <w:bookmarkStart w:id="9" w:name="P13"/>
    <w:p w14:paraId="6CF788F6" w14:textId="3555404B"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13</w:t>
      </w:r>
      <w:r w:rsidRPr="00DB0EFA">
        <w:fldChar w:fldCharType="end"/>
      </w:r>
      <w:bookmarkEnd w:id="9"/>
      <w:r>
        <w:t>.  La 22 ianuarie 2007, Parchetul de pe lângă Tribunalul București a decis să-și decline competența și a trimis cauza Parchetului de pe lângă Judecătoria Sectorului 4 București.</w:t>
      </w:r>
    </w:p>
    <w:p w14:paraId="38A9476F" w14:textId="642F4CE9" w:rsidR="00250DE1" w:rsidRPr="00DB0EFA" w:rsidRDefault="00736D67" w:rsidP="00DB0EFA">
      <w:pPr>
        <w:pStyle w:val="JuPara"/>
      </w:pPr>
      <w:fldSimple w:instr=" SEQ level0 \*arabic \* MERGEFORMAT ">
        <w:r w:rsidR="00DB0EFA" w:rsidRPr="00DB0EFA">
          <w:t>14</w:t>
        </w:r>
      </w:fldSimple>
      <w:r>
        <w:t>.  În ordonanța din 3 februarie 2009, procurorul de caz a dispus ca poliția să continue ancheta în ceea ce privește reclamantul și ceilalți suspecți.</w:t>
      </w:r>
    </w:p>
    <w:p w14:paraId="24C2128D" w14:textId="15C8BFE9" w:rsidR="00250DE1" w:rsidRPr="00DB0EFA" w:rsidRDefault="00736D67" w:rsidP="00DB0EFA">
      <w:pPr>
        <w:pStyle w:val="JuPara"/>
      </w:pPr>
      <w:fldSimple w:instr=" SEQ level0 \*arabic \* MERGEFORMAT ">
        <w:r w:rsidR="00DB0EFA" w:rsidRPr="00DB0EFA">
          <w:t>15</w:t>
        </w:r>
      </w:fldSimple>
      <w:r>
        <w:t xml:space="preserve">.  La 16 martie 2011, Prim procurorul Parchetului de pe lângă Judecătoria Sectorului 4 București a casat ordonanța din 3 februarie 2009 și a hotărât continuarea anchetei de către procuror. În ziua următoare, procurorul de caz a decis încetarea urmăririi penale cu privire la unii suspecți </w:t>
      </w:r>
      <w:r>
        <w:lastRenderedPageBreak/>
        <w:t>și retrimiterea dosarului la poliție pentru a continua ancheta cu privire la ceilalți, inclusiv reclamantul.</w:t>
      </w:r>
    </w:p>
    <w:bookmarkStart w:id="10" w:name="P16"/>
    <w:p w14:paraId="44488AA5" w14:textId="53AB07E3"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16</w:t>
      </w:r>
      <w:r w:rsidRPr="00DB0EFA">
        <w:fldChar w:fldCharType="end"/>
      </w:r>
      <w:bookmarkEnd w:id="10"/>
      <w:r>
        <w:t xml:space="preserve">.  La 13 iulie 2012, într-o notă internă, procurorul de caz considera că ancheta </w:t>
      </w:r>
      <w:bookmarkStart w:id="11" w:name="_Hlk85014835"/>
      <w:r>
        <w:t xml:space="preserve">depășise durata rezonabilă </w:t>
      </w:r>
      <w:bookmarkEnd w:id="11"/>
      <w:r>
        <w:t>și propunea ca poliția să fie contactată pentru a accelera procedurile.</w:t>
      </w:r>
    </w:p>
    <w:bookmarkStart w:id="12" w:name="P17"/>
    <w:p w14:paraId="0E5741E9" w14:textId="656E817F"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17</w:t>
      </w:r>
      <w:r w:rsidRPr="00DB0EFA">
        <w:fldChar w:fldCharType="end"/>
      </w:r>
      <w:bookmarkEnd w:id="12"/>
      <w:r>
        <w:t>.  La 9 ianuarie 2014, în baza art. 249 alin. (1) C. proc. pen., s-a dispus scoaterea de sub urmărire penală a suspecților, inclusiv a reclamantului, din cauză că acțiunile lor nu pot fi caracterizate ca infracțiuni. Cu privire la unul dintre suspecți, urmărirea penală a încetat în baza art. 245 alin. (1) C. proc. pen. deoarece acesta a decedat. Procurorul a mai hotărât să mențină măsura sechestrului dispusă în cauză, dar să restituie suspecților bunurile aflate sub sechestru, fără a identifica bunurile sau suspecții în cauză.</w:t>
      </w:r>
    </w:p>
    <w:p w14:paraId="44882EFB" w14:textId="0CDA6AF5" w:rsidR="00250DE1" w:rsidRPr="00DB0EFA" w:rsidRDefault="00250DE1" w:rsidP="00DB0EFA">
      <w:pPr>
        <w:pStyle w:val="JuHIRoman"/>
      </w:pPr>
      <w:r>
        <w:t>II.</w:t>
      </w:r>
      <w:r>
        <w:tab/>
        <w:t>PLÂNGERI DEPUSE DE CĂTRE RECLAMANT ÎN TIMPUL URMĂRIRII PENALE</w:t>
      </w:r>
    </w:p>
    <w:bookmarkStart w:id="13" w:name="P18"/>
    <w:p w14:paraId="377F3AE3" w14:textId="4167A7BD"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18</w:t>
      </w:r>
      <w:r w:rsidRPr="00DB0EFA">
        <w:fldChar w:fldCharType="end"/>
      </w:r>
      <w:bookmarkEnd w:id="13"/>
      <w:r>
        <w:t>.  În 2008 și 2009 reclamantul a depus două plângeri privind durata procedurii și durata sechestrului asupra bunurilor sale, explicând că măsura i-a produs prejudicii, mai ales având în vedere că cele două mașini se deteriorau odată cu trecerea timpului. Plângerile au fost respinse de procuror ca nefondate la 29 septembrie 2008 și la 1 mai 2009. S-a reținut că ancheta nu depășise durata rezonabilă, întrucât în cauză erau numeroși suspecți și fapte complexe.</w:t>
      </w:r>
    </w:p>
    <w:p w14:paraId="2702D8EE" w14:textId="67ABC54D" w:rsidR="00250DE1" w:rsidRPr="00DB0EFA" w:rsidRDefault="00736D67" w:rsidP="00DB0EFA">
      <w:pPr>
        <w:pStyle w:val="JuPara"/>
      </w:pPr>
      <w:fldSimple w:instr=" SEQ level0 \*arabic \* MERGEFORMAT ">
        <w:r w:rsidR="00DB0EFA" w:rsidRPr="00DB0EFA">
          <w:t>19</w:t>
        </w:r>
      </w:fldSimple>
      <w:r>
        <w:t>.  La 31 august 2009 și la 25 noiembrie 2011 reclamantul s-a plâns din nou de întârzierea înregistrată în urmărirea penală și a cerut restituirea documentelor de înregistrare ale celor două mașini astfel încât se le poată folosi. A menționat că în opinia sa, existase un abuz de procedură în cazul său și că nerestituirea documentelor sale de proprietate îi cauzase un prejudiciu material și moral. Plângerile sale au fost respinse de procuror, care a considerat că, așa cum stăteau lucrurile, urmărirea penală nu depășise durata rezonabilă și documentele de înregistrare pentru cele două mașini „despre care reclamantul pretinde că au fost sechestrate“ nu existau la dosar.</w:t>
      </w:r>
    </w:p>
    <w:p w14:paraId="5F563E59" w14:textId="5D7893AC" w:rsidR="00250DE1" w:rsidRPr="00DB0EFA" w:rsidRDefault="00736D67" w:rsidP="00DB0EFA">
      <w:pPr>
        <w:pStyle w:val="JuPara"/>
      </w:pPr>
      <w:fldSimple w:instr=" SEQ level0 \*arabic \* MERGEFORMAT ">
        <w:r w:rsidR="00DB0EFA" w:rsidRPr="00DB0EFA">
          <w:t>20</w:t>
        </w:r>
      </w:fldSimple>
      <w:r>
        <w:t>.  La 24 iulie 2012 reclamantul era informat de procuror că amânările din cadrul cercetării penale nu fuseseră din vina procurorului. Au fost cauzate de numărul ridicat de suspecți și de complexitatea cauzei.</w:t>
      </w:r>
    </w:p>
    <w:p w14:paraId="0CEDC23C" w14:textId="4D86199C" w:rsidR="00250DE1" w:rsidRPr="00DB0EFA" w:rsidRDefault="00736D67" w:rsidP="00DB0EFA">
      <w:pPr>
        <w:pStyle w:val="JuPara"/>
      </w:pPr>
      <w:fldSimple w:instr=" SEQ level0 \*arabic \* MERGEFORMAT ">
        <w:r w:rsidR="00DB0EFA" w:rsidRPr="00DB0EFA">
          <w:t>21</w:t>
        </w:r>
      </w:fldSimple>
      <w:r>
        <w:t>.  La 4 martie 2013 reclamantul a depus o cerere la parchet pentru restituirea actelor de înmatriculare a autoturismelor, argumentând din nou că mașinile s-au deteriorat cu timpul. Reclamantul nu a primit niciun răspuns.</w:t>
      </w:r>
    </w:p>
    <w:bookmarkStart w:id="14" w:name="P22"/>
    <w:p w14:paraId="226C828B" w14:textId="603F0842"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22</w:t>
      </w:r>
      <w:r w:rsidRPr="00DB0EFA">
        <w:fldChar w:fldCharType="end"/>
      </w:r>
      <w:bookmarkEnd w:id="14"/>
      <w:r>
        <w:t xml:space="preserve">.  La 16 iulie 2013, reclamantul a cerut ridicarea măsurii sechestrului dispusă în cazul său deoarece a depășit durata rezonabilă. A cerut și soluționarea cauzei fără întârziere și a menționat că a fost încălcat dreptul său la un proces echitabil într-un termen rezonabil așa cum era garantat la art. 6 din Convenție. În absența unui răspuns, a reiterat cererile în august 2013. În ordonanța din 15 octombrie 2013, Prim procurorul observa că cererea inițială </w:t>
      </w:r>
      <w:r>
        <w:lastRenderedPageBreak/>
        <w:t>a reclamantului din 16 iulie 2013 a fost respinsă întrucât ancheta era încă în desfășurare. Prin urmare, a considerat că cea de a doua cerere trebuia respinsă ca fiind lipsită de obiect. Cu toate acestea, reclamantul nu a primit niciodată ordonanța adoptată ca răspuns la plângerea sa din 16 iulie 2013.</w:t>
      </w:r>
    </w:p>
    <w:bookmarkStart w:id="15" w:name="P23"/>
    <w:p w14:paraId="15236541" w14:textId="6543D033"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23</w:t>
      </w:r>
      <w:r w:rsidRPr="00DB0EFA">
        <w:fldChar w:fldCharType="end"/>
      </w:r>
      <w:bookmarkEnd w:id="15"/>
      <w:r>
        <w:t xml:space="preserve">.  La 23 septembrie 2013, reclamantul a făcut plângere la Judecătoria Sectorului 4 București că atât ancheta cât și măsura sechestrului depășiseră durata rezonabilă și a cerut ca instanța să anuleze măsura în chestiune. Plângerea sa a fost respinsă de instanță ca inadmisibilă la 22 octombrie 2013. Instanța a hotărât că, în lumina deciziei Înaltei Curți de Casație și Justiție (a se vedea infra, pct. </w:t>
      </w:r>
      <w:r w:rsidRPr="00DB0EFA">
        <w:fldChar w:fldCharType="begin"/>
      </w:r>
      <w:r w:rsidRPr="00DB0EFA">
        <w:instrText xml:space="preserve"> REF P30 \h </w:instrText>
      </w:r>
      <w:r w:rsidRPr="00DB0EFA">
        <w:fldChar w:fldCharType="separate"/>
      </w:r>
      <w:r w:rsidR="00DB0EFA" w:rsidRPr="00DB0EFA">
        <w:t>30</w:t>
      </w:r>
      <w:r w:rsidRPr="00DB0EFA">
        <w:fldChar w:fldCharType="end"/>
      </w:r>
      <w:r>
        <w:t>), atâta timp cât urmărirea penală era încă în desfășurare, nu avea jurisdicție să examineze plângerile reclamantului.</w:t>
      </w:r>
    </w:p>
    <w:p w14:paraId="09F02A69" w14:textId="5D43E71E" w:rsidR="00250DE1" w:rsidRPr="00DB0EFA" w:rsidRDefault="00250DE1" w:rsidP="00DB0EFA">
      <w:pPr>
        <w:pStyle w:val="JuHIRoman"/>
      </w:pPr>
      <w:r>
        <w:t>III.</w:t>
      </w:r>
      <w:r>
        <w:tab/>
        <w:t>PLÂNGERI DEPUSE DE CĂTRE RECLAMANT DUPĂ FINALIZAREA ANCHETEI</w:t>
      </w:r>
    </w:p>
    <w:bookmarkStart w:id="16" w:name="P24"/>
    <w:p w14:paraId="7009A49A" w14:textId="40FD6794"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24</w:t>
      </w:r>
      <w:r w:rsidRPr="00DB0EFA">
        <w:fldChar w:fldCharType="end"/>
      </w:r>
      <w:bookmarkEnd w:id="16"/>
      <w:r>
        <w:t xml:space="preserve">.  La 7 martie 2014 reclamantul a cerut parchetului să ridice sechestrul asupra bunurilor sale. Solicitarea sa a fost înaintată de către procuror judecătorului de cameră preliminară al Judecătoriei Sectorului 4 București în baza art. 250 alin. (1) Noul Cod de procedură penală (denumit în continuare „noul C. proc. pen.” – a se vedea infra, pct. </w:t>
      </w:r>
      <w:r w:rsidRPr="00DB0EFA">
        <w:fldChar w:fldCharType="begin"/>
      </w:r>
      <w:r w:rsidRPr="00DB0EFA">
        <w:instrText xml:space="preserve"> REF P33 \h </w:instrText>
      </w:r>
      <w:r w:rsidRPr="00DB0EFA">
        <w:fldChar w:fldCharType="separate"/>
      </w:r>
      <w:r w:rsidR="00DB0EFA" w:rsidRPr="00DB0EFA">
        <w:t>33</w:t>
      </w:r>
      <w:r w:rsidRPr="00DB0EFA">
        <w:fldChar w:fldCharType="end"/>
      </w:r>
      <w:r>
        <w:t xml:space="preserve">). La rândul său, instanța a considerat că solicitarea intra în domeniul de aplicare al art. 339 alin. (1) noul C. proc. pen. (a se vedea infra, pct. </w:t>
      </w:r>
      <w:r w:rsidRPr="00DB0EFA">
        <w:fldChar w:fldCharType="begin"/>
      </w:r>
      <w:r w:rsidRPr="00DB0EFA">
        <w:instrText xml:space="preserve"> REF P34 \h </w:instrText>
      </w:r>
      <w:r w:rsidRPr="00DB0EFA">
        <w:fldChar w:fldCharType="separate"/>
      </w:r>
      <w:r w:rsidR="00DB0EFA" w:rsidRPr="00DB0EFA">
        <w:t>34</w:t>
      </w:r>
      <w:r w:rsidRPr="00DB0EFA">
        <w:fldChar w:fldCharType="end"/>
      </w:r>
      <w:r>
        <w:t>) și a dispus retrimiterea solicitării la procuror pentru ca să fie examinată în temeiul respectivului articol.</w:t>
      </w:r>
    </w:p>
    <w:bookmarkStart w:id="17" w:name="P25"/>
    <w:p w14:paraId="1A87D0AC" w14:textId="082FEC18"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25</w:t>
      </w:r>
      <w:r w:rsidRPr="00DB0EFA">
        <w:fldChar w:fldCharType="end"/>
      </w:r>
      <w:bookmarkEnd w:id="17"/>
      <w:r>
        <w:t xml:space="preserve">.  La 31 martie 2014, reclamantul s-a plâns în fața instanțelor în baza art. 340 noul C. proc. pen. împotriva ordonanței procurorului din 29 ianuarie 2014. A pretins că fusese nelegală și nefondată menținerea sechestrului asupra bunurilor sale și a cerut ca instanța să anuleze măsura. Instanța a considerat că plângerea reclamantului era inadmisibilă deoarece, conform art. 340 și art. 341 alin. (6) lit. a) noul C. proc. pen. (a se vedea infra, pct. </w:t>
      </w:r>
      <w:r w:rsidRPr="00DB0EFA">
        <w:fldChar w:fldCharType="begin"/>
      </w:r>
      <w:r w:rsidRPr="00DB0EFA">
        <w:instrText xml:space="preserve"> REF P34 \h </w:instrText>
      </w:r>
      <w:r w:rsidRPr="00DB0EFA">
        <w:fldChar w:fldCharType="separate"/>
      </w:r>
      <w:r w:rsidR="00DB0EFA" w:rsidRPr="00DB0EFA">
        <w:t>34</w:t>
      </w:r>
      <w:r w:rsidRPr="00DB0EFA">
        <w:fldChar w:fldCharType="end"/>
      </w:r>
      <w:r>
        <w:t xml:space="preserve">), împotriva rezoluției date de procuror se poate face plângere numai în măsura în care aceasta determina clasarea sau renunțarea la urmărirea penală. Decizia instanței, luată </w:t>
      </w:r>
      <w:r>
        <w:rPr>
          <w:i/>
        </w:rPr>
        <w:t>in camera</w:t>
      </w:r>
      <w:r>
        <w:t xml:space="preserve"> la 26 mai 2014, era definitivă.</w:t>
      </w:r>
    </w:p>
    <w:bookmarkStart w:id="18" w:name="P26"/>
    <w:p w14:paraId="25EBE1CA" w14:textId="187FE782"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26</w:t>
      </w:r>
      <w:r w:rsidRPr="00DB0EFA">
        <w:fldChar w:fldCharType="end"/>
      </w:r>
      <w:bookmarkEnd w:id="18"/>
      <w:r>
        <w:t xml:space="preserve">.  La 25 iunie 2014, Prim procurorul Parchetului de pe lângă Judecătoria Sectorului 4 București a examinat și respins plângerea reclamantului din 7 martie 2014 (a se vedea supra, pct. </w:t>
      </w:r>
      <w:r w:rsidRPr="00DB0EFA">
        <w:fldChar w:fldCharType="begin"/>
      </w:r>
      <w:r w:rsidRPr="00DB0EFA">
        <w:instrText xml:space="preserve"> REF P24 \h  \* MERGEFORMAT </w:instrText>
      </w:r>
      <w:r w:rsidRPr="00DB0EFA">
        <w:fldChar w:fldCharType="separate"/>
      </w:r>
      <w:r w:rsidR="00DB0EFA" w:rsidRPr="00DB0EFA">
        <w:t>24</w:t>
      </w:r>
      <w:r w:rsidRPr="00DB0EFA">
        <w:fldChar w:fldCharType="end"/>
      </w:r>
      <w:r>
        <w:t xml:space="preserve">), la care a conexat alte două solicitări depuse de reclamant între timp privind restituirea documentelor de proprietate și a sumei de bani confiscate, cum erau menționate în procesul-verbal de percheziție din 2 aprilie 2003. Procurorul a explicat că art. 245 alin. (1) lit. (c) noul C. proc. pen. prevedea că măsura sechestrului se va considera desființată </w:t>
      </w:r>
      <w:r>
        <w:rPr>
          <w:i/>
        </w:rPr>
        <w:t xml:space="preserve">de jure </w:t>
      </w:r>
      <w:r>
        <w:t xml:space="preserve">dacă partea vătămată nu introduce acțiune civilă în termen de 30 de zile de la comunicarea încetării urmăririi penale (a se vedea infra, pct. </w:t>
      </w:r>
      <w:r w:rsidRPr="00DB0EFA">
        <w:fldChar w:fldCharType="begin"/>
      </w:r>
      <w:r w:rsidRPr="00DB0EFA">
        <w:instrText xml:space="preserve"> REF P32 \h </w:instrText>
      </w:r>
      <w:r w:rsidRPr="00DB0EFA">
        <w:fldChar w:fldCharType="separate"/>
      </w:r>
      <w:r w:rsidR="00DB0EFA" w:rsidRPr="00DB0EFA">
        <w:t>32</w:t>
      </w:r>
      <w:r w:rsidRPr="00DB0EFA">
        <w:fldChar w:fldCharType="end"/>
      </w:r>
      <w:r>
        <w:t xml:space="preserve">). În legătură cu solicitarea de restituire a documentelor și a banilor, procurorul a afirmat ca era inadmisibilă în condițiile în care restituirea bunurilor sechestrate a fost deja dispusă prin ordonanța din 29 ianuarie 2014 </w:t>
      </w:r>
      <w:r>
        <w:lastRenderedPageBreak/>
        <w:t xml:space="preserve">(a se vedea supra, pct. </w:t>
      </w:r>
      <w:r w:rsidRPr="00DB0EFA">
        <w:fldChar w:fldCharType="begin"/>
      </w:r>
      <w:r w:rsidRPr="00DB0EFA">
        <w:instrText xml:space="preserve"> REF P17 \h </w:instrText>
      </w:r>
      <w:r w:rsidRPr="00DB0EFA">
        <w:fldChar w:fldCharType="separate"/>
      </w:r>
      <w:r w:rsidR="00DB0EFA" w:rsidRPr="00DB0EFA">
        <w:t>17</w:t>
      </w:r>
      <w:r w:rsidRPr="00DB0EFA">
        <w:fldChar w:fldCharType="end"/>
      </w:r>
      <w:r>
        <w:t xml:space="preserve">) și că responsabilitatea executării ordonanței respective aparținea poliției. Prin urmare, o copie a cererii reclamantului trebuia trimisă spre a fi examinată de </w:t>
      </w:r>
      <w:bookmarkStart w:id="19" w:name="_Hlk89175619"/>
      <w:r>
        <w:t>Poliția Sectorului 4 București</w:t>
      </w:r>
      <w:bookmarkEnd w:id="19"/>
      <w:r>
        <w:t>.</w:t>
      </w:r>
    </w:p>
    <w:bookmarkStart w:id="20" w:name="P27"/>
    <w:p w14:paraId="6B9288C3" w14:textId="3EB26AED"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27</w:t>
      </w:r>
      <w:r w:rsidRPr="00DB0EFA">
        <w:fldChar w:fldCharType="end"/>
      </w:r>
      <w:bookmarkEnd w:id="20"/>
      <w:r>
        <w:t xml:space="preserve">.  La 1 iulie 2014 reclamantul a depus cereri scrise la Poliția Sectorului 4 București și la DGPMB, solicitându-le executarea ordonanței procurorului și restituirea bunurilor și a documentelor care îi fuseseră sechestrate și erau menționate în procesul-verbal de percheziție (a se vedea supra, pct. </w:t>
      </w:r>
      <w:r w:rsidRPr="00DB0EFA">
        <w:fldChar w:fldCharType="begin"/>
      </w:r>
      <w:r w:rsidRPr="00DB0EFA">
        <w:instrText xml:space="preserve"> REF P7 \h  \* MERGEFORMAT </w:instrText>
      </w:r>
      <w:r w:rsidRPr="00DB0EFA">
        <w:fldChar w:fldCharType="separate"/>
      </w:r>
      <w:r w:rsidR="00DB0EFA" w:rsidRPr="00DB0EFA">
        <w:t>7</w:t>
      </w:r>
      <w:r w:rsidRPr="00DB0EFA">
        <w:fldChar w:fldCharType="end"/>
      </w:r>
      <w:r>
        <w:t>). DGPMB a informat pe reclamant că cererea sa a fost transmisă la Poliția Sectorului 4 București. Potrivit ultimelor informații de care dispune Curtea (12 noiembrie 2019), nu exista niciun răspuns primit de la Poliția Sectorului 4 București.</w:t>
      </w:r>
    </w:p>
    <w:bookmarkStart w:id="21" w:name="P28"/>
    <w:p w14:paraId="50AD6AE9" w14:textId="31FECAD3"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28</w:t>
      </w:r>
      <w:r w:rsidRPr="00DB0EFA">
        <w:fldChar w:fldCharType="end"/>
      </w:r>
      <w:bookmarkEnd w:id="21"/>
      <w:r>
        <w:t xml:space="preserve">.  Din </w:t>
      </w:r>
      <w:r>
        <w:rPr>
          <w:i/>
        </w:rPr>
        <w:t>Extrasul de carte funciară</w:t>
      </w:r>
      <w:r>
        <w:t xml:space="preserve"> datat 7 mai 2019 rezultă că, la data respectivă, nicio măsură de sechestru nu era înregistrată în ceea ce privește apartamentul reclamantului.</w:t>
      </w:r>
    </w:p>
    <w:p w14:paraId="27EB5DA3" w14:textId="77777777" w:rsidR="00250DE1" w:rsidRPr="00DB0EFA" w:rsidRDefault="00250DE1" w:rsidP="00DB0EFA">
      <w:pPr>
        <w:pStyle w:val="JuHHead"/>
      </w:pPr>
      <w:r>
        <w:t>CADRUL JURIDIC ȘI PRACTICA RELEVANTE</w:t>
      </w:r>
    </w:p>
    <w:p w14:paraId="0B740CC3" w14:textId="036A41CE" w:rsidR="00250DE1" w:rsidRPr="00DB0EFA" w:rsidRDefault="00250DE1" w:rsidP="00DB0EFA">
      <w:pPr>
        <w:pStyle w:val="JuHIRoman"/>
      </w:pPr>
      <w:r>
        <w:t>I.</w:t>
      </w:r>
      <w:r>
        <w:tab/>
        <w:t>CADRUL JURIDIC RELEVANT</w:t>
      </w:r>
    </w:p>
    <w:bookmarkStart w:id="22" w:name="P29"/>
    <w:p w14:paraId="7E1A4072" w14:textId="26F96E9F" w:rsidR="00250DE1" w:rsidRPr="00DB0EFA" w:rsidRDefault="00250DE1" w:rsidP="00DB0EFA">
      <w:pPr>
        <w:pStyle w:val="JuPara"/>
      </w:pPr>
      <w:r w:rsidRPr="00DB0EFA">
        <w:fldChar w:fldCharType="begin"/>
      </w:r>
      <w:r w:rsidRPr="00DB0EFA">
        <w:instrText xml:space="preserve"> SEQ level0 \*arabic </w:instrText>
      </w:r>
      <w:r w:rsidRPr="00DB0EFA">
        <w:fldChar w:fldCharType="separate"/>
      </w:r>
      <w:r w:rsidR="00DB0EFA" w:rsidRPr="00DB0EFA">
        <w:t>29</w:t>
      </w:r>
      <w:r w:rsidRPr="00DB0EFA">
        <w:fldChar w:fldCharType="end"/>
      </w:r>
      <w:bookmarkEnd w:id="22"/>
      <w:r>
        <w:t>.  Dispozițiile relevante din vechiul Cod de procedură penală, în vigoare până la 31 ianuarie 2014 privind sechestrul erau redactate după cum urmează la momentul faptelor:</w:t>
      </w:r>
    </w:p>
    <w:p w14:paraId="50274AAD" w14:textId="77777777" w:rsidR="00250DE1" w:rsidRPr="00DB0EFA" w:rsidRDefault="00250DE1" w:rsidP="00DB0EFA">
      <w:pPr>
        <w:pStyle w:val="JuHArticle"/>
      </w:pPr>
      <w:r>
        <w:t>Articolul 163 – Măsurile asigurătorii</w:t>
      </w:r>
    </w:p>
    <w:p w14:paraId="0E68B308" w14:textId="77777777" w:rsidR="00250DE1" w:rsidRPr="00DB0EFA" w:rsidRDefault="00250DE1" w:rsidP="00DB0EFA">
      <w:pPr>
        <w:pStyle w:val="JuQuot"/>
      </w:pPr>
      <w:r>
        <w:t>„Măsurile asigurătorii se iau în cursul procesului penal de organul de urmărire penală sau de instanța de judecată şi constau în indisponibilizarea prin instituirea unui sechestru a bunurilor mobile şi imobile, în vederea reparării pagubei produse prin infracțiune, precum şi pentru garantarea executării pedepsei amenzii.</w:t>
      </w:r>
    </w:p>
    <w:p w14:paraId="61A8E7C3" w14:textId="77777777" w:rsidR="00250DE1" w:rsidRPr="00DB0EFA" w:rsidRDefault="00250DE1" w:rsidP="00DB0EFA">
      <w:pPr>
        <w:pStyle w:val="JuQuot"/>
      </w:pPr>
      <w:r>
        <w:t>(2) Măsurile asigurătorii în vederea reparării pagubei [produse prin infracțiune] se pot lua asupra bunurilor învinuitului sau inculpatului și ale persoanei responsabile civilmente, până la concurența valorii probabile a pagubei.“</w:t>
      </w:r>
    </w:p>
    <w:p w14:paraId="27D003FA" w14:textId="77777777" w:rsidR="00250DE1" w:rsidRPr="00DB0EFA" w:rsidRDefault="00250DE1" w:rsidP="00DB0EFA">
      <w:pPr>
        <w:pStyle w:val="JuHArticle"/>
      </w:pPr>
      <w:r>
        <w:t>Articolul 168 – Contestarea măsurii asigurătorii</w:t>
      </w:r>
    </w:p>
    <w:p w14:paraId="72354304" w14:textId="77777777" w:rsidR="00250DE1" w:rsidRPr="00DB0EFA" w:rsidRDefault="00250DE1" w:rsidP="00DB0EFA">
      <w:pPr>
        <w:pStyle w:val="JuQuot"/>
      </w:pPr>
      <w:r>
        <w:t>„(1) În contra măsurii asiguratorii luate și a modului de aducere la îndeplinire a acesteia, învinuitul sau inculpatul, partea responsabilă civilmente, precum și orice altă persoană interesată se pot plânge procurorului sau instanței de judecată, în orice fază a procesului penal.“</w:t>
      </w:r>
    </w:p>
    <w:p w14:paraId="09122185" w14:textId="77777777" w:rsidR="00250DE1" w:rsidRPr="00DB0EFA" w:rsidRDefault="00250DE1" w:rsidP="00DB0EFA">
      <w:pPr>
        <w:pStyle w:val="JuQuot"/>
      </w:pPr>
      <w:r>
        <w:t>(3) După soluționarea definitivă a procesului penal, dacă nu s-a făcut plângere împotriva aducerii la îndeplinire a măsurii asigurătorii, se poate face contestație potrivit legii civile.“</w:t>
      </w:r>
    </w:p>
    <w:bookmarkStart w:id="23" w:name="P30"/>
    <w:p w14:paraId="6EE1711A" w14:textId="4B7342C9"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30</w:t>
      </w:r>
      <w:r w:rsidRPr="00DB0EFA">
        <w:fldChar w:fldCharType="end"/>
      </w:r>
      <w:bookmarkEnd w:id="23"/>
      <w:r>
        <w:t xml:space="preserve">.  Dispozițiile art.168 menționat anterior au fost clarificate în cadrul unui recurs în interesul legii judecat de Înalta Curte de Casație și Justiție (Decizia nr. 71/2007) care a hotărât că măsurile asiguratorii pot fi contestate doar în fața procurorului, atunci când urmărirea penală este în desfășurare, și </w:t>
      </w:r>
      <w:r>
        <w:lastRenderedPageBreak/>
        <w:t>în fața instanțelor de judecată de îndată ce urmărirea penală s-a încheiat, iar cauza se află în curs de judecată.</w:t>
      </w:r>
    </w:p>
    <w:bookmarkStart w:id="24" w:name="P31"/>
    <w:p w14:paraId="59BCF69E" w14:textId="2A0D5CD5"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31</w:t>
      </w:r>
      <w:r w:rsidRPr="00DB0EFA">
        <w:fldChar w:fldCharType="end"/>
      </w:r>
      <w:bookmarkEnd w:id="24"/>
      <w:r>
        <w:t>.  Dispozițiile relevante ale vechiului Cod de procedură penală privitoare la ridicarea de obiecte și înscrisuri ca probe sunt formulate după cum urmează:</w:t>
      </w:r>
    </w:p>
    <w:p w14:paraId="76559B5E" w14:textId="77777777" w:rsidR="00250DE1" w:rsidRPr="00DB0EFA" w:rsidRDefault="00250DE1" w:rsidP="00DB0EFA">
      <w:pPr>
        <w:pStyle w:val="JuHArticle"/>
      </w:pPr>
      <w:r>
        <w:t>Articolul 96 – Ridicarea de obiecte şi înscrisuri</w:t>
      </w:r>
    </w:p>
    <w:p w14:paraId="68E97295" w14:textId="45E8280F" w:rsidR="00250DE1" w:rsidRPr="00DB0EFA" w:rsidRDefault="00250DE1" w:rsidP="00DB0EFA">
      <w:pPr>
        <w:pStyle w:val="JuQuot"/>
      </w:pPr>
      <w:r>
        <w:t>„Organul de urmărire penală sau instanța de judecată are obligația să ridice obiectele şi înscrisurile ce pot servi ca mijloc de probă în procesul penal.“</w:t>
      </w:r>
    </w:p>
    <w:p w14:paraId="379F24B0" w14:textId="77777777" w:rsidR="00250DE1" w:rsidRPr="00DB0EFA" w:rsidRDefault="00250DE1" w:rsidP="00DB0EFA">
      <w:pPr>
        <w:pStyle w:val="JuHArticle"/>
      </w:pPr>
      <w:r>
        <w:t>Articolul 97 – Predarea obiectelor şi înscrisurilor</w:t>
      </w:r>
    </w:p>
    <w:p w14:paraId="5105B5DA" w14:textId="77777777" w:rsidR="00250DE1" w:rsidRPr="00DB0EFA" w:rsidRDefault="00250DE1" w:rsidP="00DB0EFA">
      <w:pPr>
        <w:pStyle w:val="JuQuot"/>
      </w:pPr>
      <w:r>
        <w:t>„(1)  Orice persoană fizică sau persoană juridică, în posesia căreia se află un obiect sau un înscris ce poate servi ca mijloc de probă, este obligată să-l prezinte şi să-l predea, sub luare de dovadă, organului de urmărire penală sau instanței de judecată, la cererea acestora.</w:t>
      </w:r>
    </w:p>
    <w:p w14:paraId="3C1BE193" w14:textId="6F4F51E5" w:rsidR="00250DE1" w:rsidRPr="00DB0EFA" w:rsidRDefault="00250DE1" w:rsidP="00DB0EFA">
      <w:pPr>
        <w:pStyle w:val="JuQuot"/>
      </w:pPr>
      <w:r>
        <w:t>2)  Dacă organul de urmărire penală sau instanța de judecată apreciază că şi o copie de pe un înscris poate servi ca mijloc de probă, reține numai copia.”</w:t>
      </w:r>
    </w:p>
    <w:p w14:paraId="1BEA5383" w14:textId="77777777" w:rsidR="00250DE1" w:rsidRPr="00DB0EFA" w:rsidRDefault="00250DE1" w:rsidP="00DB0EFA">
      <w:pPr>
        <w:pStyle w:val="JuHArticle"/>
      </w:pPr>
      <w:r>
        <w:t>Articolul 109 – Măsuri privind obiectele ridicate</w:t>
      </w:r>
    </w:p>
    <w:p w14:paraId="1C6BCA4B" w14:textId="77777777" w:rsidR="00250DE1" w:rsidRPr="00DB0EFA" w:rsidRDefault="00250DE1" w:rsidP="00DB0EFA">
      <w:pPr>
        <w:pStyle w:val="JuQuot"/>
      </w:pPr>
      <w:r>
        <w:t>„(1)  Organul de urmărire penală sau instanța de judecată dispune ca obiectele ori înscrisurile ridicate care constituie mijloace de probă să fie, după caz, atașate la dosar sau păstrate în alt mod.“</w:t>
      </w:r>
    </w:p>
    <w:p w14:paraId="1FB66169" w14:textId="77777777" w:rsidR="00250DE1" w:rsidRPr="00DB0EFA" w:rsidRDefault="00250DE1" w:rsidP="00DB0EFA">
      <w:pPr>
        <w:pStyle w:val="JuQuot"/>
      </w:pPr>
      <w:r>
        <w:t>3)  „Până la soluționarea definitivă a cauzei, mijloacele materiale de probă se păstrează de organul de urmărire penală sau de instanța de judecată la care se găsește dosarul.</w:t>
      </w:r>
    </w:p>
    <w:p w14:paraId="191B11EB" w14:textId="77777777" w:rsidR="00250DE1" w:rsidRPr="00DB0EFA" w:rsidRDefault="00250DE1" w:rsidP="00DB0EFA">
      <w:pPr>
        <w:pStyle w:val="JuQuot"/>
      </w:pPr>
      <w:r>
        <w:t>4)  Obiectele şi înscrisurile predate sau ridicate în urma percheziției şi care nu au legătură cu cauza se restituie persoanei căreia îi aparțin.  Obiectele supuse confiscării nu se restituie.</w:t>
      </w:r>
    </w:p>
    <w:p w14:paraId="79AE6B09" w14:textId="77777777" w:rsidR="00250DE1" w:rsidRPr="00DB0EFA" w:rsidRDefault="00250DE1" w:rsidP="00DB0EFA">
      <w:pPr>
        <w:pStyle w:val="JuQuot"/>
      </w:pPr>
      <w:r>
        <w:t>5)  Obiectele ce servesc ca mijloc de probă, dacă nu sunt supuse confiscării, pot fi restituite persoanei căreia îi aparțin, chiar înainte de soluționarea definitivă a procesului, afară de cazul când prin această restituire s-ar putea stânjeni aflarea adevărului.  Organul de urmărire penală sau instanța de judecată pune în vedere persoanei căreia i-au fost restituite obiectele, că este obligată să le păstreze până la soluționarea definitivă a cauzei.“</w:t>
      </w:r>
    </w:p>
    <w:bookmarkStart w:id="25" w:name="P32"/>
    <w:p w14:paraId="04478190" w14:textId="26CC46A8"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32</w:t>
      </w:r>
      <w:r w:rsidRPr="00DB0EFA">
        <w:fldChar w:fldCharType="end"/>
      </w:r>
      <w:bookmarkEnd w:id="25"/>
      <w:r>
        <w:t>.  Art. 245 din vechiul Cod de procedură penală prevedea elementele care trebuie incluse în ordonanța de încetare a urmăririi penale. Mai precis, art. 245 alin. (1) lit. c) C. proc. pen. prevedea că măsurile sechestrului care fuseseră menținute atunci când încetase urmărirea penală se vor considera desființate, dacă persoana vătămată nu introduce acțiune în faţa instanței civile în termen de 30 de zile de la comunicarea încetării urmăririi penale.</w:t>
      </w:r>
      <w:r>
        <w:cr/>
      </w:r>
      <w:r>
        <w:br/>
        <w:t xml:space="preserve"> Respectivele prevederi, care se aplicau și ordonanței de clasare, fuseseră reproduse la art. 315 alin. (2) lit. a) noul C. proc. pen..</w:t>
      </w:r>
    </w:p>
    <w:bookmarkStart w:id="26" w:name="P33"/>
    <w:p w14:paraId="1FAAA3A4" w14:textId="3F723271"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33</w:t>
      </w:r>
      <w:r w:rsidRPr="00DB0EFA">
        <w:fldChar w:fldCharType="end"/>
      </w:r>
      <w:bookmarkEnd w:id="26"/>
      <w:r>
        <w:t xml:space="preserve">.  La 1 februarie 2014 a intrat în vigoare noul Cod de procedură penală și a început să fie aplicat în toate procedurile penale aflate pe rol (cu câteva </w:t>
      </w:r>
      <w:r>
        <w:lastRenderedPageBreak/>
        <w:t>excepții care nu sunt relevante în contextul speței). Nu au fost adoptate dispoziții tranzitorii specifice cu trimitere la sechestru. Noul Cod de procedură penală includea următoarea nouă dispoziție relevantă cu privire la măsurile asiguratorii:</w:t>
      </w:r>
    </w:p>
    <w:p w14:paraId="749CEEF2" w14:textId="77777777" w:rsidR="00250DE1" w:rsidRPr="00DB0EFA" w:rsidRDefault="00250DE1" w:rsidP="00DB0EFA">
      <w:pPr>
        <w:pStyle w:val="JuHArticle"/>
      </w:pPr>
      <w:r>
        <w:t>Articolul 250 alin. (1) – Contestarea măsurilor asigurătorii</w:t>
      </w:r>
    </w:p>
    <w:p w14:paraId="6E7AE5AD" w14:textId="27039CE9" w:rsidR="00250DE1" w:rsidRPr="00DB0EFA" w:rsidRDefault="00250DE1" w:rsidP="00DB0EFA">
      <w:pPr>
        <w:pStyle w:val="JuQuot"/>
      </w:pPr>
      <w:r>
        <w:t>„Împotriva măsurii asigurătorii luate de procuror sau a modului de aducere la îndeplinire a acesteia suspectul ori inculpatul sau orice altă persoană interesată poate face contestație, în termen de 3 zile de la data comunicării ordonanței de luare a măsurii sau de la data aducerii la îndeplinire a acesteia, la judecătorul de drepturi și libertăți de la instanța căreia i-ar reveni competența să judece cauza în fond.”</w:t>
      </w:r>
    </w:p>
    <w:bookmarkStart w:id="27" w:name="P34"/>
    <w:p w14:paraId="460504CA" w14:textId="41FD9D72"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34</w:t>
      </w:r>
      <w:r w:rsidRPr="00DB0EFA">
        <w:fldChar w:fldCharType="end"/>
      </w:r>
      <w:bookmarkEnd w:id="27"/>
      <w:r>
        <w:t>.  Art. 339 noul C. proc. pen., astfel cum era în vigoare la momentul faptelor, prezenta dispozițiile generale care priveau plângerea împotriva măsurilor adoptate și a actelor desfășurate de procuror sau în conformitate cu dispozițiile sale. Alineatul (1) prevedea că o asemenea plângere urma să fie tratată de prim-procurorul parchetului relevant. Persoana a cărei plângere împotriva unei soluții de clasare sau renunțare la urmărirea penală a fost respinsă de prim-procuror poate formula recurs în instanță în temeiul art. 340. Instanța care examinează plângerea, pe baza art. 341 alin. (6) lit. a), adoptă o decizie de respingere a acesteia, ca tardivă sau inadmisibilă ori ca nefondată, în cauzele în care nu s-a dispus punerea în mișcare a acțiunii penale.</w:t>
      </w:r>
    </w:p>
    <w:bookmarkStart w:id="28" w:name="P35"/>
    <w:p w14:paraId="116BC771" w14:textId="13242268" w:rsidR="00250DE1" w:rsidRPr="00DB0EFA" w:rsidRDefault="00250DE1" w:rsidP="00DB0EFA">
      <w:pPr>
        <w:pStyle w:val="JuPara"/>
        <w:rPr>
          <w:iCs/>
        </w:rPr>
      </w:pPr>
      <w:r w:rsidRPr="00DB0EFA">
        <w:fldChar w:fldCharType="begin"/>
      </w:r>
      <w:r w:rsidRPr="00DB0EFA">
        <w:instrText xml:space="preserve"> SEQ level0 \*arabic \* MERGEFORMAT </w:instrText>
      </w:r>
      <w:r w:rsidRPr="00DB0EFA">
        <w:fldChar w:fldCharType="separate"/>
      </w:r>
      <w:r w:rsidR="00DB0EFA" w:rsidRPr="00DB0EFA">
        <w:t>35</w:t>
      </w:r>
      <w:r w:rsidRPr="00DB0EFA">
        <w:fldChar w:fldCharType="end"/>
      </w:r>
      <w:bookmarkEnd w:id="28"/>
      <w:r>
        <w:t xml:space="preserve">.  Dispozițiile pertinente din vechiul și din noul Cod de procedură penală și din Codul civil referitoare la reparații sunt descrise în </w:t>
      </w:r>
      <w:r>
        <w:rPr>
          <w:i/>
        </w:rPr>
        <w:t>Credit Europe Leasing Ifn S.A. împotriva României</w:t>
      </w:r>
      <w:r>
        <w:t xml:space="preserve"> (nr. 38072/11, pct. 39 și 40, 21 iulie 2020).</w:t>
      </w:r>
    </w:p>
    <w:p w14:paraId="6ECEF684" w14:textId="314EE425" w:rsidR="00250DE1" w:rsidRPr="00DB0EFA" w:rsidRDefault="00250DE1" w:rsidP="00DB0EFA">
      <w:pPr>
        <w:pStyle w:val="JuHIRoman"/>
      </w:pPr>
      <w:r>
        <w:t>Practica relevantă a instanțelor interne</w:t>
      </w:r>
    </w:p>
    <w:bookmarkStart w:id="29" w:name="P36"/>
    <w:p w14:paraId="14D41633" w14:textId="793ADE6C"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36</w:t>
      </w:r>
      <w:r w:rsidRPr="00DB0EFA">
        <w:fldChar w:fldCharType="end"/>
      </w:r>
      <w:bookmarkEnd w:id="29"/>
      <w:r>
        <w:t>.  Guvernul a transmis exemple de hotărâri pronunțate de instanțele interne în cauze în care sechestrarea bunurilor dispusă în cursul investigației fusese contestată în instanță. Toate aceste hotărâri au fost pronunțate în cauze în care urmărirea penală s-a finalizat și inculpații au fost trimiși în judecată sau în cauze care priveau măsuri dispuse după intrarea în vigoare a noului Cod de procedură penală.</w:t>
      </w:r>
    </w:p>
    <w:p w14:paraId="276459E7" w14:textId="26418702" w:rsidR="00250DE1" w:rsidRPr="00DB0EFA" w:rsidRDefault="00736D67" w:rsidP="00DB0EFA">
      <w:pPr>
        <w:pStyle w:val="JuPara"/>
      </w:pPr>
      <w:fldSimple w:instr=" SEQ level0 \*arabic \* MERGEFORMAT ">
        <w:r w:rsidR="00DB0EFA" w:rsidRPr="00DB0EFA">
          <w:t>37</w:t>
        </w:r>
      </w:fldSimple>
      <w:r>
        <w:t>.  Guvernul a prezentat și exemplele următoare de jurisprudență.</w:t>
      </w:r>
    </w:p>
    <w:bookmarkStart w:id="30" w:name="P37"/>
    <w:bookmarkStart w:id="31" w:name="P38"/>
    <w:p w14:paraId="1F64ED7D" w14:textId="2E222BFD"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38</w:t>
      </w:r>
      <w:r w:rsidRPr="00DB0EFA">
        <w:fldChar w:fldCharType="end"/>
      </w:r>
      <w:bookmarkEnd w:id="30"/>
      <w:bookmarkEnd w:id="31"/>
      <w:r>
        <w:t>.  În hotărârea din 1 aprilie 2014, pronunțată de Curtea de Apel Oradea în contextul plângerii depuse la 3 februarie 2014 (în baza noului Cod de procedură penală) împotriva unei măsuri a sechestrului dispusă de procuror la 7 ianuarie 2013 (în baza vechiului Cod de procedură penală), instanța a explicat că o asemenea plângere trebuia să fie depusă în termenul de 3 zile prevăzut la art. 250 alin. (1) noul C. proc. pen..</w:t>
      </w:r>
    </w:p>
    <w:bookmarkStart w:id="32" w:name="P39"/>
    <w:p w14:paraId="6F79E5D6" w14:textId="3A7C90AB"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39</w:t>
      </w:r>
      <w:r w:rsidRPr="00DB0EFA">
        <w:fldChar w:fldCharType="end"/>
      </w:r>
      <w:bookmarkEnd w:id="32"/>
      <w:r>
        <w:t xml:space="preserve">.  Într-o hotărâre din 15 septembrie 2017, Înalta Curte de Casație şi Justiție a examinat o cerere de recunoaștere a încetării </w:t>
      </w:r>
      <w:r>
        <w:rPr>
          <w:i/>
          <w:iCs/>
        </w:rPr>
        <w:t>de jure</w:t>
      </w:r>
      <w:r>
        <w:t xml:space="preserve"> a măsurii sechestrului care fusese menținută de procuror atunci când încetase urmărirea </w:t>
      </w:r>
      <w:r>
        <w:lastRenderedPageBreak/>
        <w:t>penală în privința unui inculpat pe motivul decesului acestuia din urmă. Instanța a explicat că noul Cod de procedură penală nu prevedea în mod specific posibilitatea de a contesta ordonanța procurorului de clasare a urmăririi penale deși menținea măsura sechestrului, indiferent dacă măsura a fost dispusă în baza vechiului Cod de procedură penală sau a noului Cod de procedură penală. Cu toate acestea, în circumstanțele specifice ale cauzei – în lumina faptului că partea civilă a formulat o cerere de despăgubiri în fața instanțelor civile – Curtea a decis să examineze cererea și să o respingă.</w:t>
      </w:r>
    </w:p>
    <w:bookmarkStart w:id="33" w:name="P40"/>
    <w:p w14:paraId="18A6FC2B" w14:textId="7E394B50"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40</w:t>
      </w:r>
      <w:r w:rsidRPr="00DB0EFA">
        <w:fldChar w:fldCharType="end"/>
      </w:r>
      <w:bookmarkEnd w:id="33"/>
      <w:r>
        <w:t>.  În cele din urmă, o hotărâre a fost pronunțată de Înalta Curte de Casație și Justiție la 30 ianuarie 2014 cu privire la o cerere de despăgubire ca urmare a unei presupuse privări de libertate nelegale, a unei cercetări abuzive și a mai multor măsuri asigurătorii sau de alt tip luate în cursul investigației împotriva reclamantului. Reclamantul din dosarul în chestiune (un fost agent vamal și fost membru al parlamentului) fusese plasat în arest preventiv timp de câteva luni în timpul urmăririi penale și apoi, 11 ani mai târziu, procesul împotriva acestuia se încheiase cu ordonanța procurorului de încetare a urmăririi penale pe motiv că acesta nu săvârșise infracțiunea. În temeiul art. 504 și 505 C. proc. pen., privind dreptul la repararea pagubei în cazul condamnării pe nedrept și al restrângerii ori privării de libertate în mod nelegal și al dispozițiilor generale privind răspunderea civilă delictuală de la art. 998 și 999 Cod Civil, instanța a acordat reclamantului despăgubiri pentru prejudiciul moral. Instanța a stabilit că reclamantul fusese plasat inițial în arest preventiv, dar ulterior nu fusese adus în fața unei instanțe și că se renunțase la acuzațiile formulate împotriva sa. Potrivit instanței, în acest caz a fost vorba de o eroare judiciară care dădea naștere dreptului la repararea pagubei. Instanța a acordat despăgubiri pentru o serie de măsuri dispuse de procuror și pentru durata excesivă a acestora. Printre aceste măsuri se numărau arestarea preventivă și sechestrarea mașinii.</w:t>
      </w:r>
    </w:p>
    <w:p w14:paraId="5924ABB3" w14:textId="77777777" w:rsidR="00250DE1" w:rsidRPr="00DB0EFA" w:rsidRDefault="00250DE1" w:rsidP="00DB0EFA">
      <w:pPr>
        <w:pStyle w:val="JuHHead"/>
      </w:pPr>
      <w:r>
        <w:t>ÎN DREPT</w:t>
      </w:r>
    </w:p>
    <w:p w14:paraId="6EDBE710" w14:textId="687B3C5F" w:rsidR="00250DE1" w:rsidRPr="00DB0EFA" w:rsidRDefault="00250DE1" w:rsidP="00DB0EFA">
      <w:pPr>
        <w:pStyle w:val="JuHIRoman"/>
      </w:pPr>
      <w:r>
        <w:t>CU PRIVIRE LA PRETINSA ÎNCĂLCARE A ART. 6 § 1 DIN CONVENȚIE</w:t>
      </w:r>
    </w:p>
    <w:p w14:paraId="053C4661" w14:textId="53C060D3" w:rsidR="00250DE1" w:rsidRPr="00DB0EFA" w:rsidRDefault="00250DE1" w:rsidP="00DB0EFA">
      <w:pPr>
        <w:pStyle w:val="JuPara"/>
      </w:pPr>
      <w:fldSimple w:instr=" SEQ level0 \*arabic ">
        <w:r w:rsidR="00DB0EFA" w:rsidRPr="00DB0EFA">
          <w:t>41</w:t>
        </w:r>
      </w:fldSimple>
      <w:r>
        <w:t>.  Reclamantul s-a plâns că durata procedurii penale împotriva sa a fost incompatibilă cu cerința „termenului rezonabil” prevăzută la art. 6 § 1 din Convenţie, a cărui parte relevantă se citește după cum urmează:</w:t>
      </w:r>
    </w:p>
    <w:p w14:paraId="7464AA90" w14:textId="77777777" w:rsidR="00250DE1" w:rsidRPr="00DB0EFA" w:rsidRDefault="00250DE1" w:rsidP="00DB0EFA">
      <w:pPr>
        <w:pStyle w:val="JuQuot"/>
      </w:pPr>
      <w:r>
        <w:t>„Orice persoană are dreptul la judecarea […] cauzei sale, de către o instanță […], care va hotărî […] asupra temeiniciei oricărei acuzații în materie penală îndreptate împotriva sa termen rezonabil.”</w:t>
      </w:r>
      <w:bookmarkStart w:id="34" w:name="_Hlk34206479"/>
    </w:p>
    <w:bookmarkEnd w:id="34"/>
    <w:p w14:paraId="54F04069" w14:textId="77777777" w:rsidR="00250DE1" w:rsidRPr="00DB0EFA" w:rsidRDefault="00250DE1" w:rsidP="00DB0EFA">
      <w:pPr>
        <w:pStyle w:val="JuHA"/>
      </w:pPr>
      <w:r>
        <w:lastRenderedPageBreak/>
        <w:t>Cu privire la admisibilitate</w:t>
      </w:r>
    </w:p>
    <w:p w14:paraId="1FE3DDC7" w14:textId="01945455" w:rsidR="00250DE1" w:rsidRPr="00DB0EFA" w:rsidRDefault="00736D67" w:rsidP="00DB0EFA">
      <w:pPr>
        <w:pStyle w:val="JuPara"/>
      </w:pPr>
      <w:fldSimple w:instr=" SEQ level0 \*arabic \* MERGEFORMAT ">
        <w:r w:rsidR="00DB0EFA" w:rsidRPr="00DB0EFA">
          <w:t>42</w:t>
        </w:r>
      </w:fldSimple>
      <w:r>
        <w:t>.  Curtea constată că cererea nu este nici vădit nefondată, nici inadmisibilă pentru alte motive enumerate la art. 35 din Convenție. Prin urmare, este necesar să fie declarată admisibilă.</w:t>
      </w:r>
    </w:p>
    <w:p w14:paraId="03BFE8C6" w14:textId="77777777" w:rsidR="00250DE1" w:rsidRPr="00DB0EFA" w:rsidRDefault="00250DE1" w:rsidP="00DB0EFA">
      <w:pPr>
        <w:pStyle w:val="JuHA"/>
      </w:pPr>
      <w:r>
        <w:t>Cu privire la fond</w:t>
      </w:r>
    </w:p>
    <w:p w14:paraId="7451A05C" w14:textId="2664ADE1" w:rsidR="00250DE1" w:rsidRPr="00DB0EFA" w:rsidRDefault="00250DE1" w:rsidP="00DB0EFA">
      <w:pPr>
        <w:pStyle w:val="JuPara"/>
      </w:pPr>
      <w:fldSimple w:instr=" SEQ level0 \*arabic ">
        <w:r w:rsidR="00DB0EFA" w:rsidRPr="00DB0EFA">
          <w:t>43</w:t>
        </w:r>
      </w:fldSimple>
      <w:r>
        <w:t>.  Reclamantul a argumentat că urmărirea penală împotriva sa a fost prelungită în mod inutil de numeroase perioade de inactivitate și mai multe conflicte de jurisdicție, iar toate acestea erau imputabile autorităților.</w:t>
      </w:r>
    </w:p>
    <w:p w14:paraId="7A81DE9B" w14:textId="06F0F8FC" w:rsidR="00250DE1" w:rsidRPr="00DB0EFA" w:rsidRDefault="00250DE1" w:rsidP="00DB0EFA">
      <w:pPr>
        <w:pStyle w:val="JuPara"/>
      </w:pPr>
      <w:fldSimple w:instr=" SEQ level0 \*arabic ">
        <w:r w:rsidR="00DB0EFA" w:rsidRPr="00DB0EFA">
          <w:t>44</w:t>
        </w:r>
      </w:fldSimple>
      <w:r>
        <w:t>.  Guvernul a cerut Curții să ia în considerare eforturile depuse de autoritățile române de a soluționa cu promptitudine dificila cauză penală a reclamantului. A argumentat că durata procedurii fusese influențată de o serie de factori, cum ar fi  complexitatea cauzei, numărul ridicat de pârâți și numeroasele documente din dosarul cauzei, precum și de faptul că unii dintre suspecți fugiseră sau refuzaseră să coopereze cu autoritățile.</w:t>
      </w:r>
    </w:p>
    <w:p w14:paraId="6345E3CE" w14:textId="74763759" w:rsidR="00250DE1" w:rsidRPr="00DB0EFA" w:rsidRDefault="00250DE1" w:rsidP="00DB0EFA">
      <w:pPr>
        <w:pStyle w:val="JuPara"/>
      </w:pPr>
      <w:fldSimple w:instr=" SEQ level0 \*arabic ">
        <w:r w:rsidR="00DB0EFA" w:rsidRPr="00DB0EFA">
          <w:t>45</w:t>
        </w:r>
      </w:fldSimple>
      <w:r>
        <w:t xml:space="preserve">.  Curtea reiterează că, în ceea ce privește caracterul rezonabil al duratei procedurii, acesta trebuie evaluat în lumina circumstanțelor cauzei și cu referire la următoarele criterii: complexitatea cauzei și comportamentul reclamantului și al autorităților competente [a se vedea, printre multe altele, </w:t>
      </w:r>
      <w:r>
        <w:rPr>
          <w:i/>
          <w:iCs/>
        </w:rPr>
        <w:t>Pélissier și Sassi împotriva Franței</w:t>
      </w:r>
      <w:r>
        <w:t xml:space="preserve"> (MC), nr. 25444/94, pct. 67, CEDO 1999-II].</w:t>
      </w:r>
    </w:p>
    <w:p w14:paraId="02C40BE1" w14:textId="0DF4B368" w:rsidR="00250DE1" w:rsidRPr="00DB0EFA" w:rsidRDefault="00736D67" w:rsidP="00DB0EFA">
      <w:pPr>
        <w:pStyle w:val="JuPara"/>
      </w:pPr>
      <w:fldSimple w:instr=" SEQ level0 \*arabic \* MERGEFORMAT ">
        <w:r w:rsidR="00DB0EFA" w:rsidRPr="00DB0EFA">
          <w:t>46</w:t>
        </w:r>
      </w:fldSimple>
      <w:r>
        <w:t xml:space="preserve">.  În speţă, perioada care trebuie luată în considerare a început la 2 aprilie 2003 (a se vedea supra, pct. </w:t>
      </w:r>
      <w:r w:rsidR="00250DE1" w:rsidRPr="00DB0EFA">
        <w:fldChar w:fldCharType="begin"/>
      </w:r>
      <w:r w:rsidR="00250DE1" w:rsidRPr="00DB0EFA">
        <w:instrText xml:space="preserve"> REF P7 \h </w:instrText>
      </w:r>
      <w:r w:rsidR="00250DE1" w:rsidRPr="00DB0EFA">
        <w:fldChar w:fldCharType="separate"/>
      </w:r>
      <w:r w:rsidR="00DB0EFA" w:rsidRPr="00DB0EFA">
        <w:t>7</w:t>
      </w:r>
      <w:r w:rsidR="00250DE1" w:rsidRPr="00DB0EFA">
        <w:fldChar w:fldCharType="end"/>
      </w:r>
      <w:r>
        <w:t xml:space="preserve">) când se poate considera că reclamantul a suportat în mod substanțial efectele măsurilor aplicate în urmărirea penală împotriva sa (a se vedea </w:t>
      </w:r>
      <w:r>
        <w:rPr>
          <w:i/>
        </w:rPr>
        <w:t>Liblik și alții împotriva Estoniei</w:t>
      </w:r>
      <w:r>
        <w:t xml:space="preserve">, nr. 173/15 și 5 altele, pct. 94, 28 mai 2019) și s-a încheiat la 29 ianuarie 2014 (a se vedea supra, pct. </w:t>
      </w:r>
      <w:r w:rsidR="00250DE1" w:rsidRPr="00DB0EFA">
        <w:fldChar w:fldCharType="begin"/>
      </w:r>
      <w:r w:rsidR="00250DE1" w:rsidRPr="00DB0EFA">
        <w:instrText xml:space="preserve"> REF P17 \h  \* MERGEFORMAT </w:instrText>
      </w:r>
      <w:r w:rsidR="00250DE1" w:rsidRPr="00DB0EFA">
        <w:fldChar w:fldCharType="separate"/>
      </w:r>
      <w:r w:rsidR="00DB0EFA" w:rsidRPr="00DB0EFA">
        <w:t>17</w:t>
      </w:r>
      <w:r w:rsidR="00250DE1" w:rsidRPr="00DB0EFA">
        <w:fldChar w:fldCharType="end"/>
      </w:r>
      <w:r>
        <w:t>). Prin urmare, procedura a durat 10 ani și 10 luni doar pentru faza anchetei penale.</w:t>
      </w:r>
    </w:p>
    <w:p w14:paraId="7941CFC9" w14:textId="0B0F15F8" w:rsidR="00250DE1" w:rsidRPr="00DB0EFA" w:rsidRDefault="00250DE1" w:rsidP="00DB0EFA">
      <w:pPr>
        <w:pStyle w:val="JuPara"/>
      </w:pPr>
      <w:fldSimple w:instr=" SEQ level0 \*arabic ">
        <w:r w:rsidR="00DB0EFA" w:rsidRPr="00DB0EFA">
          <w:t>47</w:t>
        </w:r>
      </w:fldSimple>
      <w:r>
        <w:t xml:space="preserve">.  Deși cauza în care erau implicați reclamantul și un număr de alți suspecți putea să aibă o anume complexitate, Curtea observă că pe tot parcursul procedurii s-au produs întârzieri procedurale, precum prezentarea unui raport contabil doar după o întârziere de un an (a se vedea supra, pct. </w:t>
      </w:r>
      <w:r w:rsidRPr="00DB0EFA">
        <w:fldChar w:fldCharType="begin"/>
      </w:r>
      <w:r w:rsidRPr="00DB0EFA">
        <w:instrText xml:space="preserve"> REF P10 \h  \* MERGEFORMAT </w:instrText>
      </w:r>
      <w:r w:rsidRPr="00DB0EFA">
        <w:fldChar w:fldCharType="separate"/>
      </w:r>
      <w:r w:rsidR="00DB0EFA" w:rsidRPr="00DB0EFA">
        <w:t>10</w:t>
      </w:r>
      <w:r w:rsidRPr="00DB0EFA">
        <w:fldChar w:fldCharType="end"/>
      </w:r>
      <w:r>
        <w:t xml:space="preserve">) sau succesive declinări de competență (a se vedea supra, pct. </w:t>
      </w:r>
      <w:r w:rsidRPr="00DB0EFA">
        <w:fldChar w:fldCharType="begin"/>
      </w:r>
      <w:r w:rsidRPr="00DB0EFA">
        <w:instrText xml:space="preserve"> REF P11 \h  \* MERGEFORMAT </w:instrText>
      </w:r>
      <w:r w:rsidRPr="00DB0EFA">
        <w:fldChar w:fldCharType="separate"/>
      </w:r>
      <w:r w:rsidR="00DB0EFA" w:rsidRPr="00DB0EFA">
        <w:t>11</w:t>
      </w:r>
      <w:r w:rsidRPr="00DB0EFA">
        <w:fldChar w:fldCharType="end"/>
      </w:r>
      <w:r>
        <w:t xml:space="preserve"> și </w:t>
      </w:r>
      <w:r w:rsidRPr="00DB0EFA">
        <w:fldChar w:fldCharType="begin"/>
      </w:r>
      <w:r w:rsidRPr="00DB0EFA">
        <w:instrText xml:space="preserve"> REF P13 \h  \* MERGEFORMAT </w:instrText>
      </w:r>
      <w:r w:rsidRPr="00DB0EFA">
        <w:fldChar w:fldCharType="separate"/>
      </w:r>
      <w:r w:rsidR="00DB0EFA" w:rsidRPr="00DB0EFA">
        <w:t>13</w:t>
      </w:r>
      <w:r w:rsidRPr="00DB0EFA">
        <w:fldChar w:fldCharType="end"/>
      </w:r>
      <w:r>
        <w:t xml:space="preserve">), ca și numeroase perioade de inactivitate din partea autorităților. Mai mult, chiar și autoritățile au observat că procedura depășise durata rezonabilă (a se vedea supra, pct. </w:t>
      </w:r>
      <w:r w:rsidRPr="00DB0EFA">
        <w:fldChar w:fldCharType="begin"/>
      </w:r>
      <w:r w:rsidRPr="00DB0EFA">
        <w:instrText xml:space="preserve"> REF P16 \h  \* MERGEFORMAT </w:instrText>
      </w:r>
      <w:r w:rsidRPr="00DB0EFA">
        <w:fldChar w:fldCharType="separate"/>
      </w:r>
      <w:r w:rsidR="00DB0EFA" w:rsidRPr="00DB0EFA">
        <w:t>16</w:t>
      </w:r>
      <w:r w:rsidRPr="00DB0EFA">
        <w:fldChar w:fldCharType="end"/>
      </w:r>
      <w:r>
        <w:t>). Nu rezultă din dosar că reclamantul era răspunzător pentru vreo întârziere.</w:t>
      </w:r>
    </w:p>
    <w:p w14:paraId="0D4E28F9" w14:textId="5FDDC2CA" w:rsidR="00250DE1" w:rsidRPr="00DB0EFA" w:rsidRDefault="00250DE1" w:rsidP="00DB0EFA">
      <w:pPr>
        <w:pStyle w:val="JuPara"/>
      </w:pPr>
      <w:fldSimple w:instr=" SEQ level0 \*arabic ">
        <w:r w:rsidR="00DB0EFA" w:rsidRPr="00DB0EFA">
          <w:t>48</w:t>
        </w:r>
      </w:fldSimple>
      <w:r>
        <w:t xml:space="preserve">.  În cauza </w:t>
      </w:r>
      <w:r>
        <w:rPr>
          <w:i/>
          <w:iCs/>
        </w:rPr>
        <w:t>Vlad și alții împotriva României</w:t>
      </w:r>
      <w:r>
        <w:t xml:space="preserve">( nr. 41508/07 și 50806/07, 26 noiembrie 2013), Curtea a constatat o încălcare în privința unor aspecte similare cu cele din prezenta cauză. În plus, în cauza ulterioară </w:t>
      </w:r>
      <w:r>
        <w:rPr>
          <w:i/>
        </w:rPr>
        <w:t xml:space="preserve">Brudan împotriva României </w:t>
      </w:r>
      <w:r>
        <w:t xml:space="preserve">(nr. 75717/14, pct. 88, 10 aprilie 2018) Curtea a constatat că, la momentul când prezenta cerere era depusă, nu era disponibilă nicio cale </w:t>
      </w:r>
      <w:r>
        <w:lastRenderedPageBreak/>
        <w:t>de atac internă pentru capete de cerere similare celor formulate de reclamant în prezenta cauză.</w:t>
      </w:r>
    </w:p>
    <w:p w14:paraId="0A86A317" w14:textId="790A1C8D" w:rsidR="00250DE1" w:rsidRPr="00DB0EFA" w:rsidRDefault="00736D67" w:rsidP="00DB0EFA">
      <w:pPr>
        <w:pStyle w:val="JuPara"/>
      </w:pPr>
      <w:fldSimple w:instr=" SEQ level0 \*arabic \* MERGEFORMAT ">
        <w:r w:rsidR="00DB0EFA" w:rsidRPr="00DB0EFA">
          <w:t>49</w:t>
        </w:r>
      </w:fldSimple>
      <w:r>
        <w:t>.  După ce a examinat toate probele care i-au fost prezentate, Curtea consideră că Guvernul nu a invocat niciun fapt și niciun argument care să poată conduce la o altă concluzie în cauza prezentă. Având în vedere jurisprudența sa în materie, Curtea consideră că în prezenta cauză durata procedurii a fost excesivă și nu a îndeplinit cerința „termenului rezonabil”.</w:t>
      </w:r>
    </w:p>
    <w:p w14:paraId="6A2B5988" w14:textId="42785D86" w:rsidR="00250DE1" w:rsidRPr="00DB0EFA" w:rsidRDefault="00250DE1" w:rsidP="00DB0EFA">
      <w:pPr>
        <w:pStyle w:val="JuPara"/>
      </w:pPr>
      <w:fldSimple w:instr=" SEQ level0 \*arabic ">
        <w:r w:rsidR="00DB0EFA" w:rsidRPr="00DB0EFA">
          <w:t>50</w:t>
        </w:r>
      </w:fldSimple>
      <w:r>
        <w:t>.  Prin urmare, a fost încălcat art. 6 § 1 din Convenție.</w:t>
      </w:r>
    </w:p>
    <w:p w14:paraId="1C16AEBE" w14:textId="7DB09D7E" w:rsidR="00250DE1" w:rsidRPr="00DB0EFA" w:rsidRDefault="00250DE1" w:rsidP="00DB0EFA">
      <w:pPr>
        <w:pStyle w:val="JuHIRoman"/>
      </w:pPr>
      <w:r>
        <w:t>CU PRIVIRE LA PRETINSA ÎNCĂLCARE A ART. 1 DIN PROTOCOLUL NR. 1 LA CONVENȚIE</w:t>
      </w:r>
    </w:p>
    <w:p w14:paraId="2D3A7DED" w14:textId="422FB1E1" w:rsidR="00250DE1" w:rsidRPr="00DB0EFA" w:rsidRDefault="00736D67" w:rsidP="00DB0EFA">
      <w:pPr>
        <w:pStyle w:val="JuPara"/>
      </w:pPr>
      <w:fldSimple w:instr=" SEQ level0 \*arabic \* MERGEFORMAT ">
        <w:r w:rsidR="00DB0EFA" w:rsidRPr="00DB0EFA">
          <w:t>51</w:t>
        </w:r>
      </w:fldSimple>
      <w:r>
        <w:t>.  Reclamantul s-a plâns că sechestrarea bunurilor sale a constituit o ingerință în exercitarea dreptului său de proprietate, contrară art. 1 din Protocolul nr. 1 la Convenție, care este redactat după cum urmează:</w:t>
      </w:r>
    </w:p>
    <w:p w14:paraId="37FDAAD7" w14:textId="77777777" w:rsidR="00250DE1" w:rsidRPr="00DB0EFA" w:rsidRDefault="00250DE1" w:rsidP="00DB0EFA">
      <w:pPr>
        <w:pStyle w:val="JuQuot"/>
      </w:pPr>
      <w:r>
        <w:t>„Orice persoană fizică sau juridică are dreptul la respectarea bunurilor sale. Nimeni nu poate fi lipsit de proprietatea sa decât pentru cauză de utilitate publică și în condițiile prevăzute de lege și de principiile generale ale dreptului internațional.</w:t>
      </w:r>
    </w:p>
    <w:p w14:paraId="198FC75C" w14:textId="77777777" w:rsidR="00250DE1" w:rsidRPr="00DB0EFA" w:rsidRDefault="00250DE1" w:rsidP="00DB0EFA">
      <w:pPr>
        <w:pStyle w:val="JuQuot"/>
      </w:pPr>
      <w:r>
        <w:t>Dispozițiile precedente nu aduc atingere dreptului statelor de a adopta legile pe care le consideră necesare pentru a reglementa folosința bunurilor conform interesului general sau pentru a asigura plata impozitelor ori a altor contribuții, sau a amenzilor.”</w:t>
      </w:r>
    </w:p>
    <w:p w14:paraId="19A4BFCE" w14:textId="492AE85D" w:rsidR="00250DE1" w:rsidRPr="00DB0EFA" w:rsidRDefault="00736D67" w:rsidP="00DB0EFA">
      <w:pPr>
        <w:pStyle w:val="JuPara"/>
      </w:pPr>
      <w:fldSimple w:instr=" SEQ level0 \*arabic \* MERGEFORMAT ">
        <w:r w:rsidR="00DB0EFA" w:rsidRPr="00DB0EFA">
          <w:t>52</w:t>
        </w:r>
      </w:fldSimple>
      <w:r>
        <w:t>.  Invocând art. 13 din Convenție, reclamantul s-a plâns, de asemenea, de lipsa unei căi de atac efective cu privire la respectiva ingerință.</w:t>
      </w:r>
    </w:p>
    <w:p w14:paraId="14942241" w14:textId="0F0B42D0" w:rsidR="00250DE1" w:rsidRPr="00DB0EFA" w:rsidRDefault="00736D67" w:rsidP="00DB0EFA">
      <w:pPr>
        <w:pStyle w:val="JuPara"/>
      </w:pPr>
      <w:fldSimple w:instr=" SEQ level0 \*arabic \* MERGEFORMAT ">
        <w:r w:rsidR="00DB0EFA" w:rsidRPr="00DB0EFA">
          <w:t>53</w:t>
        </w:r>
      </w:fldSimple>
      <w:r>
        <w:t xml:space="preserve">.  Având în vedere competența sa de a realiza încadrarea juridică a faptelor [a se vedea, de exemplu, </w:t>
      </w:r>
      <w:r>
        <w:rPr>
          <w:i/>
          <w:iCs/>
        </w:rPr>
        <w:t>Radomilja și alții împotriva Croației</w:t>
      </w:r>
      <w:r>
        <w:t xml:space="preserve"> (MC), nr. 37685/10 și 22768/12, pct. 114 și 126, 20 martie 2018] și cerințele procedurale inerente art. 1 din Protocolul nr. 1 (a se vedea jurisprudența citată</w:t>
      </w:r>
      <w:r>
        <w:rPr>
          <w:i/>
          <w:iCs/>
        </w:rPr>
        <w:t xml:space="preserve"> infra,</w:t>
      </w:r>
      <w:r>
        <w:t xml:space="preserve"> pct. </w:t>
      </w:r>
      <w:r w:rsidR="00250DE1" w:rsidRPr="00DB0EFA">
        <w:fldChar w:fldCharType="begin"/>
      </w:r>
      <w:r w:rsidR="00250DE1" w:rsidRPr="00DB0EFA">
        <w:instrText xml:space="preserve"> REF P76 \h </w:instrText>
      </w:r>
      <w:r w:rsidR="00250DE1" w:rsidRPr="00DB0EFA">
        <w:fldChar w:fldCharType="separate"/>
      </w:r>
      <w:r w:rsidR="00DB0EFA" w:rsidRPr="00DB0EFA">
        <w:t>76</w:t>
      </w:r>
      <w:r w:rsidR="00250DE1" w:rsidRPr="00DB0EFA">
        <w:fldChar w:fldCharType="end"/>
      </w:r>
      <w:r>
        <w:t xml:space="preserve">), Curtea consideră că este adecvat să examineze capătul de cerere formulat în temeiul art. 13 din Convenție ca parte a capătului de cerere formulat în temeiul art. 1 din Protocolul nr. 1 (a se vedea </w:t>
      </w:r>
      <w:r>
        <w:rPr>
          <w:i/>
        </w:rPr>
        <w:t xml:space="preserve">Credit Europe </w:t>
      </w:r>
      <w:bookmarkStart w:id="35" w:name="_Hlk89948445"/>
      <w:r>
        <w:rPr>
          <w:i/>
        </w:rPr>
        <w:t xml:space="preserve">Leasing Ifn S.A. </w:t>
      </w:r>
      <w:bookmarkEnd w:id="35"/>
      <w:r>
        <w:rPr>
          <w:i/>
          <w:iCs/>
        </w:rPr>
        <w:t>împotriva României</w:t>
      </w:r>
      <w:r>
        <w:t>, nr. 38072/11, pct. 47, 21 iulie 2020).</w:t>
      </w:r>
    </w:p>
    <w:p w14:paraId="11F2CD44" w14:textId="4575612D" w:rsidR="00250DE1" w:rsidRPr="00DB0EFA" w:rsidRDefault="00407AC0" w:rsidP="00DB0EFA">
      <w:pPr>
        <w:pStyle w:val="JuHA"/>
        <w:numPr>
          <w:ilvl w:val="0"/>
          <w:numId w:val="0"/>
        </w:numPr>
        <w:ind w:left="510" w:hanging="340"/>
      </w:pPr>
      <w:r>
        <w:t>A.  Cu privire la admisibilitate</w:t>
      </w:r>
    </w:p>
    <w:bookmarkStart w:id="36" w:name="P53"/>
    <w:bookmarkStart w:id="37" w:name="P54"/>
    <w:p w14:paraId="2AB95F47" w14:textId="4672C2DD" w:rsidR="00250DE1" w:rsidRPr="00DB0EFA" w:rsidRDefault="00250DE1" w:rsidP="00DB0EFA">
      <w:pPr>
        <w:pStyle w:val="JuPara"/>
      </w:pPr>
      <w:r w:rsidRPr="00DB0EFA">
        <w:fldChar w:fldCharType="begin"/>
      </w:r>
      <w:r w:rsidRPr="00DB0EFA">
        <w:instrText xml:space="preserve"> SEQ level0 \*arabic </w:instrText>
      </w:r>
      <w:r w:rsidRPr="00DB0EFA">
        <w:fldChar w:fldCharType="separate"/>
      </w:r>
      <w:r w:rsidR="00DB0EFA" w:rsidRPr="00DB0EFA">
        <w:t>54</w:t>
      </w:r>
      <w:r w:rsidRPr="00DB0EFA">
        <w:fldChar w:fldCharType="end"/>
      </w:r>
      <w:bookmarkEnd w:id="36"/>
      <w:bookmarkEnd w:id="37"/>
      <w:r>
        <w:t xml:space="preserve">.  Guvernul a susținut că reclamanta nu a epuizat căile de atac interne disponibile în legătură cu capătul de cerere formulat în temeiul art. 1 din Protocolul nr. 1 la Convenție (a se vedea infra, pct. </w:t>
      </w:r>
      <w:r w:rsidRPr="00DB0EFA">
        <w:fldChar w:fldCharType="begin"/>
      </w:r>
      <w:r w:rsidRPr="00DB0EFA">
        <w:instrText xml:space="preserve"> REF P64 \h </w:instrText>
      </w:r>
      <w:r w:rsidRPr="00DB0EFA">
        <w:fldChar w:fldCharType="separate"/>
      </w:r>
      <w:r w:rsidR="00DB0EFA" w:rsidRPr="00DB0EFA">
        <w:t>64</w:t>
      </w:r>
      <w:r w:rsidRPr="00DB0EFA">
        <w:fldChar w:fldCharType="end"/>
      </w:r>
      <w:r>
        <w:t>-</w:t>
      </w:r>
      <w:r w:rsidRPr="00DB0EFA">
        <w:fldChar w:fldCharType="begin"/>
      </w:r>
      <w:r w:rsidRPr="00DB0EFA">
        <w:instrText xml:space="preserve"> REF P66 \h </w:instrText>
      </w:r>
      <w:r w:rsidRPr="00DB0EFA">
        <w:fldChar w:fldCharType="separate"/>
      </w:r>
      <w:r w:rsidR="00DB0EFA" w:rsidRPr="00DB0EFA">
        <w:t>66</w:t>
      </w:r>
      <w:r w:rsidRPr="00DB0EFA">
        <w:fldChar w:fldCharType="end"/>
      </w:r>
      <w:r>
        <w:t>).</w:t>
      </w:r>
    </w:p>
    <w:p w14:paraId="2488FBC3" w14:textId="09793A01" w:rsidR="00250DE1" w:rsidRPr="00DB0EFA" w:rsidRDefault="00250DE1" w:rsidP="00DB0EFA">
      <w:pPr>
        <w:pStyle w:val="JuPara"/>
      </w:pPr>
      <w:fldSimple w:instr=" SEQ level0 \*arabic ">
        <w:r w:rsidR="00DB0EFA" w:rsidRPr="00DB0EFA">
          <w:t>55</w:t>
        </w:r>
      </w:fldSimple>
      <w:r>
        <w:t xml:space="preserve">.  Curtea consideră că, având în vedere circumstanțele speciale ale cauzei, excepția ridicată de Guvern este atât de strâns legată de fondul capătului de cerere formulat de reclamant în temeiul art. 1 din Protocolul nr. 1, încât trebuie să fie conexată cu fondul (a se vedea </w:t>
      </w:r>
      <w:r>
        <w:rPr>
          <w:i/>
        </w:rPr>
        <w:t>Credit Europe Leasing Ifn S.A.</w:t>
      </w:r>
      <w:r>
        <w:t>, citată anterior, pct. 57).</w:t>
      </w:r>
    </w:p>
    <w:p w14:paraId="362F40EE" w14:textId="64C861D9" w:rsidR="00250DE1" w:rsidRPr="00DB0EFA" w:rsidRDefault="00250DE1" w:rsidP="00DB0EFA">
      <w:pPr>
        <w:pStyle w:val="JuPara"/>
      </w:pPr>
      <w:fldSimple w:instr=" SEQ level0 \*arabic ">
        <w:r w:rsidR="00DB0EFA" w:rsidRPr="00DB0EFA">
          <w:t>56</w:t>
        </w:r>
      </w:fldSimple>
      <w:r>
        <w:t>.  Curtea constată, în continuare, că plângerea nu este nici vădit nefondată, nici inadmisibilă pentru alte motive enumerate la art. 35 din Convenție. Prin urmare, este necesar să fie declarată admisibilă.</w:t>
      </w:r>
    </w:p>
    <w:p w14:paraId="4DDAC32D" w14:textId="05428DC7" w:rsidR="00250DE1" w:rsidRPr="00DB0EFA" w:rsidRDefault="00407AC0" w:rsidP="00DB0EFA">
      <w:pPr>
        <w:pStyle w:val="JuHA"/>
        <w:numPr>
          <w:ilvl w:val="0"/>
          <w:numId w:val="0"/>
        </w:numPr>
        <w:ind w:left="510" w:hanging="340"/>
      </w:pPr>
      <w:r>
        <w:t>B. Cu privire la fond</w:t>
      </w:r>
    </w:p>
    <w:p w14:paraId="5C7E7195" w14:textId="0B1A3F49" w:rsidR="00250DE1" w:rsidRPr="00DB0EFA" w:rsidRDefault="00250DE1" w:rsidP="00DB0EFA">
      <w:pPr>
        <w:pStyle w:val="JuH1"/>
      </w:pPr>
      <w:r>
        <w:t>Argumentele părților</w:t>
      </w:r>
    </w:p>
    <w:p w14:paraId="79D851F8" w14:textId="77777777" w:rsidR="00250DE1" w:rsidRPr="00DB0EFA" w:rsidRDefault="00250DE1" w:rsidP="00DB0EFA">
      <w:pPr>
        <w:pStyle w:val="JuHa0"/>
      </w:pPr>
      <w:r>
        <w:t>Reclamantul</w:t>
      </w:r>
    </w:p>
    <w:bookmarkStart w:id="38" w:name="P55"/>
    <w:bookmarkStart w:id="39" w:name="P57"/>
    <w:p w14:paraId="374340BC" w14:textId="0C424B85" w:rsidR="00250DE1" w:rsidRPr="00DB0EFA" w:rsidRDefault="00250DE1" w:rsidP="00DB0EFA">
      <w:pPr>
        <w:pStyle w:val="JuPara"/>
      </w:pPr>
      <w:r w:rsidRPr="00DB0EFA">
        <w:fldChar w:fldCharType="begin"/>
      </w:r>
      <w:r w:rsidRPr="00DB0EFA">
        <w:instrText xml:space="preserve"> SEQ level0 \*arabic </w:instrText>
      </w:r>
      <w:r w:rsidRPr="00DB0EFA">
        <w:fldChar w:fldCharType="separate"/>
      </w:r>
      <w:r w:rsidR="00DB0EFA" w:rsidRPr="00DB0EFA">
        <w:t>57</w:t>
      </w:r>
      <w:r w:rsidRPr="00DB0EFA">
        <w:fldChar w:fldCharType="end"/>
      </w:r>
      <w:bookmarkEnd w:id="38"/>
      <w:bookmarkEnd w:id="39"/>
      <w:r>
        <w:t>.  Reclamantul a pretins că, dată fiind durata excesivă, sechestrul aplicat bunurilor sale a constituit o ingerință disproporționată și nejustificată în exercitarea dreptului său de proprietate. A susținut că, deși apartamentul și mașinile au rămas în posesia sa, titlul de proprietate pentru apartament și documentele de înregistrare și de proprietate pentru mașini au rămas în posesia autorităților. În aceste circumstanțe, nu putea folosi mașinile sau dispune de apartamentul său. Până în prezent, în pofida a numeroase cereri și plângeri, încă nu i se restituiseră documentele mai sus menționate și suma de bani sechestrată. Cele două mașini, pe care nu le-a putut folosi în absența documentelor de înregistrare, se degradaseră acum cu totul.</w:t>
      </w:r>
    </w:p>
    <w:bookmarkStart w:id="40" w:name="P58"/>
    <w:p w14:paraId="399CEE1A" w14:textId="57D2B553"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58</w:t>
      </w:r>
      <w:r w:rsidRPr="00DB0EFA">
        <w:fldChar w:fldCharType="end"/>
      </w:r>
      <w:bookmarkEnd w:id="40"/>
      <w:r>
        <w:t xml:space="preserve">.  În plus reclamantul a susținut că nu dispusese de suficiente garanții procedurale împotriva sechestrării bunurilor sale, deoarece cadrul juridic național nu prevăzuse posibilitatea contestării în fața instanțelor a ordonanței procurorului din 29 ianuarie 2014 (a se vedea </w:t>
      </w:r>
      <w:r>
        <w:rPr>
          <w:i/>
          <w:iCs/>
        </w:rPr>
        <w:t>supra</w:t>
      </w:r>
      <w:r>
        <w:t xml:space="preserve">, pct. </w:t>
      </w:r>
      <w:r w:rsidRPr="00DB0EFA">
        <w:fldChar w:fldCharType="begin"/>
      </w:r>
      <w:r w:rsidRPr="00DB0EFA">
        <w:instrText xml:space="preserve"> REF P24 \h </w:instrText>
      </w:r>
      <w:r w:rsidRPr="00DB0EFA">
        <w:fldChar w:fldCharType="separate"/>
      </w:r>
      <w:r w:rsidR="00DB0EFA" w:rsidRPr="00DB0EFA">
        <w:t>24</w:t>
      </w:r>
      <w:r w:rsidRPr="00DB0EFA">
        <w:fldChar w:fldCharType="end"/>
      </w:r>
      <w:r>
        <w:t xml:space="preserve">, </w:t>
      </w:r>
      <w:r w:rsidRPr="00DB0EFA">
        <w:fldChar w:fldCharType="begin"/>
      </w:r>
      <w:r w:rsidRPr="00DB0EFA">
        <w:instrText xml:space="preserve"> REF P25 \h </w:instrText>
      </w:r>
      <w:r w:rsidRPr="00DB0EFA">
        <w:fldChar w:fldCharType="separate"/>
      </w:r>
      <w:r w:rsidR="00DB0EFA" w:rsidRPr="00DB0EFA">
        <w:t>25</w:t>
      </w:r>
      <w:r w:rsidRPr="00DB0EFA">
        <w:fldChar w:fldCharType="end"/>
      </w:r>
      <w:r>
        <w:t xml:space="preserve"> și </w:t>
      </w:r>
      <w:r w:rsidRPr="00DB0EFA">
        <w:fldChar w:fldCharType="begin"/>
      </w:r>
      <w:r w:rsidRPr="00DB0EFA">
        <w:instrText xml:space="preserve"> REF P30 \h </w:instrText>
      </w:r>
      <w:r w:rsidRPr="00DB0EFA">
        <w:fldChar w:fldCharType="separate"/>
      </w:r>
      <w:r w:rsidR="00DB0EFA" w:rsidRPr="00DB0EFA">
        <w:t>30</w:t>
      </w:r>
      <w:r w:rsidRPr="00DB0EFA">
        <w:fldChar w:fldCharType="end"/>
      </w:r>
      <w:r>
        <w:t>).</w:t>
      </w:r>
    </w:p>
    <w:p w14:paraId="546730A3" w14:textId="13B930E9" w:rsidR="00250DE1" w:rsidRPr="00DB0EFA" w:rsidRDefault="00736D67" w:rsidP="00DB0EFA">
      <w:pPr>
        <w:pStyle w:val="JuPara"/>
      </w:pPr>
      <w:fldSimple w:instr=" SEQ level0 \*arabic \* MERGEFORMAT ">
        <w:r w:rsidR="00DB0EFA" w:rsidRPr="00DB0EFA">
          <w:t>59</w:t>
        </w:r>
      </w:fldSimple>
      <w:r>
        <w:t xml:space="preserve">.  Cu privire la disponibilitatea căilor de atac interne în situația sa, reclamantul a explicat că dispozițiile art. 504 C. proc. pen. (a se vedea </w:t>
      </w:r>
      <w:r>
        <w:rPr>
          <w:i/>
          <w:iCs/>
        </w:rPr>
        <w:t>supra</w:t>
      </w:r>
      <w:r>
        <w:t xml:space="preserve">, pct. </w:t>
      </w:r>
      <w:r w:rsidR="00250DE1" w:rsidRPr="00DB0EFA">
        <w:fldChar w:fldCharType="begin"/>
      </w:r>
      <w:r w:rsidR="00250DE1" w:rsidRPr="00DB0EFA">
        <w:instrText xml:space="preserve"> REF P35 \h </w:instrText>
      </w:r>
      <w:r w:rsidR="00250DE1" w:rsidRPr="00DB0EFA">
        <w:fldChar w:fldCharType="separate"/>
      </w:r>
      <w:r w:rsidR="00DB0EFA" w:rsidRPr="00DB0EFA">
        <w:t>35</w:t>
      </w:r>
      <w:r w:rsidR="00250DE1" w:rsidRPr="00DB0EFA">
        <w:fldChar w:fldCharType="end"/>
      </w:r>
      <w:r>
        <w:t xml:space="preserve">) se aplicau numai în cazul persoanelor condamnate pe nedrept sau private de libertate în mod nelegal. A subliniat faptul că decizia Înaltei Curți de Casație și Justiție din 30 ianuarie 2014, pe care Guvernul și-a întemeiat argumentele (a se vedea supra, pct. </w:t>
      </w:r>
      <w:r w:rsidR="00250DE1" w:rsidRPr="00DB0EFA">
        <w:fldChar w:fldCharType="begin"/>
      </w:r>
      <w:r w:rsidR="00250DE1" w:rsidRPr="00DB0EFA">
        <w:instrText xml:space="preserve"> REF P40 \h </w:instrText>
      </w:r>
      <w:r w:rsidR="00250DE1" w:rsidRPr="00DB0EFA">
        <w:fldChar w:fldCharType="separate"/>
      </w:r>
      <w:r w:rsidR="00DB0EFA" w:rsidRPr="00DB0EFA">
        <w:t>40</w:t>
      </w:r>
      <w:r w:rsidR="00250DE1" w:rsidRPr="00DB0EFA">
        <w:fldChar w:fldCharType="end"/>
      </w:r>
      <w:r>
        <w:t>) se referea la o cerere în reparația prejudiciului pentru privare ori restrângere de libertate în mod nelegal, față de care cererea de reparare pentru pretinsa sechestrare nelegală era accesorie.</w:t>
      </w:r>
    </w:p>
    <w:p w14:paraId="15C1CB36" w14:textId="269B29F0" w:rsidR="00250DE1" w:rsidRPr="00DB0EFA" w:rsidRDefault="00736D67" w:rsidP="00DB0EFA">
      <w:pPr>
        <w:pStyle w:val="JuPara"/>
      </w:pPr>
      <w:fldSimple w:instr=" SEQ level0 \*arabic \* MERGEFORMAT ">
        <w:r w:rsidR="00DB0EFA" w:rsidRPr="00DB0EFA">
          <w:t>60</w:t>
        </w:r>
      </w:fldSimple>
      <w:r>
        <w:t xml:space="preserve">.  În ceea ce privește susținerile Guvernului privind ridicarea sechestrului în conformitate cu dispozițiile art. 245 C. proc. pen. și art. 315 noul C. proc. pen. (a se vedea infra, pct. </w:t>
      </w:r>
      <w:r w:rsidR="00250DE1" w:rsidRPr="00DB0EFA">
        <w:fldChar w:fldCharType="begin"/>
      </w:r>
      <w:r w:rsidR="00250DE1" w:rsidRPr="00DB0EFA">
        <w:instrText xml:space="preserve"> REF P66 \h </w:instrText>
      </w:r>
      <w:r w:rsidR="00250DE1" w:rsidRPr="00DB0EFA">
        <w:fldChar w:fldCharType="separate"/>
      </w:r>
      <w:r w:rsidR="00DB0EFA" w:rsidRPr="00DB0EFA">
        <w:t>66</w:t>
      </w:r>
      <w:r w:rsidR="00250DE1" w:rsidRPr="00DB0EFA">
        <w:fldChar w:fldCharType="end"/>
      </w:r>
      <w:r>
        <w:t>), respectivele dispoziții se refereau la o situație diferită, și anume încetarea urmăririi penale, în schimb, în cazul reclamantului se renunțase la acuzații, aceasta fiind o situație diferită prevăzută la art. 249 C. proc. pen., care nu includea dispoziții specifice privind măsurile luate de către procuror.</w:t>
      </w:r>
    </w:p>
    <w:p w14:paraId="342C43E3" w14:textId="6406C10F" w:rsidR="00250DE1" w:rsidRPr="00DB0EFA" w:rsidRDefault="00736D67" w:rsidP="00DB0EFA">
      <w:pPr>
        <w:pStyle w:val="JuPara"/>
      </w:pPr>
      <w:fldSimple w:instr=" SEQ level0 \*arabic \* MERGEFORMAT ">
        <w:r w:rsidR="00DB0EFA" w:rsidRPr="00DB0EFA">
          <w:t>61</w:t>
        </w:r>
      </w:fldSimple>
      <w:r>
        <w:t xml:space="preserve">.  Cu privire la acțiunile civile sugerate de Guvern (a se vedea </w:t>
      </w:r>
      <w:r>
        <w:rPr>
          <w:i/>
          <w:iCs/>
        </w:rPr>
        <w:t>infra</w:t>
      </w:r>
      <w:r>
        <w:t xml:space="preserve">, pct. </w:t>
      </w:r>
      <w:r w:rsidR="00250DE1" w:rsidRPr="00DB0EFA">
        <w:fldChar w:fldCharType="begin"/>
      </w:r>
      <w:r w:rsidR="00250DE1" w:rsidRPr="00DB0EFA">
        <w:instrText xml:space="preserve"> REF P66 \h </w:instrText>
      </w:r>
      <w:r w:rsidR="00250DE1" w:rsidRPr="00DB0EFA">
        <w:fldChar w:fldCharType="separate"/>
      </w:r>
      <w:r w:rsidR="00DB0EFA" w:rsidRPr="00DB0EFA">
        <w:t>66</w:t>
      </w:r>
      <w:r w:rsidR="00250DE1" w:rsidRPr="00DB0EFA">
        <w:fldChar w:fldCharType="end"/>
      </w:r>
      <w:r>
        <w:t xml:space="preserve">), reclamantul a explicat că deja recursese, în zadar, la toate căile de atac disponibile în procedura penală. Mai mult, acțiunea de rectificare a Cărții funciare nu mai avea niciun scop deoarece măsura sechestrului nu mai figura în aceasta (a se vedea supra, pct. </w:t>
      </w:r>
      <w:r w:rsidR="00250DE1" w:rsidRPr="00DB0EFA">
        <w:fldChar w:fldCharType="begin"/>
      </w:r>
      <w:r w:rsidR="00250DE1" w:rsidRPr="00DB0EFA">
        <w:instrText xml:space="preserve"> REF P28 \h  \* MERGEFORMAT </w:instrText>
      </w:r>
      <w:r w:rsidR="00250DE1" w:rsidRPr="00DB0EFA">
        <w:fldChar w:fldCharType="separate"/>
      </w:r>
      <w:r w:rsidR="00DB0EFA" w:rsidRPr="00DB0EFA">
        <w:t>28</w:t>
      </w:r>
      <w:r w:rsidR="00250DE1" w:rsidRPr="00DB0EFA">
        <w:fldChar w:fldCharType="end"/>
      </w:r>
      <w:r>
        <w:t>).</w:t>
      </w:r>
    </w:p>
    <w:bookmarkStart w:id="41" w:name="P60"/>
    <w:p w14:paraId="0F4304F5" w14:textId="29D5AD71" w:rsidR="00250DE1" w:rsidRPr="00DB0EFA" w:rsidRDefault="00250DE1" w:rsidP="00DB0EFA">
      <w:pPr>
        <w:pStyle w:val="JuPara"/>
      </w:pPr>
      <w:r w:rsidRPr="00DB0EFA">
        <w:lastRenderedPageBreak/>
        <w:fldChar w:fldCharType="begin"/>
      </w:r>
      <w:r w:rsidRPr="00DB0EFA">
        <w:instrText xml:space="preserve"> SEQ level0 \*arabic \* MERGEFORMAT </w:instrText>
      </w:r>
      <w:r w:rsidRPr="00DB0EFA">
        <w:fldChar w:fldCharType="separate"/>
      </w:r>
      <w:r w:rsidR="00DB0EFA" w:rsidRPr="00DB0EFA">
        <w:t>62</w:t>
      </w:r>
      <w:r w:rsidRPr="00DB0EFA">
        <w:fldChar w:fldCharType="end"/>
      </w:r>
      <w:bookmarkEnd w:id="41"/>
      <w:r>
        <w:t>.  Reclamantul a argumentat în concluzie că, deși depusese numeroase cereri și plângeri la autoritățile competente, nu deținea încă documentele de proprietate pentru apartament și pentru cele două mașini și încă nu i se restituise suma de bani sechestrată, la mai mult de 18 ani de la data sechestrului.</w:t>
      </w:r>
    </w:p>
    <w:p w14:paraId="19B3056C" w14:textId="08430C7E" w:rsidR="00250DE1" w:rsidRPr="00DB0EFA" w:rsidRDefault="00250DE1" w:rsidP="00DB0EFA">
      <w:pPr>
        <w:pStyle w:val="JuHa0"/>
      </w:pPr>
      <w:r>
        <w:t>Guvernul</w:t>
      </w:r>
    </w:p>
    <w:p w14:paraId="03E3B164" w14:textId="34A23B2D" w:rsidR="00250DE1" w:rsidRPr="00DB0EFA" w:rsidRDefault="00250DE1" w:rsidP="00DB0EFA">
      <w:pPr>
        <w:pStyle w:val="JuPara"/>
      </w:pPr>
      <w:fldSimple w:instr=" SEQ level0 \*arabic ">
        <w:r w:rsidR="00DB0EFA" w:rsidRPr="00DB0EFA">
          <w:t>63</w:t>
        </w:r>
      </w:fldSimple>
      <w:r>
        <w:t>.  Guvernul a susținut că sechestrul aplicat asupra bunurilor reclamantului fusese legal și a urmărit scopul legitim de a garanta recuperarea prejudiciului cauzat de infracțiunile cercetate. De asemenea, măsura era proporțională cu scopul urmărit și durata acesteia a fost cauzată de o anchetă complexă, implicând numeroși suspecți ale căror bunuri fuseseră, de asemenea, sechestrate. Mai mult, apartamentul și mașinile sechestrate au rămas în posesia reclamantului.</w:t>
      </w:r>
    </w:p>
    <w:bookmarkStart w:id="42" w:name="P62"/>
    <w:bookmarkStart w:id="43" w:name="P63"/>
    <w:bookmarkStart w:id="44" w:name="P64"/>
    <w:p w14:paraId="4697015E" w14:textId="7544AA0A"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64</w:t>
      </w:r>
      <w:r w:rsidRPr="00DB0EFA">
        <w:fldChar w:fldCharType="end"/>
      </w:r>
      <w:bookmarkEnd w:id="42"/>
      <w:bookmarkEnd w:id="43"/>
      <w:bookmarkEnd w:id="44"/>
      <w:r>
        <w:t xml:space="preserve">.  Guvernul a susținut, de asemenea, că sechestrul asupra bunurilor reclamantului fusese însoțit de garanții procedurale suficiente. În special, făcând trimitere la exemple de jurisprudență, a subliniat că art. 250 noul C. proc. pen. includea dispoziții care permiteau suspectului sau inculpatului să conteste într-un termen specific în fața instanțelor măsurile luate în cursul anchetei (a se vedea supra, pct. </w:t>
      </w:r>
      <w:r w:rsidRPr="00DB0EFA">
        <w:fldChar w:fldCharType="begin"/>
      </w:r>
      <w:r w:rsidRPr="00DB0EFA">
        <w:instrText xml:space="preserve"> REF P33 \h </w:instrText>
      </w:r>
      <w:r w:rsidRPr="00DB0EFA">
        <w:fldChar w:fldCharType="separate"/>
      </w:r>
      <w:r w:rsidR="00DB0EFA" w:rsidRPr="00DB0EFA">
        <w:t>33</w:t>
      </w:r>
      <w:r w:rsidRPr="00DB0EFA">
        <w:fldChar w:fldCharType="end"/>
      </w:r>
      <w:r>
        <w:t xml:space="preserve"> și </w:t>
      </w:r>
      <w:r w:rsidRPr="00DB0EFA">
        <w:fldChar w:fldCharType="begin"/>
      </w:r>
      <w:r w:rsidRPr="00DB0EFA">
        <w:instrText xml:space="preserve"> REF P36 \h </w:instrText>
      </w:r>
      <w:r w:rsidRPr="00DB0EFA">
        <w:fldChar w:fldCharType="separate"/>
      </w:r>
      <w:r w:rsidR="00DB0EFA" w:rsidRPr="00DB0EFA">
        <w:t>36</w:t>
      </w:r>
      <w:r w:rsidRPr="00DB0EFA">
        <w:fldChar w:fldCharType="end"/>
      </w:r>
      <w:r>
        <w:t>-</w:t>
      </w:r>
      <w:r w:rsidRPr="00DB0EFA">
        <w:fldChar w:fldCharType="begin"/>
      </w:r>
      <w:r w:rsidRPr="00DB0EFA">
        <w:instrText xml:space="preserve"> REF P39 \h </w:instrText>
      </w:r>
      <w:r w:rsidRPr="00DB0EFA">
        <w:fldChar w:fldCharType="separate"/>
      </w:r>
      <w:r w:rsidR="00DB0EFA" w:rsidRPr="00DB0EFA">
        <w:t>39</w:t>
      </w:r>
      <w:r w:rsidRPr="00DB0EFA">
        <w:fldChar w:fldCharType="end"/>
      </w:r>
      <w:r>
        <w:t>).</w:t>
      </w:r>
    </w:p>
    <w:bookmarkStart w:id="45" w:name="P65"/>
    <w:p w14:paraId="6DD86EB3" w14:textId="31D033D1"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65</w:t>
      </w:r>
      <w:r w:rsidRPr="00DB0EFA">
        <w:fldChar w:fldCharType="end"/>
      </w:r>
      <w:bookmarkEnd w:id="45"/>
      <w:r>
        <w:t xml:space="preserve">.  De asemenea, a susținut că în cazul reclamantului fuseseră disponibile căile de atac interne corespunzătoare. În primul rând, reclamantul ar fi putut introduce o cerere în fața instanțelor pentru prejudicii morale în temeiul art. 504 C. proc. pen. sau al Capitolului VI din noul Cod de procedură penală începând cu 1 februarie 2014 procedura reparării în caz de eroare judiciară (a se vedea supra, pct. </w:t>
      </w:r>
      <w:r w:rsidRPr="00DB0EFA">
        <w:fldChar w:fldCharType="begin"/>
      </w:r>
      <w:r w:rsidRPr="00DB0EFA">
        <w:instrText xml:space="preserve"> REF P35 \h </w:instrText>
      </w:r>
      <w:r w:rsidRPr="00DB0EFA">
        <w:fldChar w:fldCharType="separate"/>
      </w:r>
      <w:r w:rsidR="00DB0EFA" w:rsidRPr="00DB0EFA">
        <w:t>35</w:t>
      </w:r>
      <w:r w:rsidRPr="00DB0EFA">
        <w:fldChar w:fldCharType="end"/>
      </w:r>
      <w:r>
        <w:t xml:space="preserve">). Potrivit acestor dispoziții legale, cei care au făcut obiectul unei erori judiciare aveau dreptul de a solicita despăgubiri pentru prejudiciile suferite, inclusiv în cazul unui presupus sechestru disproporționat asupra bunurilor lor, astfel cum reiese din exemplul jurisprudențial prevăzut </w:t>
      </w:r>
      <w:r>
        <w:rPr>
          <w:i/>
          <w:iCs/>
        </w:rPr>
        <w:t>supra</w:t>
      </w:r>
      <w:r>
        <w:t xml:space="preserve">, pct. </w:t>
      </w:r>
      <w:r w:rsidRPr="00DB0EFA">
        <w:fldChar w:fldCharType="begin"/>
      </w:r>
      <w:r w:rsidRPr="00DB0EFA">
        <w:instrText xml:space="preserve"> REF P40 \h </w:instrText>
      </w:r>
      <w:r w:rsidRPr="00DB0EFA">
        <w:fldChar w:fldCharType="separate"/>
      </w:r>
      <w:r w:rsidR="00DB0EFA" w:rsidRPr="00DB0EFA">
        <w:t>40</w:t>
      </w:r>
      <w:r w:rsidRPr="00DB0EFA">
        <w:fldChar w:fldCharType="end"/>
      </w:r>
      <w:r>
        <w:t>.</w:t>
      </w:r>
    </w:p>
    <w:bookmarkStart w:id="46" w:name="P66"/>
    <w:p w14:paraId="4C6070AC" w14:textId="16B88453"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66</w:t>
      </w:r>
      <w:r w:rsidRPr="00DB0EFA">
        <w:fldChar w:fldCharType="end"/>
      </w:r>
      <w:bookmarkEnd w:id="46"/>
      <w:r>
        <w:t xml:space="preserve">.  În al doilea rând, conform art. 245 C. proc. pen. și ale art. 315 noul C. proc. pen. (a se vedea </w:t>
      </w:r>
      <w:r>
        <w:rPr>
          <w:i/>
          <w:iCs/>
        </w:rPr>
        <w:t>supra</w:t>
      </w:r>
      <w:r>
        <w:t xml:space="preserve">, pct. </w:t>
      </w:r>
      <w:r w:rsidRPr="00DB0EFA">
        <w:fldChar w:fldCharType="begin"/>
      </w:r>
      <w:r w:rsidRPr="00DB0EFA">
        <w:instrText xml:space="preserve"> REF P32 \h </w:instrText>
      </w:r>
      <w:r w:rsidRPr="00DB0EFA">
        <w:fldChar w:fldCharType="separate"/>
      </w:r>
      <w:r w:rsidR="00DB0EFA" w:rsidRPr="00DB0EFA">
        <w:t>32</w:t>
      </w:r>
      <w:r w:rsidRPr="00DB0EFA">
        <w:fldChar w:fldCharType="end"/>
      </w:r>
      <w:r>
        <w:t xml:space="preserve">), sechestrul pe bunurile reclamantului a încetat odată ce s-au scurs treizeci de zile de la ordonanța procurorului din 29 ianuarie 2014, în absența formulării unei acțiuni civile în fața instanțelor civile de către partea vătămată. În lumina dispozițiilor legale mai sus menționate privind încetarea de drept a sechestrului, reclamantul ar fi putut introduce o acțiune în fața instanțelor civile </w:t>
      </w:r>
      <w:bookmarkStart w:id="47" w:name="_Hlk89942215"/>
      <w:r>
        <w:t xml:space="preserve">pentru confirmarea încetării </w:t>
      </w:r>
      <w:r>
        <w:rPr>
          <w:i/>
        </w:rPr>
        <w:t>de jure</w:t>
      </w:r>
      <w:r>
        <w:t xml:space="preserve"> a sechestrului î</w:t>
      </w:r>
      <w:bookmarkEnd w:id="47"/>
      <w:r>
        <w:t>n temeiul art. 35 C. civ. sau pentru corectarea Cărții funciare astfel încât măsura sechestrului în legătură cu apartamentul să nu mai figureze.</w:t>
      </w:r>
    </w:p>
    <w:p w14:paraId="7ECE2BD7" w14:textId="3D479094" w:rsidR="00250DE1" w:rsidRPr="00DB0EFA" w:rsidRDefault="00250DE1" w:rsidP="00DB0EFA">
      <w:pPr>
        <w:pStyle w:val="JuH1"/>
      </w:pPr>
      <w:r>
        <w:lastRenderedPageBreak/>
        <w:t>Motivarea Curții</w:t>
      </w:r>
    </w:p>
    <w:p w14:paraId="4674E266" w14:textId="77777777" w:rsidR="00250DE1" w:rsidRPr="00DB0EFA" w:rsidRDefault="00250DE1" w:rsidP="00DB0EFA">
      <w:pPr>
        <w:pStyle w:val="JuHa0"/>
      </w:pPr>
      <w:r>
        <w:t>Existența unei ingerințe în exercitarea dreptului de proprietate și normele de aplicat</w:t>
      </w:r>
    </w:p>
    <w:p w14:paraId="0D1E304F" w14:textId="39C9B340" w:rsidR="00250DE1" w:rsidRPr="00DB0EFA" w:rsidRDefault="00250DE1" w:rsidP="00DB0EFA">
      <w:pPr>
        <w:pStyle w:val="JuPara"/>
      </w:pPr>
      <w:fldSimple w:instr=" SEQ level0 \*arabic ">
        <w:r w:rsidR="00DB0EFA" w:rsidRPr="00DB0EFA">
          <w:t>67</w:t>
        </w:r>
      </w:fldSimple>
      <w:r>
        <w:t xml:space="preserve">.  Din faptele cauzei, Curtea observă că „bunurile” în discuție erau bunuri imobile și mobile sechestrate la 2 aprilie 2003 (a se vedea </w:t>
      </w:r>
      <w:r>
        <w:rPr>
          <w:i/>
          <w:iCs/>
        </w:rPr>
        <w:t>supra</w:t>
      </w:r>
      <w:r>
        <w:t xml:space="preserve">, pct. </w:t>
      </w:r>
      <w:r w:rsidRPr="00DB0EFA">
        <w:fldChar w:fldCharType="begin"/>
      </w:r>
      <w:r w:rsidRPr="00DB0EFA">
        <w:instrText xml:space="preserve"> REF P7 \h  \* MERGEFORMAT </w:instrText>
      </w:r>
      <w:r w:rsidRPr="00DB0EFA">
        <w:fldChar w:fldCharType="separate"/>
      </w:r>
      <w:r w:rsidR="00DB0EFA" w:rsidRPr="00DB0EFA">
        <w:t>7</w:t>
      </w:r>
      <w:r w:rsidRPr="00DB0EFA">
        <w:fldChar w:fldCharType="end"/>
      </w:r>
      <w:r>
        <w:t>). Guvernul nu a contestat ingerința în exercitarea dreptului de proprietate al reclamantului asupra bunurilor în cauză. Prin urmare, sechestrul incriminat poate fi privit ca o ingerință în exercitarea de către reclamant a dreptului la respectarea bunurilor sale.</w:t>
      </w:r>
    </w:p>
    <w:p w14:paraId="5A300497" w14:textId="1ED2A10C" w:rsidR="00250DE1" w:rsidRPr="00DB0EFA" w:rsidRDefault="00736D67" w:rsidP="00DB0EFA">
      <w:pPr>
        <w:pStyle w:val="JuPara"/>
      </w:pPr>
      <w:fldSimple w:instr=" SEQ level0 \*arabic \* MERGEFORMAT ">
        <w:r w:rsidR="00DB0EFA" w:rsidRPr="00DB0EFA">
          <w:t>68</w:t>
        </w:r>
      </w:fldSimple>
      <w:r>
        <w:t xml:space="preserve">.  În continuare, Curtea subliniază că art. 1 din Protocolul nr. 1 cuprinde trei norme distincte: prima normă, prevăzută în prima teză a primului paragraf, este de natură generală și enunță principiul respectării bunurilor; a doua normă, inclusă în a doua teză a primului paragraf, reglementează lipsirea de proprietate și o supune anumitor condiții; a treia normă, menționată în al doilea paragraf, recunoaște că statele contractante au dreptul de a reglementa folosința bunurilor conform interesului general sau pentru a asigura plata impozitelor ori a altor contribuții sau a penalităților. Cele trei norme nu sunt totuși „distincte” în sensul că nu sunt interconectate. A doua și a treia normă se referă la cazuri speciale de ingerință în exercitarea dreptului la respectarea bunurilor și, prin urmare, ar trebui interpretate în lumina principiului general consacrat la prima normă [a se vedea, printre multe altele, </w:t>
      </w:r>
      <w:r>
        <w:rPr>
          <w:i/>
        </w:rPr>
        <w:t>AGOSI împotriva Regatului Unit</w:t>
      </w:r>
      <w:r>
        <w:t xml:space="preserve">, 24 octombrie 1986, pct. 48, Seria A nr. 108, și </w:t>
      </w:r>
      <w:r>
        <w:rPr>
          <w:i/>
        </w:rPr>
        <w:t>Centro Europa 7 S.r.l. și Di Stefano împotriva Italiei</w:t>
      </w:r>
      <w:r>
        <w:t xml:space="preserve"> (MC), nr. 38433/09, pct. 185, CEDO 2012].</w:t>
      </w:r>
    </w:p>
    <w:p w14:paraId="7F2CF00A" w14:textId="46B0ACF6" w:rsidR="00250DE1" w:rsidRPr="00DB0EFA" w:rsidRDefault="00736D67" w:rsidP="00DB0EFA">
      <w:pPr>
        <w:pStyle w:val="JuPara"/>
      </w:pPr>
      <w:fldSimple w:instr=" SEQ level0 \*arabic \* MERGEFORMAT ">
        <w:r w:rsidR="00DB0EFA" w:rsidRPr="00DB0EFA">
          <w:t>69</w:t>
        </w:r>
      </w:fldSimple>
      <w:r>
        <w:t xml:space="preserve">.  Curtea observă că sechestrul asupra bunurilor instituit în cursul procesului penal este, în principiu, o măsură care reprezintă o restrângere temporară a utilizării acestora și nu implică un transfer de proprietate. Acest raționament a determinat Curtea să considere sechestrul drept o măsură de reglementare a folosinței bunurilor [a se vedea, între altele, </w:t>
      </w:r>
      <w:r>
        <w:rPr>
          <w:i/>
          <w:color w:val="000000"/>
        </w:rPr>
        <w:t>Stołkowski împotriva Poloniei</w:t>
      </w:r>
      <w:r>
        <w:rPr>
          <w:color w:val="000000"/>
        </w:rPr>
        <w:t>, nr. 58795/15, pct. 53, 21 decembrie 2021</w:t>
      </w:r>
      <w:r>
        <w:t xml:space="preserve">; </w:t>
      </w:r>
      <w:r>
        <w:rPr>
          <w:i/>
        </w:rPr>
        <w:t>Cernea împotriva României</w:t>
      </w:r>
      <w:r>
        <w:t xml:space="preserve">, nr. 7486/12, pct. 42, 18 decembrie 2019; </w:t>
      </w:r>
      <w:r>
        <w:rPr>
          <w:i/>
        </w:rPr>
        <w:t>OOO SK Stroykompleks și alții împotriva Rusiei</w:t>
      </w:r>
      <w:r>
        <w:t xml:space="preserve">, nr. 7896/15 şi 48168, pct. 86, 17 decembrie 2019 şi </w:t>
      </w:r>
      <w:bookmarkStart w:id="48" w:name="_Hlk94097672"/>
      <w:r>
        <w:rPr>
          <w:i/>
        </w:rPr>
        <w:t xml:space="preserve">Iordăchescu </w:t>
      </w:r>
      <w:r>
        <w:rPr>
          <w:i/>
          <w:iCs/>
        </w:rPr>
        <w:t>împotriva României</w:t>
      </w:r>
      <w:r>
        <w:t xml:space="preserve"> (dec.), nr. 32889/09, pct. 37 și 38, 23 mai 2017</w:t>
      </w:r>
      <w:bookmarkEnd w:id="48"/>
      <w:r>
        <w:t>).</w:t>
      </w:r>
    </w:p>
    <w:p w14:paraId="0008342C" w14:textId="53D17F95" w:rsidR="00250DE1" w:rsidRPr="00DB0EFA" w:rsidRDefault="00736D67" w:rsidP="00DB0EFA">
      <w:pPr>
        <w:pStyle w:val="JuPara"/>
      </w:pPr>
      <w:fldSimple w:instr=" SEQ level0 \*arabic \* MERGEFORMAT ">
        <w:r w:rsidR="00DB0EFA" w:rsidRPr="00DB0EFA">
          <w:t>70</w:t>
        </w:r>
      </w:fldSimple>
      <w:r>
        <w:t>.  De aceea, Curtea consideră că trebuie ca aceeași abordare să fie urmată în speță.</w:t>
      </w:r>
    </w:p>
    <w:p w14:paraId="2E16D2AA" w14:textId="6E6050C9" w:rsidR="00250DE1" w:rsidRPr="00DB0EFA" w:rsidRDefault="00250DE1" w:rsidP="00DB0EFA">
      <w:pPr>
        <w:pStyle w:val="JuHa0"/>
      </w:pPr>
      <w:r>
        <w:t>Cu privire la respectarea art. 1 din Protocolul nr. 1</w:t>
      </w:r>
    </w:p>
    <w:p w14:paraId="3C9C98CD" w14:textId="77777777" w:rsidR="00250DE1" w:rsidRPr="00DB0EFA" w:rsidRDefault="00250DE1" w:rsidP="00DB0EFA">
      <w:pPr>
        <w:pStyle w:val="JuHi"/>
      </w:pPr>
      <w:r>
        <w:t>Dacă ingerința era prevăzută de lege și urmărea un scop legitim</w:t>
      </w:r>
    </w:p>
    <w:p w14:paraId="5E9ED087" w14:textId="1BBE64D3" w:rsidR="00250DE1" w:rsidRPr="00DB0EFA" w:rsidRDefault="00250DE1" w:rsidP="00DB0EFA">
      <w:pPr>
        <w:pStyle w:val="JuPara"/>
      </w:pPr>
      <w:fldSimple w:instr=" SEQ level0 \*arabic \* MERGEFORMAT ">
        <w:r w:rsidR="00DB0EFA" w:rsidRPr="00DB0EFA">
          <w:t>71</w:t>
        </w:r>
      </w:fldSimple>
      <w:r>
        <w:t xml:space="preserve">.  Curtea reamintește că art. 1 din Protocolul nr. 1 prevede, mai presus de toate, că orice ingerință a unei autorități publice în exercitarea dreptului la respectarea bunurilor trebuie să se facă în condițiile prevăzute de lege: a doua teză a primului paragraf autorizează lipsirea de proprietate „în condițiile </w:t>
      </w:r>
      <w:r>
        <w:lastRenderedPageBreak/>
        <w:t xml:space="preserve">prevăzute de lege”; paragraful al doilea acordă statelor dreptul de reglementa folosința bunurilor prin adoptarea de „legi”. În plus, statul de drept, care este unul dintre principiile fundamentale ale unei societăți democratice, este inerent tuturor articolelor Convenției. Rezultă că necesitatea de a determina dacă a fost asigurat un just echilibru între cerințele interesului general al comunității și cerințele de a proteja drepturile fundamentale ale persoanei devine relevantă numai după ce s-a stabilit că ingerința contestată îndeplinea cerința de legalitate și nu era arbitrară [a se vedea </w:t>
      </w:r>
      <w:r>
        <w:rPr>
          <w:i/>
        </w:rPr>
        <w:t xml:space="preserve">Beyeler împotriva Italiei </w:t>
      </w:r>
      <w:r>
        <w:t xml:space="preserve">(MC), nr. </w:t>
      </w:r>
      <w:bookmarkStart w:id="49" w:name="_Hlk94205042"/>
      <w:r>
        <w:t>33202/96</w:t>
      </w:r>
      <w:bookmarkEnd w:id="49"/>
      <w:r>
        <w:t>, pct. 108, CEDO 2000</w:t>
      </w:r>
      <w:r>
        <w:noBreakHyphen/>
        <w:t xml:space="preserve">I, și </w:t>
      </w:r>
      <w:r>
        <w:rPr>
          <w:i/>
        </w:rPr>
        <w:t>Iordăchescu</w:t>
      </w:r>
      <w:r>
        <w:t>, citată anterior, pct. 39, cu trimiterile suplimentare].</w:t>
      </w:r>
    </w:p>
    <w:p w14:paraId="0DB2C601" w14:textId="6ACA40A8" w:rsidR="00250DE1" w:rsidRPr="00DB0EFA" w:rsidRDefault="00250DE1" w:rsidP="00DB0EFA">
      <w:pPr>
        <w:pStyle w:val="JuPara"/>
      </w:pPr>
      <w:fldSimple w:instr=" SEQ level0 \*arabic \* MERGEFORMAT ">
        <w:r w:rsidR="00DB0EFA" w:rsidRPr="00DB0EFA">
          <w:t>72</w:t>
        </w:r>
      </w:fldSimple>
      <w:r>
        <w:t xml:space="preserve">.  Revenind la prezenta cauză, Curtea observă că sechestrul asupra bunurilor reclamantului a fost dispus în temeiul a două baze juridice diferite: Art. 163-166 C. proc. pen. (a se vedea </w:t>
      </w:r>
      <w:r>
        <w:rPr>
          <w:i/>
          <w:iCs/>
        </w:rPr>
        <w:t>supra</w:t>
      </w:r>
      <w:r>
        <w:t xml:space="preserve">, pct. </w:t>
      </w:r>
      <w:r w:rsidRPr="00DB0EFA">
        <w:fldChar w:fldCharType="begin"/>
      </w:r>
      <w:r w:rsidRPr="00DB0EFA">
        <w:instrText xml:space="preserve"> REF P6 \h  \* MERGEFORMAT </w:instrText>
      </w:r>
      <w:r w:rsidRPr="00DB0EFA">
        <w:fldChar w:fldCharType="separate"/>
      </w:r>
      <w:r w:rsidR="00DB0EFA" w:rsidRPr="00DB0EFA">
        <w:t>6</w:t>
      </w:r>
      <w:r w:rsidRPr="00DB0EFA">
        <w:fldChar w:fldCharType="end"/>
      </w:r>
      <w:r>
        <w:t xml:space="preserve"> și </w:t>
      </w:r>
      <w:r w:rsidRPr="00DB0EFA">
        <w:fldChar w:fldCharType="begin"/>
      </w:r>
      <w:r w:rsidRPr="00DB0EFA">
        <w:instrText xml:space="preserve"> REF P29 \h </w:instrText>
      </w:r>
      <w:r w:rsidRPr="00DB0EFA">
        <w:fldChar w:fldCharType="separate"/>
      </w:r>
      <w:r w:rsidR="00DB0EFA" w:rsidRPr="00DB0EFA">
        <w:t>29</w:t>
      </w:r>
      <w:r w:rsidRPr="00DB0EFA">
        <w:fldChar w:fldCharType="end"/>
      </w:r>
      <w:r>
        <w:t xml:space="preserve">) care permiteau sechestrarea bunurilor pentru a acoperi prejudiciul cauzat de infracțiunile în cauză și art. 96-97 C. proc. pen. (a se vedea </w:t>
      </w:r>
      <w:r>
        <w:rPr>
          <w:i/>
          <w:iCs/>
        </w:rPr>
        <w:t>supra</w:t>
      </w:r>
      <w:r>
        <w:t xml:space="preserve">, pct. </w:t>
      </w:r>
      <w:r w:rsidRPr="00DB0EFA">
        <w:fldChar w:fldCharType="begin"/>
      </w:r>
      <w:r w:rsidRPr="00DB0EFA">
        <w:instrText xml:space="preserve"> REF P7 \h </w:instrText>
      </w:r>
      <w:r w:rsidRPr="00DB0EFA">
        <w:fldChar w:fldCharType="separate"/>
      </w:r>
      <w:r w:rsidR="00DB0EFA" w:rsidRPr="00DB0EFA">
        <w:t>7</w:t>
      </w:r>
      <w:r w:rsidRPr="00DB0EFA">
        <w:fldChar w:fldCharType="end"/>
      </w:r>
      <w:r>
        <w:t xml:space="preserve"> și </w:t>
      </w:r>
      <w:r w:rsidRPr="00DB0EFA">
        <w:fldChar w:fldCharType="begin"/>
      </w:r>
      <w:r w:rsidRPr="00DB0EFA">
        <w:instrText xml:space="preserve"> REF P31 \h </w:instrText>
      </w:r>
      <w:r w:rsidRPr="00DB0EFA">
        <w:fldChar w:fldCharType="separate"/>
      </w:r>
      <w:r w:rsidR="00DB0EFA" w:rsidRPr="00DB0EFA">
        <w:t>31</w:t>
      </w:r>
      <w:r w:rsidRPr="00DB0EFA">
        <w:fldChar w:fldCharType="end"/>
      </w:r>
      <w:r>
        <w:t>) care permiteau sechestrarea înscrisurilor și obiectelor ce pot servi ca mijloc de probă. Curtea este așadar convinsă că ingerința în exercitarea de către reclamant a dreptului său de proprietate era prevăzută de lege, în conformitate cu art. 1 din Protocolul nr. 1 la Convenție.</w:t>
      </w:r>
    </w:p>
    <w:p w14:paraId="1E62CA9D" w14:textId="2ACD85BB" w:rsidR="00250DE1" w:rsidRPr="00DB0EFA" w:rsidRDefault="00250DE1" w:rsidP="00DB0EFA">
      <w:pPr>
        <w:pStyle w:val="JuPara"/>
      </w:pPr>
      <w:fldSimple w:instr=" SEQ level0 \*arabic \* MERGEFORMAT ">
        <w:r w:rsidR="00DB0EFA" w:rsidRPr="00DB0EFA">
          <w:t>73</w:t>
        </w:r>
      </w:fldSimple>
      <w:r>
        <w:t xml:space="preserve">.  Curtea observă în continuare că măsura dispusă în temeiul art. 163-166 C. proc. pen. a fost dispusă și aplicată în contextul urmăririi penale pentru infracțiuni care se presupune că au cauzat un prejudiciu unei terțe părți (a se vedea supra, pct. </w:t>
      </w:r>
      <w:r w:rsidRPr="00DB0EFA">
        <w:fldChar w:fldCharType="begin"/>
      </w:r>
      <w:r w:rsidRPr="00DB0EFA">
        <w:instrText xml:space="preserve"> REF P10 \h  \* MERGEFORMAT </w:instrText>
      </w:r>
      <w:r w:rsidRPr="00DB0EFA">
        <w:fldChar w:fldCharType="separate"/>
      </w:r>
      <w:r w:rsidR="00DB0EFA" w:rsidRPr="00DB0EFA">
        <w:t>10</w:t>
      </w:r>
      <w:r w:rsidRPr="00DB0EFA">
        <w:fldChar w:fldCharType="end"/>
      </w:r>
      <w:r>
        <w:t xml:space="preserve">). Prin urmare, Curtea acceptă că ingerința era  în „interesul general“ al comunității deoarece era menită să asigure acțiunea civilă a părții vătămate (a se vedea </w:t>
      </w:r>
      <w:r>
        <w:rPr>
          <w:i/>
        </w:rPr>
        <w:t>Borzhonov împotriva Rusiei</w:t>
      </w:r>
      <w:r>
        <w:t xml:space="preserve">, nr. 18274/04, pct. 58, 22 ianuarie 2009). Cu privire la măsura dispusă în temeiul art. 96-97 C. proc. pen., Curtea acceptă că reținerea probelor materiale poate fi necesară pentru administrarea corespunzătoarea a justiției, care este totodată un „scop legitim“ în „interesul general“ al comunității (a se vedea </w:t>
      </w:r>
      <w:r>
        <w:rPr>
          <w:i/>
        </w:rPr>
        <w:t>Smirnov împotriva Rusiei</w:t>
      </w:r>
      <w:r>
        <w:t>, nr. 71362/01, pct. 57, 7 iunie 2007).</w:t>
      </w:r>
    </w:p>
    <w:p w14:paraId="4F03AFFE" w14:textId="77777777" w:rsidR="00250DE1" w:rsidRPr="00DB0EFA" w:rsidRDefault="00250DE1" w:rsidP="00DB0EFA">
      <w:pPr>
        <w:pStyle w:val="JuHi"/>
      </w:pPr>
      <w:r>
        <w:t>Cu privire la proporționalitatea ingerinței</w:t>
      </w:r>
    </w:p>
    <w:p w14:paraId="5B837DA3" w14:textId="0BE5319A" w:rsidR="00250DE1" w:rsidRPr="00DB0EFA" w:rsidRDefault="00736D67" w:rsidP="00DB0EFA">
      <w:pPr>
        <w:pStyle w:val="JuPara"/>
      </w:pPr>
      <w:fldSimple w:instr=" SEQ level0 \*arabic \* MERGEFORMAT ">
        <w:r w:rsidR="00DB0EFA" w:rsidRPr="00DB0EFA">
          <w:t>74</w:t>
        </w:r>
      </w:fldSimple>
      <w:r>
        <w:t xml:space="preserve">.  Prin urmare, se pune întrebarea dacă, în circumstanțele cauzei, măsura era proporțională cu scopul urmărit, cu alte cuvinte, dacă a fost asigurat un just echilibru între cerințele interesului general și protejarea dreptului reclamantului la respectarea bunurilor sale, în special prin asigurarea unor proceduri care să acorde acestuia posibilitatea rezonabilă de a-și prezenta cauza în fața autorităților responsabile [a se vedea </w:t>
      </w:r>
      <w:r>
        <w:rPr>
          <w:i/>
        </w:rPr>
        <w:t>AGOSI</w:t>
      </w:r>
      <w:r>
        <w:t xml:space="preserve">, citată anterior, pct. 55, și </w:t>
      </w:r>
      <w:r>
        <w:rPr>
          <w:rFonts w:ascii="Times New Roman" w:hAnsi="Times New Roman"/>
          <w:i/>
          <w:iCs/>
          <w:color w:val="000000"/>
        </w:rPr>
        <w:t>Arcuri împotriva Italiei</w:t>
      </w:r>
      <w:r>
        <w:t xml:space="preserve"> (dec.), nr. 52024/99, CEDO 2001</w:t>
      </w:r>
      <w:r>
        <w:noBreakHyphen/>
        <w:t>VII].</w:t>
      </w:r>
    </w:p>
    <w:p w14:paraId="5E77B24D" w14:textId="436B01AC" w:rsidR="00250DE1" w:rsidRPr="00DB0EFA" w:rsidRDefault="00736D67" w:rsidP="00DB0EFA">
      <w:pPr>
        <w:pStyle w:val="JuPara"/>
      </w:pPr>
      <w:fldSimple w:instr=" SEQ level0 \*arabic \* MERGEFORMAT ">
        <w:r w:rsidR="00DB0EFA" w:rsidRPr="00DB0EFA">
          <w:t>75</w:t>
        </w:r>
      </w:fldSimple>
      <w:r>
        <w:t xml:space="preserve">.  În ceea ce privește justul echilibru care trebuie asigurat între mijloacele utilizate pentru sechestrarea bunurilor reclamantului și obiectivul legitim sus-menționat, Curtea observă că, în această privință, conținutul observațiilor reclamantului  pune sub semnul întrebării durata măsurii și lipsa controlului jurisdicțional (a se vedea </w:t>
      </w:r>
      <w:r>
        <w:rPr>
          <w:i/>
          <w:iCs/>
        </w:rPr>
        <w:t>supra</w:t>
      </w:r>
      <w:r>
        <w:t>, pct. </w:t>
      </w:r>
      <w:r w:rsidR="00250DE1" w:rsidRPr="00DB0EFA">
        <w:fldChar w:fldCharType="begin"/>
      </w:r>
      <w:r w:rsidR="00250DE1" w:rsidRPr="00DB0EFA">
        <w:instrText xml:space="preserve"> REF P57 \h </w:instrText>
      </w:r>
      <w:r w:rsidR="00250DE1" w:rsidRPr="00DB0EFA">
        <w:fldChar w:fldCharType="separate"/>
      </w:r>
      <w:r w:rsidR="00DB0EFA" w:rsidRPr="00DB0EFA">
        <w:t>57</w:t>
      </w:r>
      <w:r w:rsidR="00250DE1" w:rsidRPr="00DB0EFA">
        <w:fldChar w:fldCharType="end"/>
      </w:r>
      <w:r>
        <w:t xml:space="preserve"> – </w:t>
      </w:r>
      <w:r w:rsidR="00250DE1" w:rsidRPr="00DB0EFA">
        <w:fldChar w:fldCharType="begin"/>
      </w:r>
      <w:r w:rsidR="00250DE1" w:rsidRPr="00DB0EFA">
        <w:instrText xml:space="preserve"> REF P58 \h </w:instrText>
      </w:r>
      <w:r w:rsidR="00250DE1" w:rsidRPr="00DB0EFA">
        <w:fldChar w:fldCharType="separate"/>
      </w:r>
      <w:r w:rsidR="00DB0EFA" w:rsidRPr="00DB0EFA">
        <w:t>58</w:t>
      </w:r>
      <w:r w:rsidR="00250DE1" w:rsidRPr="00DB0EFA">
        <w:fldChar w:fldCharType="end"/>
      </w:r>
      <w:r>
        <w:t>).</w:t>
      </w:r>
    </w:p>
    <w:bookmarkStart w:id="50" w:name="P75"/>
    <w:bookmarkStart w:id="51" w:name="P76"/>
    <w:p w14:paraId="310016E1" w14:textId="626B61C5" w:rsidR="00250DE1" w:rsidRPr="00DB0EFA" w:rsidRDefault="00250DE1" w:rsidP="00DB0EFA">
      <w:pPr>
        <w:pStyle w:val="JuPara"/>
      </w:pPr>
      <w:r w:rsidRPr="00DB0EFA">
        <w:lastRenderedPageBreak/>
        <w:fldChar w:fldCharType="begin"/>
      </w:r>
      <w:r w:rsidRPr="00DB0EFA">
        <w:instrText xml:space="preserve"> SEQ level0 \*arabic </w:instrText>
      </w:r>
      <w:r w:rsidRPr="00DB0EFA">
        <w:fldChar w:fldCharType="separate"/>
      </w:r>
      <w:r w:rsidR="00DB0EFA" w:rsidRPr="00DB0EFA">
        <w:t>76</w:t>
      </w:r>
      <w:r w:rsidRPr="00DB0EFA">
        <w:fldChar w:fldCharType="end"/>
      </w:r>
      <w:bookmarkEnd w:id="50"/>
      <w:bookmarkEnd w:id="51"/>
      <w:r>
        <w:t xml:space="preserve">.  Curtea a observat în numeroase rânduri că, deși art. 1 din Protocolul nr. 1 nu conține cerințe procedurale explicite, procedurile judiciare care privesc dreptul la respectarea bunurilor trebuie să acorde persoanei o posibilitate rezonabilă de a sesiza autoritățile competente cu cauza sa pentru a contesta efectiv măsurile care constituie o ingerință în exercitarea drepturilor garantate de această dispoziție. Prin urmare, o ingerință în exercitarea drepturilor prevăzute la art. 1 din Protocolul nr. 1 nu poate avea nicio legitimitate în lipsa unei proceduri contradictorii care să respecte principiul egalității armelor, permițând discutarea aspectelor care sunt importante pentru soluționarea cauzei. Pentru a se asigura că această condiție este îndeplinită, procedurile aplicabile ar trebui luate în considerare dintr-o perspectivă generală [a se vedea </w:t>
      </w:r>
      <w:r>
        <w:rPr>
          <w:i/>
        </w:rPr>
        <w:t xml:space="preserve">G.I.E.M. </w:t>
      </w:r>
      <w:r>
        <w:t>S.R.L. și alții împotriva Italiei (MC), nr. 1828/06 și alte 2 cereri, pct. 302, 28 iunie 2018].</w:t>
      </w:r>
    </w:p>
    <w:p w14:paraId="2DCFE249" w14:textId="3238F46B" w:rsidR="00250DE1" w:rsidRPr="00DB0EFA" w:rsidRDefault="00250DE1" w:rsidP="00DB0EFA">
      <w:pPr>
        <w:pStyle w:val="JuPara"/>
      </w:pPr>
      <w:fldSimple w:instr=" SEQ level0 \*arabic ">
        <w:r w:rsidR="00DB0EFA" w:rsidRPr="00DB0EFA">
          <w:t>77</w:t>
        </w:r>
      </w:fldSimple>
      <w:r>
        <w:t xml:space="preserve">.  În prezenta cauză, Curtea a subliniat deja că sechestrul aplicat asupra bunurilor reclamantului era efectuat pe baza a două decizii separate cu baze juridice diferite (a se vedea </w:t>
      </w:r>
      <w:r>
        <w:rPr>
          <w:i/>
          <w:iCs/>
        </w:rPr>
        <w:t>supra</w:t>
      </w:r>
      <w:r>
        <w:t xml:space="preserve">, pct. 72). În primul rând, apartamentul și cele două mașini ale sale au fost sechestrate în temeiul art. 163-1 C. proc. pen. În al doilea rând, documentele de proprietate și de înregistrare pentru apartament și cele două mașini, precum și o sumă echivalentă cu 4 000 EUR, au fost sechestrate ca probe în temeiul art. 96-97 C. proc. pen. Ambele măsuri au fost luate de poliție și au fost examinate de procuror în urma plângerilor depuse de către reclamant (a se vedea supra, pct. </w:t>
      </w:r>
      <w:r w:rsidRPr="00DB0EFA">
        <w:fldChar w:fldCharType="begin"/>
      </w:r>
      <w:r w:rsidRPr="00DB0EFA">
        <w:instrText xml:space="preserve"> REF P18 \h </w:instrText>
      </w:r>
      <w:r w:rsidRPr="00DB0EFA">
        <w:fldChar w:fldCharType="separate"/>
      </w:r>
      <w:r w:rsidR="00DB0EFA" w:rsidRPr="00DB0EFA">
        <w:t>18</w:t>
      </w:r>
      <w:r w:rsidRPr="00DB0EFA">
        <w:fldChar w:fldCharType="end"/>
      </w:r>
      <w:r>
        <w:t>-</w:t>
      </w:r>
      <w:r w:rsidRPr="00DB0EFA">
        <w:fldChar w:fldCharType="begin"/>
      </w:r>
      <w:r w:rsidRPr="00DB0EFA">
        <w:instrText xml:space="preserve"> REF P22 \h </w:instrText>
      </w:r>
      <w:r w:rsidRPr="00DB0EFA">
        <w:fldChar w:fldCharType="separate"/>
      </w:r>
      <w:r w:rsidR="00DB0EFA" w:rsidRPr="00DB0EFA">
        <w:t>22</w:t>
      </w:r>
      <w:r w:rsidRPr="00DB0EFA">
        <w:fldChar w:fldCharType="end"/>
      </w:r>
      <w:r>
        <w:t>).</w:t>
      </w:r>
    </w:p>
    <w:p w14:paraId="568A01F5" w14:textId="6050D142" w:rsidR="00250DE1" w:rsidRPr="00DB0EFA" w:rsidRDefault="00736D67" w:rsidP="00DB0EFA">
      <w:pPr>
        <w:pStyle w:val="JuPara"/>
      </w:pPr>
      <w:fldSimple w:instr=" SEQ level0 \*arabic \* MERGEFORMAT ">
        <w:r w:rsidR="00DB0EFA" w:rsidRPr="00DB0EFA">
          <w:t>78</w:t>
        </w:r>
      </w:fldSimple>
      <w:r>
        <w:t xml:space="preserve">.  Guvernul a susținut că măsura sechestrului dispusă de DGPMB la 1 aprilie 2003 fusese însoțită de garanții procedurale, întrucât reclamantul dispusese de diverse posibilități de a sesiza un organ independent cu cauza sa, dar nu le-a utilizat (a se vedea supra, pct. </w:t>
      </w:r>
      <w:r w:rsidR="00250DE1" w:rsidRPr="00DB0EFA">
        <w:fldChar w:fldCharType="begin"/>
      </w:r>
      <w:r w:rsidR="00250DE1" w:rsidRPr="00DB0EFA">
        <w:instrText xml:space="preserve"> REF P64 \h </w:instrText>
      </w:r>
      <w:r w:rsidR="00250DE1" w:rsidRPr="00DB0EFA">
        <w:fldChar w:fldCharType="separate"/>
      </w:r>
      <w:r w:rsidR="00DB0EFA" w:rsidRPr="00DB0EFA">
        <w:t>64</w:t>
      </w:r>
      <w:r w:rsidR="00250DE1" w:rsidRPr="00DB0EFA">
        <w:fldChar w:fldCharType="end"/>
      </w:r>
      <w:r>
        <w:t>-</w:t>
      </w:r>
      <w:r w:rsidR="00250DE1" w:rsidRPr="00DB0EFA">
        <w:fldChar w:fldCharType="begin"/>
      </w:r>
      <w:r w:rsidR="00250DE1" w:rsidRPr="00DB0EFA">
        <w:instrText xml:space="preserve"> REF P66 \h </w:instrText>
      </w:r>
      <w:r w:rsidR="00250DE1" w:rsidRPr="00DB0EFA">
        <w:fldChar w:fldCharType="separate"/>
      </w:r>
      <w:r w:rsidR="00DB0EFA" w:rsidRPr="00DB0EFA">
        <w:t>66</w:t>
      </w:r>
      <w:r w:rsidR="00250DE1" w:rsidRPr="00DB0EFA">
        <w:fldChar w:fldCharType="end"/>
      </w:r>
      <w:r>
        <w:t>).</w:t>
      </w:r>
    </w:p>
    <w:p w14:paraId="0871CA42" w14:textId="0281DAD6" w:rsidR="00250DE1" w:rsidRPr="00DB0EFA" w:rsidRDefault="00736D67" w:rsidP="00DB0EFA">
      <w:pPr>
        <w:pStyle w:val="JuPara"/>
      </w:pPr>
      <w:fldSimple w:instr=" SEQ level0 \*arabic \* MERGEFORMAT ">
        <w:r w:rsidR="00DB0EFA" w:rsidRPr="00DB0EFA">
          <w:t>79</w:t>
        </w:r>
      </w:fldSimple>
      <w:r>
        <w:t xml:space="preserve">.  În primul rând, Guvernul a susținut, citând exemple de jurisprudență (a se vedea supra, pct. </w:t>
      </w:r>
      <w:r w:rsidR="00250DE1" w:rsidRPr="00DB0EFA">
        <w:fldChar w:fldCharType="begin"/>
      </w:r>
      <w:r w:rsidR="00250DE1" w:rsidRPr="00DB0EFA">
        <w:instrText xml:space="preserve"> REF P36 \h </w:instrText>
      </w:r>
      <w:r w:rsidR="00250DE1" w:rsidRPr="00DB0EFA">
        <w:fldChar w:fldCharType="separate"/>
      </w:r>
      <w:r w:rsidR="00DB0EFA" w:rsidRPr="00DB0EFA">
        <w:t>36</w:t>
      </w:r>
      <w:r w:rsidR="00250DE1" w:rsidRPr="00DB0EFA">
        <w:fldChar w:fldCharType="end"/>
      </w:r>
      <w:r>
        <w:t>-</w:t>
      </w:r>
      <w:r w:rsidR="00250DE1" w:rsidRPr="00DB0EFA">
        <w:fldChar w:fldCharType="begin"/>
      </w:r>
      <w:r w:rsidR="00250DE1" w:rsidRPr="00DB0EFA">
        <w:instrText xml:space="preserve"> REF P38 \h </w:instrText>
      </w:r>
      <w:r w:rsidR="00250DE1" w:rsidRPr="00DB0EFA">
        <w:fldChar w:fldCharType="separate"/>
      </w:r>
      <w:r w:rsidR="00DB0EFA" w:rsidRPr="00DB0EFA">
        <w:t>38</w:t>
      </w:r>
      <w:r w:rsidR="00250DE1" w:rsidRPr="00DB0EFA">
        <w:fldChar w:fldCharType="end"/>
      </w:r>
      <w:r>
        <w:t xml:space="preserve">), că reclamantul a avut posibilitatea de a contesta ordonanța de luare a măsurii asigurătorii din 1 aprilie 2003 în temeiul art. 250 noul C. proc. pen. (a se vedea </w:t>
      </w:r>
      <w:r>
        <w:rPr>
          <w:i/>
          <w:iCs/>
        </w:rPr>
        <w:t>supra</w:t>
      </w:r>
      <w:r>
        <w:t xml:space="preserve">, pct. </w:t>
      </w:r>
      <w:r w:rsidR="00250DE1" w:rsidRPr="00DB0EFA">
        <w:fldChar w:fldCharType="begin"/>
      </w:r>
      <w:r w:rsidR="00250DE1" w:rsidRPr="00DB0EFA">
        <w:instrText xml:space="preserve"> REF P33 \h </w:instrText>
      </w:r>
      <w:r w:rsidR="00250DE1" w:rsidRPr="00DB0EFA">
        <w:fldChar w:fldCharType="separate"/>
      </w:r>
      <w:r w:rsidR="00DB0EFA" w:rsidRPr="00DB0EFA">
        <w:t>33</w:t>
      </w:r>
      <w:r w:rsidR="00250DE1" w:rsidRPr="00DB0EFA">
        <w:fldChar w:fldCharType="end"/>
      </w:r>
      <w:r>
        <w:t xml:space="preserve">). Curtea subliniază că, în temeiul cadrului juridic în vigoare timp de 10 ani și 10 luni după stabilirea măsurii (de la 1 aprilie 2003, atunci când bunurile reclamantului au fost sechestrate, până la 1 februarie 2014, când a intrat în vigoare noul Cod de procedură penală), reclamantul nu a putut  contesta măsura în chestiune în fața instanțelor (a se vedea supra, pct. </w:t>
      </w:r>
      <w:r w:rsidR="00250DE1" w:rsidRPr="00DB0EFA">
        <w:fldChar w:fldCharType="begin"/>
      </w:r>
      <w:r w:rsidR="00250DE1" w:rsidRPr="00DB0EFA">
        <w:instrText xml:space="preserve"> REF P24 \h  \* MERGEFORMAT </w:instrText>
      </w:r>
      <w:r w:rsidR="00250DE1" w:rsidRPr="00DB0EFA">
        <w:fldChar w:fldCharType="separate"/>
      </w:r>
      <w:r w:rsidR="00DB0EFA" w:rsidRPr="00DB0EFA">
        <w:t>24</w:t>
      </w:r>
      <w:r w:rsidR="00250DE1" w:rsidRPr="00DB0EFA">
        <w:fldChar w:fldCharType="end"/>
      </w:r>
      <w:r>
        <w:t xml:space="preserve"> și </w:t>
      </w:r>
      <w:r w:rsidR="00250DE1" w:rsidRPr="00DB0EFA">
        <w:fldChar w:fldCharType="begin"/>
      </w:r>
      <w:r w:rsidR="00250DE1" w:rsidRPr="00DB0EFA">
        <w:instrText xml:space="preserve"> REF P30 \h </w:instrText>
      </w:r>
      <w:r w:rsidR="00250DE1" w:rsidRPr="00DB0EFA">
        <w:fldChar w:fldCharType="separate"/>
      </w:r>
      <w:r w:rsidR="00DB0EFA" w:rsidRPr="00DB0EFA">
        <w:t>30</w:t>
      </w:r>
      <w:r w:rsidR="00250DE1" w:rsidRPr="00DB0EFA">
        <w:fldChar w:fldCharType="end"/>
      </w:r>
      <w:r>
        <w:t xml:space="preserve">). Acesta a folosit oportunitatea, prevăzută de cadrul juridic în vigoare pe durata urmăririi penale [art. 168 alin. (1) C. proc. pen.], de a contesta măsura în fața procurorului. Totuși, răspunsurile primite de la procuror erau formale și nu permit Curții să ajungă la concluzia că cererile reclamantului au fost examinate pe fond (a se vedea </w:t>
      </w:r>
      <w:r>
        <w:rPr>
          <w:i/>
          <w:iCs/>
        </w:rPr>
        <w:t>supra</w:t>
      </w:r>
      <w:r>
        <w:t xml:space="preserve">, pct. </w:t>
      </w:r>
      <w:r w:rsidR="00250DE1" w:rsidRPr="00DB0EFA">
        <w:fldChar w:fldCharType="begin"/>
      </w:r>
      <w:r w:rsidR="00250DE1" w:rsidRPr="00DB0EFA">
        <w:instrText xml:space="preserve"> REF P18 \h  \* MERGEFORMAT </w:instrText>
      </w:r>
      <w:r w:rsidR="00250DE1" w:rsidRPr="00DB0EFA">
        <w:fldChar w:fldCharType="separate"/>
      </w:r>
      <w:r w:rsidR="00DB0EFA" w:rsidRPr="00DB0EFA">
        <w:t>18</w:t>
      </w:r>
      <w:r w:rsidR="00250DE1" w:rsidRPr="00DB0EFA">
        <w:fldChar w:fldCharType="end"/>
      </w:r>
      <w:r>
        <w:t>-</w:t>
      </w:r>
      <w:r w:rsidR="00250DE1" w:rsidRPr="00DB0EFA">
        <w:fldChar w:fldCharType="begin"/>
      </w:r>
      <w:r w:rsidR="00250DE1" w:rsidRPr="00DB0EFA">
        <w:instrText xml:space="preserve"> REF P22 \h  \* MERGEFORMAT </w:instrText>
      </w:r>
      <w:r w:rsidR="00250DE1" w:rsidRPr="00DB0EFA">
        <w:fldChar w:fldCharType="separate"/>
      </w:r>
      <w:r w:rsidR="00DB0EFA" w:rsidRPr="00DB0EFA">
        <w:t>22</w:t>
      </w:r>
      <w:r w:rsidR="00250DE1" w:rsidRPr="00DB0EFA">
        <w:fldChar w:fldCharType="end"/>
      </w:r>
      <w:r>
        <w:t xml:space="preserve">). Este adevărat că la 1 februarie 2014 au intrat în vigoare noi dispoziții de drept penal care prevăd posibilitatea de a contesta de la această dată măsura sechestrului în fața instanțelor (a se vedea </w:t>
      </w:r>
      <w:r>
        <w:rPr>
          <w:i/>
          <w:iCs/>
        </w:rPr>
        <w:t>supra</w:t>
      </w:r>
      <w:r>
        <w:t xml:space="preserve">, pct. </w:t>
      </w:r>
      <w:r w:rsidR="00250DE1" w:rsidRPr="00DB0EFA">
        <w:fldChar w:fldCharType="begin"/>
      </w:r>
      <w:r w:rsidR="00250DE1" w:rsidRPr="00DB0EFA">
        <w:instrText xml:space="preserve"> REF P33 \h </w:instrText>
      </w:r>
      <w:r w:rsidR="00250DE1" w:rsidRPr="00DB0EFA">
        <w:fldChar w:fldCharType="separate"/>
      </w:r>
      <w:r w:rsidR="00DB0EFA" w:rsidRPr="00DB0EFA">
        <w:t>33</w:t>
      </w:r>
      <w:r w:rsidR="00250DE1" w:rsidRPr="00DB0EFA">
        <w:fldChar w:fldCharType="end"/>
      </w:r>
      <w:r>
        <w:t xml:space="preserve">). Cu toate acestea, în afară de faptul că fac trimitere în special la măsuri dispuse doar de procuror, noile dispoziții au introdus, de asemenea, un termen-limită </w:t>
      </w:r>
      <w:r>
        <w:lastRenderedPageBreak/>
        <w:t xml:space="preserve">pentru formularea unor astfel de contestații (trei zile de la comunicarea sau de la aducerea la îndeplinire a măsurii), iar Guvernul nu a prezentat niciun exemplu de cauze în care instanțele interne au examinat, după 2014, contestații împotriva măsurilor dispuse de procurori în temeiul vechiului Cod de procedură penală în care termenul de trei zile fusese depășit, așa cum este în speță. Singura hotărâre prezentată de Guvern care privea o situație similară cu cauza de față dovedește că termenul în chestiune trebuie respectat (a se vedea </w:t>
      </w:r>
      <w:r>
        <w:rPr>
          <w:i/>
          <w:iCs/>
        </w:rPr>
        <w:t>supra</w:t>
      </w:r>
      <w:r>
        <w:t xml:space="preserve">, pct. </w:t>
      </w:r>
      <w:r w:rsidR="00250DE1" w:rsidRPr="00DB0EFA">
        <w:fldChar w:fldCharType="begin"/>
      </w:r>
      <w:r w:rsidR="00250DE1" w:rsidRPr="00DB0EFA">
        <w:instrText xml:space="preserve"> REF P38 \h </w:instrText>
      </w:r>
      <w:r w:rsidR="00250DE1" w:rsidRPr="00DB0EFA">
        <w:fldChar w:fldCharType="separate"/>
      </w:r>
      <w:r w:rsidR="00DB0EFA" w:rsidRPr="00DB0EFA">
        <w:t>38</w:t>
      </w:r>
      <w:r w:rsidR="00250DE1" w:rsidRPr="00DB0EFA">
        <w:fldChar w:fldCharType="end"/>
      </w:r>
      <w:r>
        <w:t>). În plus, nu a fost prezentat niciun exemplu care privea măsuri adoptate de poliție, așa cum este în speță.</w:t>
      </w:r>
    </w:p>
    <w:bookmarkStart w:id="52" w:name="P78"/>
    <w:bookmarkStart w:id="53" w:name="P80"/>
    <w:p w14:paraId="6AF9D0E6" w14:textId="1AED377D" w:rsidR="00250DE1" w:rsidRPr="00DB0EFA" w:rsidRDefault="00250DE1" w:rsidP="00DB0EFA">
      <w:pPr>
        <w:pStyle w:val="JuPara"/>
      </w:pPr>
      <w:r w:rsidRPr="00DB0EFA">
        <w:fldChar w:fldCharType="begin"/>
      </w:r>
      <w:r w:rsidRPr="00DB0EFA">
        <w:instrText xml:space="preserve"> SEQ level0 \*arabic \* MERGEFORMAT </w:instrText>
      </w:r>
      <w:r w:rsidRPr="00DB0EFA">
        <w:fldChar w:fldCharType="separate"/>
      </w:r>
      <w:r w:rsidR="00DB0EFA" w:rsidRPr="00DB0EFA">
        <w:t>80</w:t>
      </w:r>
      <w:r w:rsidRPr="00DB0EFA">
        <w:fldChar w:fldCharType="end"/>
      </w:r>
      <w:bookmarkEnd w:id="52"/>
      <w:bookmarkEnd w:id="53"/>
      <w:r>
        <w:t xml:space="preserve">.  În al doilea rând, Guvernul a susținut că procedura reglementată de art. 504 C. proc. pen. ar fi putut fi urmată de reclamant pentru a obține despăgubiri pentru prejudiciile suferite. Curtea observă în ceea ce privește procedura prevăzută la art. 504 C. proc. pen. (art. 538 și 539 noul C. proc. pen.),  că din modul de formulare (a se vedea </w:t>
      </w:r>
      <w:r>
        <w:rPr>
          <w:i/>
          <w:iCs/>
        </w:rPr>
        <w:t>supra</w:t>
      </w:r>
      <w:r>
        <w:t xml:space="preserve">, pct. </w:t>
      </w:r>
      <w:r w:rsidRPr="00DB0EFA">
        <w:fldChar w:fldCharType="begin"/>
      </w:r>
      <w:r w:rsidRPr="00DB0EFA">
        <w:instrText xml:space="preserve"> REF P35 \h </w:instrText>
      </w:r>
      <w:r w:rsidRPr="00DB0EFA">
        <w:fldChar w:fldCharType="separate"/>
      </w:r>
      <w:r w:rsidR="00DB0EFA" w:rsidRPr="00DB0EFA">
        <w:t>35</w:t>
      </w:r>
      <w:r w:rsidRPr="00DB0EFA">
        <w:fldChar w:fldCharType="end"/>
      </w:r>
      <w:r>
        <w:t xml:space="preserve">) și din interpretarea dată de către instanțele interne, astfel cum reiese din exemplul transmis de Guvern (a se vedea </w:t>
      </w:r>
      <w:r>
        <w:rPr>
          <w:i/>
          <w:iCs/>
        </w:rPr>
        <w:t>supra</w:t>
      </w:r>
      <w:r>
        <w:t>, pct. </w:t>
      </w:r>
      <w:r w:rsidRPr="00DB0EFA">
        <w:fldChar w:fldCharType="begin"/>
      </w:r>
      <w:r w:rsidRPr="00DB0EFA">
        <w:instrText xml:space="preserve"> REF P40 \h </w:instrText>
      </w:r>
      <w:r w:rsidRPr="00DB0EFA">
        <w:fldChar w:fldCharType="separate"/>
      </w:r>
      <w:r w:rsidR="00DB0EFA" w:rsidRPr="00DB0EFA">
        <w:t>40</w:t>
      </w:r>
      <w:r w:rsidRPr="00DB0EFA">
        <w:fldChar w:fldCharType="end"/>
      </w:r>
      <w:r>
        <w:t xml:space="preserve">), aceasta este o cale pusă la dispoziție în mod special persoanelor condamnate pe nedrept sau private de libertate în mod nelegal. Acesta nu era desigur cazul reclamantului (a se vedea </w:t>
      </w:r>
      <w:r>
        <w:rPr>
          <w:i/>
        </w:rPr>
        <w:t>Credit Europe Leasing Ifn S.A.</w:t>
      </w:r>
      <w:r>
        <w:t>, citată anterior, pct. 80).</w:t>
      </w:r>
    </w:p>
    <w:p w14:paraId="52B2C701" w14:textId="7D0D10C6" w:rsidR="00250DE1" w:rsidRPr="00DB0EFA" w:rsidRDefault="00736D67" w:rsidP="00DB0EFA">
      <w:pPr>
        <w:pStyle w:val="JuPara"/>
      </w:pPr>
      <w:fldSimple w:instr=" SEQ level0 \*arabic \* MERGEFORMAT ">
        <w:r w:rsidR="00DB0EFA" w:rsidRPr="00DB0EFA">
          <w:t>81</w:t>
        </w:r>
      </w:fldSimple>
      <w:r>
        <w:t xml:space="preserve">.  Guvernul a argumentat și că, din moment ce nicio cerere de reparare a prejudiciului nu fusese depusă în fața instanțelor civile în termen de 30 de zile de la ordonanța definitivă a procurorului din 29 ianuarie 2014, sechestrul încetase. Pentru a i se confirma situația, reclamantul ar fi trebuit să formuleze cereri suplimentare în fața instanțelor civile (a se vedea </w:t>
      </w:r>
      <w:r>
        <w:rPr>
          <w:i/>
          <w:iCs/>
        </w:rPr>
        <w:t>supra</w:t>
      </w:r>
      <w:r>
        <w:t xml:space="preserve">, pct. </w:t>
      </w:r>
      <w:r w:rsidR="00250DE1" w:rsidRPr="00DB0EFA">
        <w:fldChar w:fldCharType="begin"/>
      </w:r>
      <w:r w:rsidR="00250DE1" w:rsidRPr="00DB0EFA">
        <w:instrText xml:space="preserve"> REF P66 \h </w:instrText>
      </w:r>
      <w:r w:rsidR="00250DE1" w:rsidRPr="00DB0EFA">
        <w:fldChar w:fldCharType="separate"/>
      </w:r>
      <w:r w:rsidR="00DB0EFA" w:rsidRPr="00DB0EFA">
        <w:t>66</w:t>
      </w:r>
      <w:r w:rsidR="00250DE1" w:rsidRPr="00DB0EFA">
        <w:fldChar w:fldCharType="end"/>
      </w:r>
      <w:r>
        <w:t xml:space="preserve">). În această privință, Curtea observă că sechestrul a fost dispus la 1 aprilie 2003 (a se vedea </w:t>
      </w:r>
      <w:r>
        <w:rPr>
          <w:i/>
          <w:iCs/>
        </w:rPr>
        <w:t>supra</w:t>
      </w:r>
      <w:r>
        <w:t xml:space="preserve">, pct. </w:t>
      </w:r>
      <w:r w:rsidR="00250DE1" w:rsidRPr="00DB0EFA">
        <w:fldChar w:fldCharType="begin"/>
      </w:r>
      <w:r w:rsidR="00250DE1" w:rsidRPr="00DB0EFA">
        <w:instrText xml:space="preserve"> REF P6 \h  \* MERGEFORMAT </w:instrText>
      </w:r>
      <w:r w:rsidR="00250DE1" w:rsidRPr="00DB0EFA">
        <w:fldChar w:fldCharType="separate"/>
      </w:r>
      <w:r w:rsidR="00DB0EFA" w:rsidRPr="00DB0EFA">
        <w:t>6</w:t>
      </w:r>
      <w:r w:rsidR="00250DE1" w:rsidRPr="00DB0EFA">
        <w:fldChar w:fldCharType="end"/>
      </w:r>
      <w:r>
        <w:t xml:space="preserve">) și nu a fost niciodată ridicat în mod oficial (a se vedea </w:t>
      </w:r>
      <w:r>
        <w:rPr>
          <w:i/>
          <w:iCs/>
        </w:rPr>
        <w:t>supra</w:t>
      </w:r>
      <w:r>
        <w:t xml:space="preserve">, pct. </w:t>
      </w:r>
      <w:r w:rsidR="00250DE1" w:rsidRPr="00DB0EFA">
        <w:fldChar w:fldCharType="begin"/>
      </w:r>
      <w:r w:rsidR="00250DE1" w:rsidRPr="00DB0EFA">
        <w:instrText xml:space="preserve"> REF P17 \h </w:instrText>
      </w:r>
      <w:r w:rsidR="00250DE1" w:rsidRPr="00DB0EFA">
        <w:fldChar w:fldCharType="separate"/>
      </w:r>
      <w:r w:rsidR="00DB0EFA" w:rsidRPr="00DB0EFA">
        <w:t>17</w:t>
      </w:r>
      <w:r w:rsidR="00250DE1" w:rsidRPr="00DB0EFA">
        <w:fldChar w:fldCharType="end"/>
      </w:r>
      <w:r>
        <w:t xml:space="preserve">). Chiar presupunând că măsura încetase </w:t>
      </w:r>
      <w:r>
        <w:rPr>
          <w:i/>
        </w:rPr>
        <w:t>de jure</w:t>
      </w:r>
      <w:r>
        <w:t xml:space="preserve"> treizeci de zile de la ordonanța procurorului din 29 ianuarie 2014, la acel moment durase deja 10 ani şi 10 luni. În această întreagă perioadă și până în prezent reclamantul nu avusese posibilitatea de a utiliza legal sau de a vinde cele două mașini – deși au rămas în posesia sa – în lipsa documentelor de înregistrare (a se vedea </w:t>
      </w:r>
      <w:r>
        <w:rPr>
          <w:i/>
          <w:iCs/>
        </w:rPr>
        <w:t>supra</w:t>
      </w:r>
      <w:r>
        <w:t xml:space="preserve">, pct. </w:t>
      </w:r>
      <w:r w:rsidR="00250DE1" w:rsidRPr="00DB0EFA">
        <w:fldChar w:fldCharType="begin"/>
      </w:r>
      <w:r w:rsidR="00250DE1" w:rsidRPr="00DB0EFA">
        <w:instrText xml:space="preserve"> REF P27 \h  \* MERGEFORMAT </w:instrText>
      </w:r>
      <w:r w:rsidR="00250DE1" w:rsidRPr="00DB0EFA">
        <w:fldChar w:fldCharType="separate"/>
      </w:r>
      <w:r w:rsidR="00DB0EFA" w:rsidRPr="00DB0EFA">
        <w:t>27</w:t>
      </w:r>
      <w:r w:rsidR="00250DE1" w:rsidRPr="00DB0EFA">
        <w:fldChar w:fldCharType="end"/>
      </w:r>
      <w:r>
        <w:t>) și în lumina degradării lor ulterioare. Cu privire la apartament, este adevărat că reclamantul era în măsură să îl folosească, dar nu putea să dispună de acesta în niciun mod atâta timp cât măsura sechestrului era menținută și, în plus, incertitudinea situației se prelungea în absența documentelor sale de proprietate (ibid.). În continuare, Curtea consideră că, având în vedere numeroasele proceduri deja inițiate de reclamant și rezultatul acestora, o acțiune suplimentară cu scopul de a confirma încetarea de drept a sechestrului nu ar fi fost o cale de atac efectivă pentru a-i contesta proporționalitatea și durata.</w:t>
      </w:r>
    </w:p>
    <w:p w14:paraId="41CED349" w14:textId="10A53346" w:rsidR="00250DE1" w:rsidRPr="00DB0EFA" w:rsidRDefault="00736D67" w:rsidP="00DB0EFA">
      <w:pPr>
        <w:pStyle w:val="JuPara"/>
      </w:pPr>
      <w:fldSimple w:instr=" SEQ level0 \*arabic \* MERGEFORMAT ">
        <w:r w:rsidR="00DB0EFA" w:rsidRPr="00DB0EFA">
          <w:t>82</w:t>
        </w:r>
      </w:fldSimple>
      <w:r>
        <w:t xml:space="preserve">.  Curtea reține, de asemenea, că nicio garanție procedurală sau alte căi de atac posibile nu fuseseră sugerate de Guvern în legătură cu sechestrarea ca mijloc de probă a titlurilor de proprietate ale reclamantului și a numerarului. Asupra acestui punct Curtea observă că, la încheierea anchetei împotriva </w:t>
      </w:r>
      <w:r>
        <w:lastRenderedPageBreak/>
        <w:t xml:space="preserve">reclamantului, cadrul juridic în vigoare includea posibilitatea de a cere restituirea obiectelor ce au servit ca mijloc de probă (a se vedea </w:t>
      </w:r>
      <w:r>
        <w:rPr>
          <w:i/>
          <w:iCs/>
        </w:rPr>
        <w:t>supra</w:t>
      </w:r>
      <w:r>
        <w:t xml:space="preserve">, pct. </w:t>
      </w:r>
      <w:r w:rsidR="00250DE1" w:rsidRPr="00DB0EFA">
        <w:fldChar w:fldCharType="begin"/>
      </w:r>
      <w:r w:rsidR="00250DE1" w:rsidRPr="00DB0EFA">
        <w:instrText xml:space="preserve"> REF P31 \h </w:instrText>
      </w:r>
      <w:r w:rsidR="00250DE1" w:rsidRPr="00DB0EFA">
        <w:fldChar w:fldCharType="separate"/>
      </w:r>
      <w:r w:rsidR="00DB0EFA" w:rsidRPr="00DB0EFA">
        <w:t>31</w:t>
      </w:r>
      <w:r w:rsidR="00250DE1" w:rsidRPr="00DB0EFA">
        <w:fldChar w:fldCharType="end"/>
      </w:r>
      <w:r>
        <w:t xml:space="preserve">). Reclamantul folosise această oportunitate, dar fără rezultat (a se vedea </w:t>
      </w:r>
      <w:r>
        <w:rPr>
          <w:i/>
          <w:iCs/>
        </w:rPr>
        <w:t>supra</w:t>
      </w:r>
      <w:r>
        <w:t xml:space="preserve">, pct. </w:t>
      </w:r>
      <w:r w:rsidR="00250DE1" w:rsidRPr="00DB0EFA">
        <w:fldChar w:fldCharType="begin"/>
      </w:r>
      <w:r w:rsidR="00250DE1" w:rsidRPr="00DB0EFA">
        <w:instrText xml:space="preserve"> REF P27 \h  \* MERGEFORMAT </w:instrText>
      </w:r>
      <w:r w:rsidR="00250DE1" w:rsidRPr="00DB0EFA">
        <w:fldChar w:fldCharType="separate"/>
      </w:r>
      <w:r w:rsidR="00DB0EFA" w:rsidRPr="00DB0EFA">
        <w:t>27</w:t>
      </w:r>
      <w:r w:rsidR="00250DE1" w:rsidRPr="00DB0EFA">
        <w:fldChar w:fldCharType="end"/>
      </w:r>
      <w:r>
        <w:t>).</w:t>
      </w:r>
    </w:p>
    <w:p w14:paraId="22E1C9C6" w14:textId="7C1A6E4A" w:rsidR="00250DE1" w:rsidRPr="00DB0EFA" w:rsidRDefault="00736D67" w:rsidP="00DB0EFA">
      <w:pPr>
        <w:pStyle w:val="JuPara"/>
      </w:pPr>
      <w:fldSimple w:instr=" SEQ level0 \*arabic \* MERGEFORMAT ">
        <w:r w:rsidR="00DB0EFA" w:rsidRPr="00DB0EFA">
          <w:t>83</w:t>
        </w:r>
      </w:fldSimple>
      <w:r>
        <w:t xml:space="preserve">.  Prin urmare, reclamantul a fost lipsit de posibilitatea de a se folosi și de a dispune de bunurile sale și de a contesta în fața unei instanțe sechestrul aplicat asupra acestora, cel puțin pe o perioadă de 10 ani și 10 luni în ceea ce privește apartamentul și de mai mult de 18 ani în privința mașinilor și a banilor. Mai mult, nicio dispoziție legală specifică sau exemplu de jurisprudență nu permite să se concluzioneze că ar fi putut obține repararea pagubei ca urmare a ingerinței în exercitarea dreptului său de proprietate (a se vedea </w:t>
      </w:r>
      <w:r>
        <w:rPr>
          <w:i/>
          <w:iCs/>
        </w:rPr>
        <w:t>supra</w:t>
      </w:r>
      <w:r>
        <w:t xml:space="preserve">, pct. </w:t>
      </w:r>
      <w:r w:rsidR="00250DE1" w:rsidRPr="00DB0EFA">
        <w:fldChar w:fldCharType="begin"/>
      </w:r>
      <w:r w:rsidR="00250DE1" w:rsidRPr="00DB0EFA">
        <w:instrText xml:space="preserve"> REF P80 \h </w:instrText>
      </w:r>
      <w:r w:rsidR="00250DE1" w:rsidRPr="00DB0EFA">
        <w:fldChar w:fldCharType="separate"/>
      </w:r>
      <w:r w:rsidR="00DB0EFA" w:rsidRPr="00DB0EFA">
        <w:t>80</w:t>
      </w:r>
      <w:r w:rsidR="00250DE1" w:rsidRPr="00DB0EFA">
        <w:fldChar w:fldCharType="end"/>
      </w:r>
      <w:r>
        <w:t xml:space="preserve">). Rezultă că excepția ridicată de Guvern privind neepuizarea căilor de atac interne (a se vedea </w:t>
      </w:r>
      <w:r>
        <w:rPr>
          <w:i/>
          <w:iCs/>
        </w:rPr>
        <w:t>supra</w:t>
      </w:r>
      <w:r>
        <w:t xml:space="preserve">, pct. </w:t>
      </w:r>
      <w:r w:rsidR="00250DE1" w:rsidRPr="00DB0EFA">
        <w:fldChar w:fldCharType="begin"/>
      </w:r>
      <w:r w:rsidR="00250DE1" w:rsidRPr="00DB0EFA">
        <w:instrText xml:space="preserve"> REF P54 \h </w:instrText>
      </w:r>
      <w:r w:rsidR="00250DE1" w:rsidRPr="00DB0EFA">
        <w:fldChar w:fldCharType="separate"/>
      </w:r>
      <w:r w:rsidR="00DB0EFA" w:rsidRPr="00DB0EFA">
        <w:t>54</w:t>
      </w:r>
      <w:r w:rsidR="00250DE1" w:rsidRPr="00DB0EFA">
        <w:fldChar w:fldCharType="end"/>
      </w:r>
      <w:r>
        <w:t xml:space="preserve">, </w:t>
      </w:r>
      <w:r w:rsidR="00250DE1" w:rsidRPr="00DB0EFA">
        <w:fldChar w:fldCharType="begin"/>
      </w:r>
      <w:r w:rsidR="00250DE1" w:rsidRPr="00DB0EFA">
        <w:instrText xml:space="preserve"> REF P65 \h </w:instrText>
      </w:r>
      <w:r w:rsidR="00250DE1" w:rsidRPr="00DB0EFA">
        <w:fldChar w:fldCharType="separate"/>
      </w:r>
      <w:r w:rsidR="00DB0EFA" w:rsidRPr="00DB0EFA">
        <w:t>65</w:t>
      </w:r>
      <w:r w:rsidR="00250DE1" w:rsidRPr="00DB0EFA">
        <w:fldChar w:fldCharType="end"/>
      </w:r>
      <w:r>
        <w:t xml:space="preserve"> și </w:t>
      </w:r>
      <w:r w:rsidR="00250DE1" w:rsidRPr="00DB0EFA">
        <w:fldChar w:fldCharType="begin"/>
      </w:r>
      <w:r w:rsidR="00250DE1" w:rsidRPr="00DB0EFA">
        <w:instrText xml:space="preserve"> REF P66 \h </w:instrText>
      </w:r>
      <w:r w:rsidR="00250DE1" w:rsidRPr="00DB0EFA">
        <w:fldChar w:fldCharType="separate"/>
      </w:r>
      <w:r w:rsidR="00DB0EFA" w:rsidRPr="00DB0EFA">
        <w:t>66</w:t>
      </w:r>
      <w:r w:rsidR="00250DE1" w:rsidRPr="00DB0EFA">
        <w:fldChar w:fldCharType="end"/>
      </w:r>
      <w:r>
        <w:t>) trebuie respinsă.</w:t>
      </w:r>
    </w:p>
    <w:p w14:paraId="4B06817A" w14:textId="0D56098D" w:rsidR="00250DE1" w:rsidRPr="00DB0EFA" w:rsidRDefault="00736D67" w:rsidP="00DB0EFA">
      <w:pPr>
        <w:pStyle w:val="JuPara"/>
      </w:pPr>
      <w:fldSimple w:instr=" SEQ level0 \*arabic \* MERGEFORMAT ">
        <w:r w:rsidR="00DB0EFA" w:rsidRPr="00DB0EFA">
          <w:t>84</w:t>
        </w:r>
      </w:fldSimple>
      <w:r>
        <w:t xml:space="preserve">.  Pe baza considerentelor sus-menționate și ținând seama, în special, de durata sechestrului aplicat asupra bunurilor aparținând reclamantului, de valoarea lor, de lipsa unei posibilități de a contesta efectiv măsura impusă în cadrul procesului penal și de lipsa probelor că ar fi putut să obțină compensarea într-un proces civil separat, Curtea constată că nu s-a menținut un just echilibru în prezenta cauză între interesul general al societății și interesele reclamantului, întrucât acesta a fost obligat să suporte o sarcină excesivă (a se vedea, </w:t>
      </w:r>
      <w:r>
        <w:rPr>
          <w:i/>
        </w:rPr>
        <w:t>mutatis mutandis</w:t>
      </w:r>
      <w:r>
        <w:t xml:space="preserve">, </w:t>
      </w:r>
      <w:r>
        <w:rPr>
          <w:i/>
        </w:rPr>
        <w:t>Credit Europe Leasing Ifn S.A.</w:t>
      </w:r>
      <w:r>
        <w:t xml:space="preserve">, citată anterior, pct. 87; </w:t>
      </w:r>
      <w:r>
        <w:rPr>
          <w:i/>
        </w:rPr>
        <w:t>Hábenczius împotriva Ungariei</w:t>
      </w:r>
      <w:r>
        <w:t xml:space="preserve">, nr. 44473/06, pct. 36, 21 octombrie 2014 și </w:t>
      </w:r>
      <w:r>
        <w:rPr>
          <w:i/>
        </w:rPr>
        <w:t>Forminster Enterprises Limited împotriva Republicii Cehe</w:t>
      </w:r>
      <w:r>
        <w:t>, nr. 38238/04, pct. 77, 9 octombrie 2008).</w:t>
      </w:r>
    </w:p>
    <w:p w14:paraId="53A20946" w14:textId="312594A8" w:rsidR="00250DE1" w:rsidRPr="00DB0EFA" w:rsidRDefault="00736D67" w:rsidP="00DB0EFA">
      <w:pPr>
        <w:pStyle w:val="JuPara"/>
      </w:pPr>
      <w:fldSimple w:instr=" SEQ level0 \*arabic \* MERGEFORMAT ">
        <w:r w:rsidR="00DB0EFA" w:rsidRPr="00DB0EFA">
          <w:t>85</w:t>
        </w:r>
      </w:fldSimple>
      <w:r>
        <w:t>.  În consecință, a fost încălcat art. 1 din Protocolul nr. 1 la Convenție.</w:t>
      </w:r>
    </w:p>
    <w:p w14:paraId="0A4AA81C" w14:textId="21C8C558" w:rsidR="00250DE1" w:rsidRPr="00DB0EFA" w:rsidRDefault="00250DE1" w:rsidP="00DB0EFA">
      <w:pPr>
        <w:pStyle w:val="JuHIRoman"/>
      </w:pPr>
      <w:r>
        <w:t>CU PRIVIRE LA APLICAREA ART. 41 DIN CONVENȚIE</w:t>
      </w:r>
    </w:p>
    <w:p w14:paraId="6D20004D" w14:textId="46073876" w:rsidR="00250DE1" w:rsidRPr="00DB0EFA" w:rsidRDefault="00250DE1" w:rsidP="00DB0EFA">
      <w:pPr>
        <w:pStyle w:val="JuPara"/>
        <w:keepNext/>
        <w:keepLines/>
      </w:pPr>
      <w:fldSimple w:instr=" SEQ level0 \*arabic ">
        <w:r w:rsidR="00DB0EFA" w:rsidRPr="00DB0EFA">
          <w:t>86</w:t>
        </w:r>
      </w:fldSimple>
      <w:r>
        <w:t>.  Art. 41 din Convenție prevede:</w:t>
      </w:r>
    </w:p>
    <w:p w14:paraId="7FB88AC5" w14:textId="77777777" w:rsidR="00250DE1" w:rsidRPr="00DB0EFA" w:rsidRDefault="00250DE1" w:rsidP="00DB0EFA">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65B0B10F" w14:textId="77777777" w:rsidR="00250DE1" w:rsidRPr="00DB0EFA" w:rsidRDefault="00250DE1" w:rsidP="00DB0EFA">
      <w:pPr>
        <w:pStyle w:val="JuHA"/>
        <w:numPr>
          <w:ilvl w:val="2"/>
          <w:numId w:val="1"/>
        </w:numPr>
        <w:ind w:left="1080" w:hanging="360"/>
      </w:pPr>
      <w:r>
        <w:t>Prejudiciu</w:t>
      </w:r>
    </w:p>
    <w:p w14:paraId="46857247" w14:textId="53687489" w:rsidR="00250DE1" w:rsidRPr="00DB0EFA" w:rsidRDefault="00250DE1" w:rsidP="00DB0EFA">
      <w:pPr>
        <w:pStyle w:val="JuPara"/>
      </w:pPr>
      <w:fldSimple w:instr=" SEQ level0 \*arabic ">
        <w:r w:rsidR="00DB0EFA" w:rsidRPr="00DB0EFA">
          <w:t>87</w:t>
        </w:r>
      </w:fldSimple>
      <w:r>
        <w:t>.  Reclamantul a solicitat cu titlu de prejudiciu material următoarele sume: 3 771,49 euro (EUR), reprezentând lipsa dobânzii pentru suma de bani sechestrată și  50 000 EUR, reprezentând devalorizarea celor două mașini. De asemenea, reclamantul a solicitat 50 000 EUR cu titlu de despăgubire pentru prejudiciul moral.</w:t>
      </w:r>
    </w:p>
    <w:p w14:paraId="087DE1DE" w14:textId="31550B9B" w:rsidR="00250DE1" w:rsidRPr="00DB0EFA" w:rsidRDefault="00250DE1" w:rsidP="00DB0EFA">
      <w:pPr>
        <w:pStyle w:val="JuPara"/>
      </w:pPr>
      <w:fldSimple w:instr=" SEQ level0 \*arabic ">
        <w:r w:rsidR="00DB0EFA" w:rsidRPr="00DB0EFA">
          <w:t>88</w:t>
        </w:r>
      </w:fldSimple>
      <w:r>
        <w:t>.  Guvernul a susținut că pretenția reclamantului era excesivă și nejustificată și că o compensație suficientă pentru orice prejudiciu suferit ar reprezenta-o constatarea unei încălcări.</w:t>
      </w:r>
    </w:p>
    <w:bookmarkStart w:id="54" w:name="P86"/>
    <w:p w14:paraId="458C6098" w14:textId="7677BB83" w:rsidR="00250DE1" w:rsidRPr="00DB0EFA" w:rsidRDefault="00250DE1" w:rsidP="00DB0EFA">
      <w:pPr>
        <w:pStyle w:val="JuPara"/>
      </w:pPr>
      <w:r w:rsidRPr="00DB0EFA">
        <w:fldChar w:fldCharType="begin"/>
      </w:r>
      <w:r w:rsidRPr="00DB0EFA">
        <w:instrText xml:space="preserve"> SEQ level0 \*arabic </w:instrText>
      </w:r>
      <w:r w:rsidRPr="00DB0EFA">
        <w:fldChar w:fldCharType="separate"/>
      </w:r>
      <w:r w:rsidR="00DB0EFA" w:rsidRPr="00DB0EFA">
        <w:t>89</w:t>
      </w:r>
      <w:r w:rsidRPr="00DB0EFA">
        <w:fldChar w:fldCharType="end"/>
      </w:r>
      <w:bookmarkEnd w:id="54"/>
      <w:r>
        <w:t>.  Cu privire la prejudiciul material, Curtea consideră că reclamantul nu și-a susținut pretențiile nedepunând documente justificative. Prin urmare, Curtea respinge aceste capete de cerere ca nefondate.</w:t>
      </w:r>
    </w:p>
    <w:p w14:paraId="45622B7D" w14:textId="5FDDBDA5" w:rsidR="00250DE1" w:rsidRPr="00DB0EFA" w:rsidRDefault="00736D67" w:rsidP="00DB0EFA">
      <w:pPr>
        <w:pStyle w:val="JuPara"/>
      </w:pPr>
      <w:fldSimple w:instr=" SEQ level0 \*arabic \* MERGEFORMAT ">
        <w:r w:rsidR="00DB0EFA" w:rsidRPr="00DB0EFA">
          <w:t>90</w:t>
        </w:r>
      </w:fldSimple>
      <w:r>
        <w:t>.  Cu toate acestea, Curtea consideră că reclamantul a suferit un prejudiciu moral având în vedere încălcarea art. 6 § 1 din Convenție și art. 1 din Protocolul nr. 1 la Convenție. Pronunțându-se în echitate, Curtea îi acordă reclamantului, cu titlu de despăgubire pentru prejudiciul moral, 15 000 EUR, plus orice sumă ce poate fi datorată cu titlu de impozit.</w:t>
      </w:r>
    </w:p>
    <w:p w14:paraId="622B3226" w14:textId="77777777" w:rsidR="00250DE1" w:rsidRPr="00DB0EFA" w:rsidRDefault="00250DE1" w:rsidP="00DB0EFA">
      <w:pPr>
        <w:pStyle w:val="JuHA"/>
        <w:numPr>
          <w:ilvl w:val="2"/>
          <w:numId w:val="1"/>
        </w:numPr>
        <w:ind w:left="1080" w:hanging="360"/>
      </w:pPr>
      <w:r>
        <w:t>Cheltuieli de judecată</w:t>
      </w:r>
    </w:p>
    <w:p w14:paraId="2E2FD08B" w14:textId="57DC981D" w:rsidR="00250DE1" w:rsidRPr="00DB0EFA" w:rsidRDefault="00250DE1" w:rsidP="00DB0EFA">
      <w:pPr>
        <w:pStyle w:val="JuPara"/>
      </w:pPr>
      <w:fldSimple w:instr=" SEQ level0 \*arabic ">
        <w:r w:rsidR="00DB0EFA" w:rsidRPr="00DB0EFA">
          <w:t>91</w:t>
        </w:r>
      </w:fldSimple>
      <w:r>
        <w:t>.  Reclamantul nu a solicitat rambursarea cheltuielilor de judecată. În consecință, Curtea consideră că nu este necesar să i se acorde nicio sumă în această privință.</w:t>
      </w:r>
    </w:p>
    <w:p w14:paraId="7B603E2F" w14:textId="16EAD104" w:rsidR="00250DE1" w:rsidRPr="00DB0EFA" w:rsidRDefault="00250DE1" w:rsidP="00DB0EFA">
      <w:pPr>
        <w:pStyle w:val="JuHHead"/>
        <w:numPr>
          <w:ilvl w:val="0"/>
          <w:numId w:val="1"/>
        </w:numPr>
        <w:ind w:left="360" w:hanging="360"/>
      </w:pPr>
      <w:r>
        <w:t>PENTRU ACESTE MOTIVE, ÎN UNANIMITATE, CURTEA</w:t>
      </w:r>
    </w:p>
    <w:p w14:paraId="1D997E29" w14:textId="0DCCB086" w:rsidR="00250DE1" w:rsidRPr="00DB0EFA" w:rsidRDefault="00250DE1" w:rsidP="00DB0EFA">
      <w:pPr>
        <w:pStyle w:val="JuList"/>
        <w:rPr>
          <w:iCs/>
        </w:rPr>
      </w:pPr>
      <w:r>
        <w:rPr>
          <w:i/>
          <w:iCs/>
        </w:rPr>
        <w:t>Unește cu fondul</w:t>
      </w:r>
      <w:r>
        <w:rPr>
          <w:i/>
        </w:rPr>
        <w:t xml:space="preserve"> </w:t>
      </w:r>
      <w:r>
        <w:t xml:space="preserve">excepția preliminară ridicată de Guvern privind neepuizarea căilor de atac interne în ceea ce privește plângerea reclamantului în temeiul art. 1 din Protocolul nr. 1 la Convenție și o </w:t>
      </w:r>
      <w:r>
        <w:rPr>
          <w:i/>
          <w:iCs/>
        </w:rPr>
        <w:t>respinge</w:t>
      </w:r>
      <w:r>
        <w:t>;</w:t>
      </w:r>
    </w:p>
    <w:p w14:paraId="1608289E" w14:textId="496133C9" w:rsidR="00250DE1" w:rsidRPr="00DB0EFA" w:rsidRDefault="00250DE1" w:rsidP="00DB0EFA">
      <w:pPr>
        <w:pStyle w:val="JuList"/>
      </w:pPr>
      <w:r>
        <w:rPr>
          <w:i/>
        </w:rPr>
        <w:t>Declară</w:t>
      </w:r>
      <w:r>
        <w:t xml:space="preserve"> cererea admisibilă;</w:t>
      </w:r>
    </w:p>
    <w:p w14:paraId="520B02E0" w14:textId="310C7BBD" w:rsidR="00250DE1" w:rsidRPr="00DB0EFA" w:rsidRDefault="00250DE1" w:rsidP="00DB0EFA">
      <w:pPr>
        <w:pStyle w:val="JuList"/>
      </w:pPr>
      <w:r>
        <w:rPr>
          <w:i/>
          <w:iCs/>
        </w:rPr>
        <w:t>Hotărăște</w:t>
      </w:r>
      <w:r>
        <w:t xml:space="preserve"> că a fost încălcat art. 6 § 1 din Convenţie;</w:t>
      </w:r>
    </w:p>
    <w:p w14:paraId="0B7A1E2D" w14:textId="46F3D3B5" w:rsidR="00250DE1" w:rsidRPr="00DB0EFA" w:rsidRDefault="00250DE1" w:rsidP="00DB0EFA">
      <w:pPr>
        <w:pStyle w:val="JuList"/>
      </w:pPr>
      <w:r>
        <w:rPr>
          <w:i/>
        </w:rPr>
        <w:t>Hotărăște</w:t>
      </w:r>
      <w:r>
        <w:t xml:space="preserve"> că a fost încălcat art. 1 din Protocolul nr. 1 la Convenție;</w:t>
      </w:r>
    </w:p>
    <w:p w14:paraId="66E44CCF" w14:textId="130D9CA0" w:rsidR="00250DE1" w:rsidRPr="00DB0EFA" w:rsidRDefault="00250DE1" w:rsidP="00DB0EFA">
      <w:pPr>
        <w:pStyle w:val="JuList"/>
      </w:pPr>
      <w:r>
        <w:rPr>
          <w:i/>
        </w:rPr>
        <w:t>Hotărăște</w:t>
      </w:r>
    </w:p>
    <w:p w14:paraId="5F637E55" w14:textId="7CDD86CD" w:rsidR="00250DE1" w:rsidRPr="00DB0EFA" w:rsidRDefault="00250DE1" w:rsidP="00DB0EFA">
      <w:pPr>
        <w:pStyle w:val="JuLista"/>
      </w:pPr>
      <w:r>
        <w:t>că statul pârât trebuie să plătească reclamantului, în termen de trei luni de la data rămânerii definitive a hotărârii, în conformitate cu art. 44 § 2 din Convenție, suma de 15 000 EUR (cincisprezece mii de euro), plus orice sumă ce poate fi datorată cu titlu de impozit, care trebuie convertită în moneda națională a statului pârât la rata de schimb aplicabilă la data plății, pentru prejudiciul moral;</w:t>
      </w:r>
    </w:p>
    <w:p w14:paraId="06F27A9E" w14:textId="77777777" w:rsidR="00250DE1" w:rsidRPr="00DB0EFA" w:rsidRDefault="00250DE1" w:rsidP="00DB0EFA">
      <w:pPr>
        <w:pStyle w:val="JuLista"/>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majorată cu trei puncte procentuale;</w:t>
      </w:r>
    </w:p>
    <w:p w14:paraId="1F56BCEB" w14:textId="75A771B3" w:rsidR="004D0EC7" w:rsidRPr="00DB0EFA" w:rsidRDefault="00F13B6A" w:rsidP="00DB0EFA">
      <w:pPr>
        <w:pStyle w:val="JuList"/>
      </w:pPr>
      <w:r>
        <w:rPr>
          <w:i/>
          <w:iCs/>
        </w:rPr>
        <w:lastRenderedPageBreak/>
        <w:t>R</w:t>
      </w:r>
      <w:r w:rsidR="00250DE1">
        <w:rPr>
          <w:i/>
          <w:iCs/>
        </w:rPr>
        <w:t>espinge</w:t>
      </w:r>
      <w:r w:rsidR="00250DE1">
        <w:t xml:space="preserve"> cererea de acordare a unei reparații echitabile pentru celelalte capete de cerere.</w:t>
      </w:r>
    </w:p>
    <w:p w14:paraId="5D9A3BB7" w14:textId="7789D6A7" w:rsidR="008E3A08" w:rsidRPr="00DB0EFA" w:rsidRDefault="007E2C8C" w:rsidP="00DB0EFA">
      <w:pPr>
        <w:pStyle w:val="JuParaLast"/>
      </w:pPr>
      <w:r>
        <w:t>Redactată în limba engleză și comunicată în scris la 5 aprilie 2022, în conformitate cu art. 77 § 2 și art. 77 § 3 din Regulamentul Curții.</w:t>
      </w:r>
    </w:p>
    <w:p w14:paraId="00F1CC1A" w14:textId="3DD1E01C" w:rsidR="008B092C" w:rsidRPr="00DB0EFA" w:rsidRDefault="00281B7C" w:rsidP="00DB0EFA">
      <w:pPr>
        <w:pStyle w:val="ECHRPlaceholder"/>
        <w:keepNext/>
        <w:keepLines/>
        <w:rPr>
          <w:szCs w:val="22"/>
        </w:rPr>
      </w:pPr>
      <w:r>
        <w:tab/>
      </w:r>
    </w:p>
    <w:p w14:paraId="539A7B3B" w14:textId="2850188C" w:rsidR="00182EBA" w:rsidRPr="00DB0EFA" w:rsidRDefault="002E7764" w:rsidP="00DB0EFA">
      <w:pPr>
        <w:pStyle w:val="JuSigned"/>
      </w:pPr>
      <w:r>
        <w:tab/>
        <w:t>Ilse Freiwirth</w:t>
      </w:r>
      <w:r>
        <w:tab/>
      </w:r>
      <w:bookmarkStart w:id="55" w:name="_GoBack"/>
      <w:bookmarkEnd w:id="55"/>
      <w:r>
        <w:t>Yonko Grozev</w:t>
      </w:r>
      <w:r>
        <w:br/>
      </w:r>
      <w:r>
        <w:tab/>
        <w:t>Grefier adjunct</w:t>
      </w:r>
      <w:r>
        <w:tab/>
        <w:t>Președinte</w:t>
      </w:r>
    </w:p>
    <w:sectPr w:rsidR="00182EBA" w:rsidRPr="00DB0EFA"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7510D" w14:textId="77777777" w:rsidR="00250DE1" w:rsidRPr="00E67565" w:rsidRDefault="00250DE1" w:rsidP="0098410D">
      <w:r w:rsidRPr="00E67565">
        <w:separator/>
      </w:r>
    </w:p>
  </w:endnote>
  <w:endnote w:type="continuationSeparator" w:id="0">
    <w:p w14:paraId="4B2D0525" w14:textId="77777777" w:rsidR="00250DE1" w:rsidRPr="00E67565" w:rsidRDefault="00250DE1"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1E459" w14:textId="43B7EA3B" w:rsidR="00250DE1" w:rsidRPr="00150BFA" w:rsidRDefault="00250DE1" w:rsidP="0020718E">
    <w:pPr>
      <w:jc w:val="center"/>
    </w:pPr>
    <w:r>
      <w:rPr>
        <w:noProof/>
        <w:lang w:val="en-US"/>
      </w:rPr>
      <w:drawing>
        <wp:inline distT="0" distB="0" distL="0" distR="0" wp14:anchorId="462B4778" wp14:editId="05619F9D">
          <wp:extent cx="771525" cy="619125"/>
          <wp:effectExtent l="0" t="0" r="9525" b="9525"/>
          <wp:docPr id="46" name="Picture 4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34C3214A" w14:textId="0D34F56C" w:rsidR="0098410D" w:rsidRPr="00E67565"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3A9C7" w14:textId="656D2C92" w:rsidR="00250DE1" w:rsidRPr="00150BFA" w:rsidRDefault="00250DE1" w:rsidP="0020718E">
    <w:pPr>
      <w:jc w:val="center"/>
    </w:pPr>
    <w:r>
      <w:rPr>
        <w:noProof/>
        <w:lang w:val="en-US"/>
      </w:rPr>
      <w:drawing>
        <wp:inline distT="0" distB="0" distL="0" distR="0" wp14:anchorId="1149CF6A" wp14:editId="57A6C23D">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5E2C908" w14:textId="337688DC" w:rsidR="009E7A6F" w:rsidRPr="00E67565"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A631F" w14:textId="15DFCC6F" w:rsidR="00182EBA" w:rsidRDefault="00250DE1" w:rsidP="009A115C">
    <w:pPr>
      <w:pStyle w:val="JuHeader"/>
    </w:pPr>
    <w:r>
      <w:rPr>
        <w:rStyle w:val="PageNumber"/>
      </w:rPr>
      <w:fldChar w:fldCharType="begin"/>
    </w:r>
    <w:r>
      <w:rPr>
        <w:rStyle w:val="PageNumber"/>
      </w:rPr>
      <w:instrText xml:space="preserve"> PAGE </w:instrText>
    </w:r>
    <w:r>
      <w:rPr>
        <w:rStyle w:val="PageNumber"/>
      </w:rPr>
      <w:fldChar w:fldCharType="separate"/>
    </w:r>
    <w:r w:rsidR="00F13B6A">
      <w:rPr>
        <w:rStyle w:val="PageNumber"/>
        <w:noProof/>
      </w:rPr>
      <w:t>18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B3D23" w14:textId="39616183" w:rsidR="00182EBA" w:rsidRPr="000B7195" w:rsidRDefault="00250DE1" w:rsidP="007D3701">
    <w:pPr>
      <w:pStyle w:val="JuHeader"/>
    </w:pPr>
    <w:r>
      <w:fldChar w:fldCharType="begin"/>
    </w:r>
    <w:r>
      <w:instrText xml:space="preserve"> PAGE </w:instrText>
    </w:r>
    <w:r>
      <w:fldChar w:fldCharType="separate"/>
    </w:r>
    <w:r w:rsidR="00F13B6A">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801B5" w14:textId="77777777" w:rsidR="00250DE1" w:rsidRPr="00E67565" w:rsidRDefault="00250DE1" w:rsidP="0098410D">
      <w:r w:rsidRPr="00E67565">
        <w:separator/>
      </w:r>
    </w:p>
  </w:footnote>
  <w:footnote w:type="continuationSeparator" w:id="0">
    <w:p w14:paraId="5D0729D4" w14:textId="77777777" w:rsidR="00250DE1" w:rsidRPr="00E67565" w:rsidRDefault="00250DE1" w:rsidP="0098410D">
      <w:r w:rsidRPr="00E67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E0AFD" w14:textId="238B7F8D" w:rsidR="00250DE1" w:rsidRPr="00A45145" w:rsidRDefault="00250DE1" w:rsidP="00A45145">
    <w:pPr>
      <w:jc w:val="center"/>
    </w:pPr>
    <w:r>
      <w:rPr>
        <w:noProof/>
        <w:lang w:val="en-US"/>
      </w:rPr>
      <w:drawing>
        <wp:inline distT="0" distB="0" distL="0" distR="0" wp14:anchorId="6154D55A" wp14:editId="0E89D39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0A6FAF8" w14:textId="5885E413" w:rsidR="0098410D" w:rsidRPr="00E67565"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18451" w14:textId="5CE943AE" w:rsidR="00250DE1" w:rsidRDefault="00250DE1" w:rsidP="00F13B6A">
    <w:pPr>
      <w:jc w:val="center"/>
    </w:pPr>
    <w:r>
      <w:rPr>
        <w:noProof/>
        <w:lang w:val="en-US"/>
      </w:rPr>
      <w:drawing>
        <wp:inline distT="0" distB="0" distL="0" distR="0" wp14:anchorId="421E81FB" wp14:editId="276D5EF7">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BD64C10" w14:textId="00FB1A80" w:rsidR="00B13BF4" w:rsidRDefault="00B13BF4" w:rsidP="00B13BF4">
    <w:pPr>
      <w:jc w:val="right"/>
    </w:pPr>
    <w:r>
      <w:t>Tradus și revizuit de IER (</w:t>
    </w:r>
    <w:hyperlink r:id="rId2" w:history="1">
      <w:r w:rsidRPr="003F4DB0">
        <w:rPr>
          <w:rStyle w:val="Hyperlink"/>
        </w:rPr>
        <w:t>http://ier.gov.ro/</w:t>
      </w:r>
    </w:hyperlink>
    <w:r>
      <w:t>)</w:t>
    </w:r>
  </w:p>
  <w:p w14:paraId="500A7AAB" w14:textId="77777777" w:rsidR="00B13BF4" w:rsidRPr="00A45145" w:rsidRDefault="00B13BF4" w:rsidP="00B13BF4">
    <w:pPr>
      <w:jc w:val="right"/>
    </w:pPr>
  </w:p>
  <w:p w14:paraId="30803EE6" w14:textId="29E0E8F9" w:rsidR="0098410D" w:rsidRPr="00E67565" w:rsidRDefault="009841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FFC00" w14:textId="7F45B830" w:rsidR="00182EBA" w:rsidRPr="004D0EC7" w:rsidRDefault="00250DE1" w:rsidP="004D0EC7">
    <w:pPr>
      <w:pStyle w:val="JuHeader"/>
    </w:pPr>
    <w:r>
      <w:t>HOTĂRÂREA CĂLIN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5C645" w14:textId="1D2D0F48" w:rsidR="00182EBA" w:rsidRPr="00882CD5" w:rsidRDefault="00250DE1" w:rsidP="007D3701">
    <w:pPr>
      <w:pStyle w:val="JuHeader"/>
    </w:pPr>
    <w:r>
      <w:t xml:space="preserve">HOTĂRÂREA </w:t>
    </w:r>
    <w:r>
      <w:t>CĂLIN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8"/>
  </w:num>
  <w:num w:numId="2">
    <w:abstractNumId w:val="14"/>
  </w:num>
  <w:num w:numId="3">
    <w:abstractNumId w:val="12"/>
  </w:num>
  <w:num w:numId="4">
    <w:abstractNumId w:val="11"/>
  </w:num>
  <w:num w:numId="5">
    <w:abstractNumId w:val="15"/>
  </w:num>
  <w:num w:numId="6">
    <w:abstractNumId w:val="13"/>
  </w:num>
  <w:num w:numId="7">
    <w:abstractNumId w:val="16"/>
  </w:num>
  <w:num w:numId="8">
    <w:abstractNumId w:val="15"/>
  </w:num>
  <w:num w:numId="9">
    <w:abstractNumId w:val="16"/>
  </w:num>
  <w:num w:numId="10">
    <w:abstractNumId w:val="10"/>
  </w:num>
  <w:num w:numId="11">
    <w:abstractNumId w:val="9"/>
  </w:num>
  <w:num w:numId="12">
    <w:abstractNumId w:val="17"/>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457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250DE1"/>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602DF"/>
    <w:rsid w:val="00061B05"/>
    <w:rsid w:val="000632D5"/>
    <w:rsid w:val="000644EE"/>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738"/>
    <w:rsid w:val="00210338"/>
    <w:rsid w:val="002115FC"/>
    <w:rsid w:val="0021423C"/>
    <w:rsid w:val="00230D00"/>
    <w:rsid w:val="00231DF7"/>
    <w:rsid w:val="00231FD1"/>
    <w:rsid w:val="002339E0"/>
    <w:rsid w:val="00233CF8"/>
    <w:rsid w:val="0023575D"/>
    <w:rsid w:val="00237148"/>
    <w:rsid w:val="0024222D"/>
    <w:rsid w:val="002422B6"/>
    <w:rsid w:val="00244B0E"/>
    <w:rsid w:val="00244F6C"/>
    <w:rsid w:val="00246B89"/>
    <w:rsid w:val="00250DE1"/>
    <w:rsid w:val="00252C4E"/>
    <w:rsid w:val="002532C5"/>
    <w:rsid w:val="00254DF2"/>
    <w:rsid w:val="00260C03"/>
    <w:rsid w:val="0026439A"/>
    <w:rsid w:val="0026540E"/>
    <w:rsid w:val="00275123"/>
    <w:rsid w:val="00281B7C"/>
    <w:rsid w:val="00282240"/>
    <w:rsid w:val="00282BD8"/>
    <w:rsid w:val="002830F6"/>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1847"/>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07AC0"/>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36D67"/>
    <w:rsid w:val="00741404"/>
    <w:rsid w:val="007449E5"/>
    <w:rsid w:val="0074750E"/>
    <w:rsid w:val="00747FF0"/>
    <w:rsid w:val="0075566E"/>
    <w:rsid w:val="0076043E"/>
    <w:rsid w:val="00763602"/>
    <w:rsid w:val="00764D4E"/>
    <w:rsid w:val="00765A1F"/>
    <w:rsid w:val="00775B6D"/>
    <w:rsid w:val="00776D68"/>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B02DC"/>
    <w:rsid w:val="008B092C"/>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541E"/>
    <w:rsid w:val="00A57147"/>
    <w:rsid w:val="00A6035E"/>
    <w:rsid w:val="00A614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4CD4"/>
    <w:rsid w:val="00AE0A2E"/>
    <w:rsid w:val="00AE354C"/>
    <w:rsid w:val="00AF4B07"/>
    <w:rsid w:val="00AF6186"/>
    <w:rsid w:val="00AF7A3A"/>
    <w:rsid w:val="00B02587"/>
    <w:rsid w:val="00B049D1"/>
    <w:rsid w:val="00B13BF4"/>
    <w:rsid w:val="00B160DB"/>
    <w:rsid w:val="00B20836"/>
    <w:rsid w:val="00B235BB"/>
    <w:rsid w:val="00B27A44"/>
    <w:rsid w:val="00B30BBF"/>
    <w:rsid w:val="00B33C03"/>
    <w:rsid w:val="00B4421F"/>
    <w:rsid w:val="00B44E56"/>
    <w:rsid w:val="00B45917"/>
    <w:rsid w:val="00B46543"/>
    <w:rsid w:val="00B47D33"/>
    <w:rsid w:val="00B52BE0"/>
    <w:rsid w:val="00B54133"/>
    <w:rsid w:val="00B63496"/>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623"/>
    <w:rsid w:val="00BB68EA"/>
    <w:rsid w:val="00BC0B99"/>
    <w:rsid w:val="00BC1C27"/>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8C0"/>
    <w:rsid w:val="00C53F4A"/>
    <w:rsid w:val="00C54125"/>
    <w:rsid w:val="00C55B54"/>
    <w:rsid w:val="00C6098E"/>
    <w:rsid w:val="00C6152C"/>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8A8"/>
    <w:rsid w:val="00D977B6"/>
    <w:rsid w:val="00DA1223"/>
    <w:rsid w:val="00DA4A31"/>
    <w:rsid w:val="00DA7B04"/>
    <w:rsid w:val="00DB0EFA"/>
    <w:rsid w:val="00DB36C2"/>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532"/>
    <w:rsid w:val="00E459C6"/>
    <w:rsid w:val="00E4758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7BE0"/>
    <w:rsid w:val="00EC315E"/>
    <w:rsid w:val="00EC6F14"/>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B6A"/>
    <w:rsid w:val="00F13D80"/>
    <w:rsid w:val="00F15B4D"/>
    <w:rsid w:val="00F16A7C"/>
    <w:rsid w:val="00F16AAA"/>
    <w:rsid w:val="00F1709C"/>
    <w:rsid w:val="00F21161"/>
    <w:rsid w:val="00F218EF"/>
    <w:rsid w:val="00F21B8E"/>
    <w:rsid w:val="00F21BC7"/>
    <w:rsid w:val="00F266A2"/>
    <w:rsid w:val="00F32269"/>
    <w:rsid w:val="00F35B7A"/>
    <w:rsid w:val="00F56A6F"/>
    <w:rsid w:val="00F5709C"/>
    <w:rsid w:val="00F60B85"/>
    <w:rsid w:val="00F64EF1"/>
    <w:rsid w:val="00F72B14"/>
    <w:rsid w:val="00F7349B"/>
    <w:rsid w:val="00F8765F"/>
    <w:rsid w:val="00F90767"/>
    <w:rsid w:val="00F9263C"/>
    <w:rsid w:val="00F95CD7"/>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4115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DB0EFA"/>
    <w:rPr>
      <w:sz w:val="24"/>
      <w:szCs w:val="24"/>
    </w:rPr>
  </w:style>
  <w:style w:type="paragraph" w:styleId="Heading1">
    <w:name w:val="heading 1"/>
    <w:basedOn w:val="Normal"/>
    <w:next w:val="Normal"/>
    <w:link w:val="Heading1Char"/>
    <w:uiPriority w:val="98"/>
    <w:semiHidden/>
    <w:rsid w:val="00DB0EF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B0EF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B0EFA"/>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B0EFA"/>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B0EFA"/>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B0EFA"/>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B0EFA"/>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B0EF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B0EF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DB0EFA"/>
    <w:rPr>
      <w:rFonts w:ascii="Tahoma" w:hAnsi="Tahoma" w:cs="Tahoma"/>
      <w:sz w:val="16"/>
      <w:szCs w:val="16"/>
    </w:rPr>
  </w:style>
  <w:style w:type="character" w:customStyle="1" w:styleId="BalloonTextChar">
    <w:name w:val="Balloon Text Char"/>
    <w:basedOn w:val="DefaultParagraphFont"/>
    <w:link w:val="BalloonText"/>
    <w:uiPriority w:val="98"/>
    <w:semiHidden/>
    <w:rsid w:val="00DB0EFA"/>
    <w:rPr>
      <w:rFonts w:ascii="Tahoma" w:hAnsi="Tahoma" w:cs="Tahoma"/>
      <w:sz w:val="16"/>
      <w:szCs w:val="16"/>
      <w:lang w:val="ro-RO"/>
    </w:rPr>
  </w:style>
  <w:style w:type="character" w:styleId="BookTitle">
    <w:name w:val="Book Title"/>
    <w:uiPriority w:val="98"/>
    <w:semiHidden/>
    <w:qFormat/>
    <w:rsid w:val="00DB0EFA"/>
    <w:rPr>
      <w:i/>
      <w:iCs/>
      <w:smallCaps/>
      <w:spacing w:val="5"/>
    </w:rPr>
  </w:style>
  <w:style w:type="paragraph" w:customStyle="1" w:styleId="JuHeader">
    <w:name w:val="Ju_Header"/>
    <w:aliases w:val="_Header"/>
    <w:basedOn w:val="Header"/>
    <w:uiPriority w:val="29"/>
    <w:qFormat/>
    <w:rsid w:val="00DB0EFA"/>
    <w:pPr>
      <w:tabs>
        <w:tab w:val="clear" w:pos="4536"/>
        <w:tab w:val="clear" w:pos="9072"/>
      </w:tabs>
      <w:jc w:val="center"/>
    </w:pPr>
    <w:rPr>
      <w:sz w:val="18"/>
    </w:rPr>
  </w:style>
  <w:style w:type="paragraph" w:customStyle="1" w:styleId="NormalJustified">
    <w:name w:val="Normal_Justified"/>
    <w:basedOn w:val="Normal"/>
    <w:semiHidden/>
    <w:rsid w:val="00DB0EFA"/>
    <w:pPr>
      <w:jc w:val="both"/>
    </w:pPr>
  </w:style>
  <w:style w:type="character" w:styleId="Strong">
    <w:name w:val="Strong"/>
    <w:uiPriority w:val="98"/>
    <w:semiHidden/>
    <w:qFormat/>
    <w:rsid w:val="00DB0EFA"/>
    <w:rPr>
      <w:b/>
      <w:bCs/>
    </w:rPr>
  </w:style>
  <w:style w:type="paragraph" w:styleId="NoSpacing">
    <w:name w:val="No Spacing"/>
    <w:basedOn w:val="Normal"/>
    <w:link w:val="NoSpacingChar"/>
    <w:uiPriority w:val="98"/>
    <w:semiHidden/>
    <w:qFormat/>
    <w:rsid w:val="00DB0EFA"/>
  </w:style>
  <w:style w:type="character" w:customStyle="1" w:styleId="NoSpacingChar">
    <w:name w:val="No Spacing Char"/>
    <w:basedOn w:val="DefaultParagraphFont"/>
    <w:link w:val="NoSpacing"/>
    <w:uiPriority w:val="98"/>
    <w:semiHidden/>
    <w:rsid w:val="00DB0EFA"/>
    <w:rPr>
      <w:sz w:val="24"/>
      <w:szCs w:val="24"/>
      <w:lang w:val="ro-RO"/>
    </w:rPr>
  </w:style>
  <w:style w:type="paragraph" w:customStyle="1" w:styleId="JuQuot">
    <w:name w:val="Ju_Quot"/>
    <w:aliases w:val="_Quote"/>
    <w:basedOn w:val="NormalJustified"/>
    <w:uiPriority w:val="20"/>
    <w:qFormat/>
    <w:rsid w:val="00DB0EFA"/>
    <w:pPr>
      <w:spacing w:before="120" w:after="120"/>
      <w:ind w:left="425" w:firstLine="142"/>
    </w:pPr>
    <w:rPr>
      <w:sz w:val="20"/>
    </w:rPr>
  </w:style>
  <w:style w:type="paragraph" w:customStyle="1" w:styleId="DummyStyle">
    <w:name w:val="Dummy_Style"/>
    <w:aliases w:val="_Dummy"/>
    <w:basedOn w:val="Normal"/>
    <w:semiHidden/>
    <w:qFormat/>
    <w:rsid w:val="00DB0EFA"/>
    <w:rPr>
      <w:color w:val="00B050"/>
      <w:sz w:val="22"/>
    </w:rPr>
  </w:style>
  <w:style w:type="paragraph" w:customStyle="1" w:styleId="JuList">
    <w:name w:val="Ju_List"/>
    <w:aliases w:val="_List_1"/>
    <w:basedOn w:val="NormalJustified"/>
    <w:uiPriority w:val="23"/>
    <w:qFormat/>
    <w:rsid w:val="00DB0EFA"/>
    <w:pPr>
      <w:numPr>
        <w:numId w:val="11"/>
      </w:numPr>
      <w:spacing w:before="280" w:after="60"/>
    </w:pPr>
  </w:style>
  <w:style w:type="paragraph" w:customStyle="1" w:styleId="JuLista">
    <w:name w:val="Ju_List_a"/>
    <w:aliases w:val="_List_2"/>
    <w:basedOn w:val="NormalJustified"/>
    <w:uiPriority w:val="23"/>
    <w:rsid w:val="00DB0EFA"/>
    <w:pPr>
      <w:numPr>
        <w:ilvl w:val="1"/>
        <w:numId w:val="11"/>
      </w:numPr>
    </w:pPr>
  </w:style>
  <w:style w:type="paragraph" w:customStyle="1" w:styleId="JuListi">
    <w:name w:val="Ju_List_i"/>
    <w:aliases w:val="_List_3"/>
    <w:basedOn w:val="NormalJustified"/>
    <w:uiPriority w:val="23"/>
    <w:rsid w:val="00DB0EFA"/>
    <w:pPr>
      <w:numPr>
        <w:ilvl w:val="2"/>
        <w:numId w:val="11"/>
      </w:numPr>
    </w:pPr>
  </w:style>
  <w:style w:type="paragraph" w:customStyle="1" w:styleId="JuHArticle">
    <w:name w:val="Ju_H_Article"/>
    <w:aliases w:val="_Title_Quote"/>
    <w:basedOn w:val="Normal"/>
    <w:next w:val="JuQuot"/>
    <w:uiPriority w:val="19"/>
    <w:qFormat/>
    <w:rsid w:val="00DB0EFA"/>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DB0EFA"/>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DB0EFA"/>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DB0EFA"/>
    <w:pPr>
      <w:keepNext/>
      <w:keepLines/>
      <w:numPr>
        <w:numId w:val="10"/>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DB0EFA"/>
    <w:pPr>
      <w:numPr>
        <w:numId w:val="5"/>
      </w:numPr>
    </w:pPr>
  </w:style>
  <w:style w:type="paragraph" w:customStyle="1" w:styleId="JuSigned">
    <w:name w:val="Ju_Signed"/>
    <w:aliases w:val="_Signature"/>
    <w:basedOn w:val="Normal"/>
    <w:next w:val="JuPara"/>
    <w:uiPriority w:val="31"/>
    <w:qFormat/>
    <w:rsid w:val="00DB0EFA"/>
    <w:pPr>
      <w:tabs>
        <w:tab w:val="center" w:pos="1418"/>
        <w:tab w:val="center" w:pos="5954"/>
      </w:tabs>
      <w:spacing w:before="720"/>
    </w:pPr>
  </w:style>
  <w:style w:type="paragraph" w:styleId="Title">
    <w:name w:val="Title"/>
    <w:basedOn w:val="Normal"/>
    <w:next w:val="Normal"/>
    <w:link w:val="TitleChar"/>
    <w:uiPriority w:val="98"/>
    <w:semiHidden/>
    <w:qFormat/>
    <w:rsid w:val="00DB0EF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B0EFA"/>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DB0EFA"/>
    <w:pPr>
      <w:numPr>
        <w:numId w:val="6"/>
      </w:numPr>
    </w:pPr>
  </w:style>
  <w:style w:type="numbering" w:customStyle="1" w:styleId="ECHRA1StyleNumberedList">
    <w:name w:val="ECHR_A1_Style_Numbered_List"/>
    <w:basedOn w:val="NoList"/>
    <w:rsid w:val="00DB0EFA"/>
    <w:pPr>
      <w:numPr>
        <w:numId w:val="7"/>
      </w:numPr>
    </w:pPr>
  </w:style>
  <w:style w:type="table" w:customStyle="1" w:styleId="ECHRTable2019">
    <w:name w:val="ECHR_Table_2019"/>
    <w:basedOn w:val="TableNormal"/>
    <w:uiPriority w:val="99"/>
    <w:rsid w:val="00DB0EF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DB0EFA"/>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DB0EFA"/>
    <w:pPr>
      <w:keepNext/>
      <w:keepLines/>
      <w:numPr>
        <w:ilvl w:val="1"/>
        <w:numId w:val="1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DB0EFA"/>
    <w:pPr>
      <w:keepNext/>
      <w:keepLines/>
      <w:numPr>
        <w:ilvl w:val="2"/>
        <w:numId w:val="1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DB0EFA"/>
    <w:pPr>
      <w:keepNext/>
      <w:keepLines/>
      <w:numPr>
        <w:ilvl w:val="3"/>
        <w:numId w:val="10"/>
      </w:numPr>
      <w:spacing w:before="100" w:beforeAutospacing="1" w:after="120"/>
      <w:jc w:val="both"/>
    </w:pPr>
    <w:rPr>
      <w:b w:val="0"/>
      <w:color w:val="auto"/>
      <w:sz w:val="24"/>
    </w:rPr>
  </w:style>
  <w:style w:type="paragraph" w:styleId="Header">
    <w:name w:val="header"/>
    <w:basedOn w:val="Normal"/>
    <w:link w:val="HeaderChar"/>
    <w:uiPriority w:val="98"/>
    <w:semiHidden/>
    <w:rsid w:val="00DB0EFA"/>
    <w:pPr>
      <w:tabs>
        <w:tab w:val="center" w:pos="4536"/>
        <w:tab w:val="right" w:pos="9072"/>
      </w:tabs>
    </w:pPr>
  </w:style>
  <w:style w:type="character" w:customStyle="1" w:styleId="HeaderChar">
    <w:name w:val="Header Char"/>
    <w:basedOn w:val="DefaultParagraphFont"/>
    <w:link w:val="Header"/>
    <w:uiPriority w:val="98"/>
    <w:semiHidden/>
    <w:rsid w:val="00DB0EFA"/>
    <w:rPr>
      <w:sz w:val="24"/>
      <w:szCs w:val="24"/>
      <w:lang w:val="ro-RO"/>
    </w:rPr>
  </w:style>
  <w:style w:type="character" w:customStyle="1" w:styleId="Heading1Char">
    <w:name w:val="Heading 1 Char"/>
    <w:basedOn w:val="DefaultParagraphFont"/>
    <w:link w:val="Heading1"/>
    <w:uiPriority w:val="98"/>
    <w:semiHidden/>
    <w:rsid w:val="00DB0EFA"/>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DB0EFA"/>
    <w:pPr>
      <w:keepNext/>
      <w:keepLines/>
      <w:numPr>
        <w:ilvl w:val="4"/>
        <w:numId w:val="10"/>
      </w:numPr>
      <w:spacing w:before="100" w:beforeAutospacing="1" w:after="120"/>
      <w:jc w:val="both"/>
    </w:pPr>
    <w:rPr>
      <w:color w:val="auto"/>
      <w:sz w:val="20"/>
    </w:rPr>
  </w:style>
  <w:style w:type="paragraph" w:customStyle="1" w:styleId="JuHi">
    <w:name w:val="Ju_H_i"/>
    <w:aliases w:val="_Head_6"/>
    <w:basedOn w:val="Heading6"/>
    <w:next w:val="JuPara"/>
    <w:uiPriority w:val="17"/>
    <w:rsid w:val="00DB0EFA"/>
    <w:pPr>
      <w:keepNext/>
      <w:keepLines/>
      <w:numPr>
        <w:ilvl w:val="5"/>
        <w:numId w:val="1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DB0EFA"/>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DB0EFA"/>
    <w:pPr>
      <w:keepNext/>
      <w:keepLines/>
      <w:numPr>
        <w:ilvl w:val="6"/>
        <w:numId w:val="10"/>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DB0EFA"/>
    <w:pPr>
      <w:keepNext/>
      <w:keepLines/>
      <w:numPr>
        <w:ilvl w:val="7"/>
        <w:numId w:val="10"/>
      </w:numPr>
      <w:spacing w:before="100" w:beforeAutospacing="1" w:after="120"/>
      <w:jc w:val="both"/>
    </w:pPr>
    <w:rPr>
      <w:i/>
    </w:rPr>
  </w:style>
  <w:style w:type="character" w:customStyle="1" w:styleId="Heading3Char">
    <w:name w:val="Heading 3 Char"/>
    <w:basedOn w:val="DefaultParagraphFont"/>
    <w:link w:val="Heading3"/>
    <w:uiPriority w:val="98"/>
    <w:semiHidden/>
    <w:rsid w:val="00DB0EFA"/>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DB0EFA"/>
    <w:pPr>
      <w:keepNext/>
      <w:keepLines/>
      <w:spacing w:before="240" w:after="240"/>
      <w:ind w:firstLine="284"/>
    </w:pPr>
  </w:style>
  <w:style w:type="paragraph" w:customStyle="1" w:styleId="JuJudges">
    <w:name w:val="Ju_Judges"/>
    <w:aliases w:val="_Judges"/>
    <w:basedOn w:val="Normal"/>
    <w:uiPriority w:val="32"/>
    <w:qFormat/>
    <w:rsid w:val="00DB0EFA"/>
    <w:pPr>
      <w:tabs>
        <w:tab w:val="left" w:pos="567"/>
        <w:tab w:val="left" w:pos="1134"/>
      </w:tabs>
    </w:pPr>
  </w:style>
  <w:style w:type="character" w:customStyle="1" w:styleId="Heading4Char">
    <w:name w:val="Heading 4 Char"/>
    <w:basedOn w:val="DefaultParagraphFont"/>
    <w:link w:val="Heading4"/>
    <w:uiPriority w:val="98"/>
    <w:semiHidden/>
    <w:rsid w:val="00DB0EFA"/>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DB0EFA"/>
    <w:pPr>
      <w:tabs>
        <w:tab w:val="center" w:pos="6407"/>
      </w:tabs>
      <w:spacing w:before="720"/>
      <w:jc w:val="right"/>
    </w:pPr>
  </w:style>
  <w:style w:type="character" w:customStyle="1" w:styleId="Heading5Char">
    <w:name w:val="Heading 5 Char"/>
    <w:basedOn w:val="DefaultParagraphFont"/>
    <w:link w:val="Heading5"/>
    <w:uiPriority w:val="98"/>
    <w:semiHidden/>
    <w:rsid w:val="00DB0EFA"/>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DB0EFA"/>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DB0EFA"/>
    <w:rPr>
      <w:caps w:val="0"/>
      <w:smallCaps/>
    </w:rPr>
  </w:style>
  <w:style w:type="character" w:styleId="SubtleEmphasis">
    <w:name w:val="Subtle Emphasis"/>
    <w:uiPriority w:val="98"/>
    <w:semiHidden/>
    <w:qFormat/>
    <w:rsid w:val="00DB0EFA"/>
    <w:rPr>
      <w:i/>
      <w:iCs/>
    </w:rPr>
  </w:style>
  <w:style w:type="table" w:customStyle="1" w:styleId="ECHRTable">
    <w:name w:val="ECHR_Table"/>
    <w:basedOn w:val="TableNormal"/>
    <w:rsid w:val="00DB0EFA"/>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B0EF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DB0EFA"/>
    <w:rPr>
      <w:b/>
      <w:bCs/>
      <w:i/>
      <w:iCs/>
      <w:spacing w:val="10"/>
      <w:bdr w:val="none" w:sz="0" w:space="0" w:color="auto"/>
      <w:shd w:val="clear" w:color="auto" w:fill="auto"/>
    </w:rPr>
  </w:style>
  <w:style w:type="paragraph" w:styleId="Footer0">
    <w:name w:val="footer"/>
    <w:basedOn w:val="Normal"/>
    <w:link w:val="FooterChar"/>
    <w:uiPriority w:val="98"/>
    <w:semiHidden/>
    <w:rsid w:val="00DB0EFA"/>
    <w:pPr>
      <w:tabs>
        <w:tab w:val="center" w:pos="3686"/>
        <w:tab w:val="right" w:pos="7371"/>
      </w:tabs>
    </w:pPr>
  </w:style>
  <w:style w:type="character" w:customStyle="1" w:styleId="FooterChar">
    <w:name w:val="Footer Char"/>
    <w:basedOn w:val="DefaultParagraphFont"/>
    <w:link w:val="Footer0"/>
    <w:uiPriority w:val="98"/>
    <w:semiHidden/>
    <w:rsid w:val="00DB0EFA"/>
    <w:rPr>
      <w:sz w:val="24"/>
      <w:szCs w:val="24"/>
      <w:lang w:val="ro-RO"/>
    </w:rPr>
  </w:style>
  <w:style w:type="character" w:styleId="FootnoteReference">
    <w:name w:val="footnote reference"/>
    <w:basedOn w:val="DefaultParagraphFont"/>
    <w:uiPriority w:val="98"/>
    <w:semiHidden/>
    <w:rsid w:val="00DB0EFA"/>
    <w:rPr>
      <w:vertAlign w:val="superscript"/>
    </w:rPr>
  </w:style>
  <w:style w:type="paragraph" w:styleId="FootnoteText">
    <w:name w:val="footnote text"/>
    <w:basedOn w:val="NormalJustified"/>
    <w:link w:val="FootnoteTextChar"/>
    <w:uiPriority w:val="98"/>
    <w:semiHidden/>
    <w:rsid w:val="00DB0EFA"/>
    <w:rPr>
      <w:sz w:val="20"/>
      <w:szCs w:val="20"/>
    </w:rPr>
  </w:style>
  <w:style w:type="character" w:customStyle="1" w:styleId="FootnoteTextChar">
    <w:name w:val="Footnote Text Char"/>
    <w:basedOn w:val="DefaultParagraphFont"/>
    <w:link w:val="FootnoteText"/>
    <w:uiPriority w:val="98"/>
    <w:semiHidden/>
    <w:rsid w:val="00DB0EFA"/>
    <w:rPr>
      <w:sz w:val="20"/>
      <w:szCs w:val="20"/>
      <w:lang w:val="ro-RO"/>
    </w:rPr>
  </w:style>
  <w:style w:type="character" w:customStyle="1" w:styleId="Heading6Char">
    <w:name w:val="Heading 6 Char"/>
    <w:basedOn w:val="DefaultParagraphFont"/>
    <w:link w:val="Heading6"/>
    <w:uiPriority w:val="98"/>
    <w:semiHidden/>
    <w:rsid w:val="00DB0EFA"/>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DB0EFA"/>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DB0EF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DB0EFA"/>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DB0EFA"/>
    <w:rPr>
      <w:color w:val="0072BC" w:themeColor="hyperlink"/>
      <w:u w:val="single"/>
    </w:rPr>
  </w:style>
  <w:style w:type="character" w:styleId="IntenseEmphasis">
    <w:name w:val="Intense Emphasis"/>
    <w:uiPriority w:val="98"/>
    <w:semiHidden/>
    <w:qFormat/>
    <w:rsid w:val="00DB0EFA"/>
    <w:rPr>
      <w:b/>
      <w:bCs/>
    </w:rPr>
  </w:style>
  <w:style w:type="paragraph" w:styleId="IntenseQuote">
    <w:name w:val="Intense Quote"/>
    <w:basedOn w:val="Normal"/>
    <w:next w:val="Normal"/>
    <w:link w:val="IntenseQuoteChar"/>
    <w:uiPriority w:val="98"/>
    <w:semiHidden/>
    <w:qFormat/>
    <w:rsid w:val="00DB0EF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B0EFA"/>
    <w:rPr>
      <w:b/>
      <w:bCs/>
      <w:i/>
      <w:iCs/>
      <w:sz w:val="24"/>
      <w:szCs w:val="24"/>
      <w:lang w:val="ro-RO" w:bidi="en-US"/>
    </w:rPr>
  </w:style>
  <w:style w:type="character" w:styleId="IntenseReference">
    <w:name w:val="Intense Reference"/>
    <w:uiPriority w:val="98"/>
    <w:semiHidden/>
    <w:qFormat/>
    <w:rsid w:val="00DB0EFA"/>
    <w:rPr>
      <w:smallCaps/>
      <w:spacing w:val="5"/>
      <w:u w:val="single"/>
    </w:rPr>
  </w:style>
  <w:style w:type="paragraph" w:styleId="ListParagraph">
    <w:name w:val="List Paragraph"/>
    <w:basedOn w:val="Normal"/>
    <w:uiPriority w:val="98"/>
    <w:semiHidden/>
    <w:qFormat/>
    <w:rsid w:val="00DB0EFA"/>
    <w:pPr>
      <w:ind w:left="720"/>
      <w:contextualSpacing/>
    </w:pPr>
  </w:style>
  <w:style w:type="table" w:customStyle="1" w:styleId="LtrTableAddress">
    <w:name w:val="Ltr_Table_Address"/>
    <w:aliases w:val="ECHR_Ltr_Table_Address"/>
    <w:basedOn w:val="TableNormal"/>
    <w:uiPriority w:val="99"/>
    <w:rsid w:val="00DB0EFA"/>
    <w:rPr>
      <w:sz w:val="24"/>
      <w:szCs w:val="24"/>
    </w:rPr>
    <w:tblPr>
      <w:tblInd w:w="5103" w:type="dxa"/>
    </w:tblPr>
  </w:style>
  <w:style w:type="paragraph" w:styleId="Quote">
    <w:name w:val="Quote"/>
    <w:basedOn w:val="Normal"/>
    <w:next w:val="Normal"/>
    <w:link w:val="QuoteChar"/>
    <w:uiPriority w:val="98"/>
    <w:semiHidden/>
    <w:qFormat/>
    <w:rsid w:val="00DB0EFA"/>
    <w:pPr>
      <w:spacing w:before="200"/>
      <w:ind w:left="360" w:right="360"/>
    </w:pPr>
    <w:rPr>
      <w:i/>
      <w:iCs/>
      <w:lang w:bidi="en-US"/>
    </w:rPr>
  </w:style>
  <w:style w:type="character" w:customStyle="1" w:styleId="QuoteChar">
    <w:name w:val="Quote Char"/>
    <w:basedOn w:val="DefaultParagraphFont"/>
    <w:link w:val="Quote"/>
    <w:uiPriority w:val="98"/>
    <w:semiHidden/>
    <w:rsid w:val="00DB0EFA"/>
    <w:rPr>
      <w:i/>
      <w:iCs/>
      <w:sz w:val="24"/>
      <w:szCs w:val="24"/>
      <w:lang w:val="ro-RO" w:bidi="en-US"/>
    </w:rPr>
  </w:style>
  <w:style w:type="character" w:styleId="SubtleReference">
    <w:name w:val="Subtle Reference"/>
    <w:uiPriority w:val="98"/>
    <w:semiHidden/>
    <w:qFormat/>
    <w:rsid w:val="00DB0EFA"/>
    <w:rPr>
      <w:smallCaps/>
    </w:rPr>
  </w:style>
  <w:style w:type="table" w:styleId="TableGrid">
    <w:name w:val="Table Grid"/>
    <w:basedOn w:val="TableNormal"/>
    <w:uiPriority w:val="59"/>
    <w:semiHidden/>
    <w:rsid w:val="00DB0EFA"/>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DB0EF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B0EF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B0EF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B0EFA"/>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B0EFA"/>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DB0EFA"/>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DB0EFA"/>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DB0EFA"/>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DB0EFA"/>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B0EFA"/>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B0EFA"/>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DB0EFA"/>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DB0EFA"/>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DB0EFA"/>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B0EFA"/>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DB0EFA"/>
    <w:pPr>
      <w:numPr>
        <w:numId w:val="2"/>
      </w:numPr>
    </w:pPr>
  </w:style>
  <w:style w:type="paragraph" w:customStyle="1" w:styleId="JuPara">
    <w:name w:val="Ju_Para"/>
    <w:aliases w:val="_Para"/>
    <w:basedOn w:val="NormalJustified"/>
    <w:link w:val="JuParaChar"/>
    <w:uiPriority w:val="4"/>
    <w:qFormat/>
    <w:rsid w:val="00DB0EFA"/>
    <w:pPr>
      <w:ind w:firstLine="284"/>
    </w:pPr>
  </w:style>
  <w:style w:type="numbering" w:styleId="1ai">
    <w:name w:val="Outline List 1"/>
    <w:basedOn w:val="NoList"/>
    <w:uiPriority w:val="99"/>
    <w:semiHidden/>
    <w:unhideWhenUsed/>
    <w:rsid w:val="00DB0EFA"/>
    <w:pPr>
      <w:numPr>
        <w:numId w:val="3"/>
      </w:numPr>
    </w:pPr>
  </w:style>
  <w:style w:type="table" w:customStyle="1" w:styleId="ECHRTableSimpleBox">
    <w:name w:val="ECHR_Table_Simple_Box"/>
    <w:basedOn w:val="TableNormal"/>
    <w:uiPriority w:val="99"/>
    <w:rsid w:val="00DB0EFA"/>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B0EFA"/>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B0EFA"/>
    <w:pPr>
      <w:numPr>
        <w:numId w:val="4"/>
      </w:numPr>
    </w:pPr>
  </w:style>
  <w:style w:type="table" w:customStyle="1" w:styleId="ECHRTableForInternalUse">
    <w:name w:val="ECHR_Table_For_Internal_Use"/>
    <w:basedOn w:val="TableNormal"/>
    <w:uiPriority w:val="99"/>
    <w:rsid w:val="00DB0EFA"/>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B0EFA"/>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DB0EFA"/>
  </w:style>
  <w:style w:type="paragraph" w:styleId="BlockText">
    <w:name w:val="Block Text"/>
    <w:basedOn w:val="Normal"/>
    <w:uiPriority w:val="98"/>
    <w:semiHidden/>
    <w:rsid w:val="00DB0EF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DB0EFA"/>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DB0EFA"/>
    <w:pPr>
      <w:spacing w:after="120"/>
    </w:pPr>
  </w:style>
  <w:style w:type="character" w:customStyle="1" w:styleId="BodyTextChar">
    <w:name w:val="Body Text Char"/>
    <w:basedOn w:val="DefaultParagraphFont"/>
    <w:link w:val="BodyText"/>
    <w:uiPriority w:val="98"/>
    <w:semiHidden/>
    <w:rsid w:val="00DB0EFA"/>
    <w:rPr>
      <w:sz w:val="24"/>
      <w:szCs w:val="24"/>
      <w:lang w:val="ro-RO"/>
    </w:rPr>
  </w:style>
  <w:style w:type="table" w:customStyle="1" w:styleId="ECHRTableOddBanded">
    <w:name w:val="ECHR_Table_Odd_Banded"/>
    <w:basedOn w:val="TableNormal"/>
    <w:uiPriority w:val="99"/>
    <w:rsid w:val="00DB0EFA"/>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DB0EFA"/>
    <w:pPr>
      <w:spacing w:after="120" w:line="480" w:lineRule="auto"/>
    </w:pPr>
  </w:style>
  <w:style w:type="table" w:customStyle="1" w:styleId="ECHRHeaderTableReduced">
    <w:name w:val="ECHR_Header_Table_Reduced"/>
    <w:basedOn w:val="TableNormal"/>
    <w:uiPriority w:val="99"/>
    <w:rsid w:val="00DB0EFA"/>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DB0EFA"/>
    <w:pPr>
      <w:ind w:firstLine="284"/>
    </w:pPr>
    <w:rPr>
      <w:b/>
    </w:rPr>
  </w:style>
  <w:style w:type="character" w:styleId="PageNumber">
    <w:name w:val="page number"/>
    <w:uiPriority w:val="98"/>
    <w:semiHidden/>
    <w:rsid w:val="00DB0EFA"/>
    <w:rPr>
      <w:sz w:val="18"/>
    </w:rPr>
  </w:style>
  <w:style w:type="paragraph" w:styleId="ListBullet">
    <w:name w:val="List Bullet"/>
    <w:basedOn w:val="Normal"/>
    <w:uiPriority w:val="98"/>
    <w:semiHidden/>
    <w:rsid w:val="00DB0EFA"/>
    <w:pPr>
      <w:numPr>
        <w:numId w:val="12"/>
      </w:numPr>
    </w:pPr>
  </w:style>
  <w:style w:type="paragraph" w:styleId="ListBullet3">
    <w:name w:val="List Bullet 3"/>
    <w:basedOn w:val="Normal"/>
    <w:uiPriority w:val="98"/>
    <w:semiHidden/>
    <w:rsid w:val="00DB0EFA"/>
    <w:pPr>
      <w:numPr>
        <w:numId w:val="14"/>
      </w:numPr>
      <w:contextualSpacing/>
    </w:pPr>
  </w:style>
  <w:style w:type="character" w:customStyle="1" w:styleId="BodyText2Char">
    <w:name w:val="Body Text 2 Char"/>
    <w:basedOn w:val="DefaultParagraphFont"/>
    <w:link w:val="BodyText2"/>
    <w:uiPriority w:val="98"/>
    <w:semiHidden/>
    <w:rsid w:val="00DB0EFA"/>
    <w:rPr>
      <w:sz w:val="24"/>
      <w:szCs w:val="24"/>
      <w:lang w:val="ro-RO"/>
    </w:rPr>
  </w:style>
  <w:style w:type="paragraph" w:styleId="BodyText3">
    <w:name w:val="Body Text 3"/>
    <w:basedOn w:val="Normal"/>
    <w:link w:val="BodyText3Char"/>
    <w:uiPriority w:val="98"/>
    <w:semiHidden/>
    <w:rsid w:val="00DB0EFA"/>
    <w:pPr>
      <w:spacing w:after="120"/>
    </w:pPr>
    <w:rPr>
      <w:sz w:val="16"/>
      <w:szCs w:val="16"/>
    </w:rPr>
  </w:style>
  <w:style w:type="character" w:customStyle="1" w:styleId="BodyText3Char">
    <w:name w:val="Body Text 3 Char"/>
    <w:basedOn w:val="DefaultParagraphFont"/>
    <w:link w:val="BodyText3"/>
    <w:uiPriority w:val="98"/>
    <w:semiHidden/>
    <w:rsid w:val="00DB0EFA"/>
    <w:rPr>
      <w:sz w:val="16"/>
      <w:szCs w:val="16"/>
      <w:lang w:val="ro-RO"/>
    </w:rPr>
  </w:style>
  <w:style w:type="paragraph" w:styleId="BodyTextFirstIndent">
    <w:name w:val="Body Text First Indent"/>
    <w:basedOn w:val="BodyText"/>
    <w:link w:val="BodyTextFirstIndentChar"/>
    <w:uiPriority w:val="98"/>
    <w:semiHidden/>
    <w:rsid w:val="00DB0EFA"/>
    <w:pPr>
      <w:spacing w:after="0"/>
      <w:ind w:firstLine="360"/>
    </w:pPr>
  </w:style>
  <w:style w:type="character" w:customStyle="1" w:styleId="BodyTextFirstIndentChar">
    <w:name w:val="Body Text First Indent Char"/>
    <w:basedOn w:val="BodyTextChar"/>
    <w:link w:val="BodyTextFirstIndent"/>
    <w:uiPriority w:val="98"/>
    <w:semiHidden/>
    <w:rsid w:val="00DB0EFA"/>
    <w:rPr>
      <w:sz w:val="24"/>
      <w:szCs w:val="24"/>
      <w:lang w:val="ro-RO"/>
    </w:rPr>
  </w:style>
  <w:style w:type="paragraph" w:styleId="BodyTextIndent">
    <w:name w:val="Body Text Indent"/>
    <w:basedOn w:val="Normal"/>
    <w:link w:val="BodyTextIndentChar"/>
    <w:uiPriority w:val="98"/>
    <w:semiHidden/>
    <w:rsid w:val="00DB0EFA"/>
    <w:pPr>
      <w:spacing w:after="120"/>
      <w:ind w:left="283"/>
    </w:pPr>
  </w:style>
  <w:style w:type="character" w:customStyle="1" w:styleId="BodyTextIndentChar">
    <w:name w:val="Body Text Indent Char"/>
    <w:basedOn w:val="DefaultParagraphFont"/>
    <w:link w:val="BodyTextIndent"/>
    <w:uiPriority w:val="98"/>
    <w:semiHidden/>
    <w:rsid w:val="00DB0EFA"/>
    <w:rPr>
      <w:sz w:val="24"/>
      <w:szCs w:val="24"/>
      <w:lang w:val="ro-RO"/>
    </w:rPr>
  </w:style>
  <w:style w:type="paragraph" w:styleId="BodyTextFirstIndent2">
    <w:name w:val="Body Text First Indent 2"/>
    <w:basedOn w:val="BodyTextIndent"/>
    <w:link w:val="BodyTextFirstIndent2Char"/>
    <w:uiPriority w:val="98"/>
    <w:semiHidden/>
    <w:rsid w:val="00DB0EFA"/>
    <w:pPr>
      <w:spacing w:after="0"/>
      <w:ind w:left="360" w:firstLine="360"/>
    </w:pPr>
  </w:style>
  <w:style w:type="character" w:customStyle="1" w:styleId="BodyTextFirstIndent2Char">
    <w:name w:val="Body Text First Indent 2 Char"/>
    <w:basedOn w:val="BodyTextIndentChar"/>
    <w:link w:val="BodyTextFirstIndent2"/>
    <w:uiPriority w:val="98"/>
    <w:semiHidden/>
    <w:rsid w:val="00DB0EFA"/>
    <w:rPr>
      <w:sz w:val="24"/>
      <w:szCs w:val="24"/>
      <w:lang w:val="ro-RO"/>
    </w:rPr>
  </w:style>
  <w:style w:type="paragraph" w:styleId="BodyTextIndent2">
    <w:name w:val="Body Text Indent 2"/>
    <w:basedOn w:val="Normal"/>
    <w:link w:val="BodyTextIndent2Char"/>
    <w:uiPriority w:val="98"/>
    <w:semiHidden/>
    <w:rsid w:val="00DB0EFA"/>
    <w:pPr>
      <w:spacing w:after="120" w:line="480" w:lineRule="auto"/>
      <w:ind w:left="283"/>
    </w:pPr>
  </w:style>
  <w:style w:type="character" w:customStyle="1" w:styleId="BodyTextIndent2Char">
    <w:name w:val="Body Text Indent 2 Char"/>
    <w:basedOn w:val="DefaultParagraphFont"/>
    <w:link w:val="BodyTextIndent2"/>
    <w:uiPriority w:val="98"/>
    <w:semiHidden/>
    <w:rsid w:val="00DB0EFA"/>
    <w:rPr>
      <w:sz w:val="24"/>
      <w:szCs w:val="24"/>
      <w:lang w:val="ro-RO"/>
    </w:rPr>
  </w:style>
  <w:style w:type="paragraph" w:styleId="BodyTextIndent3">
    <w:name w:val="Body Text Indent 3"/>
    <w:basedOn w:val="Normal"/>
    <w:link w:val="BodyTextIndent3Char"/>
    <w:uiPriority w:val="98"/>
    <w:semiHidden/>
    <w:rsid w:val="00DB0EFA"/>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B0EFA"/>
    <w:rPr>
      <w:sz w:val="16"/>
      <w:szCs w:val="16"/>
      <w:lang w:val="ro-RO"/>
    </w:rPr>
  </w:style>
  <w:style w:type="paragraph" w:styleId="Caption">
    <w:name w:val="caption"/>
    <w:basedOn w:val="Normal"/>
    <w:next w:val="Normal"/>
    <w:uiPriority w:val="98"/>
    <w:semiHidden/>
    <w:qFormat/>
    <w:rsid w:val="00DB0EFA"/>
    <w:pPr>
      <w:spacing w:after="200"/>
    </w:pPr>
    <w:rPr>
      <w:b/>
      <w:bCs/>
      <w:color w:val="0072BC" w:themeColor="accent1"/>
      <w:sz w:val="18"/>
      <w:szCs w:val="18"/>
    </w:rPr>
  </w:style>
  <w:style w:type="paragraph" w:styleId="Closing">
    <w:name w:val="Closing"/>
    <w:basedOn w:val="Normal"/>
    <w:link w:val="ClosingChar"/>
    <w:uiPriority w:val="98"/>
    <w:semiHidden/>
    <w:rsid w:val="00DB0EFA"/>
    <w:pPr>
      <w:ind w:left="4252"/>
    </w:pPr>
  </w:style>
  <w:style w:type="character" w:customStyle="1" w:styleId="ClosingChar">
    <w:name w:val="Closing Char"/>
    <w:basedOn w:val="DefaultParagraphFont"/>
    <w:link w:val="Closing"/>
    <w:uiPriority w:val="98"/>
    <w:semiHidden/>
    <w:rsid w:val="00DB0EFA"/>
    <w:rPr>
      <w:sz w:val="24"/>
      <w:szCs w:val="24"/>
      <w:lang w:val="ro-RO"/>
    </w:rPr>
  </w:style>
  <w:style w:type="table" w:styleId="ColorfulGrid">
    <w:name w:val="Colorful Grid"/>
    <w:basedOn w:val="TableNormal"/>
    <w:uiPriority w:val="73"/>
    <w:semiHidden/>
    <w:rsid w:val="00DB0EFA"/>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B0EFA"/>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B0EFA"/>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B0EF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DB0EFA"/>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B0EF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B0EFA"/>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B0EFA"/>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B0EFA"/>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B0EFA"/>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B0EFA"/>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DB0EFA"/>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B0EFA"/>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B0EFA"/>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B0EFA"/>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B0EFA"/>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B0EFA"/>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B0EFA"/>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DB0EFA"/>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B0EFA"/>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B0EFA"/>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DB0EFA"/>
    <w:rPr>
      <w:sz w:val="16"/>
      <w:szCs w:val="16"/>
    </w:rPr>
  </w:style>
  <w:style w:type="paragraph" w:styleId="CommentText">
    <w:name w:val="annotation text"/>
    <w:basedOn w:val="Normal"/>
    <w:link w:val="CommentTextChar"/>
    <w:uiPriority w:val="98"/>
    <w:semiHidden/>
    <w:rsid w:val="00DB0EFA"/>
    <w:rPr>
      <w:sz w:val="20"/>
      <w:szCs w:val="20"/>
    </w:rPr>
  </w:style>
  <w:style w:type="character" w:customStyle="1" w:styleId="CommentTextChar">
    <w:name w:val="Comment Text Char"/>
    <w:basedOn w:val="DefaultParagraphFont"/>
    <w:link w:val="CommentText"/>
    <w:uiPriority w:val="98"/>
    <w:semiHidden/>
    <w:rsid w:val="00DB0EFA"/>
    <w:rPr>
      <w:sz w:val="20"/>
      <w:szCs w:val="20"/>
      <w:lang w:val="ro-RO"/>
    </w:rPr>
  </w:style>
  <w:style w:type="paragraph" w:styleId="CommentSubject">
    <w:name w:val="annotation subject"/>
    <w:basedOn w:val="CommentText"/>
    <w:next w:val="CommentText"/>
    <w:link w:val="CommentSubjectChar"/>
    <w:uiPriority w:val="98"/>
    <w:semiHidden/>
    <w:rsid w:val="00DB0EFA"/>
    <w:rPr>
      <w:b/>
      <w:bCs/>
    </w:rPr>
  </w:style>
  <w:style w:type="character" w:customStyle="1" w:styleId="CommentSubjectChar">
    <w:name w:val="Comment Subject Char"/>
    <w:basedOn w:val="CommentTextChar"/>
    <w:link w:val="CommentSubject"/>
    <w:uiPriority w:val="98"/>
    <w:semiHidden/>
    <w:rsid w:val="00DB0EFA"/>
    <w:rPr>
      <w:b/>
      <w:bCs/>
      <w:sz w:val="20"/>
      <w:szCs w:val="20"/>
      <w:lang w:val="ro-RO"/>
    </w:rPr>
  </w:style>
  <w:style w:type="table" w:styleId="DarkList">
    <w:name w:val="Dark List"/>
    <w:basedOn w:val="TableNormal"/>
    <w:uiPriority w:val="70"/>
    <w:semiHidden/>
    <w:rsid w:val="00DB0EFA"/>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B0EFA"/>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B0EFA"/>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B0EFA"/>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DB0EFA"/>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B0EFA"/>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B0EFA"/>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B0EFA"/>
  </w:style>
  <w:style w:type="character" w:customStyle="1" w:styleId="DateChar">
    <w:name w:val="Date Char"/>
    <w:basedOn w:val="DefaultParagraphFont"/>
    <w:link w:val="Date"/>
    <w:uiPriority w:val="98"/>
    <w:semiHidden/>
    <w:rsid w:val="00DB0EFA"/>
    <w:rPr>
      <w:sz w:val="24"/>
      <w:szCs w:val="24"/>
      <w:lang w:val="ro-RO"/>
    </w:rPr>
  </w:style>
  <w:style w:type="paragraph" w:styleId="DocumentMap">
    <w:name w:val="Document Map"/>
    <w:basedOn w:val="Normal"/>
    <w:link w:val="DocumentMapChar"/>
    <w:uiPriority w:val="98"/>
    <w:semiHidden/>
    <w:rsid w:val="00DB0EFA"/>
    <w:rPr>
      <w:rFonts w:ascii="Tahoma" w:hAnsi="Tahoma" w:cs="Tahoma"/>
      <w:sz w:val="16"/>
      <w:szCs w:val="16"/>
    </w:rPr>
  </w:style>
  <w:style w:type="character" w:customStyle="1" w:styleId="DocumentMapChar">
    <w:name w:val="Document Map Char"/>
    <w:basedOn w:val="DefaultParagraphFont"/>
    <w:link w:val="DocumentMap"/>
    <w:uiPriority w:val="98"/>
    <w:semiHidden/>
    <w:rsid w:val="00DB0EFA"/>
    <w:rPr>
      <w:rFonts w:ascii="Tahoma" w:hAnsi="Tahoma" w:cs="Tahoma"/>
      <w:sz w:val="16"/>
      <w:szCs w:val="16"/>
      <w:lang w:val="ro-RO"/>
    </w:rPr>
  </w:style>
  <w:style w:type="paragraph" w:styleId="E-mailSignature">
    <w:name w:val="E-mail Signature"/>
    <w:basedOn w:val="Normal"/>
    <w:link w:val="E-mailSignatureChar"/>
    <w:uiPriority w:val="98"/>
    <w:semiHidden/>
    <w:rsid w:val="00DB0EFA"/>
  </w:style>
  <w:style w:type="character" w:customStyle="1" w:styleId="E-mailSignatureChar">
    <w:name w:val="E-mail Signature Char"/>
    <w:basedOn w:val="DefaultParagraphFont"/>
    <w:link w:val="E-mailSignature"/>
    <w:uiPriority w:val="98"/>
    <w:semiHidden/>
    <w:rsid w:val="00DB0EFA"/>
    <w:rPr>
      <w:sz w:val="24"/>
      <w:szCs w:val="24"/>
      <w:lang w:val="ro-RO"/>
    </w:rPr>
  </w:style>
  <w:style w:type="character" w:styleId="EndnoteReference">
    <w:name w:val="endnote reference"/>
    <w:basedOn w:val="DefaultParagraphFont"/>
    <w:uiPriority w:val="98"/>
    <w:semiHidden/>
    <w:rsid w:val="00DB0EFA"/>
    <w:rPr>
      <w:vertAlign w:val="superscript"/>
    </w:rPr>
  </w:style>
  <w:style w:type="paragraph" w:styleId="EndnoteText">
    <w:name w:val="endnote text"/>
    <w:basedOn w:val="Normal"/>
    <w:link w:val="EndnoteTextChar"/>
    <w:uiPriority w:val="98"/>
    <w:semiHidden/>
    <w:rsid w:val="00DB0EFA"/>
    <w:rPr>
      <w:sz w:val="20"/>
      <w:szCs w:val="20"/>
    </w:rPr>
  </w:style>
  <w:style w:type="character" w:customStyle="1" w:styleId="EndnoteTextChar">
    <w:name w:val="Endnote Text Char"/>
    <w:basedOn w:val="DefaultParagraphFont"/>
    <w:link w:val="EndnoteText"/>
    <w:uiPriority w:val="98"/>
    <w:semiHidden/>
    <w:rsid w:val="00DB0EFA"/>
    <w:rPr>
      <w:sz w:val="20"/>
      <w:szCs w:val="20"/>
      <w:lang w:val="ro-RO"/>
    </w:rPr>
  </w:style>
  <w:style w:type="paragraph" w:styleId="EnvelopeAddress">
    <w:name w:val="envelope address"/>
    <w:basedOn w:val="Normal"/>
    <w:uiPriority w:val="98"/>
    <w:semiHidden/>
    <w:rsid w:val="00DB0EFA"/>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B0EFA"/>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B0EFA"/>
    <w:rPr>
      <w:color w:val="7030A0" w:themeColor="followedHyperlink"/>
      <w:u w:val="single"/>
    </w:rPr>
  </w:style>
  <w:style w:type="character" w:styleId="HTMLAcronym">
    <w:name w:val="HTML Acronym"/>
    <w:basedOn w:val="DefaultParagraphFont"/>
    <w:uiPriority w:val="98"/>
    <w:semiHidden/>
    <w:rsid w:val="00DB0EFA"/>
  </w:style>
  <w:style w:type="paragraph" w:styleId="HTMLAddress">
    <w:name w:val="HTML Address"/>
    <w:basedOn w:val="Normal"/>
    <w:link w:val="HTMLAddressChar"/>
    <w:uiPriority w:val="98"/>
    <w:semiHidden/>
    <w:rsid w:val="00DB0EFA"/>
    <w:rPr>
      <w:i/>
      <w:iCs/>
    </w:rPr>
  </w:style>
  <w:style w:type="character" w:customStyle="1" w:styleId="HTMLAddressChar">
    <w:name w:val="HTML Address Char"/>
    <w:basedOn w:val="DefaultParagraphFont"/>
    <w:link w:val="HTMLAddress"/>
    <w:uiPriority w:val="98"/>
    <w:semiHidden/>
    <w:rsid w:val="00DB0EFA"/>
    <w:rPr>
      <w:i/>
      <w:iCs/>
      <w:sz w:val="24"/>
      <w:szCs w:val="24"/>
      <w:lang w:val="ro-RO"/>
    </w:rPr>
  </w:style>
  <w:style w:type="character" w:styleId="HTMLCite">
    <w:name w:val="HTML Cite"/>
    <w:basedOn w:val="DefaultParagraphFont"/>
    <w:uiPriority w:val="98"/>
    <w:semiHidden/>
    <w:rsid w:val="00DB0EFA"/>
    <w:rPr>
      <w:i/>
      <w:iCs/>
    </w:rPr>
  </w:style>
  <w:style w:type="character" w:styleId="HTMLCode">
    <w:name w:val="HTML Code"/>
    <w:basedOn w:val="DefaultParagraphFont"/>
    <w:uiPriority w:val="98"/>
    <w:semiHidden/>
    <w:rsid w:val="00DB0EFA"/>
    <w:rPr>
      <w:rFonts w:ascii="Consolas" w:hAnsi="Consolas" w:cs="Consolas"/>
      <w:sz w:val="20"/>
      <w:szCs w:val="20"/>
    </w:rPr>
  </w:style>
  <w:style w:type="character" w:styleId="HTMLDefinition">
    <w:name w:val="HTML Definition"/>
    <w:basedOn w:val="DefaultParagraphFont"/>
    <w:uiPriority w:val="98"/>
    <w:semiHidden/>
    <w:rsid w:val="00DB0EFA"/>
    <w:rPr>
      <w:i/>
      <w:iCs/>
    </w:rPr>
  </w:style>
  <w:style w:type="character" w:styleId="HTMLKeyboard">
    <w:name w:val="HTML Keyboard"/>
    <w:basedOn w:val="DefaultParagraphFont"/>
    <w:uiPriority w:val="98"/>
    <w:semiHidden/>
    <w:rsid w:val="00DB0EFA"/>
    <w:rPr>
      <w:rFonts w:ascii="Consolas" w:hAnsi="Consolas" w:cs="Consolas"/>
      <w:sz w:val="20"/>
      <w:szCs w:val="20"/>
    </w:rPr>
  </w:style>
  <w:style w:type="paragraph" w:styleId="HTMLPreformatted">
    <w:name w:val="HTML Preformatted"/>
    <w:basedOn w:val="Normal"/>
    <w:link w:val="HTMLPreformattedChar"/>
    <w:uiPriority w:val="98"/>
    <w:semiHidden/>
    <w:rsid w:val="00DB0EFA"/>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B0EFA"/>
    <w:rPr>
      <w:rFonts w:ascii="Consolas" w:hAnsi="Consolas" w:cs="Consolas"/>
      <w:sz w:val="20"/>
      <w:szCs w:val="20"/>
      <w:lang w:val="ro-RO"/>
    </w:rPr>
  </w:style>
  <w:style w:type="character" w:styleId="HTMLSample">
    <w:name w:val="HTML Sample"/>
    <w:basedOn w:val="DefaultParagraphFont"/>
    <w:uiPriority w:val="98"/>
    <w:semiHidden/>
    <w:rsid w:val="00DB0EFA"/>
    <w:rPr>
      <w:rFonts w:ascii="Consolas" w:hAnsi="Consolas" w:cs="Consolas"/>
      <w:sz w:val="24"/>
      <w:szCs w:val="24"/>
    </w:rPr>
  </w:style>
  <w:style w:type="character" w:styleId="HTMLTypewriter">
    <w:name w:val="HTML Typewriter"/>
    <w:basedOn w:val="DefaultParagraphFont"/>
    <w:uiPriority w:val="98"/>
    <w:semiHidden/>
    <w:rsid w:val="00DB0EFA"/>
    <w:rPr>
      <w:rFonts w:ascii="Consolas" w:hAnsi="Consolas" w:cs="Consolas"/>
      <w:sz w:val="20"/>
      <w:szCs w:val="20"/>
    </w:rPr>
  </w:style>
  <w:style w:type="character" w:styleId="HTMLVariable">
    <w:name w:val="HTML Variable"/>
    <w:basedOn w:val="DefaultParagraphFont"/>
    <w:uiPriority w:val="98"/>
    <w:semiHidden/>
    <w:rsid w:val="00DB0EFA"/>
    <w:rPr>
      <w:i/>
      <w:iCs/>
    </w:rPr>
  </w:style>
  <w:style w:type="paragraph" w:styleId="Index1">
    <w:name w:val="index 1"/>
    <w:basedOn w:val="Normal"/>
    <w:next w:val="Normal"/>
    <w:autoRedefine/>
    <w:uiPriority w:val="98"/>
    <w:semiHidden/>
    <w:rsid w:val="00DB0EFA"/>
    <w:pPr>
      <w:ind w:left="240" w:hanging="240"/>
    </w:pPr>
  </w:style>
  <w:style w:type="paragraph" w:styleId="Index2">
    <w:name w:val="index 2"/>
    <w:basedOn w:val="Normal"/>
    <w:next w:val="Normal"/>
    <w:autoRedefine/>
    <w:uiPriority w:val="98"/>
    <w:semiHidden/>
    <w:rsid w:val="00DB0EFA"/>
    <w:pPr>
      <w:ind w:left="480" w:hanging="240"/>
    </w:pPr>
  </w:style>
  <w:style w:type="paragraph" w:styleId="Index3">
    <w:name w:val="index 3"/>
    <w:basedOn w:val="Normal"/>
    <w:next w:val="Normal"/>
    <w:autoRedefine/>
    <w:uiPriority w:val="98"/>
    <w:semiHidden/>
    <w:rsid w:val="00DB0EFA"/>
    <w:pPr>
      <w:ind w:left="720" w:hanging="240"/>
    </w:pPr>
  </w:style>
  <w:style w:type="paragraph" w:styleId="Index4">
    <w:name w:val="index 4"/>
    <w:basedOn w:val="Normal"/>
    <w:next w:val="Normal"/>
    <w:autoRedefine/>
    <w:uiPriority w:val="98"/>
    <w:semiHidden/>
    <w:rsid w:val="00DB0EFA"/>
    <w:pPr>
      <w:ind w:left="960" w:hanging="240"/>
    </w:pPr>
  </w:style>
  <w:style w:type="paragraph" w:styleId="Index5">
    <w:name w:val="index 5"/>
    <w:basedOn w:val="Normal"/>
    <w:next w:val="Normal"/>
    <w:autoRedefine/>
    <w:uiPriority w:val="98"/>
    <w:semiHidden/>
    <w:rsid w:val="00DB0EFA"/>
    <w:pPr>
      <w:ind w:left="1200" w:hanging="240"/>
    </w:pPr>
  </w:style>
  <w:style w:type="paragraph" w:styleId="Index6">
    <w:name w:val="index 6"/>
    <w:basedOn w:val="Normal"/>
    <w:next w:val="Normal"/>
    <w:autoRedefine/>
    <w:uiPriority w:val="98"/>
    <w:semiHidden/>
    <w:rsid w:val="00DB0EFA"/>
    <w:pPr>
      <w:ind w:left="1440" w:hanging="240"/>
    </w:pPr>
  </w:style>
  <w:style w:type="paragraph" w:styleId="Index7">
    <w:name w:val="index 7"/>
    <w:basedOn w:val="Normal"/>
    <w:next w:val="Normal"/>
    <w:autoRedefine/>
    <w:uiPriority w:val="98"/>
    <w:semiHidden/>
    <w:rsid w:val="00DB0EFA"/>
    <w:pPr>
      <w:ind w:left="1680" w:hanging="240"/>
    </w:pPr>
  </w:style>
  <w:style w:type="paragraph" w:styleId="Index8">
    <w:name w:val="index 8"/>
    <w:basedOn w:val="Normal"/>
    <w:next w:val="Normal"/>
    <w:autoRedefine/>
    <w:uiPriority w:val="98"/>
    <w:semiHidden/>
    <w:rsid w:val="00DB0EFA"/>
    <w:pPr>
      <w:ind w:left="1920" w:hanging="240"/>
    </w:pPr>
  </w:style>
  <w:style w:type="paragraph" w:styleId="Index9">
    <w:name w:val="index 9"/>
    <w:basedOn w:val="Normal"/>
    <w:next w:val="Normal"/>
    <w:autoRedefine/>
    <w:uiPriority w:val="98"/>
    <w:semiHidden/>
    <w:rsid w:val="00DB0EFA"/>
    <w:pPr>
      <w:ind w:left="2160" w:hanging="240"/>
    </w:pPr>
  </w:style>
  <w:style w:type="paragraph" w:styleId="IndexHeading">
    <w:name w:val="index heading"/>
    <w:basedOn w:val="Normal"/>
    <w:next w:val="Index1"/>
    <w:uiPriority w:val="98"/>
    <w:semiHidden/>
    <w:rsid w:val="00DB0EFA"/>
    <w:rPr>
      <w:rFonts w:asciiTheme="majorHAnsi" w:eastAsiaTheme="majorEastAsia" w:hAnsiTheme="majorHAnsi" w:cstheme="majorBidi"/>
      <w:b/>
      <w:bCs/>
    </w:rPr>
  </w:style>
  <w:style w:type="table" w:styleId="LightGrid">
    <w:name w:val="Light Grid"/>
    <w:basedOn w:val="TableNormal"/>
    <w:uiPriority w:val="62"/>
    <w:semiHidden/>
    <w:rsid w:val="00DB0EF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B0EF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B0EF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B0EF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DB0EF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B0EF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B0EF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B0EF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B0EF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B0EF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B0EF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DB0EF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B0EF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B0EF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B0EFA"/>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B0EFA"/>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B0EFA"/>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B0EFA"/>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DB0EFA"/>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B0EFA"/>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B0EFA"/>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B0EFA"/>
  </w:style>
  <w:style w:type="paragraph" w:styleId="List">
    <w:name w:val="List"/>
    <w:basedOn w:val="Normal"/>
    <w:uiPriority w:val="98"/>
    <w:semiHidden/>
    <w:rsid w:val="00DB0EFA"/>
    <w:pPr>
      <w:ind w:left="283" w:hanging="283"/>
      <w:contextualSpacing/>
    </w:pPr>
  </w:style>
  <w:style w:type="paragraph" w:styleId="List2">
    <w:name w:val="List 2"/>
    <w:basedOn w:val="Normal"/>
    <w:uiPriority w:val="98"/>
    <w:semiHidden/>
    <w:rsid w:val="00DB0EFA"/>
    <w:pPr>
      <w:ind w:left="566" w:hanging="283"/>
      <w:contextualSpacing/>
    </w:pPr>
  </w:style>
  <w:style w:type="paragraph" w:styleId="List3">
    <w:name w:val="List 3"/>
    <w:basedOn w:val="Normal"/>
    <w:uiPriority w:val="98"/>
    <w:semiHidden/>
    <w:rsid w:val="00DB0EFA"/>
    <w:pPr>
      <w:ind w:left="849" w:hanging="283"/>
      <w:contextualSpacing/>
    </w:pPr>
  </w:style>
  <w:style w:type="paragraph" w:styleId="List4">
    <w:name w:val="List 4"/>
    <w:basedOn w:val="Normal"/>
    <w:uiPriority w:val="98"/>
    <w:semiHidden/>
    <w:rsid w:val="00DB0EFA"/>
    <w:pPr>
      <w:ind w:left="1132" w:hanging="283"/>
      <w:contextualSpacing/>
    </w:pPr>
  </w:style>
  <w:style w:type="paragraph" w:styleId="List5">
    <w:name w:val="List 5"/>
    <w:basedOn w:val="Normal"/>
    <w:uiPriority w:val="98"/>
    <w:semiHidden/>
    <w:rsid w:val="00DB0EFA"/>
    <w:pPr>
      <w:ind w:left="1415" w:hanging="283"/>
      <w:contextualSpacing/>
    </w:pPr>
  </w:style>
  <w:style w:type="paragraph" w:styleId="ListBullet2">
    <w:name w:val="List Bullet 2"/>
    <w:basedOn w:val="Normal"/>
    <w:uiPriority w:val="98"/>
    <w:semiHidden/>
    <w:rsid w:val="00DB0EFA"/>
    <w:pPr>
      <w:numPr>
        <w:numId w:val="13"/>
      </w:numPr>
      <w:contextualSpacing/>
    </w:pPr>
  </w:style>
  <w:style w:type="paragraph" w:styleId="ListBullet4">
    <w:name w:val="List Bullet 4"/>
    <w:basedOn w:val="Normal"/>
    <w:uiPriority w:val="98"/>
    <w:semiHidden/>
    <w:rsid w:val="00DB0EFA"/>
    <w:pPr>
      <w:numPr>
        <w:numId w:val="15"/>
      </w:numPr>
      <w:contextualSpacing/>
    </w:pPr>
  </w:style>
  <w:style w:type="paragraph" w:styleId="ListBullet5">
    <w:name w:val="List Bullet 5"/>
    <w:basedOn w:val="Normal"/>
    <w:uiPriority w:val="98"/>
    <w:semiHidden/>
    <w:rsid w:val="00DB0EFA"/>
    <w:pPr>
      <w:numPr>
        <w:numId w:val="16"/>
      </w:numPr>
      <w:contextualSpacing/>
    </w:pPr>
  </w:style>
  <w:style w:type="paragraph" w:styleId="ListContinue">
    <w:name w:val="List Continue"/>
    <w:basedOn w:val="Normal"/>
    <w:uiPriority w:val="98"/>
    <w:semiHidden/>
    <w:rsid w:val="00DB0EFA"/>
    <w:pPr>
      <w:spacing w:after="120"/>
      <w:ind w:left="283"/>
      <w:contextualSpacing/>
    </w:pPr>
  </w:style>
  <w:style w:type="paragraph" w:styleId="ListContinue2">
    <w:name w:val="List Continue 2"/>
    <w:basedOn w:val="Normal"/>
    <w:uiPriority w:val="98"/>
    <w:semiHidden/>
    <w:rsid w:val="00DB0EFA"/>
    <w:pPr>
      <w:spacing w:after="120"/>
      <w:ind w:left="566"/>
      <w:contextualSpacing/>
    </w:pPr>
  </w:style>
  <w:style w:type="paragraph" w:styleId="ListContinue3">
    <w:name w:val="List Continue 3"/>
    <w:basedOn w:val="Normal"/>
    <w:uiPriority w:val="98"/>
    <w:semiHidden/>
    <w:rsid w:val="00DB0EFA"/>
    <w:pPr>
      <w:spacing w:after="120"/>
      <w:ind w:left="849"/>
      <w:contextualSpacing/>
    </w:pPr>
  </w:style>
  <w:style w:type="paragraph" w:styleId="ListContinue4">
    <w:name w:val="List Continue 4"/>
    <w:basedOn w:val="Normal"/>
    <w:uiPriority w:val="98"/>
    <w:semiHidden/>
    <w:rsid w:val="00DB0EFA"/>
    <w:pPr>
      <w:spacing w:after="120"/>
      <w:ind w:left="1132"/>
      <w:contextualSpacing/>
    </w:pPr>
  </w:style>
  <w:style w:type="paragraph" w:styleId="ListContinue5">
    <w:name w:val="List Continue 5"/>
    <w:basedOn w:val="Normal"/>
    <w:uiPriority w:val="98"/>
    <w:semiHidden/>
    <w:rsid w:val="00DB0EFA"/>
    <w:pPr>
      <w:spacing w:after="120"/>
      <w:ind w:left="1415"/>
      <w:contextualSpacing/>
    </w:pPr>
  </w:style>
  <w:style w:type="paragraph" w:styleId="ListNumber">
    <w:name w:val="List Number"/>
    <w:basedOn w:val="Normal"/>
    <w:uiPriority w:val="98"/>
    <w:semiHidden/>
    <w:rsid w:val="00DB0EFA"/>
    <w:pPr>
      <w:numPr>
        <w:numId w:val="17"/>
      </w:numPr>
      <w:contextualSpacing/>
    </w:pPr>
  </w:style>
  <w:style w:type="paragraph" w:styleId="ListNumber2">
    <w:name w:val="List Number 2"/>
    <w:basedOn w:val="Normal"/>
    <w:uiPriority w:val="98"/>
    <w:semiHidden/>
    <w:rsid w:val="00DB0EFA"/>
    <w:pPr>
      <w:numPr>
        <w:numId w:val="18"/>
      </w:numPr>
      <w:contextualSpacing/>
    </w:pPr>
  </w:style>
  <w:style w:type="paragraph" w:styleId="ListNumber3">
    <w:name w:val="List Number 3"/>
    <w:basedOn w:val="Normal"/>
    <w:uiPriority w:val="98"/>
    <w:semiHidden/>
    <w:rsid w:val="00DB0EFA"/>
    <w:pPr>
      <w:numPr>
        <w:numId w:val="19"/>
      </w:numPr>
      <w:contextualSpacing/>
    </w:pPr>
  </w:style>
  <w:style w:type="paragraph" w:styleId="ListNumber4">
    <w:name w:val="List Number 4"/>
    <w:basedOn w:val="Normal"/>
    <w:uiPriority w:val="98"/>
    <w:semiHidden/>
    <w:rsid w:val="00DB0EFA"/>
    <w:pPr>
      <w:numPr>
        <w:numId w:val="20"/>
      </w:numPr>
      <w:contextualSpacing/>
    </w:pPr>
  </w:style>
  <w:style w:type="paragraph" w:styleId="ListNumber5">
    <w:name w:val="List Number 5"/>
    <w:basedOn w:val="Normal"/>
    <w:uiPriority w:val="98"/>
    <w:semiHidden/>
    <w:rsid w:val="00DB0EFA"/>
    <w:pPr>
      <w:numPr>
        <w:numId w:val="21"/>
      </w:numPr>
      <w:contextualSpacing/>
    </w:pPr>
  </w:style>
  <w:style w:type="paragraph" w:styleId="MacroText">
    <w:name w:val="macro"/>
    <w:link w:val="MacroTextChar"/>
    <w:uiPriority w:val="98"/>
    <w:semiHidden/>
    <w:rsid w:val="00DB0EF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B0EFA"/>
    <w:rPr>
      <w:rFonts w:ascii="Consolas" w:eastAsiaTheme="minorEastAsia" w:hAnsi="Consolas" w:cs="Consolas"/>
      <w:sz w:val="20"/>
      <w:szCs w:val="20"/>
    </w:rPr>
  </w:style>
  <w:style w:type="table" w:styleId="MediumGrid1">
    <w:name w:val="Medium Grid 1"/>
    <w:basedOn w:val="TableNormal"/>
    <w:uiPriority w:val="67"/>
    <w:semiHidden/>
    <w:rsid w:val="00DB0EF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B0EF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B0EF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B0EF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DB0EF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B0EF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B0EF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DB0EF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DB0EF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B0EF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B0EF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DB0EF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B0EF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B0EF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DB0EFA"/>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B0EFA"/>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B0EFA"/>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B0EFA"/>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DB0EFA"/>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B0EFA"/>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B0EFA"/>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B0EF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DB0EF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B0EF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B0EF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B0EF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B0EF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B0EF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B0EF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B0E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B0E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B0E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B0E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B0E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B0E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B0EF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B0EF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B0EF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DB0EFA"/>
    <w:rPr>
      <w:rFonts w:ascii="Times New Roman" w:hAnsi="Times New Roman" w:cs="Times New Roman"/>
    </w:rPr>
  </w:style>
  <w:style w:type="paragraph" w:styleId="NormalIndent">
    <w:name w:val="Normal Indent"/>
    <w:basedOn w:val="Normal"/>
    <w:uiPriority w:val="98"/>
    <w:semiHidden/>
    <w:rsid w:val="00DB0EFA"/>
    <w:pPr>
      <w:ind w:left="720"/>
    </w:pPr>
  </w:style>
  <w:style w:type="paragraph" w:styleId="NoteHeading">
    <w:name w:val="Note Heading"/>
    <w:basedOn w:val="Normal"/>
    <w:next w:val="Normal"/>
    <w:link w:val="NoteHeadingChar"/>
    <w:uiPriority w:val="98"/>
    <w:semiHidden/>
    <w:rsid w:val="00DB0EFA"/>
  </w:style>
  <w:style w:type="character" w:customStyle="1" w:styleId="NoteHeadingChar">
    <w:name w:val="Note Heading Char"/>
    <w:basedOn w:val="DefaultParagraphFont"/>
    <w:link w:val="NoteHeading"/>
    <w:uiPriority w:val="98"/>
    <w:semiHidden/>
    <w:rsid w:val="00DB0EFA"/>
    <w:rPr>
      <w:sz w:val="24"/>
      <w:szCs w:val="24"/>
      <w:lang w:val="ro-RO"/>
    </w:rPr>
  </w:style>
  <w:style w:type="character" w:styleId="PlaceholderText">
    <w:name w:val="Placeholder Text"/>
    <w:basedOn w:val="DefaultParagraphFont"/>
    <w:uiPriority w:val="98"/>
    <w:semiHidden/>
    <w:rsid w:val="00DB0EFA"/>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B0EFA"/>
    <w:rPr>
      <w:rFonts w:ascii="Consolas" w:hAnsi="Consolas" w:cs="Consolas"/>
      <w:sz w:val="21"/>
      <w:szCs w:val="21"/>
    </w:rPr>
  </w:style>
  <w:style w:type="character" w:customStyle="1" w:styleId="PlainTextChar">
    <w:name w:val="Plain Text Char"/>
    <w:basedOn w:val="DefaultParagraphFont"/>
    <w:link w:val="PlainText"/>
    <w:uiPriority w:val="98"/>
    <w:semiHidden/>
    <w:rsid w:val="00DB0EFA"/>
    <w:rPr>
      <w:rFonts w:ascii="Consolas" w:hAnsi="Consolas" w:cs="Consolas"/>
      <w:sz w:val="21"/>
      <w:szCs w:val="21"/>
      <w:lang w:val="ro-RO"/>
    </w:rPr>
  </w:style>
  <w:style w:type="paragraph" w:styleId="Salutation">
    <w:name w:val="Salutation"/>
    <w:basedOn w:val="Normal"/>
    <w:next w:val="Normal"/>
    <w:link w:val="SalutationChar"/>
    <w:uiPriority w:val="98"/>
    <w:semiHidden/>
    <w:rsid w:val="00DB0EFA"/>
  </w:style>
  <w:style w:type="character" w:customStyle="1" w:styleId="SalutationChar">
    <w:name w:val="Salutation Char"/>
    <w:basedOn w:val="DefaultParagraphFont"/>
    <w:link w:val="Salutation"/>
    <w:uiPriority w:val="98"/>
    <w:semiHidden/>
    <w:rsid w:val="00DB0EFA"/>
    <w:rPr>
      <w:sz w:val="24"/>
      <w:szCs w:val="24"/>
      <w:lang w:val="ro-RO"/>
    </w:rPr>
  </w:style>
  <w:style w:type="paragraph" w:styleId="Signature">
    <w:name w:val="Signature"/>
    <w:basedOn w:val="Normal"/>
    <w:link w:val="SignatureChar"/>
    <w:uiPriority w:val="98"/>
    <w:semiHidden/>
    <w:rsid w:val="00DB0EFA"/>
    <w:pPr>
      <w:ind w:left="4252"/>
    </w:pPr>
  </w:style>
  <w:style w:type="character" w:customStyle="1" w:styleId="SignatureChar">
    <w:name w:val="Signature Char"/>
    <w:basedOn w:val="DefaultParagraphFont"/>
    <w:link w:val="Signature"/>
    <w:uiPriority w:val="98"/>
    <w:semiHidden/>
    <w:rsid w:val="00DB0EFA"/>
    <w:rPr>
      <w:sz w:val="24"/>
      <w:szCs w:val="24"/>
      <w:lang w:val="ro-RO"/>
    </w:rPr>
  </w:style>
  <w:style w:type="table" w:styleId="Table3Deffects1">
    <w:name w:val="Table 3D effects 1"/>
    <w:basedOn w:val="TableNormal"/>
    <w:uiPriority w:val="99"/>
    <w:semiHidden/>
    <w:unhideWhenUsed/>
    <w:rsid w:val="00DB0EFA"/>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B0EFA"/>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B0EFA"/>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B0EFA"/>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B0EFA"/>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B0EFA"/>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B0EFA"/>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B0EFA"/>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B0EFA"/>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B0EFA"/>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B0EFA"/>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B0EFA"/>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B0EFA"/>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B0EFA"/>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B0EFA"/>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B0EFA"/>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B0EFA"/>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B0EF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B0EFA"/>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B0EFA"/>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B0EFA"/>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B0EF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B0EFA"/>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B0EFA"/>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B0EFA"/>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B0EFA"/>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B0EFA"/>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B0EFA"/>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B0EF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B0EF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B0EF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B0EFA"/>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B0EF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B0EFA"/>
    <w:pPr>
      <w:ind w:left="240" w:hanging="240"/>
    </w:pPr>
  </w:style>
  <w:style w:type="paragraph" w:styleId="TableofFigures">
    <w:name w:val="table of figures"/>
    <w:basedOn w:val="Normal"/>
    <w:next w:val="Normal"/>
    <w:uiPriority w:val="98"/>
    <w:semiHidden/>
    <w:rsid w:val="00DB0EFA"/>
  </w:style>
  <w:style w:type="table" w:styleId="TableProfessional">
    <w:name w:val="Table Professional"/>
    <w:basedOn w:val="TableNormal"/>
    <w:uiPriority w:val="99"/>
    <w:semiHidden/>
    <w:unhideWhenUsed/>
    <w:rsid w:val="00DB0EF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B0EFA"/>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B0EFA"/>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B0EFA"/>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B0EFA"/>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B0EFA"/>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B0EFA"/>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B0EFA"/>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B0EFA"/>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B0EFA"/>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DB0EF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B0EF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B0EFA"/>
    <w:pPr>
      <w:spacing w:after="100"/>
      <w:ind w:left="1680"/>
    </w:pPr>
  </w:style>
  <w:style w:type="paragraph" w:styleId="TOC9">
    <w:name w:val="toc 9"/>
    <w:basedOn w:val="Normal"/>
    <w:next w:val="Normal"/>
    <w:autoRedefine/>
    <w:uiPriority w:val="98"/>
    <w:semiHidden/>
    <w:rsid w:val="00DB0EFA"/>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DB0EFA"/>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DB0EFA"/>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DB0EFA"/>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DB0EFA"/>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DB0EFA"/>
    <w:pPr>
      <w:numPr>
        <w:numId w:val="8"/>
      </w:numPr>
      <w:spacing w:before="60" w:after="60"/>
    </w:pPr>
  </w:style>
  <w:style w:type="paragraph" w:customStyle="1" w:styleId="ECHRBullet2">
    <w:name w:val="ECHR_Bullet_2"/>
    <w:aliases w:val="_Bul_2"/>
    <w:basedOn w:val="ECHRBullet1"/>
    <w:uiPriority w:val="23"/>
    <w:semiHidden/>
    <w:rsid w:val="00DB0EFA"/>
    <w:pPr>
      <w:numPr>
        <w:ilvl w:val="1"/>
      </w:numPr>
    </w:pPr>
  </w:style>
  <w:style w:type="paragraph" w:customStyle="1" w:styleId="ECHRBullet3">
    <w:name w:val="ECHR_Bullet_3"/>
    <w:aliases w:val="_Bul_3"/>
    <w:basedOn w:val="ECHRBullet2"/>
    <w:uiPriority w:val="23"/>
    <w:semiHidden/>
    <w:rsid w:val="00DB0EFA"/>
    <w:pPr>
      <w:numPr>
        <w:ilvl w:val="2"/>
      </w:numPr>
    </w:pPr>
  </w:style>
  <w:style w:type="paragraph" w:customStyle="1" w:styleId="ECHRBullet4">
    <w:name w:val="ECHR_Bullet_4"/>
    <w:aliases w:val="_Bul_4"/>
    <w:basedOn w:val="ECHRBullet3"/>
    <w:uiPriority w:val="23"/>
    <w:semiHidden/>
    <w:rsid w:val="00DB0EFA"/>
    <w:pPr>
      <w:numPr>
        <w:ilvl w:val="3"/>
      </w:numPr>
    </w:pPr>
  </w:style>
  <w:style w:type="paragraph" w:customStyle="1" w:styleId="ECHRConfidential">
    <w:name w:val="ECHR_Confidential"/>
    <w:aliases w:val="_Confidential"/>
    <w:basedOn w:val="Normal"/>
    <w:next w:val="Normal"/>
    <w:uiPriority w:val="42"/>
    <w:semiHidden/>
    <w:qFormat/>
    <w:rsid w:val="00DB0EFA"/>
    <w:pPr>
      <w:jc w:val="right"/>
    </w:pPr>
    <w:rPr>
      <w:color w:val="C00000"/>
      <w:sz w:val="20"/>
    </w:rPr>
  </w:style>
  <w:style w:type="paragraph" w:customStyle="1" w:styleId="ECHRDecisionBody">
    <w:name w:val="ECHR_Decision_Body"/>
    <w:aliases w:val="_Decision_Body"/>
    <w:basedOn w:val="NormalJustified"/>
    <w:uiPriority w:val="54"/>
    <w:semiHidden/>
    <w:rsid w:val="00DB0EFA"/>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B0EFA"/>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B0EFA"/>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DB0EFA"/>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DB0EFA"/>
    <w:pPr>
      <w:jc w:val="right"/>
    </w:pPr>
    <w:rPr>
      <w:sz w:val="20"/>
    </w:rPr>
  </w:style>
  <w:style w:type="paragraph" w:customStyle="1" w:styleId="ECHRHeaderRefIt">
    <w:name w:val="ECHR_Header_Ref_It"/>
    <w:aliases w:val="_Ref_Ital"/>
    <w:basedOn w:val="Normal"/>
    <w:next w:val="ECHRHeaderDate"/>
    <w:uiPriority w:val="43"/>
    <w:qFormat/>
    <w:rsid w:val="00DB0EFA"/>
    <w:pPr>
      <w:jc w:val="right"/>
    </w:pPr>
    <w:rPr>
      <w:i/>
      <w:sz w:val="20"/>
    </w:rPr>
  </w:style>
  <w:style w:type="paragraph" w:customStyle="1" w:styleId="ECHRHeading9">
    <w:name w:val="ECHR_Heading_9"/>
    <w:aliases w:val="_Head_9"/>
    <w:basedOn w:val="Heading9"/>
    <w:uiPriority w:val="17"/>
    <w:semiHidden/>
    <w:rsid w:val="00DB0EFA"/>
    <w:pPr>
      <w:keepNext/>
      <w:keepLines/>
      <w:numPr>
        <w:ilvl w:val="8"/>
        <w:numId w:val="1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DB0EFA"/>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DB0EFA"/>
    <w:pPr>
      <w:numPr>
        <w:numId w:val="9"/>
      </w:numPr>
      <w:spacing w:before="60" w:after="60"/>
    </w:pPr>
  </w:style>
  <w:style w:type="paragraph" w:customStyle="1" w:styleId="ECHRNumberedList2">
    <w:name w:val="ECHR_Numbered_List_2"/>
    <w:aliases w:val="_Num_2"/>
    <w:basedOn w:val="ECHRNumberedList1"/>
    <w:uiPriority w:val="23"/>
    <w:semiHidden/>
    <w:rsid w:val="00DB0EFA"/>
    <w:pPr>
      <w:numPr>
        <w:ilvl w:val="1"/>
      </w:numPr>
    </w:pPr>
  </w:style>
  <w:style w:type="paragraph" w:customStyle="1" w:styleId="ECHRNumberedList3">
    <w:name w:val="ECHR_Numbered_List_3"/>
    <w:aliases w:val="_Num_3"/>
    <w:basedOn w:val="ECHRNumberedList2"/>
    <w:uiPriority w:val="23"/>
    <w:semiHidden/>
    <w:rsid w:val="00DB0EFA"/>
    <w:pPr>
      <w:numPr>
        <w:ilvl w:val="2"/>
      </w:numPr>
    </w:pPr>
  </w:style>
  <w:style w:type="paragraph" w:customStyle="1" w:styleId="ECHRParaHanging">
    <w:name w:val="ECHR_Para_Hanging"/>
    <w:aliases w:val="_Hanging"/>
    <w:basedOn w:val="NormalJustified"/>
    <w:uiPriority w:val="8"/>
    <w:semiHidden/>
    <w:qFormat/>
    <w:rsid w:val="00DB0EFA"/>
    <w:pPr>
      <w:ind w:left="567" w:hanging="567"/>
    </w:pPr>
  </w:style>
  <w:style w:type="paragraph" w:customStyle="1" w:styleId="ECHRParaIndent">
    <w:name w:val="ECHR_Para_Indent"/>
    <w:aliases w:val="_Indent"/>
    <w:basedOn w:val="NormalJustified"/>
    <w:uiPriority w:val="7"/>
    <w:semiHidden/>
    <w:qFormat/>
    <w:rsid w:val="00DB0EFA"/>
    <w:pPr>
      <w:spacing w:before="120" w:after="120"/>
      <w:ind w:left="284"/>
    </w:pPr>
  </w:style>
  <w:style w:type="character" w:customStyle="1" w:styleId="ECHRRed">
    <w:name w:val="ECHR_Red"/>
    <w:aliases w:val="_Red"/>
    <w:basedOn w:val="DefaultParagraphFont"/>
    <w:uiPriority w:val="15"/>
    <w:semiHidden/>
    <w:qFormat/>
    <w:rsid w:val="00DB0EFA"/>
    <w:rPr>
      <w:color w:val="C00000" w:themeColor="accent2"/>
    </w:rPr>
  </w:style>
  <w:style w:type="paragraph" w:customStyle="1" w:styleId="DecList">
    <w:name w:val="Dec_List"/>
    <w:aliases w:val="_List"/>
    <w:basedOn w:val="JuList"/>
    <w:uiPriority w:val="22"/>
    <w:rsid w:val="00DB0EFA"/>
    <w:pPr>
      <w:numPr>
        <w:numId w:val="0"/>
      </w:numPr>
      <w:ind w:left="284"/>
    </w:pPr>
  </w:style>
  <w:style w:type="table" w:customStyle="1" w:styleId="ECHRTable2">
    <w:name w:val="ECHR_Table_2"/>
    <w:basedOn w:val="TableNormal"/>
    <w:uiPriority w:val="99"/>
    <w:rsid w:val="00DB0EFA"/>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B0EF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DB0EFA"/>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DB0EFA"/>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DB0EFA"/>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DB0EFA"/>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DB0EFA"/>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DB0EFA"/>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DB0EFA"/>
    <w:pPr>
      <w:outlineLvl w:val="0"/>
    </w:pPr>
  </w:style>
  <w:style w:type="paragraph" w:customStyle="1" w:styleId="ECHRTitleTOC1">
    <w:name w:val="ECHR_Title_TOC_1"/>
    <w:aliases w:val="_Title_L_TOC"/>
    <w:basedOn w:val="ECHRTitle1"/>
    <w:next w:val="Normal"/>
    <w:uiPriority w:val="27"/>
    <w:semiHidden/>
    <w:qFormat/>
    <w:rsid w:val="00DB0EFA"/>
    <w:pPr>
      <w:outlineLvl w:val="0"/>
    </w:pPr>
  </w:style>
  <w:style w:type="paragraph" w:customStyle="1" w:styleId="ECHRPlaceholder">
    <w:name w:val="ECHR_Placeholder"/>
    <w:aliases w:val="_Placeholder"/>
    <w:basedOn w:val="JuSigned"/>
    <w:uiPriority w:val="31"/>
    <w:rsid w:val="00DB0EFA"/>
    <w:rPr>
      <w:color w:val="FFFFFF"/>
    </w:rPr>
  </w:style>
  <w:style w:type="paragraph" w:customStyle="1" w:styleId="ECHRSpacer">
    <w:name w:val="ECHR_Spacer"/>
    <w:aliases w:val="_Spacer"/>
    <w:basedOn w:val="Normal"/>
    <w:uiPriority w:val="45"/>
    <w:semiHidden/>
    <w:rsid w:val="00DB0EFA"/>
    <w:rPr>
      <w:sz w:val="4"/>
    </w:rPr>
  </w:style>
  <w:style w:type="table" w:customStyle="1" w:styleId="ECHRTableGrey">
    <w:name w:val="ECHR_Table_Grey"/>
    <w:basedOn w:val="TableNormal"/>
    <w:uiPriority w:val="99"/>
    <w:rsid w:val="00DB0EFA"/>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DB0EFA"/>
    <w:rPr>
      <w:color w:val="605E5C"/>
      <w:shd w:val="clear" w:color="auto" w:fill="E1DFDD"/>
    </w:rPr>
  </w:style>
  <w:style w:type="character" w:customStyle="1" w:styleId="JuParaChar">
    <w:name w:val="Ju_Para Char"/>
    <w:aliases w:val="_Para Char"/>
    <w:link w:val="JuPara"/>
    <w:uiPriority w:val="4"/>
    <w:rsid w:val="00250DE1"/>
    <w:rPr>
      <w:sz w:val="24"/>
      <w:szCs w:val="24"/>
      <w:lang w:val="ro-RO"/>
    </w:rPr>
  </w:style>
  <w:style w:type="table" w:styleId="GridTable1Light">
    <w:name w:val="Grid Table 1 Light"/>
    <w:basedOn w:val="TableNormal"/>
    <w:uiPriority w:val="46"/>
    <w:semiHidden/>
    <w:rsid w:val="00250DE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Names0">
    <w:name w:val="Ju_Names"/>
    <w:rsid w:val="00250DE1"/>
    <w:rPr>
      <w:smallCaps/>
    </w:rPr>
  </w:style>
  <w:style w:type="paragraph" w:customStyle="1" w:styleId="JuList4">
    <w:name w:val="Ju_List_4"/>
    <w:aliases w:val="N_Bul_4"/>
    <w:basedOn w:val="JuListi"/>
    <w:uiPriority w:val="19"/>
    <w:rsid w:val="00250DE1"/>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250DE1"/>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50DE1"/>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50DE1"/>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50DE1"/>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50DE1"/>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50DE1"/>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50DE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250DE1"/>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250DE1"/>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250DE1"/>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250DE1"/>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250DE1"/>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250DE1"/>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250DE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250DE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250DE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250DE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250DE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250DE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250DE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250DE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250DE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250DE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250DE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250DE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250DE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250DE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250DE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250DE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250DE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250DE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250DE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250DE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250DE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250DE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250DE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250DE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250DE1"/>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250DE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250DE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250DE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250DE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250DE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250DE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250DE1"/>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250DE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250DE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250DE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250DE1"/>
    <w:rPr>
      <w:color w:val="2B579A"/>
      <w:shd w:val="clear" w:color="auto" w:fill="E1DFDD"/>
    </w:rPr>
  </w:style>
  <w:style w:type="table" w:styleId="ListTable1Light">
    <w:name w:val="List Table 1 Light"/>
    <w:basedOn w:val="TableNormal"/>
    <w:uiPriority w:val="46"/>
    <w:semiHidden/>
    <w:rsid w:val="00250DE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250DE1"/>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250DE1"/>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250DE1"/>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250DE1"/>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250DE1"/>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250DE1"/>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250DE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250DE1"/>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250DE1"/>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250DE1"/>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250DE1"/>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250DE1"/>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250DE1"/>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250DE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250DE1"/>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250DE1"/>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250DE1"/>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250DE1"/>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250DE1"/>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250DE1"/>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250DE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250DE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250DE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250DE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250DE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250DE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250DE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250DE1"/>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50DE1"/>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50DE1"/>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50DE1"/>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50DE1"/>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50DE1"/>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50DE1"/>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50DE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250DE1"/>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250DE1"/>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250DE1"/>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250DE1"/>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250DE1"/>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250DE1"/>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250DE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50DE1"/>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50DE1"/>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50DE1"/>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50DE1"/>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50DE1"/>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50DE1"/>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250DE1"/>
    <w:rPr>
      <w:color w:val="2B579A"/>
      <w:shd w:val="clear" w:color="auto" w:fill="E1DFDD"/>
    </w:rPr>
  </w:style>
  <w:style w:type="table" w:styleId="PlainTable1">
    <w:name w:val="Plain Table 1"/>
    <w:basedOn w:val="TableNormal"/>
    <w:uiPriority w:val="41"/>
    <w:semiHidden/>
    <w:rsid w:val="00250DE1"/>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250DE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250DE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50D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250DE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250DE1"/>
    <w:rPr>
      <w:u w:val="dotted"/>
    </w:rPr>
  </w:style>
  <w:style w:type="character" w:customStyle="1" w:styleId="SmartLink1">
    <w:name w:val="SmartLink1"/>
    <w:basedOn w:val="DefaultParagraphFont"/>
    <w:uiPriority w:val="99"/>
    <w:semiHidden/>
    <w:unhideWhenUsed/>
    <w:rsid w:val="00250DE1"/>
    <w:rPr>
      <w:color w:val="0000FF"/>
      <w:u w:val="single"/>
      <w:shd w:val="clear" w:color="auto" w:fill="F3F2F1"/>
    </w:rPr>
  </w:style>
  <w:style w:type="table" w:styleId="TableGridLight">
    <w:name w:val="Grid Table Light"/>
    <w:basedOn w:val="TableNormal"/>
    <w:uiPriority w:val="40"/>
    <w:semiHidden/>
    <w:rsid w:val="00250DE1"/>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250DE1"/>
    <w:rPr>
      <w:sz w:val="24"/>
      <w:szCs w:val="24"/>
    </w:rPr>
  </w:style>
  <w:style w:type="paragraph" w:customStyle="1" w:styleId="jupara0">
    <w:name w:val="jupara"/>
    <w:basedOn w:val="Normal"/>
    <w:rsid w:val="00351847"/>
    <w:pPr>
      <w:ind w:firstLine="284"/>
      <w:jc w:val="both"/>
    </w:pPr>
    <w:rPr>
      <w:rFonts w:ascii="Times New Roman" w:eastAsia="Times New Roman" w:hAnsi="Times New Roman" w:cs="Times New Roman"/>
      <w:lang w:eastAsia="en-GB"/>
    </w:rPr>
  </w:style>
  <w:style w:type="paragraph" w:customStyle="1" w:styleId="jucase0">
    <w:name w:val="jucase"/>
    <w:basedOn w:val="Normal"/>
    <w:rsid w:val="00351847"/>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ier.gov.ro/" TargetMode="External"/><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4D416-1E04-47C6-BC3A-522364889C97}">
  <ds:schemaRefs>
    <ds:schemaRef ds:uri="http://schemas.microsoft.com/sharepoint/v3/contenttype/forms"/>
  </ds:schemaRefs>
</ds:datastoreItem>
</file>

<file path=customXml/itemProps2.xml><?xml version="1.0" encoding="utf-8"?>
<ds:datastoreItem xmlns:ds="http://schemas.openxmlformats.org/officeDocument/2006/customXml" ds:itemID="{EB7CE895-18AF-4BDD-B64F-5B25BB2639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A21FF7-46AB-4E39-B28F-1877186C9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7D77092-4C51-41D0-90E0-CD48970A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8266</Words>
  <Characters>47119</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2023-01-31T07:42:00Z</dcterms:created>
  <dcterms:modified xsi:type="dcterms:W3CDTF">2023-02-28T15:12:00Z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54491/14</vt:lpwstr>
  </property>
  <property fmtid="{D5CDD505-2E9C-101B-9397-08002B2CF9AE}" pid="4" name="CASEID">
    <vt:lpwstr>1066167</vt:lpwstr>
  </property>
  <property fmtid="{D5CDD505-2E9C-101B-9397-08002B2CF9AE}" pid="5" name="ContentTypeId">
    <vt:lpwstr>0x010100558EB02BDB9E204AB350EDD385B68E10</vt:lpwstr>
  </property>
</Properties>
</file>