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word/theme/themeOverride11.xml" ContentType="application/vnd.openxmlformats-officedocument.themeOverride+xml"/>
  <Override PartName="/word/charts/chart20.xml" ContentType="application/vnd.openxmlformats-officedocument.drawingml.chart+xml"/>
  <Override PartName="/word/theme/themeOverride12.xml" ContentType="application/vnd.openxmlformats-officedocument.themeOverride+xml"/>
  <Override PartName="/word/charts/chart21.xml" ContentType="application/vnd.openxmlformats-officedocument.drawingml.chart+xml"/>
  <Override PartName="/word/theme/themeOverride13.xml" ContentType="application/vnd.openxmlformats-officedocument.themeOverride+xml"/>
  <Override PartName="/word/charts/chart22.xml" ContentType="application/vnd.openxmlformats-officedocument.drawingml.chart+xml"/>
  <Override PartName="/word/theme/themeOverride14.xml" ContentType="application/vnd.openxmlformats-officedocument.themeOverride+xml"/>
  <Override PartName="/word/charts/chart23.xml" ContentType="application/vnd.openxmlformats-officedocument.drawingml.chart+xml"/>
  <Override PartName="/word/theme/themeOverride15.xml" ContentType="application/vnd.openxmlformats-officedocument.themeOverride+xml"/>
  <Override PartName="/word/charts/chart24.xml" ContentType="application/vnd.openxmlformats-officedocument.drawingml.chart+xml"/>
  <Override PartName="/word/theme/themeOverride16.xml" ContentType="application/vnd.openxmlformats-officedocument.themeOverride+xml"/>
  <Override PartName="/word/charts/chart2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8.xml" ContentType="application/vnd.openxmlformats-officedocument.themeOverride+xml"/>
  <Override PartName="/word/charts/chart2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9.xml" ContentType="application/vnd.openxmlformats-officedocument.themeOverride+xml"/>
  <Override PartName="/word/charts/chart2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0.xml" ContentType="application/vnd.openxmlformats-officedocument.themeOverride+xml"/>
  <Override PartName="/word/charts/chart29.xml" ContentType="application/vnd.openxmlformats-officedocument.drawingml.chart+xml"/>
  <Override PartName="/word/theme/themeOverride21.xml" ContentType="application/vnd.openxmlformats-officedocument.themeOverride+xml"/>
  <Override PartName="/word/charts/chart30.xml" ContentType="application/vnd.openxmlformats-officedocument.drawingml.chart+xml"/>
  <Override PartName="/word/theme/themeOverride22.xml" ContentType="application/vnd.openxmlformats-officedocument.themeOverride+xml"/>
  <Override PartName="/word/charts/chart31.xml" ContentType="application/vnd.openxmlformats-officedocument.drawingml.chart+xml"/>
  <Override PartName="/word/theme/themeOverride23.xml" ContentType="application/vnd.openxmlformats-officedocument.themeOverride+xml"/>
  <Override PartName="/word/charts/chart32.xml" ContentType="application/vnd.openxmlformats-officedocument.drawingml.chart+xml"/>
  <Override PartName="/word/theme/themeOverride24.xml" ContentType="application/vnd.openxmlformats-officedocument.themeOverride+xml"/>
  <Override PartName="/word/charts/chart3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0CC" w:rsidRDefault="00BD60CC" w:rsidP="00BD60CC">
      <w:pPr>
        <w:spacing w:before="2400" w:after="1200" w:line="360" w:lineRule="auto"/>
        <w:jc w:val="center"/>
        <w:rPr>
          <w:b/>
          <w:sz w:val="40"/>
          <w:szCs w:val="40"/>
        </w:rPr>
      </w:pPr>
      <w:r>
        <w:rPr>
          <w:b/>
          <w:sz w:val="40"/>
          <w:szCs w:val="40"/>
        </w:rPr>
        <w:t>ROMÂNIA</w:t>
      </w:r>
    </w:p>
    <w:p w:rsidR="00BD60CC" w:rsidRDefault="00BD60CC" w:rsidP="00BD60CC">
      <w:pPr>
        <w:spacing w:line="360" w:lineRule="auto"/>
        <w:jc w:val="center"/>
        <w:rPr>
          <w:b/>
          <w:sz w:val="40"/>
          <w:szCs w:val="40"/>
        </w:rPr>
      </w:pPr>
      <w:r>
        <w:rPr>
          <w:b/>
          <w:sz w:val="40"/>
          <w:szCs w:val="40"/>
        </w:rPr>
        <w:t xml:space="preserve">CONSILIUL </w:t>
      </w:r>
      <w:smartTag w:uri="urn:schemas-microsoft-com:office:smarttags" w:element="place">
        <w:r>
          <w:rPr>
            <w:b/>
            <w:sz w:val="40"/>
            <w:szCs w:val="40"/>
          </w:rPr>
          <w:t>SUPERIOR</w:t>
        </w:r>
      </w:smartTag>
      <w:r>
        <w:rPr>
          <w:b/>
          <w:sz w:val="40"/>
          <w:szCs w:val="40"/>
        </w:rPr>
        <w:t xml:space="preserve"> AL MAGISTRATURII</w:t>
      </w:r>
    </w:p>
    <w:p w:rsidR="00BD60CC" w:rsidRDefault="00BD60CC" w:rsidP="00BD60CC">
      <w:pPr>
        <w:spacing w:line="360" w:lineRule="auto"/>
        <w:jc w:val="center"/>
        <w:rPr>
          <w:b/>
          <w:sz w:val="40"/>
          <w:szCs w:val="40"/>
        </w:rPr>
      </w:pPr>
      <w:r>
        <w:rPr>
          <w:b/>
          <w:sz w:val="40"/>
          <w:szCs w:val="40"/>
        </w:rPr>
        <w:t>RAPORT PRIVIND STAREA JUSTIŢIEI</w:t>
      </w:r>
    </w:p>
    <w:p w:rsidR="00BD60CC" w:rsidRDefault="00BD60CC" w:rsidP="00BD60CC">
      <w:pPr>
        <w:spacing w:after="600" w:line="360" w:lineRule="auto"/>
        <w:jc w:val="center"/>
        <w:rPr>
          <w:b/>
          <w:sz w:val="40"/>
          <w:szCs w:val="40"/>
        </w:rPr>
      </w:pPr>
      <w:r>
        <w:rPr>
          <w:b/>
          <w:sz w:val="40"/>
          <w:szCs w:val="40"/>
        </w:rPr>
        <w:t>2017</w:t>
      </w:r>
    </w:p>
    <w:p w:rsidR="00BD60CC" w:rsidRDefault="00BD60CC" w:rsidP="00BD60CC">
      <w:pPr>
        <w:spacing w:before="1200" w:after="1200"/>
        <w:jc w:val="center"/>
      </w:pPr>
      <w:r>
        <w:rPr>
          <w:rFonts w:cs="Calibri"/>
          <w:noProof/>
          <w:lang w:val="ro-RO" w:eastAsia="ro-RO"/>
        </w:rPr>
        <w:drawing>
          <wp:inline distT="0" distB="0" distL="0" distR="0" wp14:anchorId="256451A7" wp14:editId="149D45F1">
            <wp:extent cx="3135401" cy="1650512"/>
            <wp:effectExtent l="38100" t="19050" r="636905" b="559435"/>
            <wp:docPr id="1027" name="Picture 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srcRect/>
                    <a:stretch>
                      <a:fillRect/>
                    </a:stretch>
                  </pic:blipFill>
                  <pic:spPr bwMode="auto">
                    <a:xfrm>
                      <a:off x="0" y="0"/>
                      <a:ext cx="3134995" cy="1650365"/>
                    </a:xfrm>
                    <a:prstGeom prst="rect">
                      <a:avLst/>
                    </a:prstGeom>
                    <a:noFill/>
                    <a:ln w="9525">
                      <a:noFill/>
                      <a:miter lim="800000"/>
                      <a:headEnd/>
                      <a:tailEnd/>
                    </a:ln>
                    <a:effectLst>
                      <a:outerShdw blurRad="76200" dir="18900000" sy="23000" kx="-1200000" algn="bl" rotWithShape="0">
                        <a:prstClr val="black">
                          <a:alpha val="20000"/>
                        </a:prstClr>
                      </a:outerShdw>
                      <a:reflection blurRad="6350" stA="52000" endA="300" endPos="35000" dir="5400000" sy="-100000" algn="bl" rotWithShape="0"/>
                      <a:softEdge rad="31750"/>
                    </a:effectLst>
                    <a:scene3d>
                      <a:camera prst="obliqueBottomLeft"/>
                      <a:lightRig rig="threePt" dir="t"/>
                    </a:scene3d>
                  </pic:spPr>
                </pic:pic>
              </a:graphicData>
            </a:graphic>
          </wp:inline>
        </w:drawing>
      </w:r>
    </w:p>
    <w:p w:rsidR="00BD60CC" w:rsidRDefault="00BD60CC" w:rsidP="00BD60CC">
      <w:pPr>
        <w:spacing w:line="360" w:lineRule="auto"/>
        <w:jc w:val="center"/>
        <w:rPr>
          <w:b/>
          <w:sz w:val="28"/>
          <w:szCs w:val="28"/>
        </w:rPr>
      </w:pPr>
      <w:r>
        <w:rPr>
          <w:b/>
          <w:sz w:val="28"/>
          <w:szCs w:val="28"/>
        </w:rPr>
        <w:t xml:space="preserve">˝Consiliul </w:t>
      </w:r>
      <w:smartTag w:uri="urn:schemas-microsoft-com:office:smarttags" w:element="place">
        <w:r>
          <w:rPr>
            <w:b/>
            <w:sz w:val="28"/>
            <w:szCs w:val="28"/>
          </w:rPr>
          <w:t>Superior</w:t>
        </w:r>
      </w:smartTag>
      <w:r>
        <w:rPr>
          <w:b/>
          <w:sz w:val="28"/>
          <w:szCs w:val="28"/>
        </w:rPr>
        <w:t xml:space="preserve"> al Magistraturii este garantul independenţei justiţiei˝ </w:t>
      </w:r>
    </w:p>
    <w:p w:rsidR="00BD60CC" w:rsidRDefault="00BD60CC" w:rsidP="00BD60CC">
      <w:pPr>
        <w:ind w:firstLine="284"/>
        <w:jc w:val="center"/>
        <w:rPr>
          <w:rFonts w:cs="Calibri"/>
          <w:lang w:val="ro-RO"/>
        </w:rPr>
      </w:pPr>
      <w:r>
        <w:rPr>
          <w:b/>
          <w:sz w:val="28"/>
          <w:szCs w:val="28"/>
        </w:rPr>
        <w:t>(art. 133 alin. (1) din Constituţia României, republicată)</w:t>
      </w:r>
    </w:p>
    <w:p w:rsidR="00BD60CC" w:rsidRDefault="00BD60CC" w:rsidP="00BD60CC">
      <w:pPr>
        <w:rPr>
          <w:rFonts w:cs="Calibri"/>
          <w:lang w:val="ro-RO"/>
        </w:rPr>
        <w:sectPr w:rsidR="00BD60CC" w:rsidSect="00465116">
          <w:type w:val="continuous"/>
          <w:pgSz w:w="11906" w:h="16838"/>
          <w:pgMar w:top="567" w:right="567" w:bottom="567" w:left="1418" w:header="709" w:footer="709" w:gutter="0"/>
          <w:pgNumType w:start="1"/>
          <w:cols w:space="720"/>
        </w:sectPr>
      </w:pPr>
    </w:p>
    <w:p w:rsidR="00BD60CC" w:rsidRDefault="00BD60CC" w:rsidP="00BD60CC">
      <w:pPr>
        <w:pStyle w:val="Cuprins1"/>
      </w:pPr>
    </w:p>
    <w:p w:rsidR="00BD60CC" w:rsidRDefault="00BD60CC" w:rsidP="00BD60CC">
      <w:pPr>
        <w:pStyle w:val="Cuprins1"/>
      </w:pPr>
    </w:p>
    <w:p w:rsidR="006E7450" w:rsidRPr="00860724" w:rsidRDefault="006E7450" w:rsidP="00E366D5">
      <w:pPr>
        <w:pageBreakBefore/>
        <w:spacing w:before="640"/>
        <w:jc w:val="center"/>
        <w:rPr>
          <w:rFonts w:cs="Calibri"/>
          <w:b/>
          <w:sz w:val="48"/>
          <w:szCs w:val="48"/>
          <w:lang w:val="ro-RO"/>
        </w:rPr>
      </w:pPr>
      <w:r w:rsidRPr="00860724">
        <w:rPr>
          <w:rFonts w:cs="Calibri"/>
          <w:b/>
          <w:sz w:val="48"/>
          <w:szCs w:val="48"/>
          <w:lang w:val="ro-RO"/>
        </w:rPr>
        <w:lastRenderedPageBreak/>
        <w:t>Cuprins</w:t>
      </w:r>
    </w:p>
    <w:p w:rsidR="00950835" w:rsidRPr="00A10FC6" w:rsidRDefault="00F97E95">
      <w:pPr>
        <w:pStyle w:val="Cuprins1"/>
        <w:rPr>
          <w:rFonts w:asciiTheme="minorHAnsi" w:eastAsiaTheme="minorEastAsia" w:hAnsiTheme="minorHAnsi" w:cstheme="minorBidi"/>
          <w:b w:val="0"/>
          <w:sz w:val="22"/>
          <w:szCs w:val="22"/>
          <w:lang w:val="ro-RO"/>
        </w:rPr>
      </w:pPr>
      <w:r w:rsidRPr="00860724">
        <w:rPr>
          <w:rFonts w:cs="Calibri"/>
          <w:lang w:val="ro-RO"/>
        </w:rPr>
        <w:fldChar w:fldCharType="begin"/>
      </w:r>
      <w:r w:rsidRPr="00860724">
        <w:rPr>
          <w:rFonts w:cs="Calibri"/>
          <w:lang w:val="ro-RO"/>
        </w:rPr>
        <w:instrText xml:space="preserve"> TOC \o "1-3" \h \z \u </w:instrText>
      </w:r>
      <w:r w:rsidRPr="00860724">
        <w:rPr>
          <w:rFonts w:cs="Calibri"/>
          <w:lang w:val="ro-RO"/>
        </w:rPr>
        <w:fldChar w:fldCharType="separate"/>
      </w:r>
      <w:hyperlink w:anchor="_Toc504987121" w:history="1">
        <w:r w:rsidR="00950835" w:rsidRPr="00A10FC6">
          <w:rPr>
            <w:rStyle w:val="Hyperlink"/>
            <w:lang w:val="ro-RO"/>
          </w:rPr>
          <w:t>Capitolul I</w:t>
        </w:r>
        <w:r w:rsidR="00950835" w:rsidRPr="00A10FC6">
          <w:rPr>
            <w:rFonts w:asciiTheme="minorHAnsi" w:eastAsiaTheme="minorEastAsia" w:hAnsiTheme="minorHAnsi" w:cstheme="minorBidi"/>
            <w:b w:val="0"/>
            <w:sz w:val="22"/>
            <w:szCs w:val="22"/>
            <w:lang w:val="ro-RO"/>
          </w:rPr>
          <w:tab/>
        </w:r>
        <w:r w:rsidR="00950835" w:rsidRPr="00A10FC6">
          <w:rPr>
            <w:rStyle w:val="Hyperlink"/>
            <w:lang w:val="ro-RO"/>
          </w:rPr>
          <w:t>Date statistice privind activitatea instanţelor judecătoreşti</w:t>
        </w:r>
        <w:r w:rsidR="00950835" w:rsidRPr="00A10FC6">
          <w:rPr>
            <w:webHidden/>
            <w:lang w:val="ro-RO"/>
          </w:rPr>
          <w:tab/>
        </w:r>
        <w:r w:rsidR="00950835" w:rsidRPr="00A10FC6">
          <w:rPr>
            <w:webHidden/>
            <w:lang w:val="ro-RO"/>
          </w:rPr>
          <w:fldChar w:fldCharType="begin"/>
        </w:r>
        <w:r w:rsidR="00950835" w:rsidRPr="00A10FC6">
          <w:rPr>
            <w:webHidden/>
            <w:lang w:val="ro-RO"/>
          </w:rPr>
          <w:instrText xml:space="preserve"> PAGEREF _Toc504987121 \h </w:instrText>
        </w:r>
        <w:r w:rsidR="00950835" w:rsidRPr="00A10FC6">
          <w:rPr>
            <w:webHidden/>
            <w:lang w:val="ro-RO"/>
          </w:rPr>
        </w:r>
        <w:r w:rsidR="00950835" w:rsidRPr="00A10FC6">
          <w:rPr>
            <w:webHidden/>
            <w:lang w:val="ro-RO"/>
          </w:rPr>
          <w:fldChar w:fldCharType="separate"/>
        </w:r>
        <w:r w:rsidR="004D0426">
          <w:rPr>
            <w:webHidden/>
            <w:lang w:val="ro-RO"/>
          </w:rPr>
          <w:t>2</w:t>
        </w:r>
        <w:r w:rsidR="00950835" w:rsidRPr="00A10FC6">
          <w:rPr>
            <w:webHidden/>
            <w:lang w:val="ro-RO"/>
          </w:rPr>
          <w:fldChar w:fldCharType="end"/>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2" w:history="1">
        <w:r w:rsidR="00950835" w:rsidRPr="00A10FC6">
          <w:rPr>
            <w:rStyle w:val="Hyperlink"/>
            <w:noProof/>
            <w:lang w:val="ro-RO"/>
          </w:rPr>
          <w:t>I.1. Volumul de activitate</w:t>
        </w:r>
        <w:r w:rsidR="00950835" w:rsidRPr="00A10FC6">
          <w:rPr>
            <w:noProof/>
            <w:webHidden/>
            <w:lang w:val="ro-RO"/>
          </w:rPr>
          <w:tab/>
        </w:r>
        <w:r w:rsidR="00950835" w:rsidRPr="00A10FC6">
          <w:rPr>
            <w:noProof/>
            <w:webHidden/>
            <w:lang w:val="ro-RO"/>
          </w:rPr>
          <w:fldChar w:fldCharType="begin"/>
        </w:r>
        <w:r w:rsidR="00950835" w:rsidRPr="00A10FC6">
          <w:rPr>
            <w:noProof/>
            <w:webHidden/>
            <w:lang w:val="ro-RO"/>
          </w:rPr>
          <w:instrText xml:space="preserve"> PAGEREF _Toc504987122 \h </w:instrText>
        </w:r>
        <w:r w:rsidR="00950835" w:rsidRPr="00A10FC6">
          <w:rPr>
            <w:noProof/>
            <w:webHidden/>
            <w:lang w:val="ro-RO"/>
          </w:rPr>
        </w:r>
        <w:r w:rsidR="00950835" w:rsidRPr="00A10FC6">
          <w:rPr>
            <w:noProof/>
            <w:webHidden/>
            <w:lang w:val="ro-RO"/>
          </w:rPr>
          <w:fldChar w:fldCharType="separate"/>
        </w:r>
        <w:r w:rsidR="004D0426">
          <w:rPr>
            <w:noProof/>
            <w:webHidden/>
            <w:lang w:val="ro-RO"/>
          </w:rPr>
          <w:t>2</w:t>
        </w:r>
        <w:r w:rsidR="00950835" w:rsidRPr="00A10FC6">
          <w:rPr>
            <w:noProof/>
            <w:webHidden/>
            <w:lang w:val="ro-RO"/>
          </w:rPr>
          <w:fldChar w:fldCharType="end"/>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3" w:history="1">
        <w:r w:rsidR="00950835" w:rsidRPr="00860724">
          <w:rPr>
            <w:rStyle w:val="Hyperlink"/>
            <w:noProof/>
            <w:lang w:val="ro-RO"/>
          </w:rPr>
          <w:t>I.2. Încărcătura pe judecător şi pe scheme</w:t>
        </w:r>
        <w:r w:rsidR="00950835" w:rsidRPr="00860724">
          <w:rPr>
            <w:noProof/>
            <w:webHidden/>
            <w:lang w:val="ro-RO"/>
          </w:rPr>
          <w:tab/>
        </w:r>
        <w:r w:rsidR="006703A4">
          <w:rPr>
            <w:noProof/>
            <w:webHidden/>
            <w:lang w:val="ro-RO"/>
          </w:rPr>
          <w:t>34</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4" w:history="1">
        <w:r w:rsidR="00950835" w:rsidRPr="00860724">
          <w:rPr>
            <w:rStyle w:val="Hyperlink"/>
            <w:noProof/>
            <w:lang w:val="ro-RO"/>
          </w:rPr>
          <w:t>I.3. Indicatori de eficienţă</w:t>
        </w:r>
        <w:r w:rsidR="00950835" w:rsidRPr="00860724">
          <w:rPr>
            <w:noProof/>
            <w:webHidden/>
            <w:lang w:val="ro-RO"/>
          </w:rPr>
          <w:tab/>
        </w:r>
        <w:r w:rsidR="006703A4">
          <w:rPr>
            <w:noProof/>
            <w:webHidden/>
            <w:lang w:val="ro-RO"/>
          </w:rPr>
          <w:t>41</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5" w:history="1">
        <w:r w:rsidR="00950835" w:rsidRPr="00860724">
          <w:rPr>
            <w:rStyle w:val="Hyperlink"/>
            <w:noProof/>
            <w:lang w:val="ro-RO"/>
          </w:rPr>
          <w:t xml:space="preserve">I.4. Indicii de atacabilitate </w:t>
        </w:r>
        <w:r w:rsidR="00677EA4" w:rsidRPr="00860724">
          <w:rPr>
            <w:rStyle w:val="Hyperlink"/>
            <w:noProof/>
            <w:lang w:val="ro-RO"/>
          </w:rPr>
          <w:t xml:space="preserve">şi de desfiinţare </w:t>
        </w:r>
        <w:r w:rsidR="00950835" w:rsidRPr="00860724">
          <w:rPr>
            <w:rStyle w:val="Hyperlink"/>
            <w:noProof/>
            <w:lang w:val="ro-RO"/>
          </w:rPr>
          <w:t>a hotărârilor judecătoreşti</w:t>
        </w:r>
        <w:r w:rsidR="00950835" w:rsidRPr="00860724">
          <w:rPr>
            <w:noProof/>
            <w:webHidden/>
            <w:lang w:val="ro-RO"/>
          </w:rPr>
          <w:tab/>
        </w:r>
        <w:r w:rsidR="006703A4">
          <w:rPr>
            <w:noProof/>
            <w:webHidden/>
            <w:lang w:val="ro-RO"/>
          </w:rPr>
          <w:t>58</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27" w:history="1">
        <w:r w:rsidR="00950835" w:rsidRPr="00860724">
          <w:rPr>
            <w:rStyle w:val="Hyperlink"/>
            <w:lang w:val="ro-RO"/>
          </w:rPr>
          <w:t>Capitolul II</w:t>
        </w:r>
        <w:r w:rsidR="00950835" w:rsidRPr="00860724">
          <w:rPr>
            <w:rFonts w:asciiTheme="minorHAnsi" w:eastAsiaTheme="minorEastAsia" w:hAnsiTheme="minorHAnsi" w:cstheme="minorBidi"/>
            <w:b w:val="0"/>
            <w:sz w:val="22"/>
            <w:szCs w:val="22"/>
            <w:lang w:val="ro-RO"/>
          </w:rPr>
          <w:tab/>
        </w:r>
        <w:r w:rsidR="00950835" w:rsidRPr="00860724">
          <w:rPr>
            <w:rStyle w:val="Hyperlink"/>
            <w:lang w:val="ro-RO"/>
          </w:rPr>
          <w:t>Date statistice privind activitatea parchetelor</w:t>
        </w:r>
        <w:r w:rsidR="00950835" w:rsidRPr="00860724">
          <w:rPr>
            <w:webHidden/>
            <w:lang w:val="ro-RO"/>
          </w:rPr>
          <w:tab/>
        </w:r>
        <w:r w:rsidR="001E7F99">
          <w:rPr>
            <w:webHidden/>
            <w:lang w:val="ro-RO"/>
          </w:rPr>
          <w:t>60</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8" w:history="1">
        <w:r w:rsidR="00950835" w:rsidRPr="00860724">
          <w:rPr>
            <w:rStyle w:val="Hyperlink"/>
            <w:noProof/>
            <w:lang w:val="ro-RO"/>
          </w:rPr>
          <w:t>II.1. Volumul de activitate</w:t>
        </w:r>
        <w:r w:rsidR="00950835" w:rsidRPr="00860724">
          <w:rPr>
            <w:noProof/>
            <w:webHidden/>
            <w:lang w:val="ro-RO"/>
          </w:rPr>
          <w:tab/>
        </w:r>
        <w:r w:rsidR="001E7F99">
          <w:rPr>
            <w:noProof/>
            <w:webHidden/>
            <w:lang w:val="ro-RO"/>
          </w:rPr>
          <w:t>60</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29" w:history="1">
        <w:r w:rsidR="00950835" w:rsidRPr="00860724">
          <w:rPr>
            <w:rStyle w:val="Hyperlink"/>
            <w:noProof/>
            <w:lang w:val="ro-RO"/>
          </w:rPr>
          <w:t>II.2. Încărcătura pe procuror şi pe scheme</w:t>
        </w:r>
        <w:r w:rsidR="00950835" w:rsidRPr="00860724">
          <w:rPr>
            <w:noProof/>
            <w:webHidden/>
            <w:lang w:val="ro-RO"/>
          </w:rPr>
          <w:tab/>
        </w:r>
        <w:r w:rsidR="001E7F99">
          <w:rPr>
            <w:noProof/>
            <w:webHidden/>
            <w:lang w:val="ro-RO"/>
          </w:rPr>
          <w:t>67</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0" w:history="1">
        <w:r w:rsidR="00950835" w:rsidRPr="00860724">
          <w:rPr>
            <w:rStyle w:val="Hyperlink"/>
            <w:noProof/>
            <w:lang w:val="ro-RO"/>
          </w:rPr>
          <w:t>II.3. Operativitatea soluţionării cauzelor</w:t>
        </w:r>
        <w:r w:rsidR="00950835" w:rsidRPr="00860724">
          <w:rPr>
            <w:noProof/>
            <w:webHidden/>
            <w:lang w:val="ro-RO"/>
          </w:rPr>
          <w:tab/>
        </w:r>
        <w:r w:rsidR="001E7F99">
          <w:rPr>
            <w:noProof/>
            <w:webHidden/>
            <w:lang w:val="ro-RO"/>
          </w:rPr>
          <w:t>71</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1" w:history="1">
        <w:r w:rsidR="00950835" w:rsidRPr="00860724">
          <w:rPr>
            <w:rStyle w:val="Hyperlink"/>
            <w:noProof/>
            <w:lang w:val="ro-RO"/>
          </w:rPr>
          <w:t>II.4. Ponderea cauzelor restituite de către instanţele de judecată în vederea refacerii urmării penale din totalul trimiterilor în judecată</w:t>
        </w:r>
        <w:r w:rsidR="00950835" w:rsidRPr="00860724">
          <w:rPr>
            <w:noProof/>
            <w:webHidden/>
            <w:lang w:val="ro-RO"/>
          </w:rPr>
          <w:tab/>
        </w:r>
        <w:r w:rsidR="001E7F99">
          <w:rPr>
            <w:noProof/>
            <w:webHidden/>
            <w:lang w:val="ro-RO"/>
          </w:rPr>
          <w:t>74</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2" w:history="1">
        <w:r w:rsidR="00950835" w:rsidRPr="00860724">
          <w:rPr>
            <w:rStyle w:val="Hyperlink"/>
            <w:noProof/>
            <w:lang w:val="ro-RO"/>
          </w:rPr>
          <w:t>II.5. Ponderea inculpaţilor achitaţi din totalul inculpaţilor trimişi în judecată</w:t>
        </w:r>
        <w:r w:rsidR="00950835" w:rsidRPr="00860724">
          <w:rPr>
            <w:noProof/>
            <w:webHidden/>
            <w:lang w:val="ro-RO"/>
          </w:rPr>
          <w:tab/>
        </w:r>
        <w:r w:rsidR="001E7F99">
          <w:rPr>
            <w:noProof/>
            <w:webHidden/>
            <w:lang w:val="ro-RO"/>
          </w:rPr>
          <w:t>75</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3" w:history="1">
        <w:r w:rsidR="00950835" w:rsidRPr="00860724">
          <w:rPr>
            <w:rStyle w:val="Hyperlink"/>
            <w:noProof/>
            <w:lang w:val="ro-RO"/>
          </w:rPr>
          <w:t>II.6. Durata de soluţionare a cauzelor</w:t>
        </w:r>
        <w:r w:rsidR="00950835" w:rsidRPr="00860724">
          <w:rPr>
            <w:noProof/>
            <w:webHidden/>
            <w:lang w:val="ro-RO"/>
          </w:rPr>
          <w:tab/>
        </w:r>
        <w:r w:rsidR="001E7F99">
          <w:rPr>
            <w:noProof/>
            <w:webHidden/>
            <w:lang w:val="ro-RO"/>
          </w:rPr>
          <w:t>84</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34" w:history="1">
        <w:r w:rsidR="00950835" w:rsidRPr="00860724">
          <w:rPr>
            <w:rStyle w:val="Hyperlink"/>
            <w:lang w:val="ro-RO"/>
          </w:rPr>
          <w:t>Capitolul III</w:t>
        </w:r>
        <w:r w:rsidR="00950835" w:rsidRPr="00860724">
          <w:rPr>
            <w:rFonts w:asciiTheme="minorHAnsi" w:eastAsiaTheme="minorEastAsia" w:hAnsiTheme="minorHAnsi" w:cstheme="minorBidi"/>
            <w:b w:val="0"/>
            <w:sz w:val="22"/>
            <w:szCs w:val="22"/>
            <w:lang w:val="ro-RO"/>
          </w:rPr>
          <w:tab/>
        </w:r>
        <w:r w:rsidR="00950835" w:rsidRPr="00860724">
          <w:rPr>
            <w:rStyle w:val="Hyperlink"/>
            <w:lang w:val="ro-RO"/>
          </w:rPr>
          <w:t>Date statistice referitoare la resursele umane la nivelul instanţelor</w:t>
        </w:r>
        <w:r w:rsidR="00950835" w:rsidRPr="00860724">
          <w:rPr>
            <w:webHidden/>
            <w:lang w:val="ro-RO"/>
          </w:rPr>
          <w:tab/>
        </w:r>
        <w:r w:rsidR="001E7F99">
          <w:rPr>
            <w:webHidden/>
            <w:lang w:val="ro-RO"/>
          </w:rPr>
          <w:t>86</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5" w:history="1">
        <w:r w:rsidR="00950835" w:rsidRPr="00860724">
          <w:rPr>
            <w:rStyle w:val="Hyperlink"/>
            <w:noProof/>
            <w:lang w:val="ro-RO"/>
          </w:rPr>
          <w:t>III.1. Situaţia posturilor (de judecător, magistrat asistent, personal auxiliar)</w:t>
        </w:r>
        <w:r w:rsidR="00950835" w:rsidRPr="00860724">
          <w:rPr>
            <w:noProof/>
            <w:webHidden/>
            <w:lang w:val="ro-RO"/>
          </w:rPr>
          <w:tab/>
        </w:r>
        <w:r w:rsidR="001E7F99">
          <w:rPr>
            <w:noProof/>
            <w:webHidden/>
            <w:lang w:val="ro-RO"/>
          </w:rPr>
          <w:t>86</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6" w:history="1">
        <w:r w:rsidR="00950835" w:rsidRPr="00860724">
          <w:rPr>
            <w:rStyle w:val="Hyperlink"/>
            <w:noProof/>
            <w:lang w:val="ro-RO"/>
          </w:rPr>
          <w:t>III.2. Situaţia sancţiunilor disciplinare şi penale aplicate în cursul anului 2017 pe fiecare categorie de personal</w:t>
        </w:r>
        <w:r w:rsidR="00950835" w:rsidRPr="00860724">
          <w:rPr>
            <w:noProof/>
            <w:webHidden/>
            <w:lang w:val="ro-RO"/>
          </w:rPr>
          <w:tab/>
        </w:r>
        <w:r w:rsidR="001E7F99">
          <w:rPr>
            <w:noProof/>
            <w:webHidden/>
            <w:lang w:val="ro-RO"/>
          </w:rPr>
          <w:t>93</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37" w:history="1">
        <w:r w:rsidR="00950835" w:rsidRPr="00860724">
          <w:rPr>
            <w:rStyle w:val="Hyperlink"/>
            <w:lang w:val="ro-RO"/>
          </w:rPr>
          <w:t>Capitolul IV</w:t>
        </w:r>
        <w:r w:rsidR="00950835" w:rsidRPr="00860724">
          <w:rPr>
            <w:rFonts w:asciiTheme="minorHAnsi" w:eastAsiaTheme="minorEastAsia" w:hAnsiTheme="minorHAnsi" w:cstheme="minorBidi"/>
            <w:b w:val="0"/>
            <w:sz w:val="22"/>
            <w:szCs w:val="22"/>
            <w:lang w:val="ro-RO"/>
          </w:rPr>
          <w:tab/>
        </w:r>
        <w:r w:rsidR="00950835" w:rsidRPr="00860724">
          <w:rPr>
            <w:rStyle w:val="Hyperlink"/>
            <w:lang w:val="ro-RO"/>
          </w:rPr>
          <w:t>Date statistice referitoare la resursele umane la nivelul parchetelor</w:t>
        </w:r>
        <w:r w:rsidR="00950835" w:rsidRPr="00860724">
          <w:rPr>
            <w:webHidden/>
            <w:lang w:val="ro-RO"/>
          </w:rPr>
          <w:tab/>
        </w:r>
        <w:r w:rsidR="001E7F99">
          <w:rPr>
            <w:webHidden/>
            <w:lang w:val="ro-RO"/>
          </w:rPr>
          <w:t>97</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8" w:history="1">
        <w:r w:rsidR="00950835" w:rsidRPr="00860724">
          <w:rPr>
            <w:rStyle w:val="Hyperlink"/>
            <w:noProof/>
            <w:lang w:val="ro-RO"/>
          </w:rPr>
          <w:t>IV.1. Situaţia posturilor (de procuror, personal auxiliar)</w:t>
        </w:r>
        <w:r w:rsidR="00950835" w:rsidRPr="00860724">
          <w:rPr>
            <w:noProof/>
            <w:webHidden/>
            <w:lang w:val="ro-RO"/>
          </w:rPr>
          <w:tab/>
        </w:r>
        <w:r w:rsidR="001E7F99">
          <w:rPr>
            <w:noProof/>
            <w:webHidden/>
            <w:lang w:val="ro-RO"/>
          </w:rPr>
          <w:t>97</w:t>
        </w:r>
      </w:hyperlink>
    </w:p>
    <w:p w:rsidR="00950835" w:rsidRPr="00860724" w:rsidRDefault="009B0A85">
      <w:pPr>
        <w:pStyle w:val="Cuprins2"/>
        <w:rPr>
          <w:rFonts w:asciiTheme="minorHAnsi" w:eastAsiaTheme="minorEastAsia" w:hAnsiTheme="minorHAnsi" w:cstheme="minorBidi"/>
          <w:noProof/>
          <w:sz w:val="22"/>
          <w:szCs w:val="22"/>
          <w:lang w:val="ro-RO"/>
        </w:rPr>
      </w:pPr>
      <w:hyperlink w:anchor="_Toc504987139" w:history="1">
        <w:r w:rsidR="00950835" w:rsidRPr="00860724">
          <w:rPr>
            <w:rStyle w:val="Hyperlink"/>
            <w:noProof/>
            <w:lang w:val="ro-RO"/>
          </w:rPr>
          <w:t>IV.2. Situaţia sancţiunilor disciplinare şi penale aplicate în cursul anului 2017 pe fiecare categorie</w:t>
        </w:r>
        <w:r w:rsidR="00950835" w:rsidRPr="00860724">
          <w:rPr>
            <w:rStyle w:val="Hyperlink"/>
            <w:noProof/>
            <w:lang w:val="ro-RO" w:eastAsia="ro-RO"/>
          </w:rPr>
          <w:t xml:space="preserve"> de personal</w:t>
        </w:r>
        <w:r w:rsidR="00950835" w:rsidRPr="00860724">
          <w:rPr>
            <w:noProof/>
            <w:webHidden/>
            <w:lang w:val="ro-RO"/>
          </w:rPr>
          <w:tab/>
        </w:r>
        <w:r w:rsidR="001E7F99">
          <w:rPr>
            <w:noProof/>
            <w:webHidden/>
            <w:lang w:val="ro-RO"/>
          </w:rPr>
          <w:t>104</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0" w:history="1">
        <w:r w:rsidR="00950835" w:rsidRPr="00860724">
          <w:rPr>
            <w:rStyle w:val="Hyperlink"/>
            <w:lang w:val="ro-RO"/>
          </w:rPr>
          <w:t>Capitolul V Formarea profesională a personalului</w:t>
        </w:r>
        <w:r w:rsidR="00950835" w:rsidRPr="00860724">
          <w:rPr>
            <w:webHidden/>
            <w:lang w:val="ro-RO"/>
          </w:rPr>
          <w:tab/>
        </w:r>
        <w:r w:rsidR="001E7F99">
          <w:rPr>
            <w:webHidden/>
            <w:lang w:val="ro-RO"/>
          </w:rPr>
          <w:t>106</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1" w:history="1">
        <w:r w:rsidR="00950835" w:rsidRPr="00860724">
          <w:rPr>
            <w:rStyle w:val="Hyperlink"/>
            <w:lang w:val="ro-RO"/>
          </w:rPr>
          <w:t>Capitolul VI Infrastructura instanţelor</w:t>
        </w:r>
        <w:r w:rsidR="00950835" w:rsidRPr="00860724">
          <w:rPr>
            <w:webHidden/>
            <w:lang w:val="ro-RO"/>
          </w:rPr>
          <w:tab/>
        </w:r>
        <w:r w:rsidR="001E7F99">
          <w:rPr>
            <w:webHidden/>
            <w:lang w:val="ro-RO"/>
          </w:rPr>
          <w:t>129</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2" w:history="1">
        <w:r w:rsidR="00950835" w:rsidRPr="00860724">
          <w:rPr>
            <w:rStyle w:val="Hyperlink"/>
            <w:lang w:val="ro-RO"/>
          </w:rPr>
          <w:t>Capitolul VII Infrastructura parchetelor</w:t>
        </w:r>
        <w:r w:rsidR="00950835" w:rsidRPr="00860724">
          <w:rPr>
            <w:webHidden/>
            <w:lang w:val="ro-RO"/>
          </w:rPr>
          <w:tab/>
        </w:r>
        <w:r w:rsidR="001E7F99">
          <w:rPr>
            <w:webHidden/>
            <w:lang w:val="ro-RO"/>
          </w:rPr>
          <w:t>134</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3" w:history="1">
        <w:r w:rsidR="00950835" w:rsidRPr="00860724">
          <w:rPr>
            <w:rStyle w:val="Hyperlink"/>
            <w:lang w:val="ro-RO"/>
          </w:rPr>
          <w:t>Capitolul VIII Date statistice privind cooperarea internaţională</w:t>
        </w:r>
        <w:r w:rsidR="00950835" w:rsidRPr="00860724">
          <w:rPr>
            <w:webHidden/>
            <w:lang w:val="ro-RO"/>
          </w:rPr>
          <w:tab/>
        </w:r>
        <w:r w:rsidR="001E7F99">
          <w:rPr>
            <w:webHidden/>
            <w:lang w:val="ro-RO"/>
          </w:rPr>
          <w:t>137</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4" w:history="1">
        <w:r w:rsidR="00950835" w:rsidRPr="00860724">
          <w:rPr>
            <w:rStyle w:val="Hyperlink"/>
            <w:lang w:val="ro-RO"/>
          </w:rPr>
          <w:t>Capitolul IX Apărarea independenţei şi imparţialităţii sistemului judiciar</w:t>
        </w:r>
        <w:r w:rsidR="00950835" w:rsidRPr="00860724">
          <w:rPr>
            <w:webHidden/>
            <w:lang w:val="ro-RO"/>
          </w:rPr>
          <w:tab/>
        </w:r>
        <w:r w:rsidR="001E7F99">
          <w:rPr>
            <w:webHidden/>
            <w:lang w:val="ro-RO"/>
          </w:rPr>
          <w:t>149</w:t>
        </w:r>
      </w:hyperlink>
    </w:p>
    <w:p w:rsidR="00950835" w:rsidRPr="00860724" w:rsidRDefault="009B0A85">
      <w:pPr>
        <w:pStyle w:val="Cuprins1"/>
        <w:rPr>
          <w:rFonts w:asciiTheme="minorHAnsi" w:eastAsiaTheme="minorEastAsia" w:hAnsiTheme="minorHAnsi" w:cstheme="minorBidi"/>
          <w:b w:val="0"/>
          <w:sz w:val="22"/>
          <w:szCs w:val="22"/>
          <w:lang w:val="ro-RO"/>
        </w:rPr>
      </w:pPr>
      <w:hyperlink w:anchor="_Toc504987145" w:history="1">
        <w:r w:rsidR="00950835" w:rsidRPr="00860724">
          <w:rPr>
            <w:rStyle w:val="Hyperlink"/>
            <w:lang w:val="ro-RO"/>
          </w:rPr>
          <w:t>Capitolul X Propunerile instanţelor şi parchetelor în vederea îmbunătăţirii activităţii</w:t>
        </w:r>
        <w:r w:rsidR="00950835" w:rsidRPr="00860724">
          <w:rPr>
            <w:webHidden/>
            <w:lang w:val="ro-RO"/>
          </w:rPr>
          <w:tab/>
        </w:r>
        <w:r w:rsidR="001E7F99">
          <w:rPr>
            <w:webHidden/>
            <w:lang w:val="ro-RO"/>
          </w:rPr>
          <w:t>157</w:t>
        </w:r>
      </w:hyperlink>
    </w:p>
    <w:p w:rsidR="006E7450" w:rsidRPr="00860724" w:rsidRDefault="00F97E95" w:rsidP="00C713E4">
      <w:pPr>
        <w:rPr>
          <w:rFonts w:cs="Calibri"/>
          <w:b/>
          <w:bCs/>
          <w:lang w:val="ro-RO"/>
        </w:rPr>
      </w:pPr>
      <w:r w:rsidRPr="00860724">
        <w:rPr>
          <w:rFonts w:cs="Calibri"/>
          <w:b/>
          <w:bCs/>
          <w:lang w:val="ro-RO"/>
        </w:rPr>
        <w:fldChar w:fldCharType="end"/>
      </w:r>
    </w:p>
    <w:p w:rsidR="00FD63B1" w:rsidRPr="00860724" w:rsidRDefault="00FD63B1"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pPr>
    </w:p>
    <w:p w:rsidR="00B818F3" w:rsidRPr="00860724" w:rsidRDefault="00B818F3" w:rsidP="00C713E4">
      <w:pPr>
        <w:rPr>
          <w:rFonts w:cs="Calibri"/>
          <w:b/>
          <w:bCs/>
          <w:lang w:val="ro-RO"/>
        </w:rPr>
        <w:sectPr w:rsidR="00B818F3" w:rsidRPr="00860724" w:rsidSect="009B0A85">
          <w:footerReference w:type="default" r:id="rId9"/>
          <w:type w:val="continuous"/>
          <w:pgSz w:w="11906" w:h="16838" w:code="9"/>
          <w:pgMar w:top="567" w:right="567" w:bottom="567" w:left="1418" w:header="709" w:footer="709" w:gutter="0"/>
          <w:pgNumType w:start="0"/>
          <w:cols w:space="708"/>
          <w:titlePg/>
          <w:docGrid w:linePitch="360"/>
        </w:sectPr>
      </w:pPr>
      <w:bookmarkStart w:id="0" w:name="_GoBack"/>
      <w:bookmarkEnd w:id="0"/>
    </w:p>
    <w:p w:rsidR="004D0426" w:rsidRDefault="004D0426" w:rsidP="000D005D">
      <w:pPr>
        <w:pStyle w:val="Titlu1"/>
      </w:pPr>
      <w:bookmarkStart w:id="1" w:name="_Toc504987121"/>
      <w:r>
        <w:lastRenderedPageBreak/>
        <w:t>CAPITOLUL I</w:t>
      </w:r>
    </w:p>
    <w:p w:rsidR="00D024F1" w:rsidRPr="00860724" w:rsidRDefault="00475F86" w:rsidP="000D005D">
      <w:pPr>
        <w:pStyle w:val="Titlu1"/>
      </w:pPr>
      <w:r w:rsidRPr="00860724">
        <w:t>Date statistice privind activitatea instanţelor judecătoreşti</w:t>
      </w:r>
      <w:bookmarkEnd w:id="1"/>
    </w:p>
    <w:p w:rsidR="00625F9B" w:rsidRPr="00860724" w:rsidRDefault="00574BDF" w:rsidP="002E7B42">
      <w:pPr>
        <w:pStyle w:val="Titlu2"/>
      </w:pPr>
      <w:bookmarkStart w:id="2" w:name="_Toc504987122"/>
      <w:r w:rsidRPr="00860724">
        <w:t>I</w:t>
      </w:r>
      <w:r w:rsidR="00D94AC1" w:rsidRPr="00860724">
        <w:t xml:space="preserve">.1. </w:t>
      </w:r>
      <w:r w:rsidR="000951C1" w:rsidRPr="00860724">
        <w:t>Volumul de activitate</w:t>
      </w:r>
      <w:bookmarkEnd w:id="2"/>
    </w:p>
    <w:p w:rsidR="00677EA4" w:rsidRPr="00860724" w:rsidRDefault="00677EA4" w:rsidP="00677EA4">
      <w:pPr>
        <w:spacing w:before="120" w:line="360" w:lineRule="auto"/>
        <w:ind w:firstLine="708"/>
        <w:jc w:val="both"/>
        <w:rPr>
          <w:b/>
          <w:i/>
          <w:lang w:val="ro-RO"/>
        </w:rPr>
      </w:pPr>
      <w:r w:rsidRPr="00860724">
        <w:rPr>
          <w:b/>
          <w:lang w:val="ro-RO"/>
        </w:rPr>
        <w:t>Volumul total de activitate</w:t>
      </w:r>
    </w:p>
    <w:p w:rsidR="00677EA4" w:rsidRPr="00860724" w:rsidRDefault="00677EA4" w:rsidP="007F13FC">
      <w:pPr>
        <w:pStyle w:val="AddParagraf"/>
        <w:spacing w:line="276" w:lineRule="auto"/>
      </w:pPr>
      <w:r w:rsidRPr="00860724">
        <w:t xml:space="preserve">În perioada de referinţă, la nivel naţional s-a înregistrat un volum total de activitate de </w:t>
      </w:r>
      <w:r w:rsidRPr="00860724">
        <w:rPr>
          <w:b/>
        </w:rPr>
        <w:t xml:space="preserve"> 3.039.673 </w:t>
      </w:r>
      <w:r w:rsidRPr="00860724">
        <w:t>dosare (2.995.276 dosare în anul 2016</w:t>
      </w:r>
      <w:r w:rsidRPr="00860724">
        <w:rPr>
          <w:bCs/>
        </w:rPr>
        <w:t xml:space="preserve">), ceea ce corespunde unei creşteri </w:t>
      </w:r>
      <w:r w:rsidRPr="00860724">
        <w:t xml:space="preserve">cu </w:t>
      </w:r>
      <w:r w:rsidRPr="00860724">
        <w:rPr>
          <w:b/>
        </w:rPr>
        <w:t>1,48 %</w:t>
      </w:r>
      <w:r w:rsidRPr="00860724">
        <w:t xml:space="preserve"> comparativ cu perioada anterioară.</w:t>
      </w:r>
    </w:p>
    <w:p w:rsidR="00230389" w:rsidRPr="00860724" w:rsidRDefault="00677EA4" w:rsidP="007F13FC">
      <w:pPr>
        <w:pStyle w:val="AddParagraf"/>
        <w:spacing w:line="276" w:lineRule="auto"/>
      </w:pPr>
      <w:r w:rsidRPr="00860724">
        <w:t xml:space="preserve">Din totalitatea dosarelor înregistrate pe rolul instanţelor naţionale, au fost soluţionate </w:t>
      </w:r>
      <w:r w:rsidRPr="00860724">
        <w:rPr>
          <w:b/>
        </w:rPr>
        <w:t>2.184.678</w:t>
      </w:r>
      <w:r w:rsidRPr="00860724">
        <w:t xml:space="preserve"> cauze în anul 2017 (2.177.646 cauze în anul 2016), ceea ce reprezintă un procent de soluţionare de  </w:t>
      </w:r>
      <w:r w:rsidRPr="00860724">
        <w:rPr>
          <w:b/>
        </w:rPr>
        <w:t xml:space="preserve">71,87 % </w:t>
      </w:r>
      <w:r w:rsidRPr="00860724">
        <w:t>(72,7 % în perioada anterioară).</w:t>
      </w:r>
      <w:bookmarkStart w:id="3" w:name="_Toc127732387"/>
      <w:bookmarkStart w:id="4" w:name="_Toc127732498"/>
    </w:p>
    <w:p w:rsidR="00677EA4" w:rsidRPr="00860724" w:rsidRDefault="00677EA4" w:rsidP="007F13FC">
      <w:pPr>
        <w:pStyle w:val="AddParagraf"/>
        <w:spacing w:line="276" w:lineRule="auto"/>
      </w:pPr>
      <w:r w:rsidRPr="00860724">
        <w:t>Din punct de vedere grafic, situaţia stocurilor şi a cauzelor nou intrate pe ultimii 5 ani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2017.xls!Volum total![Grafice 2017.xls]Volum total Diagramă 1" "" \a \p \* MERGEFORMAT </w:instrText>
      </w:r>
      <w:r w:rsidRPr="00860724">
        <w:fldChar w:fldCharType="separate"/>
      </w:r>
      <w:r w:rsidR="009B0A85">
        <w:object w:dxaOrig="12348" w:dyaOrig="6874">
          <v:shape id="_x0000_i1026" type="#_x0000_t75" style="width:487.5pt;height:270pt">
            <v:imagedata r:id="rId10" o:title=""/>
          </v:shape>
        </w:object>
      </w:r>
      <w:r w:rsidRPr="00860724">
        <w:fldChar w:fldCharType="end"/>
      </w:r>
    </w:p>
    <w:bookmarkEnd w:id="3"/>
    <w:bookmarkEnd w:id="4"/>
    <w:p w:rsidR="00677EA4" w:rsidRPr="00860724" w:rsidRDefault="00677EA4" w:rsidP="00677EA4">
      <w:pPr>
        <w:pStyle w:val="AddParagraf"/>
        <w:ind w:firstLine="0"/>
        <w:jc w:val="center"/>
      </w:pPr>
    </w:p>
    <w:p w:rsidR="00677EA4" w:rsidRPr="00860724" w:rsidRDefault="00677EA4" w:rsidP="007F13FC">
      <w:pPr>
        <w:pStyle w:val="AddParagraf"/>
        <w:spacing w:line="276" w:lineRule="auto"/>
      </w:pPr>
      <w:r w:rsidRPr="00860724">
        <w:t xml:space="preserve">După cum se poate observa, nivelul stocurilor în anul </w:t>
      </w:r>
      <w:smartTag w:uri="urn:schemas-microsoft-com:office:smarttags" w:element="metricconverter">
        <w:smartTagPr>
          <w:attr w:name="ProductID" w:val="2017 a"/>
        </w:smartTagPr>
        <w:r w:rsidRPr="00860724">
          <w:t>2017 a</w:t>
        </w:r>
      </w:smartTag>
      <w:r w:rsidRPr="00860724">
        <w:t xml:space="preserve"> crescut faţă de anul 2016 cu </w:t>
      </w:r>
      <w:r w:rsidRPr="00860724">
        <w:rPr>
          <w:b/>
        </w:rPr>
        <w:t>23.384</w:t>
      </w:r>
      <w:r w:rsidRPr="00860724">
        <w:t xml:space="preserve"> dosare, ceea ce reprezintă</w:t>
      </w:r>
      <w:r w:rsidRPr="00860724">
        <w:rPr>
          <w:b/>
        </w:rPr>
        <w:t xml:space="preserve"> </w:t>
      </w:r>
      <w:r w:rsidRPr="00860724">
        <w:t xml:space="preserve">o creştere cu </w:t>
      </w:r>
      <w:r w:rsidRPr="00860724">
        <w:rPr>
          <w:b/>
        </w:rPr>
        <w:t>2,87 %</w:t>
      </w:r>
      <w:r w:rsidR="00F459DC" w:rsidRPr="00860724">
        <w:t>, d</w:t>
      </w:r>
      <w:r w:rsidRPr="00860724">
        <w:t xml:space="preserve">ar comparativ cu anul </w:t>
      </w:r>
      <w:smartTag w:uri="urn:schemas-microsoft-com:office:smarttags" w:element="metricconverter">
        <w:smartTagPr>
          <w:attr w:name="ProductID" w:val="2013 a"/>
        </w:smartTagPr>
        <w:r w:rsidRPr="00860724">
          <w:t>2013 a</w:t>
        </w:r>
      </w:smartTag>
      <w:r w:rsidRPr="00860724">
        <w:t xml:space="preserve"> scăzut cu</w:t>
      </w:r>
      <w:r w:rsidRPr="00860724">
        <w:rPr>
          <w:b/>
        </w:rPr>
        <w:t xml:space="preserve"> 232.593 </w:t>
      </w:r>
      <w:r w:rsidRPr="00860724">
        <w:t>dosare</w:t>
      </w:r>
      <w:r w:rsidRPr="00860724">
        <w:rPr>
          <w:b/>
        </w:rPr>
        <w:t xml:space="preserve"> </w:t>
      </w:r>
      <w:r w:rsidRPr="00860724">
        <w:t xml:space="preserve"> ceea ce reprezintă o scădere cu</w:t>
      </w:r>
      <w:r w:rsidRPr="00860724">
        <w:rPr>
          <w:b/>
        </w:rPr>
        <w:t xml:space="preserve"> 21,71 %</w:t>
      </w:r>
      <w:r w:rsidRPr="00860724">
        <w:t>.</w:t>
      </w:r>
    </w:p>
    <w:p w:rsidR="00677EA4" w:rsidRPr="00860724" w:rsidRDefault="00677EA4" w:rsidP="007F13FC">
      <w:pPr>
        <w:pStyle w:val="AddParagraf"/>
        <w:spacing w:line="276" w:lineRule="auto"/>
      </w:pPr>
      <w:r w:rsidRPr="00860724">
        <w:t xml:space="preserve">Nivelul cauzelor nou intrate în anul </w:t>
      </w:r>
      <w:smartTag w:uri="urn:schemas-microsoft-com:office:smarttags" w:element="metricconverter">
        <w:smartTagPr>
          <w:attr w:name="ProductID" w:val="2017 a"/>
        </w:smartTagPr>
        <w:r w:rsidRPr="00860724">
          <w:t>2017 a</w:t>
        </w:r>
      </w:smartTag>
      <w:r w:rsidRPr="00860724">
        <w:t xml:space="preserve"> crescut faţă de anul 2016 cu </w:t>
      </w:r>
      <w:r w:rsidRPr="00860724">
        <w:rPr>
          <w:b/>
        </w:rPr>
        <w:t>21.013</w:t>
      </w:r>
      <w:r w:rsidRPr="00860724">
        <w:t xml:space="preserve"> dosare ceea ce corespunde unei creşteri cu </w:t>
      </w:r>
      <w:r w:rsidRPr="00860724">
        <w:rPr>
          <w:b/>
        </w:rPr>
        <w:t>0,96 %</w:t>
      </w:r>
      <w:r w:rsidRPr="00860724">
        <w:t xml:space="preserve">, în timp ce faţă de anul </w:t>
      </w:r>
      <w:smartTag w:uri="urn:schemas-microsoft-com:office:smarttags" w:element="metricconverter">
        <w:smartTagPr>
          <w:attr w:name="ProductID" w:val="2013 a"/>
        </w:smartTagPr>
        <w:r w:rsidRPr="00860724">
          <w:t>2013 a</w:t>
        </w:r>
      </w:smartTag>
      <w:r w:rsidRPr="00860724">
        <w:t xml:space="preserve"> scăzut cu </w:t>
      </w:r>
      <w:r w:rsidRPr="00860724">
        <w:rPr>
          <w:b/>
        </w:rPr>
        <w:t xml:space="preserve">65.160 </w:t>
      </w:r>
      <w:r w:rsidRPr="00860724">
        <w:t xml:space="preserve">dosare ceea ce corespunde unei scăderi cu </w:t>
      </w:r>
      <w:r w:rsidRPr="00860724">
        <w:rPr>
          <w:b/>
        </w:rPr>
        <w:t>2,88 %</w:t>
      </w:r>
      <w:r w:rsidRPr="00860724">
        <w:t>.</w:t>
      </w:r>
    </w:p>
    <w:p w:rsidR="00677EA4" w:rsidRPr="00860724" w:rsidRDefault="00677EA4" w:rsidP="007F13FC">
      <w:pPr>
        <w:pStyle w:val="AddParagraf"/>
        <w:spacing w:line="276" w:lineRule="auto"/>
      </w:pPr>
      <w:r w:rsidRPr="00860724">
        <w:t>Distribuţia cauzelor nou intrate pe tipuri de instanţă se prezintă astfel:</w:t>
      </w:r>
    </w:p>
    <w:p w:rsidR="00677EA4" w:rsidRPr="00860724" w:rsidRDefault="00677EA4" w:rsidP="00677EA4">
      <w:pPr>
        <w:pStyle w:val="AddParagraf"/>
      </w:pPr>
    </w:p>
    <w:p w:rsidR="00677EA4" w:rsidRPr="00860724" w:rsidRDefault="00677EA4" w:rsidP="00677EA4">
      <w:pPr>
        <w:pStyle w:val="AddParagraf"/>
        <w:ind w:firstLine="0"/>
        <w:jc w:val="center"/>
      </w:pPr>
    </w:p>
    <w:p w:rsidR="00677EA4" w:rsidRPr="00320A60" w:rsidRDefault="00677EA4" w:rsidP="00677EA4">
      <w:pPr>
        <w:tabs>
          <w:tab w:val="left" w:pos="1305"/>
        </w:tabs>
        <w:spacing w:line="360" w:lineRule="auto"/>
        <w:jc w:val="center"/>
        <w:rPr>
          <w:rFonts w:cs="Calibri"/>
          <w:noProof/>
          <w:lang w:val="ro-RO"/>
        </w:rPr>
      </w:pPr>
      <w:r w:rsidRPr="00320A60">
        <w:rPr>
          <w:rFonts w:cs="Calibri"/>
          <w:noProof/>
          <w:lang w:val="ro-RO"/>
        </w:rPr>
        <w:fldChar w:fldCharType="begin"/>
      </w:r>
      <w:r w:rsidRPr="00320A60">
        <w:rPr>
          <w:rFonts w:cs="Calibri"/>
          <w:noProof/>
          <w:lang w:val="ro-RO"/>
        </w:rPr>
        <w:instrText xml:space="preserve"> LINK Excel.Sheet.8 "F:\\Macheta\\Grafice 2017.xls!Dosare intrate![Grafice 2017.xls]Dosare intrate Diagramă 1" "" \a \p \* MERGEFORMAT </w:instrText>
      </w:r>
      <w:r w:rsidRPr="00320A60">
        <w:rPr>
          <w:rFonts w:cs="Calibri"/>
          <w:noProof/>
          <w:lang w:val="ro-RO"/>
        </w:rPr>
        <w:fldChar w:fldCharType="separate"/>
      </w:r>
      <w:r w:rsidR="009B0A85">
        <w:rPr>
          <w:rFonts w:cs="Calibri"/>
          <w:noProof/>
          <w:lang w:val="ro-RO"/>
        </w:rPr>
        <w:object w:dxaOrig="11604" w:dyaOrig="6520">
          <v:shape id="_x0000_i1027" type="#_x0000_t75" style="width:490.5pt;height:274.5pt">
            <v:imagedata r:id="rId11" o:title=""/>
          </v:shape>
        </w:object>
      </w:r>
      <w:r w:rsidRPr="00320A60">
        <w:rPr>
          <w:rFonts w:cs="Calibri"/>
          <w:noProof/>
          <w:lang w:val="ro-RO"/>
        </w:rPr>
        <w:fldChar w:fldCharType="end"/>
      </w:r>
    </w:p>
    <w:p w:rsidR="00677EA4" w:rsidRPr="00860724" w:rsidRDefault="00677EA4" w:rsidP="00677EA4">
      <w:pPr>
        <w:tabs>
          <w:tab w:val="left" w:pos="1305"/>
        </w:tabs>
        <w:spacing w:line="360" w:lineRule="auto"/>
        <w:jc w:val="both"/>
        <w:rPr>
          <w:noProof/>
          <w:lang w:val="ro-RO"/>
        </w:rPr>
      </w:pPr>
      <w:r w:rsidRPr="00860724">
        <w:rPr>
          <w:noProof/>
          <w:lang w:val="ro-RO"/>
        </w:rPr>
        <w:tab/>
      </w:r>
    </w:p>
    <w:p w:rsidR="00677EA4" w:rsidRPr="00860724" w:rsidRDefault="00677EA4" w:rsidP="00320A60">
      <w:pPr>
        <w:tabs>
          <w:tab w:val="left" w:pos="1305"/>
        </w:tabs>
        <w:spacing w:line="276" w:lineRule="auto"/>
        <w:jc w:val="both"/>
        <w:rPr>
          <w:noProof/>
          <w:lang w:val="ro-RO"/>
        </w:rPr>
      </w:pPr>
      <w:r w:rsidRPr="00860724">
        <w:rPr>
          <w:noProof/>
          <w:lang w:val="ro-RO"/>
        </w:rPr>
        <w:tab/>
        <w:t>De asemenea, sub aspectul stadiilor procesuale, situaţia la nivel naţional se prezintă astfel:</w:t>
      </w:r>
    </w:p>
    <w:p w:rsidR="00677EA4" w:rsidRPr="00860724" w:rsidRDefault="00677EA4" w:rsidP="00320A60">
      <w:pPr>
        <w:tabs>
          <w:tab w:val="left" w:pos="1305"/>
        </w:tabs>
        <w:spacing w:line="276" w:lineRule="auto"/>
        <w:jc w:val="both"/>
        <w:rPr>
          <w:noProof/>
          <w:lang w:val="ro-RO"/>
        </w:rPr>
      </w:pPr>
    </w:p>
    <w:p w:rsidR="00677EA4" w:rsidRPr="00860724" w:rsidRDefault="00677EA4" w:rsidP="00677EA4">
      <w:pPr>
        <w:tabs>
          <w:tab w:val="left" w:pos="1305"/>
        </w:tabs>
        <w:spacing w:line="360" w:lineRule="auto"/>
        <w:jc w:val="center"/>
        <w:rPr>
          <w:noProof/>
          <w:lang w:val="ro-RO"/>
        </w:rPr>
      </w:pPr>
      <w:r w:rsidRPr="00860724">
        <w:rPr>
          <w:noProof/>
          <w:lang w:val="ro-RO"/>
        </w:rPr>
        <w:fldChar w:fldCharType="begin"/>
      </w:r>
      <w:r w:rsidRPr="00860724">
        <w:rPr>
          <w:noProof/>
          <w:lang w:val="ro-RO"/>
        </w:rPr>
        <w:instrText xml:space="preserve"> LINK Excel.Sheet.8 "F:\\Macheta\\Grafice 2017.xls!Dosare intr stadiuproc![Grafice 2017.xls]Dosare intr stadiuproc Diagramă 2" "" \a \p \* MERGEFORMAT </w:instrText>
      </w:r>
      <w:r w:rsidRPr="00860724">
        <w:rPr>
          <w:noProof/>
          <w:lang w:val="ro-RO"/>
        </w:rPr>
        <w:fldChar w:fldCharType="separate"/>
      </w:r>
      <w:r w:rsidR="009B0A85">
        <w:rPr>
          <w:noProof/>
          <w:lang w:val="ro-RO"/>
        </w:rPr>
        <w:object w:dxaOrig="12508" w:dyaOrig="6679">
          <v:shape id="_x0000_i1028" type="#_x0000_t75" style="width:493.5pt;height:273pt">
            <v:imagedata r:id="rId12" o:title=""/>
          </v:shape>
        </w:object>
      </w:r>
      <w:r w:rsidRPr="00860724">
        <w:rPr>
          <w:noProof/>
          <w:lang w:val="ro-RO"/>
        </w:rPr>
        <w:fldChar w:fldCharType="end"/>
      </w:r>
    </w:p>
    <w:p w:rsidR="00677EA4" w:rsidRPr="00860724" w:rsidRDefault="00677EA4" w:rsidP="00677EA4">
      <w:pPr>
        <w:tabs>
          <w:tab w:val="left" w:pos="1305"/>
        </w:tabs>
        <w:spacing w:line="360" w:lineRule="auto"/>
        <w:jc w:val="center"/>
        <w:rPr>
          <w:noProof/>
          <w:lang w:val="ro-RO"/>
        </w:rPr>
      </w:pPr>
    </w:p>
    <w:p w:rsidR="00677EA4" w:rsidRPr="00860724" w:rsidRDefault="00677EA4" w:rsidP="00320A60">
      <w:pPr>
        <w:tabs>
          <w:tab w:val="left" w:pos="1305"/>
        </w:tabs>
        <w:spacing w:line="276" w:lineRule="auto"/>
        <w:jc w:val="center"/>
        <w:rPr>
          <w:noProof/>
          <w:lang w:val="ro-RO"/>
        </w:rPr>
      </w:pPr>
    </w:p>
    <w:p w:rsidR="00677EA4" w:rsidRPr="00860724" w:rsidRDefault="00677EA4" w:rsidP="00320A60">
      <w:pPr>
        <w:pStyle w:val="AddParagraf"/>
        <w:spacing w:line="276" w:lineRule="auto"/>
        <w:rPr>
          <w:noProof/>
        </w:rPr>
      </w:pPr>
      <w:r w:rsidRPr="00860724">
        <w:rPr>
          <w:noProof/>
        </w:rPr>
        <w:t>În ceea ce priveşte numărul dosarelor soluţionate, evoluţia ultimilor ani se prezintă conform graficului:</w:t>
      </w:r>
    </w:p>
    <w:p w:rsidR="00677EA4" w:rsidRPr="00860724" w:rsidRDefault="00677EA4" w:rsidP="00677EA4">
      <w:pPr>
        <w:pStyle w:val="AddParagraf"/>
        <w:ind w:firstLine="0"/>
        <w:jc w:val="center"/>
        <w:rPr>
          <w:noProof/>
        </w:rPr>
      </w:pPr>
      <w:r w:rsidRPr="00860724">
        <w:rPr>
          <w:noProof/>
        </w:rPr>
        <w:lastRenderedPageBreak/>
        <w:fldChar w:fldCharType="begin"/>
      </w:r>
      <w:r w:rsidRPr="00860724">
        <w:rPr>
          <w:noProof/>
        </w:rPr>
        <w:instrText xml:space="preserve"> LINK Excel.Sheet.8 "F:\\Macheta\\Grafice 2017.xls!Solutionate![Grafice 2017.xls]Solutionate Diagramă 1" "" \a \p \* MERGEFORMAT </w:instrText>
      </w:r>
      <w:r w:rsidRPr="00860724">
        <w:rPr>
          <w:noProof/>
        </w:rPr>
        <w:fldChar w:fldCharType="separate"/>
      </w:r>
      <w:r w:rsidR="009B0A85">
        <w:rPr>
          <w:noProof/>
        </w:rPr>
        <w:object w:dxaOrig="11622" w:dyaOrig="6591">
          <v:shape id="_x0000_i1029" type="#_x0000_t75" style="width:488.25pt;height:276pt">
            <v:imagedata r:id="rId13" o:title=""/>
          </v:shape>
        </w:object>
      </w:r>
      <w:r w:rsidRPr="00860724">
        <w:rPr>
          <w:noProof/>
        </w:rPr>
        <w:fldChar w:fldCharType="end"/>
      </w:r>
    </w:p>
    <w:p w:rsidR="00677EA4" w:rsidRPr="00860724" w:rsidRDefault="00677EA4" w:rsidP="007F13FC">
      <w:pPr>
        <w:pStyle w:val="AddParagraf"/>
        <w:spacing w:line="276" w:lineRule="auto"/>
        <w:ind w:firstLine="0"/>
        <w:rPr>
          <w:noProof/>
        </w:rPr>
      </w:pPr>
    </w:p>
    <w:p w:rsidR="00677EA4" w:rsidRPr="00860724" w:rsidRDefault="00677EA4" w:rsidP="00320A60">
      <w:pPr>
        <w:pStyle w:val="AddParagraf"/>
        <w:spacing w:line="276" w:lineRule="auto"/>
      </w:pPr>
      <w:r w:rsidRPr="00860724">
        <w:t xml:space="preserve">Din punctul de vedere al circumscripţiilor jurisdicţionale, </w:t>
      </w:r>
      <w:r w:rsidRPr="00860724">
        <w:rPr>
          <w:b/>
        </w:rPr>
        <w:t>însumând curţile de apel, tribunalele şi judecătoriile arondate</w:t>
      </w:r>
      <w:r w:rsidRPr="00860724">
        <w:t>, cele mai multe dosare nou create în anul 2017 au fost înregistrate în următoarele raze teritoriale:</w:t>
      </w:r>
    </w:p>
    <w:p w:rsidR="00F459DC" w:rsidRPr="00860724" w:rsidRDefault="00F459DC" w:rsidP="00677EA4">
      <w:pPr>
        <w:pStyle w:val="AddParagraf"/>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2017.xls!Dosare intr CA si arondate![Grafice 2017.xls]Dosare intr CA si arondate Diagramă 2" "" \a \p \* MERGEFORMAT </w:instrText>
      </w:r>
      <w:r w:rsidRPr="00860724">
        <w:fldChar w:fldCharType="separate"/>
      </w:r>
      <w:r w:rsidR="009B0A85">
        <w:object w:dxaOrig="13660" w:dyaOrig="7548">
          <v:shape id="_x0000_i1030" type="#_x0000_t75" style="width:493.5pt;height:270.75pt">
            <v:imagedata r:id="rId14" o:title=""/>
          </v:shape>
        </w:object>
      </w:r>
      <w:r w:rsidRPr="00860724">
        <w:fldChar w:fldCharType="end"/>
      </w:r>
    </w:p>
    <w:p w:rsidR="00677EA4" w:rsidRPr="00860724" w:rsidRDefault="00677EA4" w:rsidP="00677EA4">
      <w:pPr>
        <w:spacing w:line="360" w:lineRule="auto"/>
        <w:jc w:val="both"/>
        <w:rPr>
          <w:lang w:val="ro-RO"/>
        </w:rPr>
      </w:pPr>
    </w:p>
    <w:p w:rsidR="00F459DC" w:rsidRPr="00860724" w:rsidRDefault="00F459DC" w:rsidP="00677EA4">
      <w:pPr>
        <w:spacing w:line="360" w:lineRule="auto"/>
        <w:jc w:val="both"/>
        <w:rPr>
          <w:lang w:val="ro-RO"/>
        </w:rPr>
      </w:pPr>
    </w:p>
    <w:p w:rsidR="00677EA4" w:rsidRPr="00860724" w:rsidRDefault="00677EA4" w:rsidP="00677EA4">
      <w:pPr>
        <w:pStyle w:val="Titlu3"/>
      </w:pPr>
      <w:bookmarkStart w:id="5" w:name="_Toc411333475"/>
      <w:bookmarkStart w:id="6" w:name="_Toc411429410"/>
      <w:bookmarkStart w:id="7" w:name="_Toc506287997"/>
      <w:r w:rsidRPr="00860724">
        <w:lastRenderedPageBreak/>
        <w:t>I.1.1. Volumul de activitatea la nivelul Înaltei Curţi de Casaţie şi Justiţie</w:t>
      </w:r>
      <w:bookmarkEnd w:id="5"/>
      <w:bookmarkEnd w:id="6"/>
      <w:bookmarkEnd w:id="7"/>
    </w:p>
    <w:p w:rsidR="00677EA4" w:rsidRPr="00860724" w:rsidRDefault="00677EA4" w:rsidP="00320A60">
      <w:pPr>
        <w:pStyle w:val="AddParagraf"/>
        <w:spacing w:line="276" w:lineRule="auto"/>
      </w:pPr>
      <w:r w:rsidRPr="00860724">
        <w:t>La nivelul instanţei supreme, conform evidenţelor</w:t>
      </w:r>
      <w:r w:rsidR="00F459DC" w:rsidRPr="00860724">
        <w:t xml:space="preserve"> statistice</w:t>
      </w:r>
      <w:r w:rsidRPr="00860724">
        <w:t>, a fost înregistrat la nivelul anului 2017</w:t>
      </w:r>
      <w:r w:rsidR="00F459DC" w:rsidRPr="00860724">
        <w:t>,</w:t>
      </w:r>
      <w:r w:rsidRPr="00860724">
        <w:t xml:space="preserve"> un număr de </w:t>
      </w:r>
      <w:r w:rsidRPr="00860724">
        <w:rPr>
          <w:b/>
        </w:rPr>
        <w:t xml:space="preserve">29.657 </w:t>
      </w:r>
      <w:r w:rsidRPr="00860724">
        <w:t>dosare de soluţionat (</w:t>
      </w:r>
      <w:r w:rsidR="00F459DC" w:rsidRPr="00860724">
        <w:t xml:space="preserve">față de </w:t>
      </w:r>
      <w:r w:rsidRPr="00860724">
        <w:t>34.443</w:t>
      </w:r>
      <w:bookmarkStart w:id="8" w:name="OLE_LINK1"/>
      <w:bookmarkStart w:id="9" w:name="OLE_LINK2"/>
      <w:r w:rsidRPr="00860724">
        <w:t xml:space="preserve"> dosare de soluţionat</w:t>
      </w:r>
      <w:bookmarkEnd w:id="8"/>
      <w:bookmarkEnd w:id="9"/>
      <w:r w:rsidRPr="00860724">
        <w:t xml:space="preserve"> în anul 2016).</w:t>
      </w:r>
    </w:p>
    <w:p w:rsidR="00677EA4" w:rsidRPr="00860724" w:rsidRDefault="00677EA4" w:rsidP="00320A60">
      <w:pPr>
        <w:pStyle w:val="AddParagraf"/>
        <w:spacing w:line="276" w:lineRule="auto"/>
      </w:pPr>
      <w:r w:rsidRPr="00860724">
        <w:t>Sub aspect grafic, evoluţia volumului de activitate în cadrul ultimilor 5 ani la instanţa supremă, se prezintă astfel:</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2017.xls!ICCJ volum![Grafice 2017.xls]ICCJ volum Diagramă 1" "" \a \p \* MERGEFORMAT </w:instrText>
      </w:r>
      <w:r w:rsidRPr="00860724">
        <w:fldChar w:fldCharType="separate"/>
      </w:r>
      <w:r w:rsidR="009B0A85">
        <w:object w:dxaOrig="11852" w:dyaOrig="6981">
          <v:shape id="_x0000_i1031" type="#_x0000_t75" style="width:489pt;height:287.25pt">
            <v:imagedata r:id="rId15"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677EA4">
      <w:pPr>
        <w:pStyle w:val="AddParagraf"/>
      </w:pPr>
      <w:r w:rsidRPr="00860724">
        <w:t>Din punctul de vedere al stocurilor, precum şi al cauzelor nou intrate în toată această perioadă, situaţia se prezintă conform graficului:</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2017.xls!ICCJ stoc![Grafice 2017.xls]ICCJ stoc Diagramă 2" "" \a \p \* MERGEFORMAT </w:instrText>
      </w:r>
      <w:r w:rsidRPr="00860724">
        <w:fldChar w:fldCharType="separate"/>
      </w:r>
      <w:r w:rsidR="009B0A85">
        <w:object w:dxaOrig="12189" w:dyaOrig="6485">
          <v:shape id="_x0000_i1032" type="#_x0000_t75" style="width:495.75pt;height:263.25pt">
            <v:imagedata r:id="rId16" o:title=""/>
          </v:shape>
        </w:object>
      </w:r>
      <w:r w:rsidRPr="00860724">
        <w:fldChar w:fldCharType="end"/>
      </w:r>
    </w:p>
    <w:p w:rsidR="00677EA4" w:rsidRPr="00860724" w:rsidRDefault="00677EA4" w:rsidP="00677EA4">
      <w:pPr>
        <w:pStyle w:val="AddParagraf"/>
      </w:pPr>
      <w:r w:rsidRPr="00860724">
        <w:lastRenderedPageBreak/>
        <w:t xml:space="preserve">          </w:t>
      </w:r>
    </w:p>
    <w:p w:rsidR="00677EA4" w:rsidRPr="00860724" w:rsidRDefault="00677EA4" w:rsidP="00514C9E">
      <w:pPr>
        <w:pStyle w:val="AddParagraf"/>
        <w:spacing w:line="276" w:lineRule="auto"/>
      </w:pPr>
      <w:r w:rsidRPr="00860724">
        <w:t>În ceea ce priveşte numărul de cauze nou înregistrate în anul 2017, Înalta Curte de Casaţie şi Justiţie a fost investită pe materii după cum urmează (pe toate stadiile procesuale):</w:t>
      </w:r>
    </w:p>
    <w:p w:rsidR="00677EA4" w:rsidRPr="00860724" w:rsidRDefault="00677EA4" w:rsidP="00514C9E">
      <w:pPr>
        <w:pStyle w:val="AddParagraf"/>
        <w:spacing w:line="276" w:lineRule="auto"/>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2017.xls!Dosare intr ICCJ mat juridica![Grafice 2017.xls]Dosare intr ICCJ mat juridica Diagramă 2" "" \a \p \* MERGEFORMAT </w:instrText>
      </w:r>
      <w:r w:rsidRPr="00860724">
        <w:fldChar w:fldCharType="separate"/>
      </w:r>
      <w:r w:rsidR="009B0A85">
        <w:object w:dxaOrig="12242" w:dyaOrig="7140">
          <v:shape id="_x0000_i1033" type="#_x0000_t75" style="width:484.5pt;height:282pt">
            <v:imagedata r:id="rId17" o:title=""/>
          </v:shape>
        </w:object>
      </w:r>
      <w:r w:rsidRPr="00860724">
        <w:fldChar w:fldCharType="end"/>
      </w:r>
    </w:p>
    <w:p w:rsidR="00677EA4" w:rsidRPr="00860724" w:rsidRDefault="00677EA4" w:rsidP="00677EA4">
      <w:pPr>
        <w:pStyle w:val="AddParagraf"/>
        <w:rPr>
          <w:noProof/>
        </w:rPr>
      </w:pPr>
    </w:p>
    <w:p w:rsidR="00677EA4" w:rsidRPr="00860724" w:rsidRDefault="00677EA4" w:rsidP="00677EA4">
      <w:pPr>
        <w:pStyle w:val="AddParagraf"/>
        <w:rPr>
          <w:noProof/>
        </w:rPr>
      </w:pPr>
      <w:r w:rsidRPr="00860724">
        <w:rPr>
          <w:noProof/>
        </w:rPr>
        <w:t>De asemenea, distribuţia dosarelor nou create în anul de referinţă pe stadii procesuale indiferent de materie, se prezintă astfel:</w:t>
      </w:r>
    </w:p>
    <w:p w:rsidR="00677EA4" w:rsidRPr="00860724" w:rsidRDefault="00677EA4" w:rsidP="00677EA4">
      <w:pPr>
        <w:pStyle w:val="AddParagraf"/>
        <w:ind w:firstLine="0"/>
        <w:jc w:val="center"/>
        <w:rPr>
          <w:noProof/>
        </w:rPr>
      </w:pPr>
      <w:r w:rsidRPr="00860724">
        <w:rPr>
          <w:noProof/>
        </w:rPr>
        <w:fldChar w:fldCharType="begin"/>
      </w:r>
      <w:r w:rsidRPr="00860724">
        <w:rPr>
          <w:noProof/>
        </w:rPr>
        <w:instrText xml:space="preserve"> LINK Excel.Sheet.8 "F:\\Macheta\\Grafice 2017.xls!Dosare intr ICCJ stadiu proc![Grafice 2017.xls]Dosare intr ICCJ stadiu proc Diagramă 2" "" \a \p \* MERGEFORMAT </w:instrText>
      </w:r>
      <w:r w:rsidRPr="00860724">
        <w:rPr>
          <w:noProof/>
        </w:rPr>
        <w:fldChar w:fldCharType="separate"/>
      </w:r>
      <w:r w:rsidR="009B0A85">
        <w:rPr>
          <w:noProof/>
        </w:rPr>
        <w:object w:dxaOrig="13004" w:dyaOrig="6821">
          <v:shape id="_x0000_i1034" type="#_x0000_t75" style="width:487.5pt;height:255pt">
            <v:imagedata r:id="rId18" o:title=""/>
          </v:shape>
        </w:object>
      </w:r>
      <w:r w:rsidRPr="00860724">
        <w:rPr>
          <w:noProof/>
        </w:rPr>
        <w:fldChar w:fldCharType="end"/>
      </w:r>
    </w:p>
    <w:p w:rsidR="00677EA4" w:rsidRPr="00860724" w:rsidRDefault="00677EA4" w:rsidP="00677EA4">
      <w:pPr>
        <w:pStyle w:val="AddParagraf"/>
      </w:pPr>
    </w:p>
    <w:p w:rsidR="00677EA4" w:rsidRPr="00860724" w:rsidRDefault="00677EA4" w:rsidP="00320A60">
      <w:pPr>
        <w:pStyle w:val="AddParagraf"/>
        <w:spacing w:line="276" w:lineRule="auto"/>
      </w:pPr>
      <w:r w:rsidRPr="00860724">
        <w:lastRenderedPageBreak/>
        <w:t xml:space="preserve">Sub aspectul repartizării </w:t>
      </w:r>
      <w:r w:rsidRPr="00860724">
        <w:rPr>
          <w:b/>
        </w:rPr>
        <w:t>volumului de activitate pe secţi</w:t>
      </w:r>
      <w:r w:rsidRPr="00860724">
        <w:t xml:space="preserve">i, la nivelul anului 2017 cel mai mare volum l-a înregistrat </w:t>
      </w:r>
      <w:r w:rsidRPr="00860724">
        <w:rPr>
          <w:b/>
        </w:rPr>
        <w:t>Secţia de contencios administrativ şi fiscal</w:t>
      </w:r>
      <w:r w:rsidRPr="00860724">
        <w:t xml:space="preserve">, </w:t>
      </w:r>
      <w:r w:rsidRPr="00860724">
        <w:rPr>
          <w:b/>
        </w:rPr>
        <w:t>15.704</w:t>
      </w:r>
      <w:r w:rsidRPr="00860724">
        <w:t xml:space="preserve"> cauze (14.621 cauze în 2016), urmată de </w:t>
      </w:r>
      <w:r w:rsidRPr="00860724">
        <w:rPr>
          <w:b/>
        </w:rPr>
        <w:t>Secţia penală</w:t>
      </w:r>
      <w:r w:rsidRPr="00860724">
        <w:t xml:space="preserve">, cu </w:t>
      </w:r>
      <w:r w:rsidRPr="00860724">
        <w:rPr>
          <w:b/>
        </w:rPr>
        <w:t>5.834</w:t>
      </w:r>
      <w:r w:rsidRPr="00860724">
        <w:t xml:space="preserve">  cauze (11.607 cauze în 2016), </w:t>
      </w:r>
      <w:r w:rsidRPr="00860724">
        <w:rPr>
          <w:b/>
        </w:rPr>
        <w:t>Secţia a II-a Civilă</w:t>
      </w:r>
      <w:r w:rsidRPr="00860724">
        <w:t xml:space="preserve"> cu </w:t>
      </w:r>
      <w:r w:rsidRPr="00860724">
        <w:rPr>
          <w:b/>
        </w:rPr>
        <w:t>3.945</w:t>
      </w:r>
      <w:r w:rsidRPr="00860724">
        <w:t xml:space="preserve">  cauze (3.781</w:t>
      </w:r>
      <w:r w:rsidRPr="00860724">
        <w:rPr>
          <w:b/>
        </w:rPr>
        <w:t xml:space="preserve"> </w:t>
      </w:r>
      <w:r w:rsidRPr="00860724">
        <w:t xml:space="preserve">cauze în 2016) şi </w:t>
      </w:r>
      <w:r w:rsidRPr="00860724">
        <w:rPr>
          <w:b/>
        </w:rPr>
        <w:t>Secţia a I-a Civilă</w:t>
      </w:r>
      <w:r w:rsidRPr="00860724">
        <w:t xml:space="preserve"> cu </w:t>
      </w:r>
      <w:r w:rsidRPr="00860724">
        <w:rPr>
          <w:b/>
        </w:rPr>
        <w:t>3.010</w:t>
      </w:r>
      <w:r w:rsidRPr="00860724">
        <w:t xml:space="preserve"> dosare (3.200</w:t>
      </w:r>
      <w:r w:rsidRPr="00860724">
        <w:rPr>
          <w:b/>
        </w:rPr>
        <w:t xml:space="preserve"> </w:t>
      </w:r>
      <w:r w:rsidRPr="00860724">
        <w:t xml:space="preserve">cauze în 2016). </w:t>
      </w:r>
    </w:p>
    <w:p w:rsidR="00677EA4" w:rsidRPr="00860724" w:rsidRDefault="00677EA4" w:rsidP="00320A60">
      <w:pPr>
        <w:pStyle w:val="AddParagraf"/>
        <w:spacing w:line="276" w:lineRule="auto"/>
      </w:pPr>
      <w:r w:rsidRPr="00860724">
        <w:rPr>
          <w:b/>
        </w:rPr>
        <w:t>Completul de 5 judecători</w:t>
      </w:r>
      <w:r w:rsidRPr="00860724">
        <w:t xml:space="preserve"> a avut de soluţionat în anul 2016 un volum de</w:t>
      </w:r>
      <w:r w:rsidRPr="00860724">
        <w:rPr>
          <w:b/>
        </w:rPr>
        <w:t xml:space="preserve"> 792 </w:t>
      </w:r>
      <w:r w:rsidRPr="00860724">
        <w:t>cauze</w:t>
      </w:r>
      <w:r w:rsidRPr="00860724">
        <w:rPr>
          <w:b/>
        </w:rPr>
        <w:t xml:space="preserve"> (</w:t>
      </w:r>
      <w:r w:rsidRPr="00860724">
        <w:t>1009</w:t>
      </w:r>
      <w:r w:rsidRPr="00860724">
        <w:rPr>
          <w:b/>
        </w:rPr>
        <w:t xml:space="preserve">  </w:t>
      </w:r>
      <w:r w:rsidRPr="00860724">
        <w:t xml:space="preserve">cauze în 2016). </w:t>
      </w:r>
    </w:p>
    <w:p w:rsidR="00677EA4" w:rsidRPr="00860724" w:rsidRDefault="00677EA4" w:rsidP="00320A60">
      <w:pPr>
        <w:pStyle w:val="AddParagraf"/>
        <w:spacing w:line="276" w:lineRule="auto"/>
      </w:pPr>
      <w:r w:rsidRPr="00860724">
        <w:rPr>
          <w:b/>
        </w:rPr>
        <w:t xml:space="preserve">Completul pentru dezlegarea unor chestiuni de drept </w:t>
      </w:r>
      <w:r w:rsidRPr="00860724">
        <w:t xml:space="preserve">a înregistrat spre soluţionare conform evidenţelor  un volum de </w:t>
      </w:r>
      <w:r w:rsidRPr="00860724">
        <w:rPr>
          <w:b/>
        </w:rPr>
        <w:t xml:space="preserve">302 </w:t>
      </w:r>
      <w:r w:rsidRPr="00860724">
        <w:t>cauze.</w:t>
      </w:r>
    </w:p>
    <w:p w:rsidR="00677EA4" w:rsidRPr="00860724" w:rsidRDefault="00677EA4" w:rsidP="00677EA4">
      <w:pPr>
        <w:pStyle w:val="AddParagraf"/>
        <w:ind w:firstLine="0"/>
        <w:jc w:val="center"/>
        <w:rPr>
          <w:b/>
        </w:rPr>
      </w:pPr>
      <w:r w:rsidRPr="00860724">
        <w:fldChar w:fldCharType="begin"/>
      </w:r>
      <w:r w:rsidRPr="00860724">
        <w:instrText xml:space="preserve"> LINK Excel.Sheet.8 "F:\\Macheta\\Grafice 2017.xls!Volum ICCJ sectii![Grafice 2017.xls]Volum ICCJ sectii Diagramă 2" "" \a \p \* MERGEFORMAT </w:instrText>
      </w:r>
      <w:r w:rsidRPr="00860724">
        <w:fldChar w:fldCharType="separate"/>
      </w:r>
      <w:r w:rsidR="009B0A85">
        <w:object w:dxaOrig="13465" w:dyaOrig="7140">
          <v:shape id="_x0000_i1035" type="#_x0000_t75" style="width:492pt;height:260.25pt">
            <v:imagedata r:id="rId19" o:title=""/>
          </v:shape>
        </w:object>
      </w:r>
      <w:r w:rsidRPr="00860724">
        <w:fldChar w:fldCharType="end"/>
      </w:r>
    </w:p>
    <w:p w:rsidR="00677EA4" w:rsidRPr="00860724" w:rsidRDefault="00677EA4" w:rsidP="00514C9E">
      <w:pPr>
        <w:pStyle w:val="AddParagraf"/>
        <w:spacing w:line="276" w:lineRule="auto"/>
      </w:pPr>
      <w:r w:rsidRPr="00860724">
        <w:t xml:space="preserve">Din punctul de vedere al </w:t>
      </w:r>
      <w:r w:rsidRPr="00860724">
        <w:rPr>
          <w:b/>
        </w:rPr>
        <w:t>cauzelor nou intrate</w:t>
      </w:r>
      <w:r w:rsidRPr="00860724">
        <w:t xml:space="preserve">, comparativ cu anul 2016, </w:t>
      </w:r>
      <w:r w:rsidRPr="00860724">
        <w:rPr>
          <w:b/>
        </w:rPr>
        <w:t xml:space="preserve">Secţia de contencios administrativ şi fiscal </w:t>
      </w:r>
      <w:r w:rsidRPr="00860724">
        <w:t xml:space="preserve">a înregistrat în anul 2017 </w:t>
      </w:r>
      <w:r w:rsidRPr="00860724">
        <w:rPr>
          <w:b/>
        </w:rPr>
        <w:t>6.040</w:t>
      </w:r>
      <w:r w:rsidRPr="00860724">
        <w:t xml:space="preserve">  dosare (5.689</w:t>
      </w:r>
      <w:r w:rsidRPr="00860724">
        <w:rPr>
          <w:b/>
        </w:rPr>
        <w:t xml:space="preserve"> </w:t>
      </w:r>
      <w:r w:rsidRPr="00860724">
        <w:t xml:space="preserve">dosare în 2016), </w:t>
      </w:r>
      <w:r w:rsidRPr="00860724">
        <w:rPr>
          <w:b/>
        </w:rPr>
        <w:t>Secţia penală</w:t>
      </w:r>
      <w:r w:rsidRPr="00860724">
        <w:t xml:space="preserve"> a înregistrat  </w:t>
      </w:r>
      <w:r w:rsidRPr="00860724">
        <w:rPr>
          <w:b/>
        </w:rPr>
        <w:t>2.986</w:t>
      </w:r>
      <w:r w:rsidRPr="00860724">
        <w:t xml:space="preserve"> dosare (3.954</w:t>
      </w:r>
      <w:r w:rsidRPr="00860724">
        <w:rPr>
          <w:b/>
        </w:rPr>
        <w:t xml:space="preserve"> </w:t>
      </w:r>
      <w:r w:rsidRPr="00860724">
        <w:t>dosare în 2016),</w:t>
      </w:r>
      <w:r w:rsidRPr="00860724">
        <w:rPr>
          <w:b/>
        </w:rPr>
        <w:t xml:space="preserve"> Secţia a I-a Civilă </w:t>
      </w:r>
      <w:r w:rsidRPr="00860724">
        <w:t>a înregistrat</w:t>
      </w:r>
      <w:r w:rsidRPr="00860724">
        <w:rPr>
          <w:b/>
        </w:rPr>
        <w:t xml:space="preserve"> 2.246 </w:t>
      </w:r>
      <w:r w:rsidRPr="00860724">
        <w:t>dosare</w:t>
      </w:r>
      <w:r w:rsidRPr="00860724">
        <w:rPr>
          <w:b/>
        </w:rPr>
        <w:t xml:space="preserve"> </w:t>
      </w:r>
      <w:r w:rsidRPr="00860724">
        <w:t xml:space="preserve">(2.353 </w:t>
      </w:r>
      <w:r w:rsidRPr="00860724">
        <w:rPr>
          <w:b/>
        </w:rPr>
        <w:t xml:space="preserve"> </w:t>
      </w:r>
      <w:r w:rsidRPr="00860724">
        <w:t xml:space="preserve">dosare în 2016) iar </w:t>
      </w:r>
      <w:r w:rsidRPr="00860724">
        <w:rPr>
          <w:b/>
        </w:rPr>
        <w:t xml:space="preserve">Secţia a II-a Civilă </w:t>
      </w:r>
      <w:r w:rsidRPr="00860724">
        <w:t>a înregistrat</w:t>
      </w:r>
      <w:r w:rsidRPr="00860724">
        <w:rPr>
          <w:b/>
        </w:rPr>
        <w:t xml:space="preserve"> 2.393 </w:t>
      </w:r>
      <w:r w:rsidRPr="00860724">
        <w:t>dosare</w:t>
      </w:r>
      <w:r w:rsidRPr="00860724">
        <w:rPr>
          <w:b/>
        </w:rPr>
        <w:t xml:space="preserve"> </w:t>
      </w:r>
      <w:r w:rsidRPr="00860724">
        <w:t>(2.155</w:t>
      </w:r>
      <w:r w:rsidRPr="00860724">
        <w:rPr>
          <w:b/>
        </w:rPr>
        <w:t xml:space="preserve"> </w:t>
      </w:r>
      <w:r w:rsidRPr="00860724">
        <w:t xml:space="preserve">dosare în 2016). </w:t>
      </w:r>
    </w:p>
    <w:p w:rsidR="00677EA4" w:rsidRPr="00860724" w:rsidRDefault="00677EA4" w:rsidP="00514C9E">
      <w:pPr>
        <w:pStyle w:val="AddParagraf"/>
        <w:spacing w:line="276" w:lineRule="auto"/>
      </w:pPr>
      <w:r w:rsidRPr="00860724">
        <w:rPr>
          <w:lang w:eastAsia="ro-RO"/>
        </w:rPr>
        <w:t xml:space="preserve">Completul de 5 Judecători a înregistrat </w:t>
      </w:r>
      <w:r w:rsidRPr="00860724">
        <w:rPr>
          <w:b/>
          <w:lang w:eastAsia="ro-RO"/>
        </w:rPr>
        <w:t xml:space="preserve">585 </w:t>
      </w:r>
      <w:r w:rsidRPr="00860724">
        <w:rPr>
          <w:lang w:eastAsia="ro-RO"/>
        </w:rPr>
        <w:t>dosare intrate în anul 2017.</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2017.xls!Dosare intr ICCJ sectii![Grafice 2017.xls]Dosare intr ICCJ sectii Diagramă 2" "" \a \p \* MERGEFORMAT </w:instrText>
      </w:r>
      <w:r w:rsidRPr="00860724">
        <w:fldChar w:fldCharType="separate"/>
      </w:r>
      <w:r w:rsidR="009B0A85">
        <w:object w:dxaOrig="12844" w:dyaOrig="7299">
          <v:shape id="_x0000_i1036" type="#_x0000_t75" style="width:488.25pt;height:276pt">
            <v:imagedata r:id="rId20"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437B79">
      <w:pPr>
        <w:pStyle w:val="AddParagraf"/>
        <w:spacing w:line="276" w:lineRule="auto"/>
      </w:pPr>
      <w:r w:rsidRPr="00860724">
        <w:t xml:space="preserve">Sub aspectul </w:t>
      </w:r>
      <w:r w:rsidRPr="00860724">
        <w:rPr>
          <w:b/>
        </w:rPr>
        <w:t>stocurilor iniţiale</w:t>
      </w:r>
      <w:r w:rsidRPr="00860724">
        <w:t xml:space="preserve">, comparativ cu anul 2016, </w:t>
      </w:r>
      <w:r w:rsidRPr="00860724">
        <w:rPr>
          <w:b/>
        </w:rPr>
        <w:t xml:space="preserve">Secţia de contencios administrativ şi fiscal </w:t>
      </w:r>
      <w:r w:rsidRPr="00860724">
        <w:t xml:space="preserve">a înregistrat </w:t>
      </w:r>
      <w:r w:rsidRPr="00860724">
        <w:rPr>
          <w:b/>
        </w:rPr>
        <w:t>9.664</w:t>
      </w:r>
      <w:r w:rsidRPr="00860724">
        <w:t xml:space="preserve"> dosare (8.932 dosare în 2016), </w:t>
      </w:r>
      <w:r w:rsidRPr="00860724">
        <w:rPr>
          <w:b/>
        </w:rPr>
        <w:t>Secţia penală</w:t>
      </w:r>
      <w:r w:rsidRPr="00860724">
        <w:t xml:space="preserve"> a înregistrat </w:t>
      </w:r>
      <w:r w:rsidRPr="00860724">
        <w:rPr>
          <w:b/>
        </w:rPr>
        <w:t>2.848</w:t>
      </w:r>
      <w:r w:rsidRPr="00860724">
        <w:t xml:space="preserve"> dosare (7.653</w:t>
      </w:r>
      <w:r w:rsidRPr="00860724">
        <w:rPr>
          <w:b/>
        </w:rPr>
        <w:t xml:space="preserve"> </w:t>
      </w:r>
      <w:r w:rsidRPr="00860724">
        <w:t xml:space="preserve">dosare în 2016), </w:t>
      </w:r>
      <w:r w:rsidRPr="00860724">
        <w:rPr>
          <w:b/>
        </w:rPr>
        <w:t xml:space="preserve">Secţia a II-a Civilă </w:t>
      </w:r>
      <w:r w:rsidRPr="00860724">
        <w:t>a înregistrat</w:t>
      </w:r>
      <w:r w:rsidRPr="00860724">
        <w:rPr>
          <w:b/>
        </w:rPr>
        <w:t xml:space="preserve"> 1.552  </w:t>
      </w:r>
      <w:r w:rsidRPr="00860724">
        <w:t>dosare</w:t>
      </w:r>
      <w:r w:rsidRPr="00860724">
        <w:rPr>
          <w:b/>
        </w:rPr>
        <w:t xml:space="preserve"> </w:t>
      </w:r>
      <w:r w:rsidRPr="00860724">
        <w:t xml:space="preserve">(1.626 dosare în 2016) iar </w:t>
      </w:r>
      <w:r w:rsidRPr="00860724">
        <w:rPr>
          <w:b/>
        </w:rPr>
        <w:t xml:space="preserve">Secţia a I-a Civilă </w:t>
      </w:r>
      <w:r w:rsidRPr="00860724">
        <w:t>a înregistrat</w:t>
      </w:r>
      <w:r w:rsidRPr="00860724">
        <w:rPr>
          <w:b/>
        </w:rPr>
        <w:t xml:space="preserve"> 764  </w:t>
      </w:r>
      <w:r w:rsidRPr="00860724">
        <w:t>dosare</w:t>
      </w:r>
      <w:r w:rsidRPr="00860724">
        <w:rPr>
          <w:b/>
        </w:rPr>
        <w:t xml:space="preserve"> </w:t>
      </w:r>
      <w:r w:rsidRPr="00860724">
        <w:t>(</w:t>
      </w:r>
      <w:r w:rsidRPr="00860724">
        <w:rPr>
          <w:b/>
        </w:rPr>
        <w:t>847</w:t>
      </w:r>
      <w:r w:rsidRPr="00860724">
        <w:t xml:space="preserve"> dosare în 2016).</w:t>
      </w:r>
    </w:p>
    <w:p w:rsidR="00677EA4" w:rsidRPr="00860724" w:rsidRDefault="00F459DC" w:rsidP="00437B79">
      <w:pPr>
        <w:pStyle w:val="AddParagraf"/>
        <w:spacing w:line="276" w:lineRule="auto"/>
      </w:pPr>
      <w:r w:rsidRPr="00860724">
        <w:t>În cadrul Secţiei  I civilă şi S</w:t>
      </w:r>
      <w:r w:rsidR="00536560">
        <w:t>ecţiei</w:t>
      </w:r>
      <w:r w:rsidR="00677EA4" w:rsidRPr="00860724">
        <w:t xml:space="preserve"> a II-a civilă</w:t>
      </w:r>
      <w:r w:rsidRPr="00860724">
        <w:t>,</w:t>
      </w:r>
      <w:r w:rsidR="00677EA4" w:rsidRPr="00860724">
        <w:t xml:space="preserve"> la nivelul anului 2017 s-a înregistrat o scădere a stocurilor de dosare fa</w:t>
      </w:r>
      <w:r w:rsidRPr="00860724">
        <w:t>ţă de anul 2016, în timp ce la S</w:t>
      </w:r>
      <w:r w:rsidR="00677EA4" w:rsidRPr="00860724">
        <w:t>ecţia de</w:t>
      </w:r>
      <w:r w:rsidR="00677EA4" w:rsidRPr="00860724">
        <w:rPr>
          <w:b/>
        </w:rPr>
        <w:t xml:space="preserve"> </w:t>
      </w:r>
      <w:r w:rsidR="00677EA4" w:rsidRPr="00860724">
        <w:t xml:space="preserve">contencios administrativ şi fiscal şi </w:t>
      </w:r>
      <w:r w:rsidRPr="00860724">
        <w:t xml:space="preserve">Secția </w:t>
      </w:r>
      <w:r w:rsidR="00677EA4" w:rsidRPr="00860724">
        <w:t>penală se constată o creştere a stocului de dosare.</w:t>
      </w:r>
    </w:p>
    <w:p w:rsidR="00677EA4" w:rsidRPr="00860724" w:rsidRDefault="00677EA4" w:rsidP="00437B79">
      <w:pPr>
        <w:pStyle w:val="AddParagraf"/>
        <w:spacing w:line="276" w:lineRule="auto"/>
      </w:pPr>
      <w:r w:rsidRPr="00860724">
        <w:t xml:space="preserve">Aşadar, </w:t>
      </w:r>
      <w:r w:rsidR="00F459DC" w:rsidRPr="00860724">
        <w:t xml:space="preserve">în total, </w:t>
      </w:r>
      <w:r w:rsidRPr="00860724">
        <w:t xml:space="preserve">din cele </w:t>
      </w:r>
      <w:r w:rsidRPr="00860724">
        <w:rPr>
          <w:b/>
        </w:rPr>
        <w:t xml:space="preserve">29.657 </w:t>
      </w:r>
      <w:r w:rsidRPr="00860724">
        <w:t xml:space="preserve">dosare de soluţionat, au fost soluţionate </w:t>
      </w:r>
      <w:r w:rsidRPr="00860724">
        <w:rPr>
          <w:b/>
        </w:rPr>
        <w:t>12.567</w:t>
      </w:r>
      <w:r w:rsidRPr="00860724">
        <w:t xml:space="preserve"> </w:t>
      </w:r>
      <w:r w:rsidRPr="00860724">
        <w:rPr>
          <w:bCs/>
        </w:rPr>
        <w:t>dosare</w:t>
      </w:r>
      <w:r w:rsidRPr="00860724">
        <w:t xml:space="preserve">, ceea ce reprezintă un procent de </w:t>
      </w:r>
      <w:r w:rsidRPr="00860724">
        <w:rPr>
          <w:b/>
        </w:rPr>
        <w:t>42,37 %</w:t>
      </w:r>
      <w:r w:rsidRPr="00860724">
        <w:t>.</w:t>
      </w:r>
    </w:p>
    <w:p w:rsidR="00677EA4" w:rsidRPr="00860724" w:rsidRDefault="00677EA4" w:rsidP="00437B79">
      <w:pPr>
        <w:pStyle w:val="AddParagraf"/>
        <w:spacing w:line="276" w:lineRule="auto"/>
      </w:pPr>
      <w:r w:rsidRPr="00860724">
        <w:t>Sub aspectul numărului cauzelor soluţionate, în ultimii 5 ani, dinamica se prezintă astfel (valorile ultimilor 4 ani fiind ajustate în funcţie de aplicaţia Ecris):</w:t>
      </w:r>
    </w:p>
    <w:p w:rsidR="00677EA4" w:rsidRPr="00860724" w:rsidRDefault="00677EA4" w:rsidP="00677EA4">
      <w:pPr>
        <w:pStyle w:val="AddParagraf"/>
      </w:pPr>
    </w:p>
    <w:p w:rsidR="00677EA4" w:rsidRPr="00860724" w:rsidRDefault="00677EA4" w:rsidP="00677EA4">
      <w:pPr>
        <w:pStyle w:val="AddParagraf"/>
      </w:pPr>
    </w:p>
    <w:p w:rsidR="00677EA4" w:rsidRPr="00860724" w:rsidRDefault="00677EA4" w:rsidP="00677EA4">
      <w:pPr>
        <w:pStyle w:val="AddParagraf"/>
        <w:ind w:firstLine="0"/>
      </w:pPr>
      <w:r w:rsidRPr="00860724">
        <w:lastRenderedPageBreak/>
        <w:fldChar w:fldCharType="begin"/>
      </w:r>
      <w:r w:rsidRPr="00860724">
        <w:instrText xml:space="preserve"> LINK Excel.Sheet.8 "F:\\Macheta\\Grafice 2017.xls!ICCJ solut![Grafice 2017.xls]ICCJ solut Diagramă 1" "" \a \p \* MERGEFORMAT </w:instrText>
      </w:r>
      <w:r w:rsidRPr="00860724">
        <w:fldChar w:fldCharType="separate"/>
      </w:r>
      <w:r w:rsidR="009B0A85">
        <w:object w:dxaOrig="11994" w:dyaOrig="6591">
          <v:shape id="_x0000_i1037" type="#_x0000_t75" style="width:495.75pt;height:272.25pt">
            <v:imagedata r:id="rId21" o:title=""/>
          </v:shape>
        </w:object>
      </w:r>
      <w:r w:rsidRPr="00860724">
        <w:fldChar w:fldCharType="end"/>
      </w:r>
    </w:p>
    <w:p w:rsidR="00677EA4" w:rsidRPr="00860724" w:rsidRDefault="00677EA4" w:rsidP="00437B79">
      <w:pPr>
        <w:pStyle w:val="AddParagraf"/>
        <w:spacing w:line="276" w:lineRule="auto"/>
        <w:ind w:firstLine="0"/>
        <w:jc w:val="center"/>
      </w:pPr>
    </w:p>
    <w:p w:rsidR="00677EA4" w:rsidRPr="00860724" w:rsidRDefault="00677EA4" w:rsidP="00437B79">
      <w:pPr>
        <w:pStyle w:val="AddParagraf"/>
        <w:spacing w:line="276" w:lineRule="auto"/>
      </w:pPr>
      <w:r w:rsidRPr="00860724">
        <w:t>În ceea ce priveşte situaţia celor mai frecvente tipuri de cauze pe rolul I.C.C.J, evidenţiem câteva materii:</w:t>
      </w:r>
    </w:p>
    <w:p w:rsidR="00677EA4" w:rsidRPr="00860724" w:rsidRDefault="00677EA4" w:rsidP="00677EA4">
      <w:pPr>
        <w:numPr>
          <w:ilvl w:val="0"/>
          <w:numId w:val="12"/>
        </w:numPr>
        <w:tabs>
          <w:tab w:val="left" w:pos="750"/>
          <w:tab w:val="left" w:pos="840"/>
          <w:tab w:val="left" w:pos="1380"/>
        </w:tabs>
        <w:spacing w:line="360" w:lineRule="auto"/>
        <w:jc w:val="both"/>
        <w:rPr>
          <w:b/>
          <w:lang w:val="ro-RO"/>
        </w:rPr>
      </w:pPr>
      <w:r w:rsidRPr="00860724">
        <w:rPr>
          <w:b/>
          <w:lang w:val="ro-RO"/>
        </w:rPr>
        <w:t>penal – recurs in casa</w:t>
      </w:r>
      <w:r w:rsidR="00437B79">
        <w:rPr>
          <w:b/>
          <w:lang w:val="ro-RO"/>
        </w:rPr>
        <w:t>ț</w:t>
      </w:r>
      <w:r w:rsidRPr="00860724">
        <w:rPr>
          <w:b/>
          <w:lang w:val="ro-RO"/>
        </w:rPr>
        <w:t>ie</w:t>
      </w:r>
    </w:p>
    <w:p w:rsidR="00677EA4" w:rsidRPr="00860724" w:rsidRDefault="00677EA4" w:rsidP="00677EA4">
      <w:pPr>
        <w:tabs>
          <w:tab w:val="left" w:pos="750"/>
          <w:tab w:val="left" w:pos="840"/>
          <w:tab w:val="left" w:pos="1380"/>
        </w:tabs>
        <w:spacing w:line="360" w:lineRule="auto"/>
        <w:ind w:left="900"/>
        <w:jc w:val="both"/>
        <w:rPr>
          <w:b/>
          <w:lang w:val="ro-RO"/>
        </w:rPr>
      </w:pPr>
    </w:p>
    <w:p w:rsidR="00677EA4" w:rsidRPr="00860724" w:rsidRDefault="00677EA4" w:rsidP="00677EA4">
      <w:pPr>
        <w:tabs>
          <w:tab w:val="left" w:pos="750"/>
          <w:tab w:val="left" w:pos="840"/>
          <w:tab w:val="left" w:pos="1380"/>
        </w:tabs>
        <w:spacing w:line="360" w:lineRule="auto"/>
        <w:jc w:val="center"/>
        <w:rPr>
          <w:b/>
          <w:lang w:val="ro-RO"/>
        </w:rPr>
      </w:pPr>
      <w:r w:rsidRPr="00860724">
        <w:rPr>
          <w:b/>
          <w:lang w:val="ro-RO"/>
        </w:rPr>
        <w:fldChar w:fldCharType="begin"/>
      </w:r>
      <w:r w:rsidRPr="00860724">
        <w:rPr>
          <w:b/>
          <w:lang w:val="ro-RO"/>
        </w:rPr>
        <w:instrText xml:space="preserve"> LINK Excel.Sheet.8 "F:\\Macheta\\Grafice 2017.xls!Dosare intr ICCJ penal recincas![Grafice 2017.xls]Dosare intr ICCJ penal recincas Diagramă 2" "" \a \p \* MERGEFORMAT </w:instrText>
      </w:r>
      <w:r w:rsidRPr="00860724">
        <w:rPr>
          <w:b/>
          <w:lang w:val="ro-RO"/>
        </w:rPr>
        <w:fldChar w:fldCharType="separate"/>
      </w:r>
      <w:r w:rsidR="009B0A85">
        <w:rPr>
          <w:b/>
          <w:lang w:val="ro-RO"/>
        </w:rPr>
        <w:object w:dxaOrig="14457" w:dyaOrig="7884">
          <v:shape id="_x0000_i1038" type="#_x0000_t75" style="width:474pt;height:256.5pt">
            <v:imagedata r:id="rId22" o:title=""/>
          </v:shape>
        </w:object>
      </w:r>
      <w:r w:rsidRPr="00860724">
        <w:rPr>
          <w:b/>
          <w:lang w:val="ro-RO"/>
        </w:rPr>
        <w:fldChar w:fldCharType="end"/>
      </w:r>
    </w:p>
    <w:p w:rsidR="00677EA4" w:rsidRPr="00860724" w:rsidRDefault="00677EA4" w:rsidP="00677EA4">
      <w:pPr>
        <w:tabs>
          <w:tab w:val="left" w:pos="750"/>
          <w:tab w:val="left" w:pos="840"/>
          <w:tab w:val="left" w:pos="1380"/>
        </w:tabs>
        <w:spacing w:line="360" w:lineRule="auto"/>
        <w:jc w:val="center"/>
        <w:rPr>
          <w:lang w:val="ro-RO"/>
        </w:rPr>
      </w:pPr>
    </w:p>
    <w:p w:rsidR="00F459DC" w:rsidRPr="00860724" w:rsidRDefault="00F459DC" w:rsidP="00677EA4">
      <w:pPr>
        <w:tabs>
          <w:tab w:val="left" w:pos="750"/>
          <w:tab w:val="left" w:pos="840"/>
          <w:tab w:val="left" w:pos="1380"/>
        </w:tabs>
        <w:spacing w:line="360" w:lineRule="auto"/>
        <w:jc w:val="center"/>
        <w:rPr>
          <w:lang w:val="ro-RO"/>
        </w:rPr>
      </w:pPr>
    </w:p>
    <w:p w:rsidR="00F459DC" w:rsidRDefault="00F459DC" w:rsidP="00677EA4">
      <w:pPr>
        <w:tabs>
          <w:tab w:val="left" w:pos="750"/>
          <w:tab w:val="left" w:pos="840"/>
          <w:tab w:val="left" w:pos="1380"/>
        </w:tabs>
        <w:spacing w:line="360" w:lineRule="auto"/>
        <w:jc w:val="center"/>
        <w:rPr>
          <w:lang w:val="ro-RO"/>
        </w:rPr>
      </w:pPr>
    </w:p>
    <w:p w:rsidR="00437B79" w:rsidRPr="00860724" w:rsidRDefault="00437B79" w:rsidP="00677EA4">
      <w:pPr>
        <w:tabs>
          <w:tab w:val="left" w:pos="750"/>
          <w:tab w:val="left" w:pos="840"/>
          <w:tab w:val="left" w:pos="1380"/>
        </w:tabs>
        <w:spacing w:line="360" w:lineRule="auto"/>
        <w:jc w:val="center"/>
        <w:rPr>
          <w:lang w:val="ro-RO"/>
        </w:rPr>
      </w:pPr>
    </w:p>
    <w:p w:rsidR="00F459DC" w:rsidRPr="00860724" w:rsidRDefault="00F459DC" w:rsidP="00677EA4">
      <w:pPr>
        <w:tabs>
          <w:tab w:val="left" w:pos="750"/>
          <w:tab w:val="left" w:pos="840"/>
          <w:tab w:val="left" w:pos="1380"/>
        </w:tabs>
        <w:spacing w:line="360" w:lineRule="auto"/>
        <w:jc w:val="center"/>
        <w:rPr>
          <w:lang w:val="ro-RO"/>
        </w:rPr>
      </w:pPr>
    </w:p>
    <w:p w:rsidR="00677EA4" w:rsidRPr="00860724" w:rsidRDefault="00677EA4" w:rsidP="00677EA4">
      <w:pPr>
        <w:numPr>
          <w:ilvl w:val="0"/>
          <w:numId w:val="12"/>
        </w:numPr>
        <w:tabs>
          <w:tab w:val="left" w:pos="720"/>
        </w:tabs>
        <w:spacing w:line="360" w:lineRule="auto"/>
        <w:jc w:val="both"/>
        <w:rPr>
          <w:b/>
          <w:lang w:val="ro-RO"/>
        </w:rPr>
      </w:pPr>
      <w:r w:rsidRPr="00860724">
        <w:rPr>
          <w:b/>
          <w:lang w:val="ro-RO"/>
        </w:rPr>
        <w:t>penal – fond</w:t>
      </w:r>
    </w:p>
    <w:p w:rsidR="00677EA4" w:rsidRPr="00860724" w:rsidRDefault="00677EA4" w:rsidP="00677EA4">
      <w:pPr>
        <w:tabs>
          <w:tab w:val="left" w:pos="720"/>
        </w:tabs>
        <w:spacing w:line="360" w:lineRule="auto"/>
        <w:ind w:left="900"/>
        <w:jc w:val="both"/>
        <w:rPr>
          <w:b/>
          <w:lang w:val="ro-RO"/>
        </w:rPr>
      </w:pPr>
    </w:p>
    <w:p w:rsidR="00677EA4" w:rsidRPr="00860724" w:rsidRDefault="00677EA4" w:rsidP="00677EA4">
      <w:pPr>
        <w:tabs>
          <w:tab w:val="left" w:pos="720"/>
        </w:tabs>
        <w:spacing w:line="360" w:lineRule="auto"/>
        <w:jc w:val="center"/>
        <w:rPr>
          <w:lang w:val="ro-RO"/>
        </w:rPr>
      </w:pPr>
      <w:r w:rsidRPr="00860724">
        <w:rPr>
          <w:lang w:val="ro-RO"/>
        </w:rPr>
        <w:fldChar w:fldCharType="begin"/>
      </w:r>
      <w:r w:rsidRPr="00860724">
        <w:rPr>
          <w:lang w:val="ro-RO"/>
        </w:rPr>
        <w:instrText xml:space="preserve"> LINK Excel.Sheet.8 "F:\\Macheta\\Grafice 2017.xls!Dosare intr ICCJ penal fond![Grafice 2017.xls]Dosare intr ICCJ penal fond Diagramă 2" "" \a \p \* MERGEFORMAT </w:instrText>
      </w:r>
      <w:r w:rsidRPr="00860724">
        <w:rPr>
          <w:lang w:val="ro-RO"/>
        </w:rPr>
        <w:fldChar w:fldCharType="separate"/>
      </w:r>
      <w:r w:rsidR="009B0A85">
        <w:rPr>
          <w:lang w:val="ro-RO"/>
        </w:rPr>
        <w:object w:dxaOrig="13660" w:dyaOrig="7459">
          <v:shape id="_x0000_i1039" type="#_x0000_t75" style="width:475.5pt;height:260.25pt">
            <v:imagedata r:id="rId23" o:title=""/>
          </v:shape>
        </w:object>
      </w:r>
      <w:r w:rsidRPr="00860724">
        <w:rPr>
          <w:lang w:val="ro-RO"/>
        </w:rPr>
        <w:fldChar w:fldCharType="end"/>
      </w:r>
    </w:p>
    <w:p w:rsidR="00677EA4" w:rsidRPr="00860724" w:rsidRDefault="00677EA4" w:rsidP="00677EA4">
      <w:pPr>
        <w:tabs>
          <w:tab w:val="left" w:pos="720"/>
        </w:tabs>
        <w:spacing w:line="360" w:lineRule="auto"/>
        <w:jc w:val="center"/>
        <w:rPr>
          <w:lang w:val="ro-RO"/>
        </w:rPr>
      </w:pPr>
    </w:p>
    <w:p w:rsidR="00677EA4" w:rsidRPr="00860724" w:rsidRDefault="00677EA4" w:rsidP="00677EA4">
      <w:pPr>
        <w:tabs>
          <w:tab w:val="left" w:pos="720"/>
        </w:tabs>
        <w:spacing w:line="360" w:lineRule="auto"/>
        <w:jc w:val="center"/>
        <w:rPr>
          <w:lang w:val="ro-RO"/>
        </w:rPr>
      </w:pPr>
    </w:p>
    <w:p w:rsidR="00677EA4" w:rsidRPr="00860724" w:rsidRDefault="00677EA4" w:rsidP="00677EA4">
      <w:pPr>
        <w:tabs>
          <w:tab w:val="left" w:pos="720"/>
        </w:tabs>
        <w:spacing w:line="360" w:lineRule="auto"/>
        <w:jc w:val="center"/>
        <w:rPr>
          <w:lang w:val="ro-RO"/>
        </w:rPr>
      </w:pPr>
    </w:p>
    <w:p w:rsidR="00677EA4" w:rsidRPr="00860724" w:rsidRDefault="00677EA4" w:rsidP="00677EA4">
      <w:pPr>
        <w:tabs>
          <w:tab w:val="left" w:pos="720"/>
        </w:tabs>
        <w:spacing w:line="360" w:lineRule="auto"/>
        <w:jc w:val="center"/>
        <w:rPr>
          <w:lang w:val="ro-RO"/>
        </w:rPr>
      </w:pPr>
    </w:p>
    <w:p w:rsidR="00677EA4" w:rsidRPr="00860724" w:rsidRDefault="00677EA4" w:rsidP="00677EA4">
      <w:pPr>
        <w:tabs>
          <w:tab w:val="left" w:pos="720"/>
        </w:tabs>
        <w:spacing w:line="360" w:lineRule="auto"/>
        <w:jc w:val="center"/>
        <w:rPr>
          <w:lang w:val="ro-RO"/>
        </w:rPr>
      </w:pPr>
    </w:p>
    <w:p w:rsidR="00677EA4" w:rsidRPr="00860724" w:rsidRDefault="00677EA4" w:rsidP="00677EA4">
      <w:pPr>
        <w:numPr>
          <w:ilvl w:val="0"/>
          <w:numId w:val="12"/>
        </w:numPr>
        <w:tabs>
          <w:tab w:val="left" w:pos="720"/>
        </w:tabs>
        <w:spacing w:line="360" w:lineRule="auto"/>
        <w:jc w:val="both"/>
        <w:rPr>
          <w:b/>
          <w:noProof/>
          <w:lang w:val="ro-RO"/>
        </w:rPr>
      </w:pPr>
      <w:r w:rsidRPr="00860724">
        <w:rPr>
          <w:b/>
          <w:noProof/>
          <w:lang w:val="ro-RO"/>
        </w:rPr>
        <w:t>civil – recurs</w:t>
      </w:r>
    </w:p>
    <w:p w:rsidR="00677EA4" w:rsidRPr="00860724" w:rsidRDefault="00677EA4" w:rsidP="00677EA4">
      <w:pPr>
        <w:tabs>
          <w:tab w:val="left" w:pos="720"/>
        </w:tabs>
        <w:spacing w:line="360" w:lineRule="auto"/>
        <w:jc w:val="center"/>
        <w:rPr>
          <w:noProof/>
          <w:lang w:val="ro-RO"/>
        </w:rPr>
      </w:pPr>
      <w:r w:rsidRPr="00860724">
        <w:rPr>
          <w:noProof/>
          <w:lang w:val="ro-RO"/>
        </w:rPr>
        <w:fldChar w:fldCharType="begin"/>
      </w:r>
      <w:r w:rsidRPr="00860724">
        <w:rPr>
          <w:noProof/>
          <w:lang w:val="ro-RO"/>
        </w:rPr>
        <w:instrText xml:space="preserve"> LINK Excel.Sheet.8 "F:\\Macheta\\Grafice 2017.xls!Dosare intr ICCJ civil recurs![Grafice 2017.xls]Dosare intr ICCJ civil recurs Diagramă 2" "" \a \p \* MERGEFORMAT </w:instrText>
      </w:r>
      <w:r w:rsidRPr="00860724">
        <w:rPr>
          <w:noProof/>
          <w:lang w:val="ro-RO"/>
        </w:rPr>
        <w:fldChar w:fldCharType="separate"/>
      </w:r>
      <w:r w:rsidR="009B0A85">
        <w:rPr>
          <w:noProof/>
          <w:lang w:val="ro-RO"/>
        </w:rPr>
        <w:object w:dxaOrig="13447" w:dyaOrig="6892">
          <v:shape id="_x0000_i1040" type="#_x0000_t75" style="width:477pt;height:244.5pt">
            <v:imagedata r:id="rId24" o:title=""/>
          </v:shape>
        </w:object>
      </w:r>
      <w:r w:rsidRPr="00860724">
        <w:rPr>
          <w:noProof/>
          <w:lang w:val="ro-RO"/>
        </w:rPr>
        <w:fldChar w:fldCharType="end"/>
      </w:r>
    </w:p>
    <w:p w:rsidR="00677EA4" w:rsidRPr="00860724" w:rsidRDefault="00677EA4" w:rsidP="00677EA4">
      <w:pPr>
        <w:tabs>
          <w:tab w:val="left" w:pos="720"/>
        </w:tabs>
        <w:spacing w:line="360" w:lineRule="auto"/>
        <w:jc w:val="center"/>
        <w:rPr>
          <w:noProof/>
          <w:lang w:val="ro-RO"/>
        </w:rPr>
      </w:pPr>
    </w:p>
    <w:p w:rsidR="00F459DC" w:rsidRPr="00860724" w:rsidRDefault="00F459DC" w:rsidP="00677EA4">
      <w:pPr>
        <w:tabs>
          <w:tab w:val="left" w:pos="720"/>
        </w:tabs>
        <w:spacing w:line="360" w:lineRule="auto"/>
        <w:jc w:val="center"/>
        <w:rPr>
          <w:noProof/>
          <w:lang w:val="ro-RO"/>
        </w:rPr>
      </w:pPr>
    </w:p>
    <w:p w:rsidR="00F459DC" w:rsidRPr="00860724" w:rsidRDefault="00F459DC" w:rsidP="00677EA4">
      <w:pPr>
        <w:tabs>
          <w:tab w:val="left" w:pos="720"/>
        </w:tabs>
        <w:spacing w:line="360" w:lineRule="auto"/>
        <w:jc w:val="center"/>
        <w:rPr>
          <w:noProof/>
          <w:lang w:val="ro-RO"/>
        </w:rPr>
      </w:pPr>
    </w:p>
    <w:p w:rsidR="00677EA4" w:rsidRPr="00860724" w:rsidRDefault="00677EA4" w:rsidP="00677EA4">
      <w:pPr>
        <w:numPr>
          <w:ilvl w:val="0"/>
          <w:numId w:val="12"/>
        </w:numPr>
        <w:tabs>
          <w:tab w:val="left" w:pos="720"/>
        </w:tabs>
        <w:spacing w:line="360" w:lineRule="auto"/>
        <w:jc w:val="both"/>
        <w:rPr>
          <w:b/>
          <w:noProof/>
          <w:lang w:val="ro-RO"/>
        </w:rPr>
      </w:pPr>
      <w:r w:rsidRPr="00860724">
        <w:rPr>
          <w:b/>
          <w:noProof/>
          <w:lang w:val="ro-RO"/>
        </w:rPr>
        <w:t>contencios administrativ şi fiscal – recurs</w:t>
      </w:r>
    </w:p>
    <w:p w:rsidR="00677EA4" w:rsidRPr="00860724" w:rsidRDefault="00677EA4" w:rsidP="00677EA4">
      <w:pPr>
        <w:tabs>
          <w:tab w:val="left" w:pos="720"/>
        </w:tabs>
        <w:spacing w:line="360" w:lineRule="auto"/>
        <w:jc w:val="both"/>
        <w:rPr>
          <w:b/>
          <w:noProof/>
          <w:lang w:val="ro-RO"/>
        </w:rPr>
      </w:pPr>
    </w:p>
    <w:p w:rsidR="00677EA4" w:rsidRPr="00860724" w:rsidRDefault="00677EA4" w:rsidP="00677EA4">
      <w:pPr>
        <w:tabs>
          <w:tab w:val="left" w:pos="720"/>
        </w:tabs>
        <w:spacing w:line="360" w:lineRule="auto"/>
        <w:jc w:val="center"/>
        <w:rPr>
          <w:noProof/>
          <w:lang w:val="ro-RO"/>
        </w:rPr>
      </w:pPr>
      <w:r w:rsidRPr="00860724">
        <w:rPr>
          <w:noProof/>
          <w:lang w:val="ro-RO"/>
        </w:rPr>
        <w:fldChar w:fldCharType="begin"/>
      </w:r>
      <w:r w:rsidRPr="00860724">
        <w:rPr>
          <w:noProof/>
          <w:lang w:val="ro-RO"/>
        </w:rPr>
        <w:instrText xml:space="preserve"> LINK Excel.Sheet.8 "F:\\Macheta\\Grafice 2017.xls!Dosare intr ICCJ contenc recurs![Grafice 2017.xls]Dosare intr ICCJ contenc recurs Diagramă 2" "" \a \p \* MERGEFORMAT </w:instrText>
      </w:r>
      <w:r w:rsidRPr="00860724">
        <w:rPr>
          <w:noProof/>
          <w:lang w:val="ro-RO"/>
        </w:rPr>
        <w:fldChar w:fldCharType="separate"/>
      </w:r>
      <w:r w:rsidR="009B0A85">
        <w:rPr>
          <w:noProof/>
          <w:lang w:val="ro-RO"/>
        </w:rPr>
        <w:object w:dxaOrig="14085" w:dyaOrig="6396">
          <v:shape id="_x0000_i1041" type="#_x0000_t75" style="width:479.25pt;height:230.25pt">
            <v:imagedata r:id="rId25" o:title=""/>
          </v:shape>
        </w:object>
      </w:r>
      <w:r w:rsidRPr="00860724">
        <w:rPr>
          <w:noProof/>
          <w:lang w:val="ro-RO"/>
        </w:rPr>
        <w:fldChar w:fldCharType="end"/>
      </w:r>
    </w:p>
    <w:p w:rsidR="00677EA4" w:rsidRPr="00860724" w:rsidRDefault="00677EA4" w:rsidP="00677EA4">
      <w:pPr>
        <w:tabs>
          <w:tab w:val="left" w:pos="720"/>
        </w:tabs>
        <w:spacing w:line="360" w:lineRule="auto"/>
        <w:jc w:val="center"/>
        <w:rPr>
          <w:lang w:val="ro-RO"/>
        </w:rPr>
      </w:pPr>
    </w:p>
    <w:p w:rsidR="00677EA4" w:rsidRPr="00860724" w:rsidRDefault="00677EA4" w:rsidP="00514C9E">
      <w:pPr>
        <w:pStyle w:val="Titlu3"/>
      </w:pPr>
      <w:bookmarkStart w:id="10" w:name="_Toc411333476"/>
      <w:bookmarkStart w:id="11" w:name="_Toc411429411"/>
      <w:bookmarkStart w:id="12" w:name="_Toc506287998"/>
      <w:r w:rsidRPr="00860724">
        <w:t>I.1.2. Volumul de activitate la nivelul curţilor de apel</w:t>
      </w:r>
      <w:bookmarkEnd w:id="10"/>
      <w:bookmarkEnd w:id="11"/>
      <w:bookmarkEnd w:id="12"/>
    </w:p>
    <w:p w:rsidR="00677EA4" w:rsidRPr="00860724" w:rsidRDefault="00677EA4" w:rsidP="00514C9E">
      <w:pPr>
        <w:pStyle w:val="AddParagraf"/>
        <w:spacing w:line="276" w:lineRule="auto"/>
        <w:rPr>
          <w:b/>
          <w:bCs/>
        </w:rPr>
      </w:pPr>
      <w:r w:rsidRPr="00860724">
        <w:t>În anul 2017</w:t>
      </w:r>
      <w:r w:rsidR="00F459DC" w:rsidRPr="00860724">
        <w:t>,</w:t>
      </w:r>
      <w:r w:rsidRPr="00860724">
        <w:t xml:space="preserve"> volumul de activitate al celor 16 curţi de apel, a fost de </w:t>
      </w:r>
      <w:r w:rsidRPr="00860724">
        <w:rPr>
          <w:b/>
        </w:rPr>
        <w:t>232.101</w:t>
      </w:r>
      <w:r w:rsidRPr="00860724">
        <w:t xml:space="preserve"> cauze (</w:t>
      </w:r>
      <w:r w:rsidR="00F459DC" w:rsidRPr="00860724">
        <w:t xml:space="preserve">față de </w:t>
      </w:r>
      <w:r w:rsidRPr="00860724">
        <w:t>203.974 cauze în 2016)</w:t>
      </w:r>
      <w:r w:rsidR="00F459DC" w:rsidRPr="00860724">
        <w:t>,</w:t>
      </w:r>
      <w:r w:rsidRPr="00860724">
        <w:t xml:space="preserve"> ceea ce reprezintă o creştere cu </w:t>
      </w:r>
      <w:r w:rsidRPr="00860724">
        <w:rPr>
          <w:b/>
        </w:rPr>
        <w:t>28.127</w:t>
      </w:r>
      <w:r w:rsidRPr="00860724">
        <w:t xml:space="preserve"> </w:t>
      </w:r>
      <w:r w:rsidR="00F459DC" w:rsidRPr="00860724">
        <w:t xml:space="preserve">de </w:t>
      </w:r>
      <w:r w:rsidRPr="00860724">
        <w:t>cauze</w:t>
      </w:r>
      <w:r w:rsidR="00F459DC" w:rsidRPr="00860724">
        <w:t>, respectiv un procent de</w:t>
      </w:r>
      <w:r w:rsidRPr="00860724">
        <w:t xml:space="preserve"> </w:t>
      </w:r>
      <w:r w:rsidRPr="00860724">
        <w:rPr>
          <w:b/>
        </w:rPr>
        <w:t xml:space="preserve">13,79 % </w:t>
      </w:r>
      <w:r w:rsidRPr="00860724">
        <w:t>comparativ cu anul 2016.</w:t>
      </w:r>
    </w:p>
    <w:p w:rsidR="00677EA4" w:rsidRPr="00860724" w:rsidRDefault="00677EA4" w:rsidP="00514C9E">
      <w:pPr>
        <w:pStyle w:val="AddParagraf"/>
        <w:spacing w:line="276" w:lineRule="auto"/>
      </w:pPr>
      <w:r w:rsidRPr="00860724">
        <w:t>Din punct de vedere grafic, evoluţia volumului de activitate pe ultimii 5 ani, se prezintă astfel:</w:t>
      </w:r>
    </w:p>
    <w:p w:rsidR="00677EA4" w:rsidRPr="00860724" w:rsidRDefault="00677EA4" w:rsidP="00514C9E">
      <w:pPr>
        <w:pStyle w:val="AddParagraf"/>
        <w:spacing w:line="276" w:lineRule="auto"/>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volum![Grafice 2017.xls]CA volum Diagramă 1" "" \a \p \* MERGEFORMAT </w:instrText>
      </w:r>
      <w:r w:rsidRPr="00860724">
        <w:fldChar w:fldCharType="separate"/>
      </w:r>
      <w:r w:rsidR="009B0A85">
        <w:object w:dxaOrig="11852" w:dyaOrig="6591">
          <v:shape id="_x0000_i1042" type="#_x0000_t75" style="width:480.75pt;height:266.25pt">
            <v:imagedata r:id="rId26" o:title=""/>
          </v:shape>
        </w:object>
      </w:r>
      <w:r w:rsidRPr="00860724">
        <w:fldChar w:fldCharType="end"/>
      </w:r>
    </w:p>
    <w:p w:rsidR="00677EA4" w:rsidRPr="00860724" w:rsidRDefault="00677EA4" w:rsidP="00677EA4">
      <w:pPr>
        <w:pStyle w:val="AddParagraf"/>
      </w:pPr>
    </w:p>
    <w:p w:rsidR="00677EA4" w:rsidRPr="00860724" w:rsidRDefault="00677EA4" w:rsidP="00514C9E">
      <w:pPr>
        <w:pStyle w:val="AddParagraf"/>
        <w:spacing w:line="276" w:lineRule="auto"/>
      </w:pPr>
      <w:r w:rsidRPr="00860724">
        <w:lastRenderedPageBreak/>
        <w:t>Astfel, în ceea ce priveşte numărul cauzelor de soluţionat în anul 2017</w:t>
      </w:r>
      <w:r w:rsidR="00F459DC" w:rsidRPr="00860724">
        <w:t>,</w:t>
      </w:r>
      <w:r w:rsidRPr="00860724">
        <w:t xml:space="preserve"> se constată, după o scădere constantă în perioada 2013-2016, o creştere a volumului cauzelor de soluţionat, acesta rămânînd totuşi cu </w:t>
      </w:r>
      <w:r w:rsidRPr="00860724">
        <w:rPr>
          <w:b/>
        </w:rPr>
        <w:t>127.005</w:t>
      </w:r>
      <w:r w:rsidRPr="00860724">
        <w:t xml:space="preserve"> cauze mai mic decât în 2013 ceea ce reprezintă o scădere cu </w:t>
      </w:r>
      <w:r w:rsidRPr="00860724">
        <w:rPr>
          <w:b/>
        </w:rPr>
        <w:t>35,37 %</w:t>
      </w:r>
      <w:r w:rsidRPr="00860724">
        <w:t>.</w:t>
      </w:r>
    </w:p>
    <w:p w:rsidR="00677EA4" w:rsidRPr="00860724" w:rsidRDefault="00677EA4" w:rsidP="00514C9E">
      <w:pPr>
        <w:pStyle w:val="AddParagraf"/>
        <w:spacing w:line="276" w:lineRule="auto"/>
      </w:pPr>
      <w:r w:rsidRPr="00860724">
        <w:t>Sub aspectul dinamicii numărului cauzelor nou intrate şi a stocului la început de perioadă pentru acelaşi interval, situaţia grafică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stoc![Grafice 2017.xls]CA stoc Diagramă 1" "" \a \p \* MERGEFORMAT </w:instrText>
      </w:r>
      <w:r w:rsidRPr="00860724">
        <w:fldChar w:fldCharType="separate"/>
      </w:r>
      <w:r w:rsidR="009B0A85">
        <w:object w:dxaOrig="11233" w:dyaOrig="6219">
          <v:shape id="_x0000_i1043" type="#_x0000_t75" style="width:486.75pt;height:269.25pt">
            <v:imagedata r:id="rId27" o:title=""/>
          </v:shape>
        </w:object>
      </w:r>
      <w:r w:rsidRPr="00860724">
        <w:fldChar w:fldCharType="end"/>
      </w:r>
    </w:p>
    <w:p w:rsidR="00677EA4" w:rsidRPr="00860724" w:rsidRDefault="00677EA4" w:rsidP="00514C9E">
      <w:pPr>
        <w:pStyle w:val="AddParagraf"/>
        <w:spacing w:line="276" w:lineRule="auto"/>
        <w:ind w:firstLine="0"/>
        <w:jc w:val="center"/>
      </w:pPr>
    </w:p>
    <w:p w:rsidR="00677EA4" w:rsidRPr="00860724" w:rsidRDefault="00677EA4" w:rsidP="00514C9E">
      <w:pPr>
        <w:pStyle w:val="AddParagraf"/>
        <w:spacing w:line="276" w:lineRule="auto"/>
      </w:pPr>
      <w:r w:rsidRPr="00860724">
        <w:t xml:space="preserve">Aşadar, în raport cu anul 2016, în anul 2017 se constată o creştere a numărului de cauze nou intrate cu </w:t>
      </w:r>
      <w:r w:rsidRPr="00860724">
        <w:rPr>
          <w:b/>
        </w:rPr>
        <w:t>30.630</w:t>
      </w:r>
      <w:r w:rsidRPr="00860724">
        <w:t xml:space="preserve"> cauze</w:t>
      </w:r>
      <w:r w:rsidRPr="00860724">
        <w:rPr>
          <w:b/>
        </w:rPr>
        <w:t>,</w:t>
      </w:r>
      <w:r w:rsidRPr="00860724">
        <w:t xml:space="preserve"> ceea ce reprezintă o creştere cu </w:t>
      </w:r>
      <w:r w:rsidRPr="00860724">
        <w:rPr>
          <w:b/>
        </w:rPr>
        <w:t>20 %</w:t>
      </w:r>
      <w:r w:rsidR="00F459DC" w:rsidRPr="00860724">
        <w:rPr>
          <w:b/>
        </w:rPr>
        <w:t xml:space="preserve">, </w:t>
      </w:r>
      <w:r w:rsidRPr="00860724">
        <w:t xml:space="preserve"> în timp ce nivelul stocurilor a scăzut cu </w:t>
      </w:r>
      <w:r w:rsidRPr="00860724">
        <w:rPr>
          <w:b/>
        </w:rPr>
        <w:t>2.503</w:t>
      </w:r>
      <w:r w:rsidRPr="00860724">
        <w:t xml:space="preserve"> cauze</w:t>
      </w:r>
      <w:r w:rsidR="00F459DC" w:rsidRPr="00860724">
        <w:t>,</w:t>
      </w:r>
      <w:r w:rsidRPr="00860724">
        <w:t xml:space="preserve"> ceea ce reprezintă o scădere cu </w:t>
      </w:r>
      <w:r w:rsidRPr="00860724">
        <w:rPr>
          <w:b/>
        </w:rPr>
        <w:t>5 %</w:t>
      </w:r>
      <w:r w:rsidRPr="00860724">
        <w:t>.</w:t>
      </w:r>
    </w:p>
    <w:p w:rsidR="00677EA4" w:rsidRPr="00860724" w:rsidRDefault="00677EA4" w:rsidP="00514C9E">
      <w:pPr>
        <w:pStyle w:val="AddParagraf"/>
        <w:spacing w:line="276" w:lineRule="auto"/>
      </w:pPr>
      <w:r w:rsidRPr="00860724">
        <w:t>Distribuţia pe materii indiferent de stadiul procesual a dosarelor nou intrate pentru curţile de apel în anul 2017 se prezintă conform graficului:</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2017.xls!Dosare intrate CA materii![Grafice 2017.xls]Dosare intrate CA materii Diagramă 3" "" \a \p \* MERGEFORMAT </w:instrText>
      </w:r>
      <w:r w:rsidRPr="00860724">
        <w:fldChar w:fldCharType="separate"/>
      </w:r>
      <w:r w:rsidR="009B0A85">
        <w:object w:dxaOrig="12136" w:dyaOrig="6644">
          <v:shape id="_x0000_i1044" type="#_x0000_t75" style="width:478.5pt;height:261.75pt">
            <v:imagedata r:id="rId28" o:title=""/>
          </v:shape>
        </w:object>
      </w:r>
      <w:r w:rsidRPr="00860724">
        <w:fldChar w:fldCharType="end"/>
      </w:r>
    </w:p>
    <w:p w:rsidR="00677EA4" w:rsidRPr="00860724" w:rsidRDefault="00677EA4" w:rsidP="00677EA4">
      <w:pPr>
        <w:spacing w:before="120" w:line="360" w:lineRule="auto"/>
        <w:jc w:val="center"/>
        <w:rPr>
          <w:lang w:val="ro-RO"/>
        </w:rPr>
      </w:pPr>
    </w:p>
    <w:p w:rsidR="00677EA4" w:rsidRPr="00860724" w:rsidRDefault="00677EA4" w:rsidP="00437B79">
      <w:pPr>
        <w:pStyle w:val="AddParagraf"/>
        <w:spacing w:line="276" w:lineRule="auto"/>
      </w:pPr>
      <w:r w:rsidRPr="00860724">
        <w:t>De asemenea, distribuţia cauzelor nou create pe stadii procesuale indiferent de materie se evidenţiază astfel:</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2017.xls!Dosare intrate CA stadiu proc![Grafice 2017.xls]Dosare intrate CA stadiu proc Diagramă 1" "" \a \p \* MERGEFORMAT </w:instrText>
      </w:r>
      <w:r w:rsidRPr="00860724">
        <w:fldChar w:fldCharType="separate"/>
      </w:r>
      <w:r w:rsidR="009B0A85">
        <w:object w:dxaOrig="11197" w:dyaOrig="6661">
          <v:shape id="_x0000_i1045" type="#_x0000_t75" style="width:477.75pt;height:283.5pt">
            <v:imagedata r:id="rId29"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437B79">
      <w:pPr>
        <w:pStyle w:val="AddParagraf"/>
        <w:spacing w:line="276" w:lineRule="auto"/>
      </w:pPr>
      <w:r w:rsidRPr="00860724">
        <w:t xml:space="preserve">Se remarcă, la fel ca şi în anii anteriori, câteva curţi de apel cu un număr foarte mare de cauze de soluţionat comparativ cu celelalte, şi anume </w:t>
      </w:r>
      <w:r w:rsidRPr="00860724">
        <w:rPr>
          <w:b/>
        </w:rPr>
        <w:t>Curtea de Apel Bucureşti</w:t>
      </w:r>
      <w:r w:rsidRPr="00860724">
        <w:t xml:space="preserve"> cu </w:t>
      </w:r>
      <w:r w:rsidRPr="00860724">
        <w:rPr>
          <w:b/>
        </w:rPr>
        <w:t>57.327</w:t>
      </w:r>
      <w:r w:rsidRPr="00860724">
        <w:t xml:space="preserve"> cauze (57.483 cauze în 2016), </w:t>
      </w:r>
      <w:r w:rsidRPr="00860724">
        <w:rPr>
          <w:b/>
        </w:rPr>
        <w:t>Curtea de Apel Craiova</w:t>
      </w:r>
      <w:r w:rsidRPr="00860724">
        <w:t xml:space="preserve"> cu </w:t>
      </w:r>
      <w:r w:rsidRPr="00860724">
        <w:rPr>
          <w:b/>
        </w:rPr>
        <w:t>23.305</w:t>
      </w:r>
      <w:r w:rsidRPr="00860724">
        <w:t xml:space="preserve"> cauze (19.098 cauze în 2016), </w:t>
      </w:r>
      <w:r w:rsidRPr="00860724">
        <w:rPr>
          <w:b/>
        </w:rPr>
        <w:t xml:space="preserve">Curtea de Apel  Timişoara </w:t>
      </w:r>
      <w:r w:rsidRPr="00860724">
        <w:t>cu</w:t>
      </w:r>
      <w:r w:rsidRPr="00860724">
        <w:rPr>
          <w:b/>
        </w:rPr>
        <w:t xml:space="preserve"> 17.546  </w:t>
      </w:r>
      <w:r w:rsidRPr="00860724">
        <w:t>cauze (14.975</w:t>
      </w:r>
      <w:r w:rsidRPr="00860724">
        <w:rPr>
          <w:b/>
        </w:rPr>
        <w:t xml:space="preserve"> </w:t>
      </w:r>
      <w:r w:rsidRPr="00860724">
        <w:t>cauze</w:t>
      </w:r>
      <w:r w:rsidRPr="00860724">
        <w:rPr>
          <w:b/>
        </w:rPr>
        <w:t xml:space="preserve"> </w:t>
      </w:r>
      <w:r w:rsidRPr="00860724">
        <w:t>în</w:t>
      </w:r>
      <w:r w:rsidRPr="00860724">
        <w:rPr>
          <w:b/>
        </w:rPr>
        <w:t xml:space="preserve"> </w:t>
      </w:r>
      <w:r w:rsidRPr="00860724">
        <w:t xml:space="preserve">2016) şi </w:t>
      </w:r>
      <w:r w:rsidR="00F459DC" w:rsidRPr="00860724">
        <w:rPr>
          <w:b/>
        </w:rPr>
        <w:t>Curtea de A</w:t>
      </w:r>
      <w:r w:rsidRPr="00860724">
        <w:rPr>
          <w:b/>
        </w:rPr>
        <w:t>pel Cluj</w:t>
      </w:r>
      <w:r w:rsidRPr="00860724">
        <w:t xml:space="preserve"> cu</w:t>
      </w:r>
      <w:r w:rsidRPr="00860724">
        <w:rPr>
          <w:b/>
        </w:rPr>
        <w:t xml:space="preserve"> 17.129 </w:t>
      </w:r>
      <w:r w:rsidRPr="00860724">
        <w:t xml:space="preserve">cauze (13.557 cauze în 2016). </w:t>
      </w:r>
    </w:p>
    <w:p w:rsidR="00677EA4" w:rsidRPr="00860724" w:rsidRDefault="00677EA4" w:rsidP="00437B79">
      <w:pPr>
        <w:pStyle w:val="AddParagraf"/>
        <w:spacing w:line="276" w:lineRule="auto"/>
      </w:pPr>
      <w:r w:rsidRPr="00860724">
        <w:lastRenderedPageBreak/>
        <w:t xml:space="preserve">La polul opus se află </w:t>
      </w:r>
      <w:r w:rsidRPr="00860724">
        <w:rPr>
          <w:b/>
        </w:rPr>
        <w:t xml:space="preserve">Curtea de Apel Târgu Mureş </w:t>
      </w:r>
      <w:r w:rsidRPr="00860724">
        <w:t xml:space="preserve">care a înregistrat la nivelul anului 2017 un volum de activitate de </w:t>
      </w:r>
      <w:r w:rsidRPr="00860724">
        <w:rPr>
          <w:b/>
        </w:rPr>
        <w:t>5.451</w:t>
      </w:r>
      <w:r w:rsidRPr="00860724">
        <w:t xml:space="preserve"> dosare</w:t>
      </w:r>
      <w:r w:rsidRPr="00860724">
        <w:rPr>
          <w:b/>
        </w:rPr>
        <w:t xml:space="preserve"> </w:t>
      </w:r>
      <w:r w:rsidRPr="00860724">
        <w:t>(5.190</w:t>
      </w:r>
      <w:r w:rsidRPr="00860724">
        <w:rPr>
          <w:b/>
        </w:rPr>
        <w:t xml:space="preserve"> </w:t>
      </w:r>
      <w:r w:rsidRPr="00860724">
        <w:t>cauze în 2016),</w:t>
      </w:r>
      <w:r w:rsidRPr="00860724">
        <w:rPr>
          <w:b/>
        </w:rPr>
        <w:t xml:space="preserve"> Curtea de Apel Braşov</w:t>
      </w:r>
      <w:r w:rsidRPr="00860724">
        <w:t xml:space="preserve"> </w:t>
      </w:r>
      <w:r w:rsidRPr="00860724">
        <w:rPr>
          <w:b/>
        </w:rPr>
        <w:t>8.303</w:t>
      </w:r>
      <w:r w:rsidRPr="00860724">
        <w:t xml:space="preserve"> dosare (7.461</w:t>
      </w:r>
      <w:r w:rsidRPr="00860724">
        <w:rPr>
          <w:b/>
        </w:rPr>
        <w:t xml:space="preserve"> </w:t>
      </w:r>
      <w:r w:rsidRPr="00860724">
        <w:t xml:space="preserve">cauze în 2016) şi </w:t>
      </w:r>
      <w:r w:rsidRPr="00860724">
        <w:rPr>
          <w:b/>
        </w:rPr>
        <w:t xml:space="preserve">Curtea de Apel Constanţa </w:t>
      </w:r>
      <w:r w:rsidRPr="00860724">
        <w:t xml:space="preserve">cu un volum de activitate de </w:t>
      </w:r>
      <w:r w:rsidRPr="00860724">
        <w:rPr>
          <w:b/>
        </w:rPr>
        <w:t>9.568</w:t>
      </w:r>
      <w:r w:rsidRPr="00860724">
        <w:t xml:space="preserve"> dosare (9.009 dosare în 2016).</w:t>
      </w:r>
    </w:p>
    <w:p w:rsidR="00677EA4" w:rsidRPr="00860724" w:rsidRDefault="00677EA4" w:rsidP="00437B79">
      <w:pPr>
        <w:pStyle w:val="AddParagraf"/>
        <w:spacing w:line="276" w:lineRule="auto"/>
      </w:pPr>
      <w:r w:rsidRPr="00860724">
        <w:t xml:space="preserve">Din cele </w:t>
      </w:r>
      <w:r w:rsidRPr="00860724">
        <w:rPr>
          <w:b/>
        </w:rPr>
        <w:t>232.101</w:t>
      </w:r>
      <w:r w:rsidRPr="00860724">
        <w:t xml:space="preserve"> cauze înregistrate pe rolul curţilor de apel în anul 2017, au fost soluţionate </w:t>
      </w:r>
      <w:r w:rsidRPr="00860724">
        <w:rPr>
          <w:b/>
        </w:rPr>
        <w:t>171.544</w:t>
      </w:r>
      <w:r w:rsidRPr="00860724">
        <w:t xml:space="preserve"> cauze, reprezentând </w:t>
      </w:r>
      <w:r w:rsidRPr="00860724">
        <w:rPr>
          <w:b/>
        </w:rPr>
        <w:t>73,91 %</w:t>
      </w:r>
      <w:r w:rsidRPr="00860724">
        <w:t xml:space="preserve"> (75,65 % în anul 2016), rămânând totodată un stoc de </w:t>
      </w:r>
      <w:r w:rsidRPr="00860724">
        <w:rPr>
          <w:b/>
        </w:rPr>
        <w:t xml:space="preserve">60.557 </w:t>
      </w:r>
      <w:r w:rsidRPr="00860724">
        <w:t>dosare de  soluţionat,</w:t>
      </w:r>
      <w:r w:rsidRPr="00860724">
        <w:rPr>
          <w:b/>
        </w:rPr>
        <w:t xml:space="preserve"> </w:t>
      </w:r>
      <w:r w:rsidRPr="00860724">
        <w:t>ce se vor reporta spre soluţionare în anul 2018.</w:t>
      </w:r>
    </w:p>
    <w:p w:rsidR="00677EA4" w:rsidRPr="00860724" w:rsidRDefault="00677EA4" w:rsidP="00437B79">
      <w:pPr>
        <w:pStyle w:val="AddParagraf"/>
        <w:spacing w:line="276" w:lineRule="auto"/>
      </w:pPr>
      <w:r w:rsidRPr="00860724">
        <w:t>Grafic, situaţia dosarelor finalizate în ultimii 5 ani se prezintă astfel:</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solut![Grafice 2017.xls]CA solut Diagramă 1" "" \a \p \* MERGEFORMAT </w:instrText>
      </w:r>
      <w:r w:rsidRPr="00860724">
        <w:fldChar w:fldCharType="separate"/>
      </w:r>
      <w:r w:rsidR="009B0A85">
        <w:object w:dxaOrig="12526" w:dyaOrig="6874">
          <v:shape id="_x0000_i1046" type="#_x0000_t75" style="width:483.75pt;height:264.75pt">
            <v:imagedata r:id="rId30" o:title=""/>
          </v:shape>
        </w:object>
      </w:r>
      <w:r w:rsidRPr="00860724">
        <w:fldChar w:fldCharType="end"/>
      </w:r>
    </w:p>
    <w:p w:rsidR="00677EA4" w:rsidRPr="00860724" w:rsidRDefault="00677EA4" w:rsidP="00514C9E">
      <w:pPr>
        <w:pStyle w:val="AddParagraf"/>
        <w:spacing w:line="276" w:lineRule="auto"/>
        <w:rPr>
          <w:b/>
        </w:rPr>
      </w:pPr>
      <w:r w:rsidRPr="00860724">
        <w:rPr>
          <w:b/>
        </w:rPr>
        <w:t>În ceea ce priveşte cauzele creşterii volumului de activitate, exemplificăm evoluţia numărului cauzelor nou intrate, pentru materiile relevante statistic:</w:t>
      </w:r>
    </w:p>
    <w:p w:rsidR="00677EA4" w:rsidRPr="00860724" w:rsidRDefault="00677EA4" w:rsidP="00514C9E">
      <w:pPr>
        <w:pStyle w:val="AddParagraf"/>
        <w:spacing w:line="276" w:lineRule="auto"/>
      </w:pPr>
      <w:r w:rsidRPr="00860724">
        <w:t xml:space="preserve">Astfel, în materia </w:t>
      </w:r>
      <w:r w:rsidRPr="00860724">
        <w:rPr>
          <w:b/>
          <w:bCs/>
        </w:rPr>
        <w:t>contenciosului administrativ şi fiscal</w:t>
      </w:r>
      <w:r w:rsidRPr="00860724">
        <w:t xml:space="preserve">, numărul cauzelor nou intrate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80.983</w:t>
      </w:r>
      <w:r w:rsidRPr="00860724">
        <w:t xml:space="preserve"> dosare (43.334 dosare în 2016</w:t>
      </w:r>
      <w:r w:rsidRPr="00860724">
        <w:rPr>
          <w:b/>
        </w:rPr>
        <w:t xml:space="preserve"> </w:t>
      </w:r>
      <w:r w:rsidRPr="00860724">
        <w:t>şi</w:t>
      </w:r>
      <w:r w:rsidRPr="00860724">
        <w:rPr>
          <w:b/>
        </w:rPr>
        <w:t xml:space="preserve"> </w:t>
      </w:r>
      <w:r w:rsidRPr="00860724">
        <w:t>50.422</w:t>
      </w:r>
      <w:r w:rsidRPr="00860724">
        <w:rPr>
          <w:b/>
        </w:rPr>
        <w:t xml:space="preserve"> </w:t>
      </w:r>
      <w:r w:rsidRPr="00860724">
        <w:t xml:space="preserve">dosare în 2015). </w:t>
      </w:r>
    </w:p>
    <w:p w:rsidR="00677EA4" w:rsidRPr="00860724" w:rsidRDefault="00677EA4" w:rsidP="00514C9E">
      <w:pPr>
        <w:pStyle w:val="AddParagraf"/>
        <w:spacing w:line="276" w:lineRule="auto"/>
        <w:rPr>
          <w:bCs/>
        </w:rPr>
      </w:pPr>
      <w:r w:rsidRPr="00860724">
        <w:t>Grafic</w:t>
      </w:r>
      <w:r w:rsidRPr="00860724">
        <w:rPr>
          <w:b/>
        </w:rPr>
        <w:t xml:space="preserve">, </w:t>
      </w:r>
      <w:r w:rsidRPr="00860724">
        <w:t>variaţia numărului de cauze nou intrate în materia</w:t>
      </w:r>
      <w:r w:rsidRPr="00860724">
        <w:rPr>
          <w:b/>
          <w:bCs/>
        </w:rPr>
        <w:t xml:space="preserve"> contenciosului administrativ şi fiscal</w:t>
      </w:r>
      <w:r w:rsidRPr="00860724">
        <w:rPr>
          <w:bCs/>
        </w:rPr>
        <w:t xml:space="preserve"> se prezintă astfel:</w:t>
      </w:r>
    </w:p>
    <w:p w:rsidR="00677EA4" w:rsidRPr="00860724" w:rsidRDefault="00677EA4" w:rsidP="00677EA4">
      <w:pPr>
        <w:pStyle w:val="AddParagraf"/>
        <w:ind w:firstLine="0"/>
        <w:jc w:val="center"/>
        <w:rPr>
          <w:bCs/>
        </w:rPr>
      </w:pPr>
      <w:r w:rsidRPr="00860724">
        <w:rPr>
          <w:bCs/>
        </w:rPr>
        <w:lastRenderedPageBreak/>
        <w:fldChar w:fldCharType="begin"/>
      </w:r>
      <w:r w:rsidRPr="00860724">
        <w:rPr>
          <w:bCs/>
        </w:rPr>
        <w:instrText xml:space="preserve"> LINK Excel.Sheet.8 "F:\\Macheta\\Grafice 2017.xls!CA Cauze nou intrate contadmsi![Grafice 2017.xls]CA Cauze nou intrate contadmsi Diagramă 1" "" \a \p \* MERGEFORMAT </w:instrText>
      </w:r>
      <w:r w:rsidRPr="00860724">
        <w:rPr>
          <w:bCs/>
        </w:rPr>
        <w:fldChar w:fldCharType="separate"/>
      </w:r>
      <w:r w:rsidR="009B0A85">
        <w:rPr>
          <w:bCs/>
        </w:rPr>
        <w:object w:dxaOrig="12189" w:dyaOrig="6520">
          <v:shape id="_x0000_i1047" type="#_x0000_t75" style="width:480pt;height:255.75pt">
            <v:imagedata r:id="rId31" o:title=""/>
          </v:shape>
        </w:object>
      </w:r>
      <w:r w:rsidRPr="00860724">
        <w:rPr>
          <w:bCs/>
        </w:rPr>
        <w:fldChar w:fldCharType="end"/>
      </w:r>
    </w:p>
    <w:p w:rsidR="00677EA4" w:rsidRPr="00860724" w:rsidRDefault="00677EA4" w:rsidP="00677EA4">
      <w:pPr>
        <w:pStyle w:val="AddParagraf"/>
        <w:ind w:firstLine="0"/>
        <w:jc w:val="center"/>
        <w:rPr>
          <w:bCs/>
        </w:rPr>
      </w:pPr>
    </w:p>
    <w:p w:rsidR="00677EA4" w:rsidRPr="00860724" w:rsidRDefault="00677EA4" w:rsidP="00437B79">
      <w:pPr>
        <w:pStyle w:val="AddParagraf"/>
        <w:spacing w:line="276" w:lineRule="auto"/>
      </w:pPr>
      <w:r w:rsidRPr="00860724">
        <w:t xml:space="preserve">Ponderea materiei </w:t>
      </w:r>
      <w:r w:rsidRPr="00860724">
        <w:rPr>
          <w:bCs/>
        </w:rPr>
        <w:t xml:space="preserve">contenciosului administrativ şi fiscal </w:t>
      </w:r>
      <w:r w:rsidRPr="00860724">
        <w:t xml:space="preserve">în totalul cauzelor nou intrate la curţile de apel este de  </w:t>
      </w:r>
      <w:r w:rsidRPr="00860724">
        <w:rPr>
          <w:b/>
        </w:rPr>
        <w:t>44,55 %</w:t>
      </w:r>
      <w:r w:rsidRPr="00860724">
        <w:t xml:space="preserve"> (28,67 % în anul 2016). </w:t>
      </w:r>
    </w:p>
    <w:p w:rsidR="00677EA4" w:rsidRPr="00860724" w:rsidRDefault="00677EA4" w:rsidP="00437B79">
      <w:pPr>
        <w:pStyle w:val="AddParagraf"/>
        <w:spacing w:line="276" w:lineRule="auto"/>
      </w:pPr>
      <w:r w:rsidRPr="00860724">
        <w:t xml:space="preserve">În materie </w:t>
      </w:r>
      <w:r w:rsidRPr="00860724">
        <w:rPr>
          <w:bCs/>
        </w:rPr>
        <w:t>penală</w:t>
      </w:r>
      <w:r w:rsidRPr="00860724">
        <w:t xml:space="preserve">, numărul cauzelor nou intrate la curţile de apel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42.141</w:t>
      </w:r>
      <w:r w:rsidRPr="00860724">
        <w:t xml:space="preserve">  dosare (44.771</w:t>
      </w:r>
      <w:r w:rsidRPr="00860724">
        <w:rPr>
          <w:b/>
        </w:rPr>
        <w:t xml:space="preserve"> </w:t>
      </w:r>
      <w:r w:rsidRPr="00860724">
        <w:t>dosare în 2016 şi 40.775 dosare în 2015).</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Cauze nou intrate penal![Grafice 2017.xls]CA Cauze nou intrate penal Diagramă 1" "" \a \p \* MERGEFORMAT </w:instrText>
      </w:r>
      <w:r w:rsidRPr="00860724">
        <w:fldChar w:fldCharType="separate"/>
      </w:r>
      <w:r w:rsidR="009B0A85">
        <w:object w:dxaOrig="12189" w:dyaOrig="6059">
          <v:shape id="_x0000_i1048" type="#_x0000_t75" style="width:489.75pt;height:243pt">
            <v:imagedata r:id="rId32" o:title=""/>
          </v:shape>
        </w:object>
      </w:r>
      <w:r w:rsidRPr="00860724">
        <w:fldChar w:fldCharType="end"/>
      </w:r>
    </w:p>
    <w:p w:rsidR="00677EA4" w:rsidRPr="00860724" w:rsidRDefault="00677EA4" w:rsidP="00437B79">
      <w:pPr>
        <w:pStyle w:val="AddParagraf"/>
        <w:spacing w:line="276" w:lineRule="auto"/>
      </w:pPr>
      <w:r w:rsidRPr="00860724">
        <w:t xml:space="preserve">Ponderea cauzelor nou intrate în materie penală în totalul cauzelor intrate la curţile de apel în </w:t>
      </w:r>
      <w:smartTag w:uri="urn:schemas-microsoft-com:office:smarttags" w:element="metricconverter">
        <w:smartTagPr>
          <w:attr w:name="ProductID" w:val="2017 a"/>
        </w:smartTagPr>
        <w:r w:rsidRPr="00860724">
          <w:t>2017 a</w:t>
        </w:r>
      </w:smartTag>
      <w:r w:rsidRPr="00860724">
        <w:t xml:space="preserve"> fost de </w:t>
      </w:r>
      <w:r w:rsidRPr="00860724">
        <w:rPr>
          <w:b/>
        </w:rPr>
        <w:t>23,18 %</w:t>
      </w:r>
      <w:r w:rsidRPr="00860724">
        <w:t>.</w:t>
      </w:r>
    </w:p>
    <w:p w:rsidR="00677EA4" w:rsidRPr="00860724" w:rsidRDefault="00677EA4" w:rsidP="00437B79">
      <w:pPr>
        <w:pStyle w:val="AddParagraf"/>
        <w:spacing w:line="276" w:lineRule="auto"/>
      </w:pPr>
      <w:r w:rsidRPr="00860724">
        <w:t xml:space="preserve">În materia litigii de muncă, numărul cauzelor nou intrate la curţile de apel în anul </w:t>
      </w:r>
      <w:smartTag w:uri="urn:schemas-microsoft-com:office:smarttags" w:element="metricconverter">
        <w:smartTagPr>
          <w:attr w:name="ProductID" w:val="2017 a"/>
        </w:smartTagPr>
        <w:r w:rsidRPr="00860724">
          <w:t>2017 a</w:t>
        </w:r>
      </w:smartTag>
      <w:r w:rsidRPr="00860724">
        <w:t xml:space="preserve"> fost de</w:t>
      </w:r>
      <w:r w:rsidRPr="00860724">
        <w:rPr>
          <w:b/>
        </w:rPr>
        <w:t xml:space="preserve"> 16.347 </w:t>
      </w:r>
      <w:r w:rsidRPr="00860724">
        <w:t>dosare (18.979 dosare în 2016 şi 26.786 dosare în 2015).</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2017.xls!CA Cauze nou intrate litigiidem![Grafice 2017.xls]CA Cauze nou intrate litigiidem Diagramă 1" "" \a \p \* MERGEFORMAT </w:instrText>
      </w:r>
      <w:r w:rsidRPr="00860724">
        <w:fldChar w:fldCharType="separate"/>
      </w:r>
      <w:r w:rsidR="009B0A85">
        <w:object w:dxaOrig="12189" w:dyaOrig="6520">
          <v:shape id="_x0000_i1049" type="#_x0000_t75" style="width:493.5pt;height:262.5pt">
            <v:imagedata r:id="rId33" o:title=""/>
          </v:shape>
        </w:object>
      </w:r>
      <w:r w:rsidRPr="00860724">
        <w:fldChar w:fldCharType="end"/>
      </w:r>
    </w:p>
    <w:p w:rsidR="00677EA4" w:rsidRPr="00860724" w:rsidRDefault="00677EA4" w:rsidP="00437B79">
      <w:pPr>
        <w:pStyle w:val="AddParagraf"/>
        <w:spacing w:line="276" w:lineRule="auto"/>
      </w:pPr>
      <w:r w:rsidRPr="00860724">
        <w:t xml:space="preserve">Ponderea cauzelor nou intrate în materia litigii de muncă în totalul cauzelor intrate la curţile de apel în </w:t>
      </w:r>
      <w:smartTag w:uri="urn:schemas-microsoft-com:office:smarttags" w:element="metricconverter">
        <w:smartTagPr>
          <w:attr w:name="ProductID" w:val="2017 a"/>
        </w:smartTagPr>
        <w:r w:rsidRPr="00860724">
          <w:t>2017 a</w:t>
        </w:r>
      </w:smartTag>
      <w:r w:rsidRPr="00860724">
        <w:t xml:space="preserve"> fost de</w:t>
      </w:r>
      <w:r w:rsidRPr="00860724">
        <w:rPr>
          <w:b/>
        </w:rPr>
        <w:t xml:space="preserve"> 8,99 %</w:t>
      </w:r>
      <w:r w:rsidRPr="00860724">
        <w:t>.</w:t>
      </w:r>
    </w:p>
    <w:p w:rsidR="00677EA4" w:rsidRPr="00860724" w:rsidRDefault="00677EA4" w:rsidP="00437B79">
      <w:pPr>
        <w:pStyle w:val="AddParagraf"/>
        <w:spacing w:line="276" w:lineRule="auto"/>
      </w:pPr>
      <w:r w:rsidRPr="00860724">
        <w:t xml:space="preserve">În materia faliment, numărul cauzelor nou intrate la curţile de apel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11.114</w:t>
      </w:r>
      <w:r w:rsidRPr="00860724">
        <w:t xml:space="preserve"> dosare (12.981 dosare în 2016 şi</w:t>
      </w:r>
      <w:r w:rsidRPr="00860724">
        <w:rPr>
          <w:b/>
        </w:rPr>
        <w:t xml:space="preserve"> </w:t>
      </w:r>
      <w:r w:rsidRPr="00860724">
        <w:t>14.794 dosare în 2015).</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Cauze nou intrate faliment![Grafice 2017.xls]CA Cauze nou intrate faliment Diagramă 1" "" \a \p \* MERGEFORMAT </w:instrText>
      </w:r>
      <w:r w:rsidRPr="00860724">
        <w:fldChar w:fldCharType="separate"/>
      </w:r>
      <w:r w:rsidR="009B0A85">
        <w:object w:dxaOrig="12189" w:dyaOrig="6520">
          <v:shape id="_x0000_i1050" type="#_x0000_t75" style="width:490.5pt;height:261.75pt">
            <v:imagedata r:id="rId34"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437B79">
      <w:pPr>
        <w:pStyle w:val="AddParagraf"/>
        <w:spacing w:line="276" w:lineRule="auto"/>
      </w:pPr>
      <w:r w:rsidRPr="00860724">
        <w:t xml:space="preserve">Ponderea cauzelor nou intrate în materia faliment în totalul cauzelor intrate la curţile de apel în </w:t>
      </w:r>
      <w:smartTag w:uri="urn:schemas-microsoft-com:office:smarttags" w:element="metricconverter">
        <w:smartTagPr>
          <w:attr w:name="ProductID" w:val="2017 a"/>
        </w:smartTagPr>
        <w:r w:rsidRPr="00860724">
          <w:t>2017 a</w:t>
        </w:r>
      </w:smartTag>
      <w:r w:rsidRPr="00860724">
        <w:t xml:space="preserve"> fost de </w:t>
      </w:r>
      <w:r w:rsidRPr="00860724">
        <w:rPr>
          <w:b/>
        </w:rPr>
        <w:t>6,11 %</w:t>
      </w:r>
      <w:r w:rsidRPr="00860724">
        <w:t>.</w:t>
      </w:r>
    </w:p>
    <w:p w:rsidR="00677EA4" w:rsidRPr="00860724" w:rsidRDefault="00677EA4" w:rsidP="00437B79">
      <w:pPr>
        <w:pStyle w:val="AddParagraf"/>
        <w:spacing w:line="276" w:lineRule="auto"/>
      </w:pPr>
      <w:r w:rsidRPr="00860724">
        <w:t xml:space="preserve">În materie civilă, numărul cauzelor nou intrate la curţile de apel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10.379</w:t>
      </w:r>
      <w:r w:rsidRPr="00860724">
        <w:t xml:space="preserve"> dosare (10.419 dosare în 2016 şi 11.335 dosare în 2015).</w:t>
      </w:r>
    </w:p>
    <w:p w:rsidR="00677EA4" w:rsidRPr="00860724" w:rsidRDefault="00677EA4" w:rsidP="00514C9E">
      <w:pPr>
        <w:pStyle w:val="AddParagraf"/>
        <w:spacing w:line="276" w:lineRule="auto"/>
      </w:pPr>
      <w:r w:rsidRPr="00860724">
        <w:lastRenderedPageBreak/>
        <w:t xml:space="preserve">Ponderea cauzelor nou intrate în materie civilă în totalul cauzelor intrate la curţile de apel în </w:t>
      </w:r>
      <w:smartTag w:uri="urn:schemas-microsoft-com:office:smarttags" w:element="metricconverter">
        <w:smartTagPr>
          <w:attr w:name="ProductID" w:val="2017 a"/>
        </w:smartTagPr>
        <w:r w:rsidRPr="00860724">
          <w:t>2017 a</w:t>
        </w:r>
      </w:smartTag>
      <w:r w:rsidRPr="00860724">
        <w:t xml:space="preserve"> fost de </w:t>
      </w:r>
      <w:r w:rsidRPr="00860724">
        <w:rPr>
          <w:b/>
        </w:rPr>
        <w:t>5,71 %</w:t>
      </w:r>
      <w:r w:rsidRPr="00860724">
        <w:t>.</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2017.xls!CA Cauze nou intratecivil![Grafice 2017.xls]CA Cauze nou intratecivil Diagramă 1" "" \a \p \* MERGEFORMAT </w:instrText>
      </w:r>
      <w:r w:rsidRPr="00860724">
        <w:fldChar w:fldCharType="separate"/>
      </w:r>
      <w:r w:rsidR="009B0A85">
        <w:object w:dxaOrig="12189" w:dyaOrig="6520">
          <v:shape id="_x0000_i1051" type="#_x0000_t75" style="width:493.5pt;height:262.5pt">
            <v:imagedata r:id="rId35"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437B79">
      <w:pPr>
        <w:pStyle w:val="AddParagraf"/>
        <w:spacing w:line="276" w:lineRule="auto"/>
        <w:rPr>
          <w:noProof/>
        </w:rPr>
      </w:pPr>
      <w:r w:rsidRPr="00860724">
        <w:rPr>
          <w:noProof/>
        </w:rPr>
        <w:t>Sub aspectul celor mai frecvente obiecte cu care curţile de apel au fost investite în stadiul procesual fond, acestea se prezintă, conform competenţei materiale, după cum urmează:</w:t>
      </w:r>
    </w:p>
    <w:p w:rsidR="00677EA4" w:rsidRPr="00860724" w:rsidRDefault="00677EA4" w:rsidP="00437B79">
      <w:pPr>
        <w:pStyle w:val="AddParagraf"/>
        <w:numPr>
          <w:ilvl w:val="0"/>
          <w:numId w:val="15"/>
        </w:numPr>
        <w:spacing w:line="276" w:lineRule="auto"/>
        <w:rPr>
          <w:noProof/>
        </w:rPr>
      </w:pPr>
      <w:r w:rsidRPr="00860724">
        <w:rPr>
          <w:noProof/>
        </w:rPr>
        <w:t xml:space="preserve">în materia contenciosului administrativ; </w:t>
      </w:r>
    </w:p>
    <w:p w:rsidR="00677EA4" w:rsidRPr="00860724" w:rsidRDefault="00677EA4" w:rsidP="00677EA4">
      <w:pPr>
        <w:pStyle w:val="AddParagraf"/>
        <w:numPr>
          <w:ilvl w:val="0"/>
          <w:numId w:val="0"/>
        </w:numPr>
        <w:ind w:left="709"/>
        <w:rPr>
          <w:noProof/>
        </w:rPr>
      </w:pPr>
    </w:p>
    <w:p w:rsidR="00677EA4" w:rsidRPr="00860724" w:rsidRDefault="00677EA4" w:rsidP="00677EA4">
      <w:pPr>
        <w:pStyle w:val="AddParagraf"/>
        <w:numPr>
          <w:ilvl w:val="0"/>
          <w:numId w:val="0"/>
        </w:numPr>
        <w:jc w:val="center"/>
        <w:rPr>
          <w:noProof/>
        </w:rPr>
      </w:pPr>
      <w:r w:rsidRPr="00860724">
        <w:rPr>
          <w:noProof/>
        </w:rPr>
        <w:fldChar w:fldCharType="begin"/>
      </w:r>
      <w:r w:rsidRPr="00860724">
        <w:rPr>
          <w:noProof/>
        </w:rPr>
        <w:instrText xml:space="preserve"> LINK Excel.Sheet.8 "F:\\Macheta\\Grafice 2017.xls!Dosare intrate CA contencios![Grafice 2017.xls]Dosare intrate CA contencios Diagramă 1" "" \a \p \* MERGEFORMAT </w:instrText>
      </w:r>
      <w:r w:rsidRPr="00860724">
        <w:rPr>
          <w:noProof/>
        </w:rPr>
        <w:fldChar w:fldCharType="separate"/>
      </w:r>
      <w:r w:rsidR="009B0A85">
        <w:rPr>
          <w:noProof/>
        </w:rPr>
        <w:object w:dxaOrig="13429" w:dyaOrig="7087">
          <v:shape id="_x0000_i1052" type="#_x0000_t75" style="width:486.75pt;height:257.25pt">
            <v:imagedata r:id="rId36" o:title=""/>
          </v:shape>
        </w:object>
      </w:r>
      <w:r w:rsidRPr="00860724">
        <w:rPr>
          <w:noProof/>
        </w:rPr>
        <w:fldChar w:fldCharType="end"/>
      </w:r>
    </w:p>
    <w:p w:rsidR="00677EA4" w:rsidRPr="00860724" w:rsidRDefault="00677EA4" w:rsidP="00677EA4">
      <w:pPr>
        <w:pStyle w:val="AddParagraf"/>
        <w:numPr>
          <w:ilvl w:val="0"/>
          <w:numId w:val="0"/>
        </w:numPr>
        <w:jc w:val="center"/>
        <w:rPr>
          <w:noProof/>
        </w:rPr>
      </w:pPr>
    </w:p>
    <w:p w:rsidR="00677EA4" w:rsidRPr="00860724" w:rsidRDefault="00677EA4" w:rsidP="00677EA4">
      <w:pPr>
        <w:pStyle w:val="AddParagraf"/>
        <w:numPr>
          <w:ilvl w:val="0"/>
          <w:numId w:val="0"/>
        </w:numPr>
        <w:jc w:val="center"/>
        <w:rPr>
          <w:noProof/>
        </w:rPr>
      </w:pPr>
    </w:p>
    <w:p w:rsidR="00677EA4" w:rsidRPr="00860724" w:rsidRDefault="00677EA4" w:rsidP="00677EA4">
      <w:pPr>
        <w:pStyle w:val="AddParagraf"/>
        <w:numPr>
          <w:ilvl w:val="0"/>
          <w:numId w:val="0"/>
        </w:numPr>
        <w:jc w:val="center"/>
        <w:rPr>
          <w:noProof/>
        </w:rPr>
      </w:pPr>
    </w:p>
    <w:p w:rsidR="00677EA4" w:rsidRPr="00860724" w:rsidRDefault="00677EA4" w:rsidP="00677EA4">
      <w:pPr>
        <w:pStyle w:val="AddParagraf"/>
        <w:numPr>
          <w:ilvl w:val="0"/>
          <w:numId w:val="0"/>
        </w:numPr>
        <w:jc w:val="center"/>
        <w:rPr>
          <w:noProof/>
        </w:rPr>
      </w:pPr>
    </w:p>
    <w:p w:rsidR="00677EA4" w:rsidRPr="00860724" w:rsidRDefault="00677EA4" w:rsidP="00677EA4">
      <w:pPr>
        <w:pStyle w:val="AddParagraf"/>
        <w:numPr>
          <w:ilvl w:val="0"/>
          <w:numId w:val="0"/>
        </w:numPr>
        <w:jc w:val="center"/>
        <w:rPr>
          <w:noProof/>
        </w:rPr>
      </w:pPr>
    </w:p>
    <w:p w:rsidR="00677EA4" w:rsidRPr="00860724" w:rsidRDefault="00677EA4" w:rsidP="00677EA4">
      <w:pPr>
        <w:pStyle w:val="AddParagraf"/>
        <w:numPr>
          <w:ilvl w:val="0"/>
          <w:numId w:val="14"/>
        </w:numPr>
        <w:rPr>
          <w:noProof/>
        </w:rPr>
      </w:pPr>
      <w:r w:rsidRPr="00860724">
        <w:rPr>
          <w:noProof/>
        </w:rPr>
        <w:t>în materie penală.</w:t>
      </w:r>
    </w:p>
    <w:p w:rsidR="00677EA4" w:rsidRPr="00860724" w:rsidRDefault="00677EA4" w:rsidP="00723177">
      <w:pPr>
        <w:pStyle w:val="AddParagraf"/>
        <w:numPr>
          <w:ilvl w:val="0"/>
          <w:numId w:val="0"/>
        </w:numPr>
        <w:jc w:val="center"/>
        <w:rPr>
          <w:noProof/>
        </w:rPr>
      </w:pPr>
      <w:r w:rsidRPr="00860724">
        <w:rPr>
          <w:noProof/>
        </w:rPr>
        <w:fldChar w:fldCharType="begin"/>
      </w:r>
      <w:r w:rsidRPr="00860724">
        <w:rPr>
          <w:noProof/>
        </w:rPr>
        <w:instrText xml:space="preserve"> LINK Excel.Sheet.8 "F:\\Macheta\\Grafice 2017.xls!Dosare intrate CA penal![Grafice 2017.xls]Dosare intrate CA penal Diagramă 1" "" \a \p \* MERGEFORMAT </w:instrText>
      </w:r>
      <w:r w:rsidRPr="00860724">
        <w:rPr>
          <w:noProof/>
        </w:rPr>
        <w:fldChar w:fldCharType="separate"/>
      </w:r>
      <w:r w:rsidR="009B0A85">
        <w:rPr>
          <w:noProof/>
        </w:rPr>
        <w:object w:dxaOrig="14368" w:dyaOrig="7866">
          <v:shape id="_x0000_i1053" type="#_x0000_t75" style="width:483.75pt;height:264.75pt">
            <v:imagedata r:id="rId37" o:title=""/>
          </v:shape>
        </w:object>
      </w:r>
      <w:r w:rsidRPr="00860724">
        <w:rPr>
          <w:noProof/>
        </w:rPr>
        <w:fldChar w:fldCharType="end"/>
      </w:r>
      <w:bookmarkStart w:id="13" w:name="_Toc411333477"/>
      <w:bookmarkStart w:id="14" w:name="_Toc411429412"/>
    </w:p>
    <w:p w:rsidR="00677EA4" w:rsidRPr="00860724" w:rsidRDefault="00677EA4" w:rsidP="00437B79">
      <w:pPr>
        <w:pStyle w:val="Titlu3"/>
      </w:pPr>
      <w:bookmarkStart w:id="15" w:name="_Toc506287999"/>
      <w:r w:rsidRPr="00860724">
        <w:t>I.1.3. Volumul de activitate la nivelul tribunalelor</w:t>
      </w:r>
      <w:bookmarkEnd w:id="13"/>
      <w:bookmarkEnd w:id="14"/>
      <w:bookmarkEnd w:id="15"/>
    </w:p>
    <w:p w:rsidR="00677EA4" w:rsidRPr="00860724" w:rsidRDefault="00677EA4" w:rsidP="00437B79">
      <w:pPr>
        <w:pStyle w:val="AddParagraf"/>
        <w:spacing w:line="276" w:lineRule="auto"/>
      </w:pPr>
      <w:r w:rsidRPr="00860724">
        <w:t>La acest nivel</w:t>
      </w:r>
      <w:r w:rsidR="00723177" w:rsidRPr="00860724">
        <w:t xml:space="preserve"> de jurisdicție, în anul de referință</w:t>
      </w:r>
      <w:r w:rsidRPr="00860724">
        <w:t xml:space="preserve"> a fost înregistrat un număr de </w:t>
      </w:r>
      <w:r w:rsidRPr="00860724">
        <w:rPr>
          <w:b/>
        </w:rPr>
        <w:t>772.861</w:t>
      </w:r>
      <w:r w:rsidRPr="00860724">
        <w:t xml:space="preserve"> cauze de soluţionat, în creştere comparativ cu anul anterior</w:t>
      </w:r>
      <w:r w:rsidR="00536560">
        <w:t xml:space="preserve">, </w:t>
      </w:r>
      <w:r w:rsidR="00D327CB">
        <w:t xml:space="preserve">respectiv </w:t>
      </w:r>
      <w:r w:rsidR="00536560" w:rsidRPr="00536560">
        <w:t>733.709</w:t>
      </w:r>
      <w:r w:rsidR="00536560">
        <w:t xml:space="preserve"> </w:t>
      </w:r>
      <w:r w:rsidR="00536560" w:rsidRPr="00860724">
        <w:t>cauze de soluţionat</w:t>
      </w:r>
      <w:r w:rsidRPr="00860724">
        <w:t xml:space="preserve">. </w:t>
      </w:r>
    </w:p>
    <w:p w:rsidR="00677EA4" w:rsidRPr="00860724" w:rsidRDefault="00677EA4" w:rsidP="00437B79">
      <w:pPr>
        <w:pStyle w:val="AddParagraf"/>
        <w:spacing w:line="276" w:lineRule="auto"/>
      </w:pPr>
      <w:r w:rsidRPr="00860724">
        <w:t>Situaţia dinamicii volumului de activitate pe ultimii 5 ani se prezintă grafic astfel:</w:t>
      </w:r>
    </w:p>
    <w:p w:rsidR="00677EA4" w:rsidRPr="00860724" w:rsidRDefault="00677EA4" w:rsidP="00677EA4">
      <w:pPr>
        <w:pStyle w:val="AddParagraf"/>
        <w:ind w:firstLine="0"/>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2017.xls!Trib volum![Grafice 2017.xls]Trib volum Diagramă 1" "" \a \p \* MERGEFORMAT </w:instrText>
      </w:r>
      <w:r w:rsidRPr="00860724">
        <w:fldChar w:fldCharType="separate"/>
      </w:r>
      <w:r w:rsidR="009B0A85">
        <w:object w:dxaOrig="11604" w:dyaOrig="6591">
          <v:shape id="_x0000_i1054" type="#_x0000_t75" style="width:485.25pt;height:274.5pt">
            <v:imagedata r:id="rId38"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514C9E">
      <w:pPr>
        <w:pStyle w:val="AddParagraf"/>
        <w:spacing w:line="276" w:lineRule="auto"/>
      </w:pPr>
      <w:r w:rsidRPr="00860724">
        <w:t>În anul 2017 se înregistrează</w:t>
      </w:r>
      <w:r w:rsidR="00723177" w:rsidRPr="00860724">
        <w:t>,</w:t>
      </w:r>
      <w:r w:rsidRPr="00860724">
        <w:t xml:space="preserve"> aşadar</w:t>
      </w:r>
      <w:r w:rsidR="00723177" w:rsidRPr="00860724">
        <w:t>,</w:t>
      </w:r>
      <w:r w:rsidRPr="00860724">
        <w:t xml:space="preserve"> o uşoară creştere (cu </w:t>
      </w:r>
      <w:r w:rsidRPr="00860724">
        <w:rPr>
          <w:b/>
        </w:rPr>
        <w:t>39.152</w:t>
      </w:r>
      <w:r w:rsidRPr="00860724">
        <w:t xml:space="preserve"> cauze), comparativ cu anul anterior, a numărului cauzelor de soluţionat, adică o creştere procentuală cu </w:t>
      </w:r>
      <w:r w:rsidRPr="00860724">
        <w:rPr>
          <w:b/>
        </w:rPr>
        <w:t>5,34 %</w:t>
      </w:r>
      <w:r w:rsidRPr="00860724">
        <w:t>.</w:t>
      </w:r>
    </w:p>
    <w:p w:rsidR="00677EA4" w:rsidRPr="00860724" w:rsidRDefault="00677EA4" w:rsidP="00514C9E">
      <w:pPr>
        <w:pStyle w:val="AddParagraf"/>
        <w:spacing w:line="276" w:lineRule="auto"/>
      </w:pPr>
      <w:r w:rsidRPr="00860724">
        <w:t xml:space="preserve">Faţă de anul 2013 se înregistrează o scădere cu </w:t>
      </w:r>
      <w:r w:rsidRPr="00860724">
        <w:rPr>
          <w:b/>
        </w:rPr>
        <w:t>241.629</w:t>
      </w:r>
      <w:r w:rsidRPr="00860724">
        <w:t xml:space="preserve"> cauze de soluţionat, ceea ce reprezintă o scădere cu </w:t>
      </w:r>
      <w:r w:rsidRPr="00860724">
        <w:rPr>
          <w:b/>
        </w:rPr>
        <w:t>23,82 %</w:t>
      </w:r>
      <w:r w:rsidRPr="00860724">
        <w:t>.</w:t>
      </w:r>
    </w:p>
    <w:p w:rsidR="00677EA4" w:rsidRPr="00860724" w:rsidRDefault="00677EA4" w:rsidP="00514C9E">
      <w:pPr>
        <w:pStyle w:val="AddParagraf"/>
        <w:spacing w:line="276" w:lineRule="auto"/>
      </w:pPr>
      <w:r w:rsidRPr="00860724">
        <w:t xml:space="preserve"> Sub aspectul stocurilor şi al cauzelor nou intrate, situaţia grafică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2017.xls!Trib stoc![Grafice 2017.xls]Trib stoc Diagramă 1" "" \a \p \* MERGEFORMAT </w:instrText>
      </w:r>
      <w:r w:rsidRPr="00860724">
        <w:fldChar w:fldCharType="separate"/>
      </w:r>
      <w:r w:rsidR="009B0A85">
        <w:object w:dxaOrig="11002" w:dyaOrig="6130">
          <v:shape id="_x0000_i1055" type="#_x0000_t75" style="width:482.25pt;height:268.5pt">
            <v:imagedata r:id="rId39"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514C9E">
      <w:pPr>
        <w:pStyle w:val="AddParagraf"/>
        <w:spacing w:line="276" w:lineRule="auto"/>
      </w:pPr>
      <w:r w:rsidRPr="00860724">
        <w:t>Comparativ cu anul 2016</w:t>
      </w:r>
      <w:r w:rsidR="00723177" w:rsidRPr="00860724">
        <w:t>,</w:t>
      </w:r>
      <w:r w:rsidRPr="00860724">
        <w:t xml:space="preserve"> nivelul stocurilor de dosare a crescut cu </w:t>
      </w:r>
      <w:r w:rsidRPr="00860724">
        <w:rPr>
          <w:b/>
        </w:rPr>
        <w:t>12.378</w:t>
      </w:r>
      <w:r w:rsidRPr="00860724">
        <w:t xml:space="preserve"> dosare</w:t>
      </w:r>
      <w:r w:rsidR="00723177" w:rsidRPr="00860724">
        <w:t>,</w:t>
      </w:r>
      <w:r w:rsidRPr="00860724">
        <w:t xml:space="preserve"> ceea ce reprezintă</w:t>
      </w:r>
      <w:r w:rsidR="00723177" w:rsidRPr="00860724">
        <w:t xml:space="preserve"> un procent de</w:t>
      </w:r>
      <w:r w:rsidRPr="00860724">
        <w:t xml:space="preserve"> </w:t>
      </w:r>
      <w:r w:rsidRPr="00860724">
        <w:rPr>
          <w:b/>
        </w:rPr>
        <w:t>5 %,</w:t>
      </w:r>
      <w:r w:rsidRPr="00860724">
        <w:t xml:space="preserve"> în timp ce numărul dosarelor nou intrate a crescut cu</w:t>
      </w:r>
      <w:r w:rsidRPr="00860724">
        <w:rPr>
          <w:b/>
        </w:rPr>
        <w:t xml:space="preserve"> 26.774</w:t>
      </w:r>
      <w:r w:rsidRPr="00860724">
        <w:t xml:space="preserve"> dosare ceea ce reprezintă </w:t>
      </w:r>
      <w:r w:rsidRPr="00860724">
        <w:rPr>
          <w:b/>
        </w:rPr>
        <w:t>5,51 %</w:t>
      </w:r>
      <w:r w:rsidRPr="00860724">
        <w:t>.</w:t>
      </w:r>
    </w:p>
    <w:p w:rsidR="00677EA4" w:rsidRPr="00860724" w:rsidRDefault="00723177" w:rsidP="00514C9E">
      <w:pPr>
        <w:pStyle w:val="AddParagraf"/>
        <w:spacing w:line="276" w:lineRule="auto"/>
      </w:pPr>
      <w:r w:rsidRPr="00860724">
        <w:t xml:space="preserve">Comparativ cu anul 2013, </w:t>
      </w:r>
      <w:r w:rsidR="00677EA4" w:rsidRPr="00860724">
        <w:t xml:space="preserve">nivelul stocurilor de dosare este mai mic cu </w:t>
      </w:r>
      <w:r w:rsidR="00677EA4" w:rsidRPr="00860724">
        <w:rPr>
          <w:b/>
        </w:rPr>
        <w:t>188.965</w:t>
      </w:r>
      <w:r w:rsidR="00677EA4" w:rsidRPr="00860724">
        <w:t xml:space="preserve"> dosare ceea ce reprezintă o scădere cu </w:t>
      </w:r>
      <w:r w:rsidR="00677EA4" w:rsidRPr="00860724">
        <w:rPr>
          <w:b/>
        </w:rPr>
        <w:t>42,10 %,</w:t>
      </w:r>
      <w:r w:rsidR="00677EA4" w:rsidRPr="00860724">
        <w:t xml:space="preserve"> în timp ce numărul dosarelor nou intrate e</w:t>
      </w:r>
      <w:r w:rsidRPr="00860724">
        <w:t>ste</w:t>
      </w:r>
      <w:r w:rsidR="00677EA4" w:rsidRPr="00860724">
        <w:t xml:space="preserve"> mai mic cu</w:t>
      </w:r>
      <w:r w:rsidR="00677EA4" w:rsidRPr="00860724">
        <w:rPr>
          <w:b/>
        </w:rPr>
        <w:t xml:space="preserve"> 52.664</w:t>
      </w:r>
      <w:r w:rsidR="00677EA4" w:rsidRPr="00860724">
        <w:t xml:space="preserve"> dosare</w:t>
      </w:r>
      <w:r w:rsidRPr="00860724">
        <w:t>,</w:t>
      </w:r>
      <w:r w:rsidR="00677EA4" w:rsidRPr="00860724">
        <w:t xml:space="preserve"> ceea ce reprezintă o scădere cu </w:t>
      </w:r>
      <w:r w:rsidR="00677EA4" w:rsidRPr="00860724">
        <w:rPr>
          <w:b/>
        </w:rPr>
        <w:t>9,31 %</w:t>
      </w:r>
      <w:r w:rsidR="00677EA4" w:rsidRPr="00860724">
        <w:t>.</w:t>
      </w:r>
    </w:p>
    <w:p w:rsidR="00677EA4" w:rsidRPr="00860724" w:rsidRDefault="00677EA4" w:rsidP="00514C9E">
      <w:pPr>
        <w:pStyle w:val="AddParagraf"/>
        <w:spacing w:line="276" w:lineRule="auto"/>
      </w:pPr>
      <w:r w:rsidRPr="00860724">
        <w:t>Din punctul de vedere al circumscripţiilor, însumând tribunalele şi judecătoriile arondate, cele mai multe dosare nou create în anul 2017 au fost înregistrate în următoarele raze teritoriale:</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2017.xls!Dosare intrate Trib+inst aron![Grafice 2017.xls]Dosare intrate Trib+inst aron Diagramă 1" "" \a \p \* MERGEFORMAT </w:instrText>
      </w:r>
      <w:r w:rsidRPr="00860724">
        <w:fldChar w:fldCharType="separate"/>
      </w:r>
      <w:r w:rsidR="009B0A85">
        <w:object w:dxaOrig="13181" w:dyaOrig="8008">
          <v:shape id="_x0000_i1056" type="#_x0000_t75" style="width:480.75pt;height:292.5pt">
            <v:imagedata r:id="rId40" o:title=""/>
          </v:shape>
        </w:object>
      </w:r>
      <w:r w:rsidRPr="00860724">
        <w:fldChar w:fldCharType="end"/>
      </w:r>
    </w:p>
    <w:p w:rsidR="00677EA4" w:rsidRPr="00860724" w:rsidRDefault="00677EA4" w:rsidP="00677EA4">
      <w:pPr>
        <w:pStyle w:val="AddParagraf"/>
        <w:ind w:firstLine="708"/>
      </w:pPr>
    </w:p>
    <w:p w:rsidR="00677EA4" w:rsidRPr="00860724" w:rsidRDefault="00677EA4" w:rsidP="00514C9E">
      <w:pPr>
        <w:pStyle w:val="AddParagraf"/>
        <w:spacing w:line="276" w:lineRule="auto"/>
        <w:ind w:firstLine="708"/>
      </w:pPr>
      <w:r w:rsidRPr="00860724">
        <w:t>În ceea ce priveşte dinamica dosarelor nou</w:t>
      </w:r>
      <w:r w:rsidR="00723177" w:rsidRPr="00860724">
        <w:t xml:space="preserve"> intrate pe materiile relevante</w:t>
      </w:r>
      <w:r w:rsidRPr="00860724">
        <w:t xml:space="preserve"> statistic la nivelul tribunalelor, indiferent de stadiu, situaţia se prezintă după cum urmează:</w:t>
      </w:r>
    </w:p>
    <w:p w:rsidR="00677EA4" w:rsidRPr="00860724" w:rsidRDefault="00677EA4" w:rsidP="00677EA4">
      <w:pPr>
        <w:pStyle w:val="AddParagraf"/>
        <w:ind w:firstLine="708"/>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2017.xls!Dosare intrate Trib materii![Grafice 2017.xls]Dosare intrate Trib materii Diagramă 1" "" \a \p \* MERGEFORMAT </w:instrText>
      </w:r>
      <w:r w:rsidRPr="00860724">
        <w:fldChar w:fldCharType="separate"/>
      </w:r>
      <w:r w:rsidR="009B0A85">
        <w:object w:dxaOrig="12508" w:dyaOrig="6927">
          <v:shape id="_x0000_i1057" type="#_x0000_t75" style="width:477pt;height:264pt">
            <v:imagedata r:id="rId41" o:title=""/>
          </v:shape>
        </w:object>
      </w:r>
      <w:r w:rsidRPr="00860724">
        <w:fldChar w:fldCharType="end"/>
      </w:r>
    </w:p>
    <w:p w:rsidR="00677EA4" w:rsidRPr="00860724" w:rsidRDefault="00677EA4" w:rsidP="00677EA4">
      <w:pPr>
        <w:pStyle w:val="AddParagraf"/>
        <w:ind w:firstLine="708"/>
        <w:rPr>
          <w:noProof/>
        </w:rPr>
      </w:pPr>
      <w:r w:rsidRPr="00860724">
        <w:rPr>
          <w:noProof/>
        </w:rPr>
        <w:t>De asemenea, dosarele nou intrate defalcat pe stadiile procesuale, indiferent de materie sunt contabilizate astfel:</w:t>
      </w:r>
    </w:p>
    <w:p w:rsidR="00677EA4" w:rsidRPr="00860724" w:rsidRDefault="00677EA4" w:rsidP="00677EA4">
      <w:pPr>
        <w:pStyle w:val="AddParagraf"/>
        <w:ind w:firstLine="0"/>
        <w:jc w:val="center"/>
        <w:rPr>
          <w:noProof/>
        </w:rPr>
      </w:pPr>
      <w:r w:rsidRPr="00860724">
        <w:rPr>
          <w:noProof/>
        </w:rPr>
        <w:lastRenderedPageBreak/>
        <w:fldChar w:fldCharType="begin"/>
      </w:r>
      <w:r w:rsidRPr="00860724">
        <w:rPr>
          <w:noProof/>
        </w:rPr>
        <w:instrText xml:space="preserve"> LINK Excel.Sheet.8 "F:\\Macheta\\Grafice 2017.xls!Dosare intrate Trib stadiu proc![Grafice 2017.xls]Dosare intrate Trib stadiu proc Diagramă 1" "" \a \p \* MERGEFORMAT </w:instrText>
      </w:r>
      <w:r w:rsidRPr="00860724">
        <w:rPr>
          <w:noProof/>
        </w:rPr>
        <w:fldChar w:fldCharType="separate"/>
      </w:r>
      <w:r w:rsidR="009B0A85">
        <w:rPr>
          <w:noProof/>
        </w:rPr>
        <w:object w:dxaOrig="11640" w:dyaOrig="6821">
          <v:shape id="_x0000_i1058" type="#_x0000_t75" style="width:487.5pt;height:285pt">
            <v:imagedata r:id="rId42" o:title=""/>
          </v:shape>
        </w:object>
      </w:r>
      <w:r w:rsidRPr="00860724">
        <w:rPr>
          <w:noProof/>
        </w:rPr>
        <w:fldChar w:fldCharType="end"/>
      </w:r>
    </w:p>
    <w:p w:rsidR="00677EA4" w:rsidRPr="00860724" w:rsidRDefault="00677EA4" w:rsidP="00437B79">
      <w:pPr>
        <w:pStyle w:val="AddParagraf"/>
        <w:spacing w:line="276" w:lineRule="auto"/>
      </w:pPr>
      <w:r w:rsidRPr="00860724">
        <w:t>Raportat la volumul de activitate al tribunalelor, acestea pot fi grupate astfel:</w:t>
      </w:r>
    </w:p>
    <w:p w:rsidR="00677EA4" w:rsidRPr="00860724" w:rsidRDefault="00677EA4" w:rsidP="00437B79">
      <w:pPr>
        <w:numPr>
          <w:ilvl w:val="0"/>
          <w:numId w:val="10"/>
        </w:numPr>
        <w:tabs>
          <w:tab w:val="num" w:pos="1080"/>
        </w:tabs>
        <w:spacing w:line="276" w:lineRule="auto"/>
        <w:ind w:left="1077" w:hanging="357"/>
        <w:jc w:val="both"/>
        <w:rPr>
          <w:b/>
          <w:lang w:val="ro-RO"/>
        </w:rPr>
      </w:pPr>
      <w:r w:rsidRPr="00860724">
        <w:rPr>
          <w:lang w:val="ro-RO"/>
        </w:rPr>
        <w:t xml:space="preserve">instanţe cu un volum situat sub 5.000 cauze – </w:t>
      </w:r>
      <w:r w:rsidRPr="00860724">
        <w:rPr>
          <w:b/>
          <w:lang w:val="ro-RO"/>
        </w:rPr>
        <w:t>8</w:t>
      </w:r>
      <w:r w:rsidRPr="00860724">
        <w:rPr>
          <w:lang w:val="ro-RO"/>
        </w:rPr>
        <w:t>;</w:t>
      </w:r>
    </w:p>
    <w:p w:rsidR="00677EA4" w:rsidRPr="00860724" w:rsidRDefault="00677EA4" w:rsidP="00437B79">
      <w:pPr>
        <w:numPr>
          <w:ilvl w:val="0"/>
          <w:numId w:val="10"/>
        </w:numPr>
        <w:tabs>
          <w:tab w:val="num" w:pos="1080"/>
        </w:tabs>
        <w:spacing w:line="276" w:lineRule="auto"/>
        <w:ind w:left="1077" w:hanging="357"/>
        <w:jc w:val="both"/>
        <w:rPr>
          <w:lang w:val="ro-RO"/>
        </w:rPr>
      </w:pPr>
      <w:r w:rsidRPr="00860724">
        <w:rPr>
          <w:lang w:val="ro-RO"/>
        </w:rPr>
        <w:t xml:space="preserve">instanţe cu un volum cuprins între 5.000 - 10.000 cauze - </w:t>
      </w:r>
      <w:r w:rsidRPr="00860724">
        <w:rPr>
          <w:b/>
          <w:lang w:val="ro-RO"/>
        </w:rPr>
        <w:t>11</w:t>
      </w:r>
      <w:r w:rsidRPr="00860724">
        <w:rPr>
          <w:lang w:val="ro-RO"/>
        </w:rPr>
        <w:t>;</w:t>
      </w:r>
    </w:p>
    <w:p w:rsidR="00677EA4" w:rsidRPr="00860724" w:rsidRDefault="00677EA4" w:rsidP="00437B79">
      <w:pPr>
        <w:numPr>
          <w:ilvl w:val="0"/>
          <w:numId w:val="10"/>
        </w:numPr>
        <w:tabs>
          <w:tab w:val="num" w:pos="1080"/>
        </w:tabs>
        <w:spacing w:line="276" w:lineRule="auto"/>
        <w:ind w:left="1077" w:hanging="357"/>
        <w:jc w:val="both"/>
        <w:rPr>
          <w:lang w:val="ro-RO"/>
        </w:rPr>
      </w:pPr>
      <w:r w:rsidRPr="00860724">
        <w:rPr>
          <w:lang w:val="ro-RO"/>
        </w:rPr>
        <w:t xml:space="preserve">instanţe cu un volum cuprins între 10.000 - 15.000 cauze - </w:t>
      </w:r>
      <w:r w:rsidRPr="00860724">
        <w:rPr>
          <w:b/>
          <w:lang w:val="ro-RO"/>
        </w:rPr>
        <w:t>13</w:t>
      </w:r>
      <w:r w:rsidRPr="00860724">
        <w:rPr>
          <w:lang w:val="ro-RO"/>
        </w:rPr>
        <w:t>;</w:t>
      </w:r>
    </w:p>
    <w:p w:rsidR="00677EA4" w:rsidRPr="00860724" w:rsidRDefault="00677EA4" w:rsidP="00437B79">
      <w:pPr>
        <w:numPr>
          <w:ilvl w:val="0"/>
          <w:numId w:val="10"/>
        </w:numPr>
        <w:tabs>
          <w:tab w:val="num" w:pos="1080"/>
        </w:tabs>
        <w:spacing w:line="276" w:lineRule="auto"/>
        <w:ind w:left="1077" w:hanging="357"/>
        <w:jc w:val="both"/>
        <w:rPr>
          <w:lang w:val="ro-RO"/>
        </w:rPr>
      </w:pPr>
      <w:r w:rsidRPr="00860724">
        <w:rPr>
          <w:lang w:val="ro-RO"/>
        </w:rPr>
        <w:t xml:space="preserve">instanţe cu un volum cuprins între 15.000 - 20.000 cauze - </w:t>
      </w:r>
      <w:r w:rsidRPr="00860724">
        <w:rPr>
          <w:b/>
          <w:lang w:val="ro-RO"/>
        </w:rPr>
        <w:t>7</w:t>
      </w:r>
      <w:r w:rsidRPr="00860724">
        <w:rPr>
          <w:lang w:val="ro-RO"/>
        </w:rPr>
        <w:t>;</w:t>
      </w:r>
    </w:p>
    <w:p w:rsidR="00677EA4" w:rsidRPr="00860724" w:rsidRDefault="00677EA4" w:rsidP="00437B79">
      <w:pPr>
        <w:numPr>
          <w:ilvl w:val="0"/>
          <w:numId w:val="10"/>
        </w:numPr>
        <w:tabs>
          <w:tab w:val="num" w:pos="1080"/>
        </w:tabs>
        <w:spacing w:line="276" w:lineRule="auto"/>
        <w:ind w:left="1077" w:hanging="357"/>
        <w:jc w:val="both"/>
        <w:rPr>
          <w:lang w:val="ro-RO"/>
        </w:rPr>
      </w:pPr>
      <w:r w:rsidRPr="00860724">
        <w:rPr>
          <w:lang w:val="ro-RO"/>
        </w:rPr>
        <w:t xml:space="preserve">instanţe cu un volum cuprins între 20.000 - 30.000 cauze - </w:t>
      </w:r>
      <w:r w:rsidRPr="00860724">
        <w:rPr>
          <w:b/>
          <w:lang w:val="ro-RO"/>
        </w:rPr>
        <w:t>9</w:t>
      </w:r>
      <w:r w:rsidRPr="00860724">
        <w:rPr>
          <w:lang w:val="ro-RO"/>
        </w:rPr>
        <w:t xml:space="preserve">;   </w:t>
      </w:r>
    </w:p>
    <w:p w:rsidR="00677EA4" w:rsidRPr="00860724" w:rsidRDefault="00677EA4" w:rsidP="00437B79">
      <w:pPr>
        <w:numPr>
          <w:ilvl w:val="0"/>
          <w:numId w:val="10"/>
        </w:numPr>
        <w:tabs>
          <w:tab w:val="num" w:pos="1080"/>
        </w:tabs>
        <w:spacing w:line="276" w:lineRule="auto"/>
        <w:ind w:left="1077" w:hanging="357"/>
        <w:jc w:val="both"/>
        <w:rPr>
          <w:b/>
          <w:lang w:val="ro-RO"/>
        </w:rPr>
      </w:pPr>
      <w:r w:rsidRPr="00860724">
        <w:rPr>
          <w:lang w:val="ro-RO"/>
        </w:rPr>
        <w:t xml:space="preserve">instanţe cu un volum de peste 30.000 cauze - </w:t>
      </w:r>
      <w:r w:rsidRPr="00860724">
        <w:rPr>
          <w:b/>
          <w:lang w:val="ro-RO"/>
        </w:rPr>
        <w:t>2</w:t>
      </w:r>
      <w:r w:rsidRPr="00860724">
        <w:rPr>
          <w:lang w:val="ro-RO"/>
        </w:rPr>
        <w:t>.</w:t>
      </w:r>
    </w:p>
    <w:p w:rsidR="00437B79" w:rsidRDefault="00437B79" w:rsidP="00437B79">
      <w:pPr>
        <w:pStyle w:val="AddParagraf"/>
        <w:spacing w:line="276" w:lineRule="auto"/>
        <w:ind w:firstLine="0"/>
        <w:jc w:val="center"/>
      </w:pPr>
    </w:p>
    <w:p w:rsidR="00677EA4" w:rsidRPr="00860724" w:rsidRDefault="00677EA4" w:rsidP="00437B79">
      <w:pPr>
        <w:pStyle w:val="AddParagraf"/>
        <w:spacing w:line="276" w:lineRule="auto"/>
        <w:ind w:firstLine="0"/>
        <w:jc w:val="center"/>
      </w:pPr>
      <w:r w:rsidRPr="00860724">
        <w:t>Volumul de activitate al tribunalelor – situaţie comparativă</w:t>
      </w:r>
    </w:p>
    <w:p w:rsidR="00677EA4" w:rsidRPr="00860724" w:rsidRDefault="00677EA4" w:rsidP="00677EA4">
      <w:pPr>
        <w:spacing w:line="360" w:lineRule="auto"/>
        <w:jc w:val="center"/>
        <w:rPr>
          <w:b/>
          <w:i/>
          <w:lang w:val="ro-RO"/>
        </w:rPr>
      </w:pPr>
      <w:r w:rsidRPr="00860724">
        <w:rPr>
          <w:b/>
          <w:i/>
          <w:noProof/>
          <w:lang w:val="ro-RO" w:eastAsia="ro-RO"/>
        </w:rPr>
        <w:drawing>
          <wp:inline distT="0" distB="0" distL="0" distR="0" wp14:anchorId="304755E6" wp14:editId="3BB71E50">
            <wp:extent cx="6248400" cy="3406140"/>
            <wp:effectExtent l="0" t="0" r="0" b="0"/>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77EA4" w:rsidRPr="00860724" w:rsidRDefault="00677EA4" w:rsidP="00514C9E">
      <w:pPr>
        <w:pStyle w:val="AddParagraf"/>
        <w:spacing w:line="276" w:lineRule="auto"/>
      </w:pPr>
      <w:r w:rsidRPr="00860724">
        <w:lastRenderedPageBreak/>
        <w:t xml:space="preserve">După cum se observă, în ultimul an de referinţă există o creştere a numărului tribunalelor cu un volum de activitate sub 5.000 de dosare de la </w:t>
      </w:r>
      <w:r w:rsidRPr="00860724">
        <w:rPr>
          <w:b/>
        </w:rPr>
        <w:t xml:space="preserve">4 </w:t>
      </w:r>
      <w:r w:rsidRPr="00860724">
        <w:t xml:space="preserve">instanţe în 2016 la </w:t>
      </w:r>
      <w:r w:rsidRPr="00860724">
        <w:rPr>
          <w:b/>
        </w:rPr>
        <w:t xml:space="preserve">8 </w:t>
      </w:r>
      <w:r w:rsidRPr="00860724">
        <w:t xml:space="preserve">instanţe în 2017, o scădere a numărului de tribunale cu un volum de activitate între 10.000 şi 15.000 dosare de la </w:t>
      </w:r>
      <w:r w:rsidRPr="00860724">
        <w:rPr>
          <w:b/>
        </w:rPr>
        <w:t>16</w:t>
      </w:r>
      <w:r w:rsidRPr="00860724">
        <w:t xml:space="preserve"> instanţe la </w:t>
      </w:r>
      <w:r w:rsidRPr="00860724">
        <w:rPr>
          <w:b/>
        </w:rPr>
        <w:t>13</w:t>
      </w:r>
      <w:r w:rsidRPr="00860724">
        <w:t xml:space="preserve"> şi o creştere a numărului de tribunale cu un volum de activitate între 20.000 şi 30.000 dosare de la </w:t>
      </w:r>
      <w:r w:rsidRPr="00860724">
        <w:rPr>
          <w:b/>
        </w:rPr>
        <w:t>6</w:t>
      </w:r>
      <w:r w:rsidRPr="00860724">
        <w:t xml:space="preserve"> la</w:t>
      </w:r>
      <w:r w:rsidRPr="00860724">
        <w:rPr>
          <w:b/>
        </w:rPr>
        <w:t xml:space="preserve"> 9</w:t>
      </w:r>
      <w:r w:rsidRPr="00860724">
        <w:t xml:space="preserve"> instanţe.</w:t>
      </w:r>
    </w:p>
    <w:p w:rsidR="00677EA4" w:rsidRPr="00860724" w:rsidRDefault="00677EA4" w:rsidP="00514C9E">
      <w:pPr>
        <w:pStyle w:val="AddParagraf"/>
        <w:spacing w:line="276" w:lineRule="auto"/>
      </w:pPr>
      <w:r w:rsidRPr="00860724">
        <w:t xml:space="preserve">De asemenea se constată că numărul tribunalelor cu un volum de activitate cuprins între 5.000 şi 10.000 dosare,  15.000 – 20.000 şi peste </w:t>
      </w:r>
      <w:smartTag w:uri="urn:schemas-microsoft-com:office:smarttags" w:element="metricconverter">
        <w:smartTagPr>
          <w:attr w:name="ProductID" w:val="30.000 a"/>
        </w:smartTagPr>
        <w:r w:rsidRPr="00860724">
          <w:t>30.000 a</w:t>
        </w:r>
      </w:smartTag>
      <w:r w:rsidRPr="00860724">
        <w:t xml:space="preserve"> rămas constant.</w:t>
      </w:r>
    </w:p>
    <w:p w:rsidR="00677EA4" w:rsidRPr="00860724" w:rsidRDefault="00677EA4" w:rsidP="00514C9E">
      <w:pPr>
        <w:pStyle w:val="AddParagraf"/>
        <w:spacing w:line="276" w:lineRule="auto"/>
        <w:rPr>
          <w:bCs/>
        </w:rPr>
      </w:pPr>
      <w:r w:rsidRPr="00860724">
        <w:t xml:space="preserve">Se evidenţiază 4 </w:t>
      </w:r>
      <w:r w:rsidR="00723177" w:rsidRPr="00860724">
        <w:t>tribunale cu un volum foarte</w:t>
      </w:r>
      <w:r w:rsidRPr="00860724">
        <w:t xml:space="preserve"> mare de activitate comparativ cu toate celelalte, și anume Tribunalul Bucureşti cu un număr de </w:t>
      </w:r>
      <w:r w:rsidRPr="00860724">
        <w:rPr>
          <w:b/>
        </w:rPr>
        <w:t>142.652</w:t>
      </w:r>
      <w:r w:rsidRPr="00860724">
        <w:t xml:space="preserve">  </w:t>
      </w:r>
      <w:r w:rsidRPr="00860724">
        <w:rPr>
          <w:bCs/>
        </w:rPr>
        <w:t xml:space="preserve">cauze de soluţionat </w:t>
      </w:r>
      <w:r w:rsidRPr="00860724">
        <w:t xml:space="preserve">(144.462  cauze în 2016), Tribunalul Dolj cu </w:t>
      </w:r>
      <w:r w:rsidRPr="00860724">
        <w:rPr>
          <w:b/>
        </w:rPr>
        <w:t>33.799</w:t>
      </w:r>
      <w:r w:rsidRPr="00860724">
        <w:t xml:space="preserve"> cauze</w:t>
      </w:r>
      <w:r w:rsidRPr="00860724">
        <w:rPr>
          <w:b/>
          <w:bCs/>
        </w:rPr>
        <w:t xml:space="preserve"> (</w:t>
      </w:r>
      <w:r w:rsidRPr="00860724">
        <w:t xml:space="preserve">30.098 cauze în 2016), Tribunalul Constanţa cu </w:t>
      </w:r>
      <w:r w:rsidRPr="00860724">
        <w:rPr>
          <w:b/>
        </w:rPr>
        <w:t xml:space="preserve">29.359 </w:t>
      </w:r>
      <w:r w:rsidRPr="00860724">
        <w:t xml:space="preserve">cauze (28.157 cauze în 2016), Tribunalul Iași cu </w:t>
      </w:r>
      <w:r w:rsidRPr="00860724">
        <w:rPr>
          <w:b/>
        </w:rPr>
        <w:t>29.145</w:t>
      </w:r>
      <w:r w:rsidRPr="00860724">
        <w:t xml:space="preserve"> (27.573 în 2016). </w:t>
      </w:r>
      <w:r w:rsidRPr="00860724">
        <w:rPr>
          <w:bCs/>
        </w:rPr>
        <w:t>Situaţia grafică este prezentată în cele ce urmează.</w:t>
      </w:r>
    </w:p>
    <w:p w:rsidR="00677EA4" w:rsidRPr="00860724" w:rsidRDefault="00677EA4" w:rsidP="00677EA4">
      <w:pPr>
        <w:pStyle w:val="AddParagraf"/>
        <w:ind w:firstLine="0"/>
        <w:jc w:val="center"/>
        <w:rPr>
          <w:bCs/>
        </w:rPr>
      </w:pPr>
      <w:r w:rsidRPr="00860724">
        <w:rPr>
          <w:bCs/>
        </w:rPr>
        <w:fldChar w:fldCharType="begin"/>
      </w:r>
      <w:r w:rsidRPr="00860724">
        <w:rPr>
          <w:bCs/>
        </w:rPr>
        <w:instrText xml:space="preserve"> LINK Excel.Sheet.8 "F:\\Macheta\\Grafice 2017.xls!instante volum mare![Grafice 2017.xls]instante volum mare Diagramă 1" "" \a \p \* MERGEFORMAT </w:instrText>
      </w:r>
      <w:r w:rsidRPr="00860724">
        <w:rPr>
          <w:bCs/>
        </w:rPr>
        <w:fldChar w:fldCharType="separate"/>
      </w:r>
      <w:r w:rsidR="009B0A85">
        <w:rPr>
          <w:bCs/>
        </w:rPr>
        <w:object w:dxaOrig="12773" w:dyaOrig="6786">
          <v:shape id="_x0000_i1059" type="#_x0000_t75" style="width:489pt;height:258.75pt">
            <v:imagedata r:id="rId44" o:title=""/>
          </v:shape>
        </w:object>
      </w:r>
      <w:r w:rsidRPr="00860724">
        <w:rPr>
          <w:bCs/>
        </w:rPr>
        <w:fldChar w:fldCharType="end"/>
      </w:r>
    </w:p>
    <w:p w:rsidR="00677EA4" w:rsidRPr="00860724" w:rsidRDefault="00677EA4" w:rsidP="00677EA4">
      <w:pPr>
        <w:pStyle w:val="AddParagraf"/>
        <w:rPr>
          <w:bCs/>
        </w:rPr>
      </w:pPr>
    </w:p>
    <w:p w:rsidR="00677EA4" w:rsidRDefault="00677EA4" w:rsidP="008C5684">
      <w:pPr>
        <w:spacing w:line="276" w:lineRule="auto"/>
        <w:ind w:firstLine="708"/>
        <w:jc w:val="both"/>
        <w:rPr>
          <w:lang w:val="ro-RO" w:eastAsia="ro-RO"/>
        </w:rPr>
      </w:pPr>
      <w:r w:rsidRPr="00860724">
        <w:rPr>
          <w:lang w:val="ro-RO"/>
        </w:rPr>
        <w:t xml:space="preserve">Instanţele cu volum redus de activitate (sub 5.000 de dosare) sunt: </w:t>
      </w:r>
      <w:r w:rsidRPr="00860724">
        <w:rPr>
          <w:lang w:val="ro-RO" w:eastAsia="ro-RO"/>
        </w:rPr>
        <w:t>Tribunal</w:t>
      </w:r>
      <w:r w:rsidR="008C5684">
        <w:rPr>
          <w:lang w:val="ro-RO" w:eastAsia="ro-RO"/>
        </w:rPr>
        <w:t>ul pentru minori si familie BRAȘ</w:t>
      </w:r>
      <w:r w:rsidRPr="00860724">
        <w:rPr>
          <w:lang w:val="ro-RO" w:eastAsia="ro-RO"/>
        </w:rPr>
        <w:t xml:space="preserve">OV cu </w:t>
      </w:r>
      <w:r w:rsidRPr="00860724">
        <w:rPr>
          <w:b/>
          <w:lang w:val="ro-RO" w:eastAsia="ro-RO"/>
        </w:rPr>
        <w:t>1.500</w:t>
      </w:r>
      <w:r w:rsidRPr="00860724">
        <w:rPr>
          <w:lang w:val="ro-RO" w:eastAsia="ro-RO"/>
        </w:rPr>
        <w:t xml:space="preserve">  dosare (1.447</w:t>
      </w:r>
      <w:r w:rsidRPr="00860724">
        <w:rPr>
          <w:b/>
          <w:lang w:val="ro-RO" w:eastAsia="ro-RO"/>
        </w:rPr>
        <w:t xml:space="preserve"> </w:t>
      </w:r>
      <w:r w:rsidRPr="00860724">
        <w:rPr>
          <w:lang w:val="ro-RO" w:eastAsia="ro-RO"/>
        </w:rPr>
        <w:t>dosare în 2</w:t>
      </w:r>
      <w:r w:rsidR="008C5684">
        <w:rPr>
          <w:lang w:val="ro-RO" w:eastAsia="ro-RO"/>
        </w:rPr>
        <w:t>016), Tribunalul Comercial ARGEȘ</w:t>
      </w:r>
      <w:r w:rsidRPr="00860724">
        <w:rPr>
          <w:lang w:val="ro-RO" w:eastAsia="ro-RO"/>
        </w:rPr>
        <w:t xml:space="preserve"> cu </w:t>
      </w:r>
      <w:r w:rsidRPr="00860724">
        <w:rPr>
          <w:b/>
          <w:lang w:val="ro-RO" w:eastAsia="ro-RO"/>
        </w:rPr>
        <w:t>2.542</w:t>
      </w:r>
      <w:r w:rsidRPr="00860724">
        <w:rPr>
          <w:lang w:val="ro-RO" w:eastAsia="ro-RO"/>
        </w:rPr>
        <w:t xml:space="preserve">  dosare (3.072 dosare în 2016), Tribunalul Comercial Mureș cu </w:t>
      </w:r>
      <w:r w:rsidRPr="00860724">
        <w:rPr>
          <w:b/>
          <w:lang w:val="ro-RO" w:eastAsia="ro-RO"/>
        </w:rPr>
        <w:t>4.494</w:t>
      </w:r>
      <w:r w:rsidRPr="00860724">
        <w:rPr>
          <w:lang w:val="ro-RO" w:eastAsia="ro-RO"/>
        </w:rPr>
        <w:t xml:space="preserve"> dosare (4.547 în 2016) şi Tribunalul COVASNA cu </w:t>
      </w:r>
      <w:r w:rsidRPr="00860724">
        <w:rPr>
          <w:b/>
          <w:lang w:val="ro-RO" w:eastAsia="ro-RO"/>
        </w:rPr>
        <w:t>4.783</w:t>
      </w:r>
      <w:r w:rsidRPr="00860724">
        <w:rPr>
          <w:lang w:val="ro-RO" w:eastAsia="ro-RO"/>
        </w:rPr>
        <w:t xml:space="preserve"> dosare (4.429</w:t>
      </w:r>
      <w:r w:rsidRPr="00860724">
        <w:rPr>
          <w:b/>
          <w:lang w:val="ro-RO" w:eastAsia="ro-RO"/>
        </w:rPr>
        <w:t xml:space="preserve"> </w:t>
      </w:r>
      <w:r w:rsidRPr="00860724">
        <w:rPr>
          <w:lang w:val="ro-RO" w:eastAsia="ro-RO"/>
        </w:rPr>
        <w:t>dosare în 2016).</w:t>
      </w: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Default="008C5684" w:rsidP="008C5684">
      <w:pPr>
        <w:spacing w:line="276" w:lineRule="auto"/>
        <w:ind w:firstLine="708"/>
        <w:jc w:val="both"/>
        <w:rPr>
          <w:lang w:val="ro-RO" w:eastAsia="ro-RO"/>
        </w:rPr>
      </w:pPr>
    </w:p>
    <w:p w:rsidR="008C5684" w:rsidRPr="00860724" w:rsidRDefault="008C5684" w:rsidP="008C5684">
      <w:pPr>
        <w:spacing w:line="276" w:lineRule="auto"/>
        <w:ind w:firstLine="708"/>
        <w:jc w:val="both"/>
        <w:rPr>
          <w:lang w:val="ro-RO"/>
        </w:rPr>
      </w:pPr>
    </w:p>
    <w:p w:rsidR="00677EA4" w:rsidRPr="00860724" w:rsidRDefault="00677EA4" w:rsidP="008C5684">
      <w:pPr>
        <w:pStyle w:val="AddParagraf"/>
        <w:spacing w:line="276" w:lineRule="auto"/>
      </w:pPr>
      <w:r w:rsidRPr="00860724">
        <w:lastRenderedPageBreak/>
        <w:t>Situaţia grafică este prezentată în cele ce urmează:</w:t>
      </w:r>
    </w:p>
    <w:p w:rsidR="00677EA4" w:rsidRPr="00860724" w:rsidRDefault="00677EA4" w:rsidP="00677EA4">
      <w:pPr>
        <w:pStyle w:val="AddParagraf"/>
        <w:ind w:firstLine="0"/>
      </w:pPr>
      <w:r w:rsidRPr="00860724">
        <w:fldChar w:fldCharType="begin"/>
      </w:r>
      <w:r w:rsidRPr="00860724">
        <w:instrText xml:space="preserve"> LINK Excel.Sheet.8 "F:\\Macheta\\Grafice 2017.xls!instante volum redus![Grafice 2017.xls]instante volum redus Diagramă 1" "" \a \p \* MERGEFORMAT </w:instrText>
      </w:r>
      <w:r w:rsidRPr="00860724">
        <w:fldChar w:fldCharType="separate"/>
      </w:r>
      <w:r w:rsidR="009B0A85">
        <w:object w:dxaOrig="14209" w:dyaOrig="6290">
          <v:shape id="_x0000_i1060" type="#_x0000_t75" style="width:495.75pt;height:219pt">
            <v:imagedata r:id="rId45" o:title=""/>
          </v:shape>
        </w:object>
      </w:r>
      <w:r w:rsidRPr="00860724">
        <w:fldChar w:fldCharType="end"/>
      </w:r>
    </w:p>
    <w:p w:rsidR="00677EA4" w:rsidRPr="00860724" w:rsidRDefault="00677EA4" w:rsidP="008C5684">
      <w:pPr>
        <w:pStyle w:val="AddParagraf"/>
        <w:spacing w:line="276" w:lineRule="auto"/>
      </w:pPr>
      <w:r w:rsidRPr="00860724">
        <w:t>Din cele</w:t>
      </w:r>
      <w:r w:rsidRPr="00860724">
        <w:rPr>
          <w:b/>
        </w:rPr>
        <w:t xml:space="preserve"> 772.861 </w:t>
      </w:r>
      <w:r w:rsidRPr="00860724">
        <w:t xml:space="preserve">cauze rulate în anul </w:t>
      </w:r>
      <w:smartTag w:uri="urn:schemas-microsoft-com:office:smarttags" w:element="metricconverter">
        <w:smartTagPr>
          <w:attr w:name="ProductID" w:val="2017, a"/>
        </w:smartTagPr>
        <w:r w:rsidRPr="00860724">
          <w:t>2017, a</w:t>
        </w:r>
      </w:smartTag>
      <w:r w:rsidRPr="00860724">
        <w:t xml:space="preserve"> fost soluţionat un număr de </w:t>
      </w:r>
      <w:r w:rsidRPr="00860724">
        <w:rPr>
          <w:b/>
        </w:rPr>
        <w:t xml:space="preserve">508.983 </w:t>
      </w:r>
      <w:r w:rsidRPr="00860724">
        <w:t xml:space="preserve">dosare ceea ce reprezintă un procent de </w:t>
      </w:r>
      <w:r w:rsidRPr="00860724">
        <w:rPr>
          <w:b/>
        </w:rPr>
        <w:t>65,86 %,</w:t>
      </w:r>
      <w:r w:rsidRPr="00860724">
        <w:t xml:space="preserve"> rămânând un stoc de </w:t>
      </w:r>
      <w:r w:rsidRPr="00860724">
        <w:rPr>
          <w:b/>
        </w:rPr>
        <w:t>263.878</w:t>
      </w:r>
      <w:r w:rsidRPr="00860724">
        <w:t xml:space="preserve"> dosare ce se vor reporta în anul 2018. </w:t>
      </w:r>
    </w:p>
    <w:p w:rsidR="00677EA4" w:rsidRPr="00860724" w:rsidRDefault="00677EA4" w:rsidP="008C5684">
      <w:pPr>
        <w:pStyle w:val="AddParagraf"/>
        <w:spacing w:line="276" w:lineRule="auto"/>
      </w:pPr>
      <w:r w:rsidRPr="00860724">
        <w:t>Comparativ, situaţia dosarelor soluţionate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 solut si tr specializate![Grafice 2017.xls]Tr solut si tr specializate Diagramă 1" "" \a \p \* MERGEFORMAT </w:instrText>
      </w:r>
      <w:r w:rsidRPr="00860724">
        <w:fldChar w:fldCharType="separate"/>
      </w:r>
      <w:r w:rsidR="009B0A85">
        <w:object w:dxaOrig="11835" w:dyaOrig="6608">
          <v:shape id="_x0000_i1061" type="#_x0000_t75" style="width:492pt;height:275.25pt">
            <v:imagedata r:id="rId46"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8C5684">
      <w:pPr>
        <w:pStyle w:val="AddParagraf"/>
        <w:spacing w:line="276" w:lineRule="auto"/>
        <w:ind w:firstLine="708"/>
      </w:pPr>
      <w:r w:rsidRPr="00860724">
        <w:t xml:space="preserve">În ceea ce priveşte evoluţia pe materii, se observă faptul că în materie </w:t>
      </w:r>
      <w:r w:rsidRPr="00860724">
        <w:rPr>
          <w:bCs/>
        </w:rPr>
        <w:t>penală</w:t>
      </w:r>
      <w:r w:rsidRPr="00860724">
        <w:t xml:space="preserve">, numărul cauzelor nou intrate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87.565</w:t>
      </w:r>
      <w:r w:rsidRPr="00860724">
        <w:t xml:space="preserve"> dosare, în scădere cu </w:t>
      </w:r>
      <w:r w:rsidRPr="00860724">
        <w:rPr>
          <w:b/>
        </w:rPr>
        <w:t>2,07 %</w:t>
      </w:r>
      <w:r w:rsidRPr="00860724">
        <w:t xml:space="preserve"> comparativ cu anul anterior, aşa cum se poate vedea şi din graficul de mai jos.</w:t>
      </w:r>
    </w:p>
    <w:p w:rsidR="00677EA4" w:rsidRPr="00860724" w:rsidRDefault="00677EA4" w:rsidP="008C5684">
      <w:pPr>
        <w:pStyle w:val="AddParagraf"/>
        <w:spacing w:line="276" w:lineRule="auto"/>
      </w:pPr>
      <w:r w:rsidRPr="00860724">
        <w:t xml:space="preserve">Ponderea cauzelor penale nou intrate în totalul cauzelor nou intrate la tribunale a fost în anul 2017 de </w:t>
      </w:r>
      <w:r w:rsidRPr="00860724">
        <w:rPr>
          <w:b/>
        </w:rPr>
        <w:t xml:space="preserve"> 17,07 % </w:t>
      </w:r>
      <w:r w:rsidRPr="00860724">
        <w:t xml:space="preserve"> (18,39 % în anul 2016 şi 16,05 % în anul 2015). </w:t>
      </w:r>
    </w:p>
    <w:p w:rsidR="00677EA4" w:rsidRPr="00860724" w:rsidRDefault="00677EA4" w:rsidP="003A790C">
      <w:pPr>
        <w:pStyle w:val="AddParagraf"/>
        <w:spacing w:line="276" w:lineRule="auto"/>
        <w:ind w:firstLine="0"/>
      </w:pPr>
    </w:p>
    <w:p w:rsidR="00677EA4" w:rsidRPr="00860724" w:rsidRDefault="00677EA4" w:rsidP="00677EA4">
      <w:pPr>
        <w:pStyle w:val="AddParagraf"/>
        <w:ind w:firstLine="0"/>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2017.xls!Trib Cauze nou intrate penal![Grafice 2017.xls]Trib Cauze nou intrate penal Diagramă 1" "" \a \p \* MERGEFORMAT </w:instrText>
      </w:r>
      <w:r w:rsidRPr="00860724">
        <w:fldChar w:fldCharType="separate"/>
      </w:r>
      <w:r w:rsidR="009B0A85">
        <w:object w:dxaOrig="12189" w:dyaOrig="6059">
          <v:shape id="_x0000_i1062" type="#_x0000_t75" style="width:489.75pt;height:243pt">
            <v:imagedata r:id="rId47" o:title=""/>
          </v:shape>
        </w:object>
      </w:r>
      <w:r w:rsidRPr="00860724">
        <w:fldChar w:fldCharType="end"/>
      </w:r>
    </w:p>
    <w:p w:rsidR="00677EA4" w:rsidRPr="00860724" w:rsidRDefault="00677EA4" w:rsidP="00677EA4">
      <w:pPr>
        <w:spacing w:before="120" w:line="360" w:lineRule="auto"/>
        <w:jc w:val="center"/>
        <w:rPr>
          <w:lang w:val="ro-RO"/>
        </w:rPr>
      </w:pPr>
    </w:p>
    <w:p w:rsidR="00677EA4" w:rsidRPr="00860724" w:rsidRDefault="00677EA4" w:rsidP="008C5684">
      <w:pPr>
        <w:pStyle w:val="AddParagraf"/>
        <w:spacing w:line="276" w:lineRule="auto"/>
      </w:pPr>
      <w:r w:rsidRPr="00860724">
        <w:t xml:space="preserve">În materia </w:t>
      </w:r>
      <w:r w:rsidRPr="00860724">
        <w:rPr>
          <w:b/>
          <w:bCs/>
        </w:rPr>
        <w:t>contenciosului administrativ şi fiscal</w:t>
      </w:r>
      <w:r w:rsidRPr="00860724">
        <w:t xml:space="preserve">, în anul 2017 numărul cauzelor nou intrate a fost de </w:t>
      </w:r>
      <w:r w:rsidRPr="00860724">
        <w:rPr>
          <w:b/>
        </w:rPr>
        <w:t>162.195</w:t>
      </w:r>
      <w:r w:rsidRPr="00860724">
        <w:rPr>
          <w:rFonts w:ascii="Cambria" w:hAnsi="Cambria"/>
          <w:b/>
          <w:sz w:val="22"/>
          <w:szCs w:val="22"/>
          <w:lang w:eastAsia="ro-RO"/>
        </w:rPr>
        <w:t xml:space="preserve"> </w:t>
      </w:r>
      <w:r w:rsidRPr="00860724">
        <w:t xml:space="preserve">dosare, cu </w:t>
      </w:r>
      <w:r w:rsidRPr="00860724">
        <w:rPr>
          <w:b/>
        </w:rPr>
        <w:t xml:space="preserve">22.788 </w:t>
      </w:r>
      <w:r w:rsidRPr="00860724">
        <w:t xml:space="preserve">dosare mai mult decât în 2016 ceea ce reprezintă o creştere cu </w:t>
      </w:r>
      <w:r w:rsidRPr="00860724">
        <w:rPr>
          <w:b/>
        </w:rPr>
        <w:t>16,35 %</w:t>
      </w:r>
      <w:r w:rsidRPr="00860724">
        <w:t>.</w:t>
      </w:r>
    </w:p>
    <w:p w:rsidR="00677EA4" w:rsidRPr="00860724" w:rsidRDefault="00677EA4" w:rsidP="008C5684">
      <w:pPr>
        <w:pStyle w:val="AddParagraf"/>
        <w:spacing w:line="276" w:lineRule="auto"/>
      </w:pPr>
      <w:r w:rsidRPr="00860724">
        <w:t>Variaţia numărului de cauze nou intrate în contencios administrativ şi fiscal este prezentată în graficul de mai jos:</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2017.xls!TrCauze nouintratecontadmsifisc![Grafice 2017.xls]TrCauze nouintratecontadmsifisc Diagramă 1" "" \a \p \* MERGEFORMAT </w:instrText>
      </w:r>
      <w:r w:rsidRPr="00860724">
        <w:fldChar w:fldCharType="separate"/>
      </w:r>
      <w:r w:rsidR="009B0A85">
        <w:object w:dxaOrig="12189" w:dyaOrig="6520">
          <v:shape id="_x0000_i1063" type="#_x0000_t75" style="width:493.5pt;height:262.5pt">
            <v:imagedata r:id="rId48"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8C5684">
      <w:pPr>
        <w:pStyle w:val="AddParagraf"/>
        <w:spacing w:line="276" w:lineRule="auto"/>
        <w:rPr>
          <w:b/>
        </w:rPr>
      </w:pPr>
      <w:r w:rsidRPr="00860724">
        <w:lastRenderedPageBreak/>
        <w:t xml:space="preserve">Ponderea numărului de cauze nou intrate în contencios administrativ şi fiscal în totalul cauzelor nou intrate la tribunale a fost  de </w:t>
      </w:r>
      <w:r w:rsidRPr="00860724">
        <w:rPr>
          <w:b/>
        </w:rPr>
        <w:t>32 %.</w:t>
      </w:r>
    </w:p>
    <w:p w:rsidR="00677EA4" w:rsidRPr="00860724" w:rsidRDefault="00677EA4" w:rsidP="003A790C">
      <w:pPr>
        <w:pStyle w:val="AddParagraf"/>
        <w:spacing w:line="276" w:lineRule="auto"/>
      </w:pPr>
      <w:r w:rsidRPr="00860724">
        <w:t xml:space="preserve">În materiile </w:t>
      </w:r>
      <w:r w:rsidRPr="00860724">
        <w:rPr>
          <w:b/>
          <w:bCs/>
        </w:rPr>
        <w:t>Litigiilor de muncă şi Asigurărilor sociale</w:t>
      </w:r>
      <w:r w:rsidRPr="00860724">
        <w:t xml:space="preserve">, numărul cauzelor nou intrate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68.683</w:t>
      </w:r>
      <w:r w:rsidRPr="00860724">
        <w:t xml:space="preserve"> dosare, cu </w:t>
      </w:r>
      <w:r w:rsidRPr="00860724">
        <w:rPr>
          <w:b/>
        </w:rPr>
        <w:t>4.661</w:t>
      </w:r>
      <w:r w:rsidRPr="00860724">
        <w:t xml:space="preserve"> dosare mai mult decât în 2016, ceea ce reprezintă o creştere cu </w:t>
      </w:r>
      <w:r w:rsidRPr="00860724">
        <w:rPr>
          <w:b/>
        </w:rPr>
        <w:t>7,28 %</w:t>
      </w:r>
      <w:r w:rsidRPr="00860724">
        <w:t xml:space="preserve">. </w:t>
      </w:r>
    </w:p>
    <w:p w:rsidR="00677EA4" w:rsidRPr="00860724" w:rsidRDefault="00677EA4" w:rsidP="003A790C">
      <w:pPr>
        <w:pStyle w:val="AddParagraf"/>
        <w:spacing w:line="276" w:lineRule="auto"/>
        <w:rPr>
          <w:b/>
        </w:rPr>
      </w:pPr>
      <w:r w:rsidRPr="00860724">
        <w:t xml:space="preserve">Ponderea numărului de cauze nou intrate în materiile </w:t>
      </w:r>
      <w:r w:rsidRPr="00860724">
        <w:rPr>
          <w:bCs/>
        </w:rPr>
        <w:t>Litigii de muncă şi Asigurări sociale</w:t>
      </w:r>
      <w:r w:rsidRPr="00860724">
        <w:t xml:space="preserve"> în totalul cauzelor nou intrate la tribunale a fost de </w:t>
      </w:r>
      <w:r w:rsidRPr="00860724">
        <w:rPr>
          <w:b/>
        </w:rPr>
        <w:t>13,39 %</w:t>
      </w:r>
      <w:r w:rsidRPr="00860724">
        <w:t xml:space="preserve">. </w:t>
      </w:r>
    </w:p>
    <w:p w:rsidR="00677EA4" w:rsidRPr="00860724" w:rsidRDefault="00677EA4" w:rsidP="003A790C">
      <w:pPr>
        <w:pStyle w:val="AddParagraf"/>
        <w:spacing w:line="276" w:lineRule="auto"/>
      </w:pPr>
      <w:r w:rsidRPr="00860724">
        <w:t xml:space="preserve">Variaţia numărului de cauze nou intrate în materiile </w:t>
      </w:r>
      <w:r w:rsidRPr="00860724">
        <w:rPr>
          <w:bCs/>
        </w:rPr>
        <w:t>litigiilor de muncă şi a asigurărilor sociale</w:t>
      </w:r>
      <w:r w:rsidRPr="00860724">
        <w:t xml:space="preserve"> este prezentată în graficul de mai jos.</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2017.xls!TrCauze nouintratelitigiidemunc![Grafice 2017.xls]TrCauze nouintratelitigiidemunc Diagramă 1" "" \a \p \* MERGEFORMAT </w:instrText>
      </w:r>
      <w:r w:rsidRPr="00860724">
        <w:fldChar w:fldCharType="separate"/>
      </w:r>
      <w:r w:rsidR="009B0A85">
        <w:object w:dxaOrig="12189" w:dyaOrig="6697">
          <v:shape id="_x0000_i1064" type="#_x0000_t75" style="width:479.25pt;height:262.5pt">
            <v:imagedata r:id="rId49" o:title=""/>
          </v:shape>
        </w:object>
      </w:r>
      <w:r w:rsidRPr="00860724">
        <w:fldChar w:fldCharType="end"/>
      </w:r>
    </w:p>
    <w:p w:rsidR="00677EA4" w:rsidRPr="00860724" w:rsidRDefault="00677EA4" w:rsidP="00677EA4">
      <w:pPr>
        <w:pStyle w:val="AddParagraf"/>
        <w:ind w:firstLine="0"/>
        <w:jc w:val="center"/>
        <w:rPr>
          <w:sz w:val="16"/>
          <w:szCs w:val="16"/>
        </w:rPr>
      </w:pPr>
    </w:p>
    <w:p w:rsidR="00677EA4" w:rsidRPr="00860724" w:rsidRDefault="00677EA4" w:rsidP="008C5684">
      <w:pPr>
        <w:pStyle w:val="AddParagraf"/>
        <w:spacing w:line="276" w:lineRule="auto"/>
      </w:pPr>
      <w:r w:rsidRPr="00860724">
        <w:t xml:space="preserve">În materia </w:t>
      </w:r>
      <w:r w:rsidRPr="00860724">
        <w:rPr>
          <w:b/>
        </w:rPr>
        <w:t>Faliment,</w:t>
      </w:r>
      <w:r w:rsidRPr="00860724">
        <w:t xml:space="preserve"> volumul cauzelor nou intrate la tribunale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28.222</w:t>
      </w:r>
      <w:r w:rsidRPr="00860724">
        <w:t xml:space="preserve">  dosare (</w:t>
      </w:r>
      <w:r w:rsidRPr="00860724">
        <w:rPr>
          <w:rFonts w:ascii="Cambria" w:hAnsi="Cambria"/>
          <w:sz w:val="22"/>
          <w:szCs w:val="22"/>
          <w:lang w:eastAsia="ro-RO"/>
        </w:rPr>
        <w:t xml:space="preserve">29.430 dosare în 2016 şi </w:t>
      </w:r>
      <w:r w:rsidRPr="00860724">
        <w:t xml:space="preserve"> 36.907 dosare în 2015). Scăderea înregistrată în anul 2017 faţă de anul 2016 este cu</w:t>
      </w:r>
      <w:r w:rsidRPr="00860724">
        <w:rPr>
          <w:b/>
        </w:rPr>
        <w:t xml:space="preserve"> 1.208</w:t>
      </w:r>
      <w:r w:rsidRPr="00860724">
        <w:t xml:space="preserve"> dosare ceea ce reprezintă o scădere cu </w:t>
      </w:r>
      <w:r w:rsidRPr="00860724">
        <w:rPr>
          <w:b/>
        </w:rPr>
        <w:t>4,10 %</w:t>
      </w:r>
      <w:r w:rsidRPr="00860724">
        <w:t xml:space="preserve">. </w:t>
      </w:r>
    </w:p>
    <w:p w:rsidR="00677EA4" w:rsidRPr="00860724" w:rsidRDefault="00677EA4" w:rsidP="008C5684">
      <w:pPr>
        <w:pStyle w:val="AddParagraf"/>
        <w:spacing w:line="276" w:lineRule="auto"/>
        <w:ind w:firstLine="708"/>
      </w:pPr>
      <w:r w:rsidRPr="00860724">
        <w:t xml:space="preserve">În totalul cauzelor nou intrate la tribunale în anul 2017, litigiile privind falimentul ocupă un procent de </w:t>
      </w:r>
      <w:r w:rsidRPr="00860724">
        <w:rPr>
          <w:b/>
        </w:rPr>
        <w:t>5,5 %.</w:t>
      </w:r>
    </w:p>
    <w:p w:rsidR="00677EA4" w:rsidRPr="00860724" w:rsidRDefault="00677EA4" w:rsidP="008C5684">
      <w:pPr>
        <w:pStyle w:val="AddParagraf"/>
        <w:spacing w:line="276" w:lineRule="auto"/>
      </w:pPr>
      <w:r w:rsidRPr="00860724">
        <w:t>Variaţia numărului de cauze nou intrate în materia Faliment</w:t>
      </w:r>
      <w:r w:rsidRPr="00860724">
        <w:rPr>
          <w:bCs/>
        </w:rPr>
        <w:t xml:space="preserve"> </w:t>
      </w:r>
      <w:r w:rsidRPr="00860724">
        <w:t>este prezentată în graficul de mai jos.</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2017.xls!TrCauze nou intratefaliment![Grafice 2017.xls]TrCauze nou intratefaliment Diagramă 1" "" \a \p \* MERGEFORMAT </w:instrText>
      </w:r>
      <w:r w:rsidRPr="00860724">
        <w:fldChar w:fldCharType="separate"/>
      </w:r>
      <w:r w:rsidR="009B0A85">
        <w:object w:dxaOrig="12207" w:dyaOrig="6396">
          <v:shape id="_x0000_i1065" type="#_x0000_t75" style="width:486.75pt;height:254.25pt">
            <v:imagedata r:id="rId50" o:title=""/>
          </v:shape>
        </w:object>
      </w:r>
      <w:r w:rsidRPr="00860724">
        <w:fldChar w:fldCharType="end"/>
      </w:r>
    </w:p>
    <w:p w:rsidR="00677EA4" w:rsidRPr="00860724" w:rsidRDefault="00677EA4" w:rsidP="00677EA4">
      <w:pPr>
        <w:pStyle w:val="AddParagraf"/>
      </w:pPr>
    </w:p>
    <w:p w:rsidR="00677EA4" w:rsidRPr="00860724" w:rsidRDefault="00677EA4" w:rsidP="00677EA4">
      <w:pPr>
        <w:pStyle w:val="AddParagraf"/>
      </w:pPr>
      <w:r w:rsidRPr="00860724">
        <w:t>Obiectele reprezentative din punct de vedere numeric pe diferite materii se prezintă astfel:</w:t>
      </w:r>
    </w:p>
    <w:p w:rsidR="00677EA4" w:rsidRPr="00860724" w:rsidRDefault="00677EA4" w:rsidP="00677EA4">
      <w:pPr>
        <w:pStyle w:val="AddParagraf"/>
      </w:pPr>
    </w:p>
    <w:p w:rsidR="00677EA4" w:rsidRPr="00860724" w:rsidRDefault="00677EA4" w:rsidP="00677EA4">
      <w:pPr>
        <w:numPr>
          <w:ilvl w:val="0"/>
          <w:numId w:val="10"/>
        </w:numPr>
        <w:jc w:val="both"/>
        <w:rPr>
          <w:b/>
          <w:lang w:val="ro-RO"/>
        </w:rPr>
      </w:pPr>
      <w:r w:rsidRPr="00860724">
        <w:rPr>
          <w:b/>
          <w:lang w:val="ro-RO"/>
        </w:rPr>
        <w:t>penal – fond;</w:t>
      </w:r>
    </w:p>
    <w:p w:rsidR="00677EA4" w:rsidRPr="00860724" w:rsidRDefault="00677EA4" w:rsidP="00677EA4">
      <w:pPr>
        <w:jc w:val="center"/>
        <w:rPr>
          <w:b/>
          <w:lang w:val="ro-RO"/>
        </w:rPr>
      </w:pPr>
      <w:r w:rsidRPr="00860724">
        <w:rPr>
          <w:b/>
          <w:lang w:val="ro-RO"/>
        </w:rPr>
        <w:fldChar w:fldCharType="begin"/>
      </w:r>
      <w:r w:rsidRPr="00860724">
        <w:rPr>
          <w:b/>
          <w:lang w:val="ro-RO"/>
        </w:rPr>
        <w:instrText xml:space="preserve"> LINK Excel.Sheet.8 "F:\\Macheta\\Grafice 2017.xls!Tr dosare intr penal fond![Grafice 2017.xls]Tr dosare intr penal fond Diagramă 2" "" \a \p \* MERGEFORMAT </w:instrText>
      </w:r>
      <w:r w:rsidRPr="00860724">
        <w:rPr>
          <w:b/>
          <w:lang w:val="ro-RO"/>
        </w:rPr>
        <w:fldChar w:fldCharType="separate"/>
      </w:r>
      <w:r w:rsidR="009B0A85">
        <w:rPr>
          <w:b/>
          <w:lang w:val="ro-RO"/>
        </w:rPr>
        <w:object w:dxaOrig="12792" w:dyaOrig="6608">
          <v:shape id="_x0000_i1066" type="#_x0000_t75" style="width:479.25pt;height:247.5pt">
            <v:imagedata r:id="rId51" o:title=""/>
          </v:shape>
        </w:object>
      </w:r>
      <w:r w:rsidRPr="00860724">
        <w:rPr>
          <w:b/>
          <w:lang w:val="ro-RO"/>
        </w:rPr>
        <w:fldChar w:fldCharType="end"/>
      </w:r>
    </w:p>
    <w:p w:rsidR="00677EA4" w:rsidRPr="00860724" w:rsidRDefault="00677EA4" w:rsidP="00677EA4">
      <w:pPr>
        <w:jc w:val="both"/>
        <w:rPr>
          <w:b/>
          <w:lang w:val="ro-RO"/>
        </w:rPr>
      </w:pPr>
    </w:p>
    <w:p w:rsidR="00677EA4" w:rsidRDefault="00677EA4" w:rsidP="00677EA4">
      <w:pPr>
        <w:spacing w:line="360" w:lineRule="auto"/>
        <w:jc w:val="center"/>
        <w:rPr>
          <w:noProof/>
          <w:lang w:val="ro-RO"/>
        </w:rPr>
      </w:pPr>
    </w:p>
    <w:p w:rsidR="008C5684" w:rsidRDefault="008C5684" w:rsidP="00677EA4">
      <w:pPr>
        <w:spacing w:line="360" w:lineRule="auto"/>
        <w:jc w:val="center"/>
        <w:rPr>
          <w:noProof/>
          <w:lang w:val="ro-RO"/>
        </w:rPr>
      </w:pPr>
    </w:p>
    <w:p w:rsidR="008C5684" w:rsidRDefault="008C5684" w:rsidP="00677EA4">
      <w:pPr>
        <w:spacing w:line="360" w:lineRule="auto"/>
        <w:jc w:val="center"/>
        <w:rPr>
          <w:noProof/>
          <w:lang w:val="ro-RO"/>
        </w:rPr>
      </w:pPr>
    </w:p>
    <w:p w:rsidR="008C5684" w:rsidRDefault="008C5684" w:rsidP="00677EA4">
      <w:pPr>
        <w:spacing w:line="360" w:lineRule="auto"/>
        <w:jc w:val="center"/>
        <w:rPr>
          <w:noProof/>
          <w:lang w:val="ro-RO"/>
        </w:rPr>
      </w:pPr>
    </w:p>
    <w:p w:rsidR="008C5684" w:rsidRDefault="008C5684" w:rsidP="00677EA4">
      <w:pPr>
        <w:spacing w:line="360" w:lineRule="auto"/>
        <w:jc w:val="center"/>
        <w:rPr>
          <w:noProof/>
          <w:lang w:val="ro-RO"/>
        </w:rPr>
      </w:pPr>
    </w:p>
    <w:p w:rsidR="008C5684" w:rsidRDefault="008C5684" w:rsidP="00677EA4">
      <w:pPr>
        <w:spacing w:line="360" w:lineRule="auto"/>
        <w:jc w:val="center"/>
        <w:rPr>
          <w:noProof/>
          <w:lang w:val="ro-RO"/>
        </w:rPr>
      </w:pPr>
    </w:p>
    <w:p w:rsidR="008C5684" w:rsidRPr="00860724" w:rsidRDefault="008C5684" w:rsidP="00677EA4">
      <w:pPr>
        <w:spacing w:line="360" w:lineRule="auto"/>
        <w:jc w:val="center"/>
        <w:rPr>
          <w:noProof/>
          <w:lang w:val="ro-RO"/>
        </w:rPr>
      </w:pPr>
    </w:p>
    <w:p w:rsidR="00677EA4" w:rsidRPr="00860724" w:rsidRDefault="00677EA4" w:rsidP="00677EA4">
      <w:pPr>
        <w:numPr>
          <w:ilvl w:val="0"/>
          <w:numId w:val="10"/>
        </w:numPr>
        <w:spacing w:line="360" w:lineRule="auto"/>
        <w:jc w:val="both"/>
        <w:rPr>
          <w:b/>
          <w:i/>
          <w:lang w:val="ro-RO"/>
        </w:rPr>
      </w:pPr>
      <w:r w:rsidRPr="00860724">
        <w:rPr>
          <w:b/>
          <w:noProof/>
          <w:lang w:val="ro-RO"/>
        </w:rPr>
        <w:lastRenderedPageBreak/>
        <w:t>contencios administrativ – fond;</w:t>
      </w:r>
    </w:p>
    <w:p w:rsidR="00677EA4" w:rsidRPr="00860724" w:rsidRDefault="00677EA4" w:rsidP="00677EA4">
      <w:pPr>
        <w:spacing w:line="360" w:lineRule="auto"/>
        <w:jc w:val="both"/>
        <w:rPr>
          <w:b/>
          <w:i/>
          <w:lang w:val="ro-RO"/>
        </w:rPr>
      </w:pPr>
    </w:p>
    <w:p w:rsidR="00677EA4" w:rsidRPr="00860724" w:rsidRDefault="00677EA4" w:rsidP="00677EA4">
      <w:pPr>
        <w:spacing w:line="360" w:lineRule="auto"/>
        <w:jc w:val="both"/>
        <w:rPr>
          <w:lang w:val="ro-RO"/>
        </w:rPr>
      </w:pPr>
      <w:r w:rsidRPr="00860724">
        <w:rPr>
          <w:lang w:val="ro-RO"/>
        </w:rPr>
        <w:fldChar w:fldCharType="begin"/>
      </w:r>
      <w:r w:rsidRPr="00860724">
        <w:rPr>
          <w:lang w:val="ro-RO"/>
        </w:rPr>
        <w:instrText xml:space="preserve"> LINK Excel.Sheet.8 "F:\\Macheta\\Grafice 2017.xls!Tr dosare intr cont adm fond![Grafice 2017.xls]Tr dosare intr cont adm fond Diagramă 1" "" \a \p \* MERGEFORMAT </w:instrText>
      </w:r>
      <w:r w:rsidRPr="00860724">
        <w:rPr>
          <w:lang w:val="ro-RO"/>
        </w:rPr>
        <w:fldChar w:fldCharType="separate"/>
      </w:r>
      <w:r w:rsidR="009B0A85">
        <w:rPr>
          <w:lang w:val="ro-RO"/>
        </w:rPr>
        <w:object w:dxaOrig="12792" w:dyaOrig="7122">
          <v:shape id="_x0000_i1067" type="#_x0000_t75" style="width:488.25pt;height:270pt">
            <v:imagedata r:id="rId52" o:title=""/>
          </v:shape>
        </w:object>
      </w:r>
      <w:r w:rsidRPr="00860724">
        <w:rPr>
          <w:lang w:val="ro-RO"/>
        </w:rPr>
        <w:fldChar w:fldCharType="end"/>
      </w:r>
    </w:p>
    <w:p w:rsidR="00677EA4" w:rsidRPr="00860724" w:rsidRDefault="00677EA4" w:rsidP="00677EA4">
      <w:pPr>
        <w:spacing w:line="360" w:lineRule="auto"/>
        <w:jc w:val="center"/>
        <w:rPr>
          <w:noProof/>
          <w:lang w:val="ro-RO"/>
        </w:rPr>
      </w:pPr>
    </w:p>
    <w:p w:rsidR="00677EA4" w:rsidRPr="00860724" w:rsidRDefault="00677EA4" w:rsidP="00677EA4">
      <w:pPr>
        <w:spacing w:line="360" w:lineRule="auto"/>
        <w:jc w:val="center"/>
        <w:rPr>
          <w:noProof/>
          <w:lang w:val="ro-RO"/>
        </w:rPr>
      </w:pPr>
    </w:p>
    <w:p w:rsidR="00677EA4" w:rsidRPr="00860724" w:rsidRDefault="00677EA4" w:rsidP="00677EA4">
      <w:pPr>
        <w:spacing w:line="360" w:lineRule="auto"/>
        <w:jc w:val="center"/>
        <w:rPr>
          <w:noProof/>
          <w:lang w:val="ro-RO"/>
        </w:rPr>
      </w:pPr>
    </w:p>
    <w:p w:rsidR="00677EA4" w:rsidRPr="00860724" w:rsidRDefault="00677EA4" w:rsidP="00677EA4">
      <w:pPr>
        <w:numPr>
          <w:ilvl w:val="0"/>
          <w:numId w:val="10"/>
        </w:numPr>
        <w:spacing w:line="360" w:lineRule="auto"/>
        <w:jc w:val="both"/>
        <w:rPr>
          <w:b/>
          <w:i/>
          <w:lang w:val="ro-RO"/>
        </w:rPr>
      </w:pPr>
      <w:r w:rsidRPr="00860724">
        <w:rPr>
          <w:b/>
          <w:noProof/>
          <w:lang w:val="ro-RO"/>
        </w:rPr>
        <w:t>litigii de muncă – fond.</w:t>
      </w:r>
    </w:p>
    <w:p w:rsidR="00677EA4" w:rsidRPr="00860724" w:rsidRDefault="00677EA4" w:rsidP="00677EA4">
      <w:pPr>
        <w:spacing w:line="360" w:lineRule="auto"/>
        <w:jc w:val="both"/>
        <w:rPr>
          <w:lang w:val="ro-RO"/>
        </w:rPr>
      </w:pPr>
      <w:r w:rsidRPr="00860724">
        <w:rPr>
          <w:lang w:val="ro-RO"/>
        </w:rPr>
        <w:fldChar w:fldCharType="begin"/>
      </w:r>
      <w:r w:rsidRPr="00860724">
        <w:rPr>
          <w:lang w:val="ro-RO"/>
        </w:rPr>
        <w:instrText xml:space="preserve"> LINK Excel.Sheet.8 "F:\\Macheta\\Grafice 2017.xls!Tr dosare intr litigii mun fond![Grafice 2017.xls]Tr dosare intr litigii mun fond Diagramă 1" "" \a \p \* MERGEFORMAT </w:instrText>
      </w:r>
      <w:r w:rsidRPr="00860724">
        <w:rPr>
          <w:lang w:val="ro-RO"/>
        </w:rPr>
        <w:fldChar w:fldCharType="separate"/>
      </w:r>
      <w:r w:rsidR="009B0A85">
        <w:rPr>
          <w:lang w:val="ro-RO"/>
        </w:rPr>
        <w:object w:dxaOrig="11463" w:dyaOrig="7104">
          <v:shape id="_x0000_i1068" type="#_x0000_t75" style="width:485.25pt;height:301.5pt">
            <v:imagedata r:id="rId53" o:title=""/>
          </v:shape>
        </w:object>
      </w:r>
      <w:r w:rsidRPr="00860724">
        <w:rPr>
          <w:lang w:val="ro-RO"/>
        </w:rPr>
        <w:fldChar w:fldCharType="end"/>
      </w:r>
    </w:p>
    <w:p w:rsidR="008C5684" w:rsidRDefault="00677EA4" w:rsidP="003A790C">
      <w:pPr>
        <w:spacing w:line="276" w:lineRule="auto"/>
        <w:ind w:firstLine="708"/>
        <w:jc w:val="both"/>
        <w:rPr>
          <w:b/>
          <w:i/>
          <w:lang w:val="ro-RO"/>
        </w:rPr>
      </w:pPr>
      <w:r w:rsidRPr="00860724">
        <w:rPr>
          <w:b/>
          <w:i/>
          <w:lang w:val="ro-RO"/>
        </w:rPr>
        <w:t xml:space="preserve"> </w:t>
      </w:r>
    </w:p>
    <w:p w:rsidR="008C5684" w:rsidRDefault="008C5684" w:rsidP="003A790C">
      <w:pPr>
        <w:spacing w:line="276" w:lineRule="auto"/>
        <w:ind w:firstLine="708"/>
        <w:jc w:val="both"/>
        <w:rPr>
          <w:b/>
          <w:i/>
          <w:lang w:val="ro-RO"/>
        </w:rPr>
      </w:pPr>
    </w:p>
    <w:p w:rsidR="00677EA4" w:rsidRPr="00860724" w:rsidRDefault="00677EA4" w:rsidP="008C5684">
      <w:pPr>
        <w:spacing w:line="276" w:lineRule="auto"/>
        <w:ind w:firstLine="708"/>
        <w:jc w:val="both"/>
        <w:rPr>
          <w:b/>
          <w:lang w:val="ro-RO"/>
        </w:rPr>
      </w:pPr>
      <w:r w:rsidRPr="00860724">
        <w:rPr>
          <w:b/>
          <w:i/>
          <w:lang w:val="ro-RO"/>
        </w:rPr>
        <w:lastRenderedPageBreak/>
        <w:t>Activitatea la nivelul tribunalelor specializate</w:t>
      </w:r>
    </w:p>
    <w:p w:rsidR="00677EA4" w:rsidRPr="00860724" w:rsidRDefault="00677EA4" w:rsidP="008C5684">
      <w:pPr>
        <w:pStyle w:val="AddParagraf"/>
        <w:spacing w:line="276" w:lineRule="auto"/>
      </w:pPr>
      <w:r w:rsidRPr="00860724">
        <w:t>Evidenţiate distinct, tribunalele specializate au înregistrat un volum de activitate în anul 2017 de</w:t>
      </w:r>
      <w:r w:rsidRPr="00860724">
        <w:rPr>
          <w:b/>
        </w:rPr>
        <w:t xml:space="preserve"> 15.351</w:t>
      </w:r>
      <w:r w:rsidRPr="00860724">
        <w:t xml:space="preserve"> cauze (15.322 cauze în 2016 şi 17.172 cauze în 2015), după cum urmează:</w:t>
      </w:r>
    </w:p>
    <w:p w:rsidR="00677EA4" w:rsidRPr="00860724" w:rsidRDefault="00677EA4" w:rsidP="008C5684">
      <w:pPr>
        <w:numPr>
          <w:ilvl w:val="0"/>
          <w:numId w:val="9"/>
        </w:numPr>
        <w:spacing w:before="120" w:line="276" w:lineRule="auto"/>
        <w:jc w:val="both"/>
        <w:rPr>
          <w:lang w:val="ro-RO"/>
        </w:rPr>
      </w:pPr>
      <w:r w:rsidRPr="00860724">
        <w:rPr>
          <w:lang w:val="ro-RO"/>
        </w:rPr>
        <w:t xml:space="preserve">Tribunalul pentru Minori şi Familie Braşov – </w:t>
      </w:r>
      <w:r w:rsidRPr="00860724">
        <w:rPr>
          <w:b/>
          <w:lang w:val="ro-RO"/>
        </w:rPr>
        <w:t>1.500</w:t>
      </w:r>
      <w:r w:rsidRPr="00860724">
        <w:rPr>
          <w:lang w:val="ro-RO"/>
        </w:rPr>
        <w:t xml:space="preserve"> cauze (1447 cauze în 2016 şi</w:t>
      </w:r>
      <w:r w:rsidRPr="00860724">
        <w:rPr>
          <w:b/>
          <w:lang w:val="ro-RO"/>
        </w:rPr>
        <w:t xml:space="preserve"> </w:t>
      </w:r>
      <w:r w:rsidRPr="00860724">
        <w:rPr>
          <w:lang w:val="ro-RO"/>
        </w:rPr>
        <w:t>1.302 cauze în 2015);</w:t>
      </w:r>
    </w:p>
    <w:p w:rsidR="00677EA4" w:rsidRPr="00860724" w:rsidRDefault="00677EA4" w:rsidP="008C5684">
      <w:pPr>
        <w:numPr>
          <w:ilvl w:val="0"/>
          <w:numId w:val="9"/>
        </w:numPr>
        <w:spacing w:before="120" w:line="276" w:lineRule="auto"/>
        <w:jc w:val="both"/>
        <w:rPr>
          <w:lang w:val="ro-RO"/>
        </w:rPr>
      </w:pPr>
      <w:r w:rsidRPr="00860724">
        <w:rPr>
          <w:lang w:val="ro-RO"/>
        </w:rPr>
        <w:t xml:space="preserve">Tribunalul specializat Argeş – </w:t>
      </w:r>
      <w:r w:rsidRPr="00860724">
        <w:rPr>
          <w:b/>
          <w:lang w:val="ro-RO"/>
        </w:rPr>
        <w:t>2.542</w:t>
      </w:r>
      <w:r w:rsidRPr="00860724">
        <w:rPr>
          <w:lang w:val="ro-RO"/>
        </w:rPr>
        <w:t xml:space="preserve"> </w:t>
      </w:r>
      <w:r w:rsidRPr="00860724">
        <w:rPr>
          <w:b/>
          <w:lang w:val="ro-RO"/>
        </w:rPr>
        <w:t xml:space="preserve"> </w:t>
      </w:r>
      <w:r w:rsidRPr="00860724">
        <w:rPr>
          <w:lang w:val="ro-RO"/>
        </w:rPr>
        <w:t>cauze (3072</w:t>
      </w:r>
      <w:r w:rsidRPr="00860724">
        <w:rPr>
          <w:b/>
          <w:lang w:val="ro-RO"/>
        </w:rPr>
        <w:t xml:space="preserve"> </w:t>
      </w:r>
      <w:r w:rsidRPr="00860724">
        <w:rPr>
          <w:lang w:val="ro-RO"/>
        </w:rPr>
        <w:t>cauze în 2016 şi 3.336 cauze în 2015);</w:t>
      </w:r>
    </w:p>
    <w:p w:rsidR="00677EA4" w:rsidRPr="00860724" w:rsidRDefault="00677EA4" w:rsidP="008C5684">
      <w:pPr>
        <w:numPr>
          <w:ilvl w:val="0"/>
          <w:numId w:val="9"/>
        </w:numPr>
        <w:spacing w:before="120" w:line="276" w:lineRule="auto"/>
        <w:jc w:val="both"/>
        <w:rPr>
          <w:lang w:val="ro-RO"/>
        </w:rPr>
      </w:pPr>
      <w:r w:rsidRPr="00860724">
        <w:rPr>
          <w:lang w:val="ro-RO"/>
        </w:rPr>
        <w:t>Tribunalul specializat Cluj –</w:t>
      </w:r>
      <w:r w:rsidRPr="00860724">
        <w:rPr>
          <w:b/>
          <w:lang w:val="ro-RO"/>
        </w:rPr>
        <w:t xml:space="preserve"> 6.815</w:t>
      </w:r>
      <w:r w:rsidRPr="00860724">
        <w:rPr>
          <w:lang w:val="ro-RO"/>
        </w:rPr>
        <w:t xml:space="preserve"> cauze (6256 cauze în 2016 şi</w:t>
      </w:r>
      <w:r w:rsidRPr="00860724">
        <w:rPr>
          <w:b/>
          <w:lang w:val="ro-RO"/>
        </w:rPr>
        <w:t xml:space="preserve"> </w:t>
      </w:r>
      <w:r w:rsidRPr="00860724">
        <w:rPr>
          <w:lang w:val="ro-RO"/>
        </w:rPr>
        <w:t>7.600 cauze în 2015);</w:t>
      </w:r>
    </w:p>
    <w:p w:rsidR="00677EA4" w:rsidRPr="00860724" w:rsidRDefault="00677EA4" w:rsidP="008C5684">
      <w:pPr>
        <w:numPr>
          <w:ilvl w:val="0"/>
          <w:numId w:val="9"/>
        </w:numPr>
        <w:spacing w:before="120" w:line="276" w:lineRule="auto"/>
        <w:jc w:val="both"/>
        <w:rPr>
          <w:lang w:val="ro-RO"/>
        </w:rPr>
      </w:pPr>
      <w:r w:rsidRPr="00860724">
        <w:rPr>
          <w:lang w:val="ro-RO"/>
        </w:rPr>
        <w:t xml:space="preserve">Tribunalul specializat Mureş – </w:t>
      </w:r>
      <w:r w:rsidRPr="00860724">
        <w:rPr>
          <w:b/>
          <w:lang w:val="ro-RO"/>
        </w:rPr>
        <w:t>4.494</w:t>
      </w:r>
      <w:r w:rsidRPr="00860724">
        <w:rPr>
          <w:lang w:val="ro-RO"/>
        </w:rPr>
        <w:t xml:space="preserve">  cauze (4547 cauze în 2016 şi 4.934 cauze în 2015).</w:t>
      </w:r>
    </w:p>
    <w:p w:rsidR="00677EA4" w:rsidRPr="00860724" w:rsidRDefault="00677EA4" w:rsidP="008C5684">
      <w:pPr>
        <w:spacing w:before="120" w:line="276" w:lineRule="auto"/>
        <w:ind w:firstLine="708"/>
        <w:jc w:val="both"/>
        <w:rPr>
          <w:lang w:val="ro-RO"/>
        </w:rPr>
      </w:pPr>
      <w:r w:rsidRPr="00860724">
        <w:rPr>
          <w:lang w:val="ro-RO"/>
        </w:rPr>
        <w:t>Situaţia grafică este prezentată în cele ce urmează.</w:t>
      </w:r>
    </w:p>
    <w:p w:rsidR="00677EA4" w:rsidRPr="00860724" w:rsidRDefault="00677EA4" w:rsidP="00677EA4">
      <w:pPr>
        <w:spacing w:before="120"/>
        <w:jc w:val="center"/>
        <w:rPr>
          <w:lang w:val="ro-RO"/>
        </w:rPr>
      </w:pPr>
      <w:r w:rsidRPr="00860724">
        <w:rPr>
          <w:lang w:val="ro-RO"/>
        </w:rPr>
        <w:fldChar w:fldCharType="begin"/>
      </w:r>
      <w:r w:rsidRPr="00860724">
        <w:rPr>
          <w:lang w:val="ro-RO"/>
        </w:rPr>
        <w:instrText xml:space="preserve"> LINK Excel.Sheet.8 "F:\\Macheta\\Grafice 2017.xls!Tr solut si tr specializate![Grafice 2017.xls]Tr solut si tr specializate Diagramă 99" "" \a \p \* MERGEFORMAT </w:instrText>
      </w:r>
      <w:r w:rsidRPr="00860724">
        <w:rPr>
          <w:lang w:val="ro-RO"/>
        </w:rPr>
        <w:fldChar w:fldCharType="separate"/>
      </w:r>
      <w:r w:rsidR="009B0A85">
        <w:rPr>
          <w:lang w:val="ro-RO"/>
        </w:rPr>
        <w:object w:dxaOrig="13766" w:dyaOrig="6414">
          <v:shape id="_x0000_i1069" type="#_x0000_t75" style="width:496.5pt;height:230.25pt">
            <v:imagedata r:id="rId54" o:title=""/>
          </v:shape>
        </w:object>
      </w:r>
      <w:r w:rsidRPr="00860724">
        <w:rPr>
          <w:lang w:val="ro-RO"/>
        </w:rPr>
        <w:fldChar w:fldCharType="end"/>
      </w:r>
    </w:p>
    <w:p w:rsidR="00677EA4" w:rsidRPr="00860724" w:rsidRDefault="00677EA4" w:rsidP="008C5684">
      <w:pPr>
        <w:pStyle w:val="AddParagraf"/>
        <w:spacing w:line="276" w:lineRule="auto"/>
      </w:pPr>
      <w:r w:rsidRPr="00860724">
        <w:t xml:space="preserve">Din cele </w:t>
      </w:r>
      <w:r w:rsidRPr="00860724">
        <w:rPr>
          <w:b/>
        </w:rPr>
        <w:t>15.351</w:t>
      </w:r>
      <w:r w:rsidRPr="00860724">
        <w:t xml:space="preserve"> cauze de soluţionat  la nivelul tribunalelor specializate, au fost soluţionate </w:t>
      </w:r>
      <w:r w:rsidRPr="00860724">
        <w:rPr>
          <w:b/>
        </w:rPr>
        <w:t xml:space="preserve">8.530 </w:t>
      </w:r>
      <w:r w:rsidRPr="00860724">
        <w:t xml:space="preserve">dosare reprezentând </w:t>
      </w:r>
      <w:r w:rsidRPr="00860724">
        <w:rPr>
          <w:b/>
        </w:rPr>
        <w:t>55,57 %</w:t>
      </w:r>
      <w:r w:rsidRPr="00860724">
        <w:t xml:space="preserve">, rămânând în stoc </w:t>
      </w:r>
      <w:r w:rsidRPr="00860724">
        <w:rPr>
          <w:b/>
        </w:rPr>
        <w:t xml:space="preserve">6.821 </w:t>
      </w:r>
      <w:r w:rsidRPr="00860724">
        <w:t xml:space="preserve">cauze de soluţionat. </w:t>
      </w:r>
    </w:p>
    <w:p w:rsidR="00677EA4" w:rsidRPr="00860724" w:rsidRDefault="00677EA4" w:rsidP="008C5684">
      <w:pPr>
        <w:pStyle w:val="AddParagraf"/>
        <w:spacing w:line="276" w:lineRule="auto"/>
      </w:pPr>
      <w:r w:rsidRPr="00860724">
        <w:t>Variaţia numărului de cauze soluţionate la tribunalele specializate este prezentată în graficul de mai jos.</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2017.xls!Tr solut si tr specializate![Grafice 2017.xls]Tr solut si tr specializate Diagramă 100" "" \a \p \* MERGEFORMAT </w:instrText>
      </w:r>
      <w:r w:rsidRPr="00860724">
        <w:fldChar w:fldCharType="separate"/>
      </w:r>
      <w:r w:rsidR="009B0A85">
        <w:object w:dxaOrig="12419" w:dyaOrig="6591">
          <v:shape id="_x0000_i1070" type="#_x0000_t75" style="width:476.25pt;height:252.75pt">
            <v:imagedata r:id="rId55" o:title=""/>
          </v:shape>
        </w:object>
      </w:r>
      <w:r w:rsidRPr="00860724">
        <w:fldChar w:fldCharType="end"/>
      </w:r>
    </w:p>
    <w:p w:rsidR="00677EA4" w:rsidRPr="00860724" w:rsidRDefault="00677EA4" w:rsidP="00677EA4">
      <w:pPr>
        <w:pStyle w:val="AddParagraf"/>
        <w:ind w:firstLine="0"/>
        <w:jc w:val="center"/>
        <w:rPr>
          <w:sz w:val="16"/>
          <w:szCs w:val="16"/>
        </w:rPr>
      </w:pPr>
    </w:p>
    <w:p w:rsidR="00677EA4" w:rsidRPr="00860724" w:rsidRDefault="00677EA4" w:rsidP="003A790C">
      <w:pPr>
        <w:pStyle w:val="Titlu3"/>
      </w:pPr>
      <w:bookmarkStart w:id="16" w:name="_Toc411333478"/>
      <w:bookmarkStart w:id="17" w:name="_Toc411429413"/>
      <w:bookmarkStart w:id="18" w:name="_Toc506288000"/>
      <w:r w:rsidRPr="00860724">
        <w:t>I.1.4. Volumul de activitate la nivelul judecătoriilor</w:t>
      </w:r>
      <w:bookmarkEnd w:id="16"/>
      <w:bookmarkEnd w:id="17"/>
      <w:bookmarkEnd w:id="18"/>
    </w:p>
    <w:p w:rsidR="00677EA4" w:rsidRPr="00860724" w:rsidRDefault="00677EA4" w:rsidP="003A790C">
      <w:pPr>
        <w:pStyle w:val="AddParagraf"/>
        <w:spacing w:line="276" w:lineRule="auto"/>
        <w:rPr>
          <w:rFonts w:cs="Tahoma"/>
        </w:rPr>
      </w:pPr>
      <w:r w:rsidRPr="00860724">
        <w:t xml:space="preserve">La nivelul judecătoriilor, a fost înregistrat în cursul perioadei de referinţă un volum total de activitate de </w:t>
      </w:r>
      <w:r w:rsidRPr="00860724">
        <w:rPr>
          <w:b/>
        </w:rPr>
        <w:t>2.005.054</w:t>
      </w:r>
      <w:r w:rsidRPr="00860724">
        <w:t xml:space="preserve"> cauze (2.023.150 cauze în 2016 şi</w:t>
      </w:r>
      <w:r w:rsidRPr="00860724">
        <w:rPr>
          <w:b/>
        </w:rPr>
        <w:t xml:space="preserve"> </w:t>
      </w:r>
      <w:r w:rsidRPr="00860724">
        <w:t>1.994.361 cauze în 2015), cuprinzând dosarele rulate, adică stocul existent la 31 decembrie 2016, la care se adaugă dosarele nou intrate pe parcursul anului 2017.</w:t>
      </w:r>
    </w:p>
    <w:p w:rsidR="00677EA4" w:rsidRPr="00860724" w:rsidRDefault="00677EA4" w:rsidP="003A790C">
      <w:pPr>
        <w:pStyle w:val="AddParagraf"/>
        <w:spacing w:line="276" w:lineRule="auto"/>
      </w:pPr>
      <w:r w:rsidRPr="00860724">
        <w:t>Volumul de activitate înregistrat la nivelul judecătoriilor în ultimii 5 ani prezintă următoarea dinamică: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2017.xls!Jud volum![Grafice 2017.xls]Jud volum Diagramă 1" "" \a \p \* MERGEFORMAT </w:instrText>
      </w:r>
      <w:r w:rsidRPr="00860724">
        <w:fldChar w:fldCharType="separate"/>
      </w:r>
      <w:r w:rsidR="009B0A85">
        <w:object w:dxaOrig="12508" w:dyaOrig="6892">
          <v:shape id="_x0000_i1071" type="#_x0000_t75" style="width:476.25pt;height:262.5pt">
            <v:imagedata r:id="rId56" o:title=""/>
          </v:shape>
        </w:object>
      </w:r>
      <w:r w:rsidRPr="00860724">
        <w:fldChar w:fldCharType="end"/>
      </w:r>
    </w:p>
    <w:p w:rsidR="00677EA4" w:rsidRPr="00860724" w:rsidRDefault="00677EA4" w:rsidP="003A790C">
      <w:pPr>
        <w:pStyle w:val="AddParagraf"/>
        <w:spacing w:line="276" w:lineRule="auto"/>
        <w:rPr>
          <w:b/>
        </w:rPr>
      </w:pPr>
      <w:r w:rsidRPr="00860724">
        <w:t>Faţă de anul 2016, volumul de activitate la nivelul judecătoriilor a scăzut în 2017 cu</w:t>
      </w:r>
      <w:r w:rsidRPr="00860724">
        <w:rPr>
          <w:b/>
        </w:rPr>
        <w:t xml:space="preserve"> 18.096 </w:t>
      </w:r>
      <w:r w:rsidRPr="00860724">
        <w:t>cauze</w:t>
      </w:r>
      <w:r w:rsidRPr="00860724">
        <w:rPr>
          <w:b/>
        </w:rPr>
        <w:t xml:space="preserve"> </w:t>
      </w:r>
      <w:r w:rsidRPr="00860724">
        <w:t xml:space="preserve">ceea ce reprezintă o scădere procentuală cu </w:t>
      </w:r>
      <w:r w:rsidRPr="00860724">
        <w:rPr>
          <w:b/>
        </w:rPr>
        <w:t>0,89 %</w:t>
      </w:r>
      <w:r w:rsidRPr="00860724">
        <w:t xml:space="preserve"> (comparativ cu anul </w:t>
      </w:r>
      <w:smartTag w:uri="urn:schemas-microsoft-com:office:smarttags" w:element="metricconverter">
        <w:smartTagPr>
          <w:attr w:name="ProductID" w:val="2013 a"/>
        </w:smartTagPr>
        <w:r w:rsidRPr="00860724">
          <w:t>2013 a</w:t>
        </w:r>
      </w:smartTag>
      <w:r w:rsidRPr="00860724">
        <w:t xml:space="preserve"> crescut cu </w:t>
      </w:r>
      <w:r w:rsidRPr="00860724">
        <w:rPr>
          <w:b/>
        </w:rPr>
        <w:t xml:space="preserve">90.161 </w:t>
      </w:r>
      <w:r w:rsidRPr="00860724">
        <w:t xml:space="preserve">cauze ceea ce reprezintă o creştere cu </w:t>
      </w:r>
      <w:r w:rsidRPr="00860724">
        <w:rPr>
          <w:b/>
        </w:rPr>
        <w:t>4,71 %</w:t>
      </w:r>
      <w:r w:rsidRPr="00860724">
        <w:t>).</w:t>
      </w:r>
    </w:p>
    <w:p w:rsidR="00677EA4" w:rsidRPr="00860724" w:rsidRDefault="00677EA4" w:rsidP="008C5684">
      <w:pPr>
        <w:pStyle w:val="AddParagraf"/>
        <w:spacing w:line="276" w:lineRule="auto"/>
      </w:pPr>
      <w:r w:rsidRPr="00860724">
        <w:lastRenderedPageBreak/>
        <w:t>Sub aspectul stocurilor şi al cauzelor nou intrate, în ultimii 5 ani, situaţia se prezintă după cum urmează:</w:t>
      </w:r>
      <w:r w:rsidRPr="00860724">
        <w:fldChar w:fldCharType="begin"/>
      </w:r>
      <w:r w:rsidRPr="00860724">
        <w:instrText xml:space="preserve"> LINK Excel.Sheet.8 "F:\\Macheta\\Grafice 2017.xls!Jud stoc![Grafice 2017.xls]Jud stoc Diagramă 1" "" \a \p \* MERGEFORMAT </w:instrText>
      </w:r>
      <w:r w:rsidRPr="00860724">
        <w:fldChar w:fldCharType="separate"/>
      </w:r>
      <w:r w:rsidR="009B0A85">
        <w:object w:dxaOrig="12207" w:dyaOrig="6396">
          <v:shape id="_x0000_i1072" type="#_x0000_t75" style="width:493.5pt;height:257.25pt">
            <v:imagedata r:id="rId57"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3A790C">
      <w:pPr>
        <w:pStyle w:val="AddParagraf"/>
        <w:spacing w:line="276" w:lineRule="auto"/>
      </w:pPr>
      <w:r w:rsidRPr="00860724">
        <w:t>Comparativ cu anul 2016</w:t>
      </w:r>
      <w:r w:rsidR="00BE0B43" w:rsidRPr="00860724">
        <w:t>,</w:t>
      </w:r>
      <w:r w:rsidRPr="00860724">
        <w:t xml:space="preserve"> nivelul stocurilor de dosare a crescut cu </w:t>
      </w:r>
      <w:r w:rsidRPr="00860724">
        <w:rPr>
          <w:b/>
        </w:rPr>
        <w:t>17.848</w:t>
      </w:r>
      <w:r w:rsidRPr="00860724">
        <w:t xml:space="preserve"> dosare</w:t>
      </w:r>
      <w:r w:rsidR="00BE0B43" w:rsidRPr="00860724">
        <w:t>,</w:t>
      </w:r>
      <w:r w:rsidRPr="00860724">
        <w:t xml:space="preserve"> ceea ce reprezintă </w:t>
      </w:r>
      <w:r w:rsidRPr="00860724">
        <w:rPr>
          <w:b/>
        </w:rPr>
        <w:t>3,6 %</w:t>
      </w:r>
      <w:r w:rsidRPr="00860724">
        <w:t xml:space="preserve"> în timp ce numărul dosarelor nou intrate a scăzut cu</w:t>
      </w:r>
      <w:r w:rsidRPr="00860724">
        <w:rPr>
          <w:b/>
        </w:rPr>
        <w:t xml:space="preserve"> 35.944</w:t>
      </w:r>
      <w:r w:rsidRPr="00860724">
        <w:t xml:space="preserve"> dosare ceea ce reprezintă</w:t>
      </w:r>
      <w:r w:rsidRPr="00860724">
        <w:rPr>
          <w:b/>
        </w:rPr>
        <w:t xml:space="preserve"> 2,35 %</w:t>
      </w:r>
      <w:r w:rsidRPr="00860724">
        <w:t>.</w:t>
      </w:r>
    </w:p>
    <w:p w:rsidR="00677EA4" w:rsidRPr="00860724" w:rsidRDefault="00677EA4" w:rsidP="003A790C">
      <w:pPr>
        <w:pStyle w:val="AddParagraf"/>
        <w:spacing w:line="276" w:lineRule="auto"/>
      </w:pPr>
      <w:r w:rsidRPr="00860724">
        <w:t>Volumul crescut de cauze nou intrate este justificat de judecătorii în materie penală prin numărul mare de plângeri soluţionate de judecătorul delegat în materia sancţionării disciplinare a deţinuţilor, numărul mare de cereri formulate în procedura camerei preliminare şi a judecătorului de drepturi şi libertăţi, dar şi pr</w:t>
      </w:r>
      <w:r w:rsidR="00BE0B43" w:rsidRPr="00860724">
        <w:t>in numărul mare de contestaţii</w:t>
      </w:r>
      <w:r w:rsidRPr="00860724">
        <w:t xml:space="preserve"> la executare.</w:t>
      </w:r>
    </w:p>
    <w:p w:rsidR="00677EA4" w:rsidRPr="00860724" w:rsidRDefault="00677EA4" w:rsidP="003A790C">
      <w:pPr>
        <w:pStyle w:val="AddParagraf"/>
        <w:spacing w:line="276" w:lineRule="auto"/>
      </w:pPr>
      <w:r w:rsidRPr="00860724">
        <w:t>De asemenea, în materie civilă</w:t>
      </w:r>
      <w:r w:rsidR="00BE0B43" w:rsidRPr="00860724">
        <w:t>,</w:t>
      </w:r>
      <w:r w:rsidRPr="00860724">
        <w:t xml:space="preserve"> a fost invocat numărul mare de dosare care privesc executarea (în special contestaţiile la executare) precum şi folosirea cu predilecţie de către justiţiabili a cererilor de valoare redusă.</w:t>
      </w:r>
    </w:p>
    <w:p w:rsidR="00677EA4" w:rsidRPr="00860724" w:rsidRDefault="00677EA4" w:rsidP="003A790C">
      <w:pPr>
        <w:pStyle w:val="AddParagraf"/>
        <w:spacing w:line="276" w:lineRule="auto"/>
      </w:pPr>
      <w:r w:rsidRPr="00860724">
        <w:t>În funcţie de volumul de activitate, judecătoriile pot fi grupate astfel:</w:t>
      </w:r>
    </w:p>
    <w:p w:rsidR="00677EA4" w:rsidRPr="00860724" w:rsidRDefault="00677EA4" w:rsidP="003A790C">
      <w:pPr>
        <w:numPr>
          <w:ilvl w:val="0"/>
          <w:numId w:val="11"/>
        </w:numPr>
        <w:spacing w:before="120" w:line="276" w:lineRule="auto"/>
        <w:jc w:val="both"/>
        <w:rPr>
          <w:rFonts w:cs="Arial"/>
          <w:b/>
          <w:lang w:val="ro-RO"/>
        </w:rPr>
      </w:pPr>
      <w:r w:rsidRPr="00860724">
        <w:rPr>
          <w:rFonts w:cs="Arial"/>
          <w:lang w:val="ro-RO"/>
        </w:rPr>
        <w:t xml:space="preserve">instanţe cu volum situat sub 3.000 cauze – </w:t>
      </w:r>
      <w:r w:rsidRPr="00860724">
        <w:rPr>
          <w:rFonts w:cs="Arial"/>
          <w:b/>
          <w:lang w:val="ro-RO"/>
        </w:rPr>
        <w:t>20</w:t>
      </w:r>
      <w:r w:rsidRPr="00860724">
        <w:rPr>
          <w:rFonts w:cs="Arial"/>
          <w:lang w:val="ro-RO"/>
        </w:rPr>
        <w:t>;</w:t>
      </w:r>
    </w:p>
    <w:p w:rsidR="00677EA4" w:rsidRPr="00860724" w:rsidRDefault="00677EA4" w:rsidP="003A790C">
      <w:pPr>
        <w:numPr>
          <w:ilvl w:val="0"/>
          <w:numId w:val="11"/>
        </w:numPr>
        <w:spacing w:before="120" w:line="276" w:lineRule="auto"/>
        <w:jc w:val="both"/>
        <w:rPr>
          <w:rFonts w:cs="Arial"/>
          <w:b/>
          <w:lang w:val="ro-RO"/>
        </w:rPr>
      </w:pPr>
      <w:r w:rsidRPr="00860724">
        <w:rPr>
          <w:rFonts w:cs="Arial"/>
          <w:lang w:val="ro-RO"/>
        </w:rPr>
        <w:t xml:space="preserve">instanţe cu volum </w:t>
      </w:r>
      <w:r w:rsidRPr="00860724">
        <w:rPr>
          <w:lang w:val="ro-RO"/>
        </w:rPr>
        <w:t>cuprins între 3.000 - 5.000 cauze</w:t>
      </w:r>
      <w:r w:rsidRPr="00860724">
        <w:rPr>
          <w:rFonts w:cs="Arial"/>
          <w:lang w:val="ro-RO"/>
        </w:rPr>
        <w:t xml:space="preserve"> – </w:t>
      </w:r>
      <w:r w:rsidRPr="00860724">
        <w:rPr>
          <w:rFonts w:cs="Arial"/>
          <w:b/>
          <w:lang w:val="ro-RO"/>
        </w:rPr>
        <w:t>52</w:t>
      </w:r>
      <w:r w:rsidRPr="00860724">
        <w:rPr>
          <w:rFonts w:cs="Arial"/>
          <w:lang w:val="ro-RO"/>
        </w:rPr>
        <w:t>;</w:t>
      </w:r>
    </w:p>
    <w:p w:rsidR="00677EA4" w:rsidRPr="00860724" w:rsidRDefault="00677EA4" w:rsidP="003A790C">
      <w:pPr>
        <w:numPr>
          <w:ilvl w:val="0"/>
          <w:numId w:val="11"/>
        </w:numPr>
        <w:spacing w:before="120" w:line="276" w:lineRule="auto"/>
        <w:jc w:val="both"/>
        <w:rPr>
          <w:b/>
          <w:lang w:val="ro-RO"/>
        </w:rPr>
      </w:pPr>
      <w:r w:rsidRPr="00860724">
        <w:rPr>
          <w:lang w:val="ro-RO"/>
        </w:rPr>
        <w:t xml:space="preserve">instanţe cu volum cuprins între 5.000-10.000 cauze - </w:t>
      </w:r>
      <w:r w:rsidRPr="00860724">
        <w:rPr>
          <w:b/>
          <w:lang w:val="ro-RO"/>
        </w:rPr>
        <w:t>48</w:t>
      </w:r>
      <w:r w:rsidRPr="00860724">
        <w:rPr>
          <w:lang w:val="ro-RO"/>
        </w:rPr>
        <w:t xml:space="preserve">; </w:t>
      </w:r>
    </w:p>
    <w:p w:rsidR="00677EA4" w:rsidRPr="00860724" w:rsidRDefault="00677EA4" w:rsidP="003A790C">
      <w:pPr>
        <w:numPr>
          <w:ilvl w:val="0"/>
          <w:numId w:val="11"/>
        </w:numPr>
        <w:spacing w:before="120" w:line="276" w:lineRule="auto"/>
        <w:jc w:val="both"/>
        <w:rPr>
          <w:lang w:val="ro-RO"/>
        </w:rPr>
      </w:pPr>
      <w:r w:rsidRPr="00860724">
        <w:rPr>
          <w:lang w:val="ro-RO"/>
        </w:rPr>
        <w:t xml:space="preserve">instanţe cu volum cuprins între 10.000-15.000 cauze - </w:t>
      </w:r>
      <w:r w:rsidRPr="00860724">
        <w:rPr>
          <w:b/>
          <w:lang w:val="ro-RO"/>
        </w:rPr>
        <w:t>16</w:t>
      </w:r>
      <w:r w:rsidRPr="00860724">
        <w:rPr>
          <w:lang w:val="ro-RO"/>
        </w:rPr>
        <w:t>;</w:t>
      </w:r>
    </w:p>
    <w:p w:rsidR="00677EA4" w:rsidRPr="00860724" w:rsidRDefault="00677EA4" w:rsidP="003A790C">
      <w:pPr>
        <w:numPr>
          <w:ilvl w:val="0"/>
          <w:numId w:val="11"/>
        </w:numPr>
        <w:spacing w:before="120" w:line="276" w:lineRule="auto"/>
        <w:jc w:val="both"/>
        <w:rPr>
          <w:lang w:val="ro-RO"/>
        </w:rPr>
      </w:pPr>
      <w:r w:rsidRPr="00860724">
        <w:rPr>
          <w:lang w:val="ro-RO"/>
        </w:rPr>
        <w:t xml:space="preserve">instanţe cu volum cuprins între 15.000-20.000 cauze - </w:t>
      </w:r>
      <w:r w:rsidRPr="00860724">
        <w:rPr>
          <w:b/>
          <w:lang w:val="ro-RO"/>
        </w:rPr>
        <w:t>7</w:t>
      </w:r>
      <w:r w:rsidRPr="00860724">
        <w:rPr>
          <w:lang w:val="ro-RO"/>
        </w:rPr>
        <w:t>;</w:t>
      </w:r>
    </w:p>
    <w:p w:rsidR="00677EA4" w:rsidRPr="00860724" w:rsidRDefault="00677EA4" w:rsidP="003A790C">
      <w:pPr>
        <w:numPr>
          <w:ilvl w:val="0"/>
          <w:numId w:val="11"/>
        </w:numPr>
        <w:spacing w:before="120" w:line="276" w:lineRule="auto"/>
        <w:jc w:val="both"/>
        <w:rPr>
          <w:b/>
          <w:lang w:val="ro-RO"/>
        </w:rPr>
      </w:pPr>
      <w:r w:rsidRPr="00860724">
        <w:rPr>
          <w:lang w:val="ro-RO"/>
        </w:rPr>
        <w:t xml:space="preserve">instanţe cu volum cuprins între 20.000-30.000 cauze - </w:t>
      </w:r>
      <w:r w:rsidRPr="00860724">
        <w:rPr>
          <w:b/>
          <w:lang w:val="ro-RO"/>
        </w:rPr>
        <w:t>14</w:t>
      </w:r>
      <w:r w:rsidRPr="00860724">
        <w:rPr>
          <w:lang w:val="ro-RO"/>
        </w:rPr>
        <w:t>;</w:t>
      </w:r>
    </w:p>
    <w:p w:rsidR="00677EA4" w:rsidRPr="00860724" w:rsidRDefault="00677EA4" w:rsidP="003A790C">
      <w:pPr>
        <w:numPr>
          <w:ilvl w:val="0"/>
          <w:numId w:val="11"/>
        </w:numPr>
        <w:spacing w:before="120" w:line="276" w:lineRule="auto"/>
        <w:jc w:val="both"/>
        <w:rPr>
          <w:b/>
          <w:lang w:val="ro-RO"/>
        </w:rPr>
      </w:pPr>
      <w:r w:rsidRPr="00860724">
        <w:rPr>
          <w:lang w:val="ro-RO"/>
        </w:rPr>
        <w:t xml:space="preserve">instanţe cu un volum cuprins intre 30.000 – 50.000 cauze - </w:t>
      </w:r>
      <w:r w:rsidRPr="00860724">
        <w:rPr>
          <w:b/>
          <w:lang w:val="ro-RO"/>
        </w:rPr>
        <w:t>13</w:t>
      </w:r>
      <w:r w:rsidRPr="00860724">
        <w:rPr>
          <w:lang w:val="ro-RO"/>
        </w:rPr>
        <w:t>;</w:t>
      </w:r>
    </w:p>
    <w:p w:rsidR="00677EA4" w:rsidRPr="00860724" w:rsidRDefault="00677EA4" w:rsidP="003A790C">
      <w:pPr>
        <w:numPr>
          <w:ilvl w:val="0"/>
          <w:numId w:val="11"/>
        </w:numPr>
        <w:spacing w:before="120" w:line="276" w:lineRule="auto"/>
        <w:jc w:val="both"/>
        <w:rPr>
          <w:b/>
          <w:lang w:val="ro-RO"/>
        </w:rPr>
      </w:pPr>
      <w:r w:rsidRPr="00860724">
        <w:rPr>
          <w:lang w:val="ro-RO"/>
        </w:rPr>
        <w:t xml:space="preserve">instanţe cu un volum de peste 50.000 de cauze – </w:t>
      </w:r>
      <w:r w:rsidRPr="00860724">
        <w:rPr>
          <w:b/>
          <w:lang w:val="ro-RO"/>
        </w:rPr>
        <w:t>5.</w:t>
      </w:r>
    </w:p>
    <w:p w:rsidR="00677EA4" w:rsidRPr="00860724" w:rsidRDefault="00677EA4" w:rsidP="003A790C">
      <w:pPr>
        <w:spacing w:before="120" w:line="276" w:lineRule="auto"/>
        <w:jc w:val="center"/>
        <w:rPr>
          <w:b/>
          <w:lang w:val="ro-RO"/>
        </w:rPr>
      </w:pPr>
    </w:p>
    <w:p w:rsidR="003A790C" w:rsidRDefault="003A790C" w:rsidP="003A790C">
      <w:pPr>
        <w:spacing w:before="120" w:line="276" w:lineRule="auto"/>
        <w:jc w:val="center"/>
        <w:rPr>
          <w:b/>
          <w:lang w:val="ro-RO"/>
        </w:rPr>
      </w:pPr>
    </w:p>
    <w:p w:rsidR="00677EA4" w:rsidRDefault="00677EA4" w:rsidP="003A790C">
      <w:pPr>
        <w:spacing w:before="120" w:line="276" w:lineRule="auto"/>
        <w:jc w:val="center"/>
        <w:rPr>
          <w:b/>
          <w:lang w:val="ro-RO"/>
        </w:rPr>
      </w:pPr>
      <w:r w:rsidRPr="00860724">
        <w:rPr>
          <w:b/>
          <w:lang w:val="ro-RO"/>
        </w:rPr>
        <w:t>Volumul de activitate al judecătoriilor – situaţie comparativă</w:t>
      </w:r>
    </w:p>
    <w:p w:rsidR="003A790C" w:rsidRPr="00860724" w:rsidRDefault="003A790C" w:rsidP="003A790C">
      <w:pPr>
        <w:spacing w:before="120" w:line="276" w:lineRule="auto"/>
        <w:jc w:val="center"/>
        <w:rPr>
          <w:b/>
          <w:lang w:val="ro-RO"/>
        </w:rPr>
      </w:pPr>
    </w:p>
    <w:p w:rsidR="00677EA4" w:rsidRPr="00860724" w:rsidRDefault="00677EA4" w:rsidP="00677EA4">
      <w:pPr>
        <w:spacing w:line="360" w:lineRule="auto"/>
        <w:jc w:val="center"/>
        <w:rPr>
          <w:b/>
          <w:lang w:val="ro-RO"/>
        </w:rPr>
      </w:pPr>
      <w:r w:rsidRPr="00860724">
        <w:rPr>
          <w:b/>
          <w:noProof/>
          <w:lang w:val="ro-RO" w:eastAsia="ro-RO"/>
        </w:rPr>
        <w:drawing>
          <wp:inline distT="0" distB="0" distL="0" distR="0" wp14:anchorId="7B12C105" wp14:editId="1983D47B">
            <wp:extent cx="5806440" cy="2948940"/>
            <wp:effectExtent l="0" t="0" r="0" b="0"/>
            <wp:docPr id="6"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A790C" w:rsidRDefault="003A790C" w:rsidP="00677EA4">
      <w:pPr>
        <w:ind w:firstLine="708"/>
        <w:jc w:val="both"/>
        <w:rPr>
          <w:lang w:val="ro-RO"/>
        </w:rPr>
      </w:pPr>
    </w:p>
    <w:p w:rsidR="00677EA4" w:rsidRPr="00860724" w:rsidRDefault="00677EA4" w:rsidP="008C5684">
      <w:pPr>
        <w:spacing w:line="276" w:lineRule="auto"/>
        <w:ind w:firstLine="708"/>
        <w:jc w:val="both"/>
        <w:rPr>
          <w:lang w:val="ro-RO"/>
        </w:rPr>
      </w:pPr>
      <w:r w:rsidRPr="00860724">
        <w:rPr>
          <w:lang w:val="ro-RO"/>
        </w:rPr>
        <w:t xml:space="preserve">În anul 2017 se constată o scăderea numărului de judecătorii care au înregistrat un volum sub 5.000 de cauze de la 79 la </w:t>
      </w:r>
      <w:r w:rsidRPr="00860724">
        <w:rPr>
          <w:b/>
          <w:lang w:val="ro-RO"/>
        </w:rPr>
        <w:t xml:space="preserve">72, </w:t>
      </w:r>
      <w:r w:rsidRPr="00860724">
        <w:rPr>
          <w:lang w:val="ro-RO"/>
        </w:rPr>
        <w:t xml:space="preserve">creşterea numărului de judecătorii cu un volum între 5.000 şi 30.000 de la 78 la </w:t>
      </w:r>
      <w:r w:rsidRPr="00860724">
        <w:rPr>
          <w:b/>
          <w:lang w:val="ro-RO"/>
        </w:rPr>
        <w:t>85</w:t>
      </w:r>
      <w:r w:rsidRPr="00860724">
        <w:rPr>
          <w:lang w:val="ro-RO"/>
        </w:rPr>
        <w:t xml:space="preserve"> şi scăderea numărului de judecătorii cu un volum între 50.000 şi 100.000 de la 6 la </w:t>
      </w:r>
      <w:r w:rsidRPr="00860724">
        <w:rPr>
          <w:b/>
          <w:lang w:val="ro-RO"/>
        </w:rPr>
        <w:t>5</w:t>
      </w:r>
      <w:r w:rsidRPr="00860724">
        <w:rPr>
          <w:lang w:val="ro-RO"/>
        </w:rPr>
        <w:t xml:space="preserve">. </w:t>
      </w:r>
    </w:p>
    <w:p w:rsidR="00677EA4" w:rsidRPr="00860724" w:rsidRDefault="00677EA4" w:rsidP="008C5684">
      <w:pPr>
        <w:spacing w:line="276" w:lineRule="auto"/>
        <w:ind w:firstLine="708"/>
        <w:jc w:val="both"/>
        <w:rPr>
          <w:lang w:val="ro-RO" w:eastAsia="ro-RO"/>
        </w:rPr>
      </w:pPr>
      <w:r w:rsidRPr="00860724">
        <w:rPr>
          <w:lang w:val="ro-RO"/>
        </w:rPr>
        <w:t xml:space="preserve">Au fost înregistrate </w:t>
      </w:r>
      <w:r w:rsidRPr="00860724">
        <w:rPr>
          <w:b/>
          <w:lang w:val="ro-RO"/>
        </w:rPr>
        <w:t xml:space="preserve">5 </w:t>
      </w:r>
      <w:r w:rsidRPr="00860724">
        <w:rPr>
          <w:lang w:val="ro-RO"/>
        </w:rPr>
        <w:t>instanţe ce au depăşit bariera de 50.000 de dosare, acestea fiind următoarele:</w:t>
      </w:r>
      <w:r w:rsidR="00F445C9">
        <w:rPr>
          <w:rFonts w:cs="Arial"/>
          <w:lang w:val="ro-RO"/>
        </w:rPr>
        <w:t xml:space="preserve"> Judecă</w:t>
      </w:r>
      <w:r w:rsidRPr="00860724">
        <w:rPr>
          <w:rFonts w:cs="Arial"/>
          <w:lang w:val="ro-RO"/>
        </w:rPr>
        <w:t>toria SECTORUL</w:t>
      </w:r>
      <w:r w:rsidR="00F445C9">
        <w:rPr>
          <w:rFonts w:cs="Arial"/>
          <w:lang w:val="ro-RO"/>
        </w:rPr>
        <w:t>UI 3 BUCUREŞTI (50463), Judecătoria CONSTANŢA (54063), Judecătoria CRAIOVA (54836), Judecătoria IAŞI (57826) şi Judecă</w:t>
      </w:r>
      <w:r w:rsidRPr="00860724">
        <w:rPr>
          <w:rFonts w:cs="Arial"/>
          <w:lang w:val="ro-RO"/>
        </w:rPr>
        <w:t>toria SECTORUL</w:t>
      </w:r>
      <w:r w:rsidR="00F445C9">
        <w:rPr>
          <w:rFonts w:cs="Arial"/>
          <w:lang w:val="ro-RO"/>
        </w:rPr>
        <w:t>UI 1 BUCUREŞ</w:t>
      </w:r>
      <w:r w:rsidRPr="00860724">
        <w:rPr>
          <w:rFonts w:cs="Arial"/>
          <w:lang w:val="ro-RO"/>
        </w:rPr>
        <w:t>TI (57884).</w:t>
      </w:r>
    </w:p>
    <w:p w:rsidR="00677EA4" w:rsidRPr="00860724" w:rsidRDefault="00677EA4" w:rsidP="008C5684">
      <w:pPr>
        <w:spacing w:line="276" w:lineRule="auto"/>
        <w:ind w:firstLine="708"/>
        <w:jc w:val="both"/>
        <w:rPr>
          <w:lang w:val="ro-RO"/>
        </w:rPr>
      </w:pPr>
      <w:r w:rsidRPr="00860724">
        <w:rPr>
          <w:lang w:val="ro-RO"/>
        </w:rPr>
        <w:t xml:space="preserve">Judecătoriile care au înregistrat un volum de activitate sub 1500 dosare sunt: </w:t>
      </w:r>
      <w:r w:rsidR="00F445C9">
        <w:rPr>
          <w:rFonts w:cs="Arial"/>
          <w:lang w:val="ro-RO" w:eastAsia="ro-RO"/>
        </w:rPr>
        <w:t>Judecă</w:t>
      </w:r>
      <w:r w:rsidRPr="00860724">
        <w:rPr>
          <w:rFonts w:cs="Arial"/>
          <w:lang w:val="ro-RO" w:eastAsia="ro-RO"/>
        </w:rPr>
        <w:t xml:space="preserve">toria </w:t>
      </w:r>
      <w:r w:rsidR="00F445C9">
        <w:rPr>
          <w:rFonts w:cs="Arial"/>
          <w:lang w:val="ro-RO" w:eastAsia="ro-RO"/>
        </w:rPr>
        <w:t>ÎNTORSURA BUZĂULUI (998), Judecătoria DRAGOMIREŞTI (1153), Judecătoria BAIA DE ARAMĂ (1344) şi Judecă</w:t>
      </w:r>
      <w:r w:rsidRPr="00860724">
        <w:rPr>
          <w:rFonts w:cs="Arial"/>
          <w:lang w:val="ro-RO" w:eastAsia="ro-RO"/>
        </w:rPr>
        <w:t>toria AGNITA (1480).</w:t>
      </w:r>
    </w:p>
    <w:p w:rsidR="00677EA4" w:rsidRPr="00860724" w:rsidRDefault="00677EA4" w:rsidP="008C5684">
      <w:pPr>
        <w:spacing w:line="276" w:lineRule="auto"/>
        <w:ind w:firstLine="708"/>
        <w:jc w:val="both"/>
        <w:rPr>
          <w:lang w:val="ro-RO"/>
        </w:rPr>
      </w:pPr>
      <w:r w:rsidRPr="00860724">
        <w:rPr>
          <w:lang w:val="ro-RO"/>
        </w:rPr>
        <w:t>Dintre cele</w:t>
      </w:r>
      <w:r w:rsidRPr="00860724">
        <w:rPr>
          <w:b/>
          <w:lang w:val="ro-RO"/>
        </w:rPr>
        <w:t xml:space="preserve"> 2.005.054 </w:t>
      </w:r>
      <w:r w:rsidRPr="00860724">
        <w:rPr>
          <w:lang w:val="ro-RO"/>
        </w:rPr>
        <w:t>cauze rulate în cursul anul</w:t>
      </w:r>
      <w:r w:rsidR="00F445C9">
        <w:rPr>
          <w:lang w:val="ro-RO"/>
        </w:rPr>
        <w:t>ui</w:t>
      </w:r>
      <w:r w:rsidRPr="00860724">
        <w:rPr>
          <w:lang w:val="ro-RO"/>
        </w:rPr>
        <w:t xml:space="preserve"> </w:t>
      </w:r>
      <w:smartTag w:uri="urn:schemas-microsoft-com:office:smarttags" w:element="metricconverter">
        <w:smartTagPr>
          <w:attr w:name="ProductID" w:val="2017 a"/>
        </w:smartTagPr>
        <w:r w:rsidRPr="00860724">
          <w:rPr>
            <w:lang w:val="ro-RO"/>
          </w:rPr>
          <w:t>2017 a</w:t>
        </w:r>
      </w:smartTag>
      <w:r w:rsidRPr="00860724">
        <w:rPr>
          <w:lang w:val="ro-RO"/>
        </w:rPr>
        <w:t xml:space="preserve"> fost soluţionat un număr de </w:t>
      </w:r>
      <w:r w:rsidRPr="00860724">
        <w:rPr>
          <w:b/>
          <w:lang w:val="ro-RO"/>
        </w:rPr>
        <w:t>1.491.584</w:t>
      </w:r>
      <w:r w:rsidRPr="00860724">
        <w:rPr>
          <w:lang w:val="ro-RO"/>
        </w:rPr>
        <w:t xml:space="preserve"> dosare, ceea ce reprezintă</w:t>
      </w:r>
      <w:r w:rsidRPr="00860724">
        <w:rPr>
          <w:b/>
          <w:lang w:val="ro-RO"/>
        </w:rPr>
        <w:t xml:space="preserve"> 74,39 %</w:t>
      </w:r>
      <w:r w:rsidRPr="00860724">
        <w:rPr>
          <w:lang w:val="ro-RO"/>
        </w:rPr>
        <w:t xml:space="preserve">  (75,3 % în anul 2016 şi</w:t>
      </w:r>
      <w:r w:rsidRPr="00860724">
        <w:rPr>
          <w:b/>
          <w:lang w:val="ro-RO"/>
        </w:rPr>
        <w:t xml:space="preserve"> </w:t>
      </w:r>
      <w:r w:rsidRPr="00860724">
        <w:rPr>
          <w:lang w:val="ro-RO"/>
        </w:rPr>
        <w:t>75,6 % în anul 2015).</w:t>
      </w:r>
    </w:p>
    <w:p w:rsidR="00677EA4" w:rsidRDefault="00677EA4" w:rsidP="008C5684">
      <w:pPr>
        <w:pStyle w:val="AddParagraf"/>
        <w:spacing w:line="276" w:lineRule="auto"/>
      </w:pPr>
      <w:r w:rsidRPr="00860724">
        <w:t xml:space="preserve">În consecinţă, în perioada de referinţă, a rămas un stoc de </w:t>
      </w:r>
      <w:r w:rsidRPr="00860724">
        <w:rPr>
          <w:b/>
        </w:rPr>
        <w:t>513.470</w:t>
      </w:r>
      <w:r w:rsidRPr="00860724">
        <w:t xml:space="preserve"> dosare (499.631 dosare în 2016 şi  486.617 dosare în 2015)</w:t>
      </w:r>
      <w:r w:rsidRPr="00860724">
        <w:rPr>
          <w:b/>
        </w:rPr>
        <w:t xml:space="preserve"> </w:t>
      </w:r>
      <w:r w:rsidRPr="00860724">
        <w:t xml:space="preserve">ce va fi preluat în anul 2018. </w:t>
      </w: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Pr="00860724" w:rsidRDefault="008C5684" w:rsidP="008C5684">
      <w:pPr>
        <w:pStyle w:val="AddParagraf"/>
        <w:spacing w:line="276" w:lineRule="auto"/>
      </w:pPr>
    </w:p>
    <w:p w:rsidR="00677EA4" w:rsidRPr="00860724" w:rsidRDefault="00677EA4" w:rsidP="008C5684">
      <w:pPr>
        <w:pStyle w:val="AddParagraf"/>
        <w:spacing w:line="276" w:lineRule="auto"/>
      </w:pPr>
      <w:r w:rsidRPr="00860724">
        <w:lastRenderedPageBreak/>
        <w:t>Din punct de vedere grafic, dinamica dosarelor soluţionate pe ultimii 5 ani se prezintă astfel:</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2017.xls!Jud sol![Grafice 2017.xls]Jud sol Diagramă 1" "" \a \p \* MERGEFORMAT </w:instrText>
      </w:r>
      <w:r w:rsidRPr="00860724">
        <w:fldChar w:fldCharType="separate"/>
      </w:r>
      <w:r w:rsidR="009B0A85">
        <w:object w:dxaOrig="12579" w:dyaOrig="6715">
          <v:shape id="_x0000_i1073" type="#_x0000_t75" style="width:487.5pt;height:260.25pt">
            <v:imagedata r:id="rId59" o:title=""/>
          </v:shape>
        </w:object>
      </w:r>
      <w:r w:rsidRPr="00860724">
        <w:fldChar w:fldCharType="end"/>
      </w:r>
    </w:p>
    <w:p w:rsidR="003A790C" w:rsidRDefault="003A790C" w:rsidP="003A790C">
      <w:pPr>
        <w:pStyle w:val="AddParagraf"/>
        <w:spacing w:line="276" w:lineRule="auto"/>
      </w:pPr>
    </w:p>
    <w:p w:rsidR="00677EA4" w:rsidRDefault="00677EA4" w:rsidP="008C5684">
      <w:pPr>
        <w:pStyle w:val="AddParagraf"/>
        <w:spacing w:line="276" w:lineRule="auto"/>
      </w:pPr>
      <w:r w:rsidRPr="00860724">
        <w:t>În ceea ce priveşte ponderea pe materii a numărului de cauze nou intrate pentru anul 2017 în totalul cauzelor noi intrate la judecătorii, aceasta este prezentată în graficul de mai jos:</w:t>
      </w:r>
    </w:p>
    <w:p w:rsidR="003A790C" w:rsidRPr="00860724" w:rsidRDefault="003A790C" w:rsidP="003A790C">
      <w:pPr>
        <w:pStyle w:val="AddParagraf"/>
        <w:spacing w:line="276" w:lineRule="auto"/>
      </w:pP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2017.xls!Jud dos intrate materii![Grafice 2017.xls]Jud dos intrate materii Diagramă 1" "" \a \p \* MERGEFORMAT </w:instrText>
      </w:r>
      <w:r w:rsidRPr="00860724">
        <w:fldChar w:fldCharType="separate"/>
      </w:r>
      <w:r w:rsidR="009B0A85">
        <w:object w:dxaOrig="13093" w:dyaOrig="6608">
          <v:shape id="_x0000_i1074" type="#_x0000_t75" style="width:492.75pt;height:247.5pt">
            <v:imagedata r:id="rId60" o:title=""/>
          </v:shape>
        </w:object>
      </w:r>
      <w:r w:rsidRPr="00860724">
        <w:fldChar w:fldCharType="end"/>
      </w:r>
    </w:p>
    <w:p w:rsidR="00677EA4" w:rsidRPr="00860724" w:rsidRDefault="00677EA4" w:rsidP="00677EA4">
      <w:pPr>
        <w:spacing w:before="120" w:line="360" w:lineRule="auto"/>
        <w:jc w:val="center"/>
        <w:rPr>
          <w:noProof/>
          <w:lang w:val="ro-RO"/>
        </w:rPr>
      </w:pPr>
    </w:p>
    <w:p w:rsidR="003A790C" w:rsidRDefault="003A790C" w:rsidP="00677EA4">
      <w:pPr>
        <w:pStyle w:val="AddParagraf"/>
        <w:rPr>
          <w:noProof/>
        </w:rPr>
      </w:pPr>
    </w:p>
    <w:p w:rsidR="003A790C" w:rsidRDefault="003A790C" w:rsidP="00677EA4">
      <w:pPr>
        <w:pStyle w:val="AddParagraf"/>
        <w:rPr>
          <w:noProof/>
        </w:rPr>
      </w:pPr>
    </w:p>
    <w:p w:rsidR="003A790C" w:rsidRDefault="003A790C" w:rsidP="00677EA4">
      <w:pPr>
        <w:pStyle w:val="AddParagraf"/>
        <w:rPr>
          <w:noProof/>
        </w:rPr>
      </w:pPr>
    </w:p>
    <w:p w:rsidR="003A790C" w:rsidRDefault="003A790C" w:rsidP="00677EA4">
      <w:pPr>
        <w:pStyle w:val="AddParagraf"/>
        <w:rPr>
          <w:noProof/>
        </w:rPr>
      </w:pPr>
    </w:p>
    <w:p w:rsidR="003A790C" w:rsidRDefault="003A790C" w:rsidP="00677EA4">
      <w:pPr>
        <w:pStyle w:val="AddParagraf"/>
        <w:rPr>
          <w:noProof/>
        </w:rPr>
      </w:pPr>
    </w:p>
    <w:p w:rsidR="00677EA4" w:rsidRPr="00860724" w:rsidRDefault="00677EA4" w:rsidP="00677EA4">
      <w:pPr>
        <w:pStyle w:val="AddParagraf"/>
        <w:rPr>
          <w:noProof/>
        </w:rPr>
      </w:pPr>
      <w:r w:rsidRPr="00860724">
        <w:rPr>
          <w:noProof/>
        </w:rPr>
        <w:t>Cele mai importante obiecte din punct de vedere numeric pe materii, se prezintă astfel:</w:t>
      </w:r>
    </w:p>
    <w:p w:rsidR="00677EA4" w:rsidRPr="00860724" w:rsidRDefault="00677EA4" w:rsidP="00677EA4">
      <w:pPr>
        <w:numPr>
          <w:ilvl w:val="0"/>
          <w:numId w:val="11"/>
        </w:numPr>
        <w:spacing w:before="120" w:line="360" w:lineRule="auto"/>
        <w:rPr>
          <w:b/>
          <w:bCs/>
          <w:iCs/>
          <w:lang w:val="ro-RO"/>
        </w:rPr>
      </w:pPr>
      <w:r w:rsidRPr="00860724">
        <w:rPr>
          <w:b/>
          <w:noProof/>
          <w:lang w:val="ro-RO"/>
        </w:rPr>
        <w:t>civil;</w:t>
      </w:r>
    </w:p>
    <w:p w:rsidR="00BE0B43" w:rsidRPr="003A790C" w:rsidRDefault="00677EA4" w:rsidP="003A790C">
      <w:pPr>
        <w:spacing w:before="120" w:line="360" w:lineRule="auto"/>
        <w:jc w:val="center"/>
        <w:rPr>
          <w:b/>
          <w:bCs/>
          <w:iCs/>
          <w:lang w:val="ro-RO"/>
        </w:rPr>
      </w:pPr>
      <w:r w:rsidRPr="00860724">
        <w:rPr>
          <w:b/>
          <w:noProof/>
          <w:lang w:val="ro-RO"/>
        </w:rPr>
        <w:fldChar w:fldCharType="begin"/>
      </w:r>
      <w:r w:rsidRPr="00860724">
        <w:rPr>
          <w:b/>
          <w:noProof/>
          <w:lang w:val="ro-RO"/>
        </w:rPr>
        <w:instrText xml:space="preserve"> LINK Excel.Sheet.8 "F:\\Macheta\\Grafice 2017.xls!Jud dos intrate civil![Grafice 2017.xls]Jud dos intrate civil Diagramă 1" "" \a \p \* MERGEFORMAT </w:instrText>
      </w:r>
      <w:r w:rsidRPr="00860724">
        <w:rPr>
          <w:b/>
          <w:noProof/>
          <w:lang w:val="ro-RO"/>
        </w:rPr>
        <w:fldChar w:fldCharType="separate"/>
      </w:r>
      <w:r w:rsidR="009B0A85">
        <w:rPr>
          <w:b/>
          <w:noProof/>
          <w:lang w:val="ro-RO"/>
        </w:rPr>
        <w:object w:dxaOrig="12915" w:dyaOrig="7193">
          <v:shape id="_x0000_i1075" type="#_x0000_t75" style="width:492pt;height:273.75pt">
            <v:imagedata r:id="rId61" o:title=""/>
          </v:shape>
        </w:object>
      </w:r>
      <w:r w:rsidRPr="00860724">
        <w:rPr>
          <w:b/>
          <w:noProof/>
          <w:lang w:val="ro-RO"/>
        </w:rPr>
        <w:fldChar w:fldCharType="end"/>
      </w:r>
    </w:p>
    <w:p w:rsidR="00677EA4" w:rsidRPr="00860724" w:rsidRDefault="00677EA4" w:rsidP="00677EA4">
      <w:pPr>
        <w:numPr>
          <w:ilvl w:val="0"/>
          <w:numId w:val="11"/>
        </w:numPr>
        <w:spacing w:before="120" w:line="360" w:lineRule="auto"/>
        <w:rPr>
          <w:b/>
          <w:noProof/>
          <w:lang w:val="ro-RO"/>
        </w:rPr>
      </w:pPr>
      <w:r w:rsidRPr="00860724">
        <w:rPr>
          <w:b/>
          <w:noProof/>
          <w:lang w:val="ro-RO"/>
        </w:rPr>
        <w:t>penal;</w:t>
      </w:r>
    </w:p>
    <w:p w:rsidR="00677EA4" w:rsidRPr="00860724" w:rsidRDefault="00677EA4" w:rsidP="00677EA4">
      <w:pPr>
        <w:spacing w:before="120" w:line="360" w:lineRule="auto"/>
        <w:rPr>
          <w:b/>
          <w:noProof/>
          <w:lang w:val="ro-RO"/>
        </w:rPr>
      </w:pPr>
      <w:r w:rsidRPr="00860724">
        <w:rPr>
          <w:b/>
          <w:noProof/>
          <w:lang w:val="ro-RO"/>
        </w:rPr>
        <w:fldChar w:fldCharType="begin"/>
      </w:r>
      <w:r w:rsidRPr="00860724">
        <w:rPr>
          <w:b/>
          <w:noProof/>
          <w:lang w:val="ro-RO"/>
        </w:rPr>
        <w:instrText xml:space="preserve"> LINK Excel.Sheet.8 "F:\\Macheta\\Grafice 2017.xls!Jud dos intrate penal![Grafice 2017.xls]Jud dos intrate penal Diagramă 1" "" \a \p \* MERGEFORMAT </w:instrText>
      </w:r>
      <w:r w:rsidRPr="00860724">
        <w:rPr>
          <w:b/>
          <w:noProof/>
          <w:lang w:val="ro-RO"/>
        </w:rPr>
        <w:fldChar w:fldCharType="separate"/>
      </w:r>
      <w:r w:rsidR="009B0A85">
        <w:rPr>
          <w:b/>
          <w:noProof/>
          <w:lang w:val="ro-RO"/>
        </w:rPr>
        <w:object w:dxaOrig="14793" w:dyaOrig="9585">
          <v:shape id="_x0000_i1076" type="#_x0000_t75" style="width:489pt;height:316.5pt">
            <v:imagedata r:id="rId62" o:title=""/>
          </v:shape>
        </w:object>
      </w:r>
      <w:r w:rsidRPr="00860724">
        <w:rPr>
          <w:b/>
          <w:noProof/>
          <w:lang w:val="ro-RO"/>
        </w:rPr>
        <w:fldChar w:fldCharType="end"/>
      </w:r>
    </w:p>
    <w:p w:rsidR="00677EA4" w:rsidRDefault="00677EA4" w:rsidP="00677EA4">
      <w:pPr>
        <w:spacing w:before="120" w:line="360" w:lineRule="auto"/>
        <w:rPr>
          <w:b/>
          <w:noProof/>
          <w:lang w:val="ro-RO"/>
        </w:rPr>
      </w:pPr>
    </w:p>
    <w:p w:rsidR="003A790C" w:rsidRPr="00860724" w:rsidRDefault="003A790C" w:rsidP="00677EA4">
      <w:pPr>
        <w:spacing w:before="120" w:line="360" w:lineRule="auto"/>
        <w:rPr>
          <w:b/>
          <w:noProof/>
          <w:lang w:val="ro-RO"/>
        </w:rPr>
      </w:pPr>
    </w:p>
    <w:p w:rsidR="00677EA4" w:rsidRPr="00860724" w:rsidRDefault="00677EA4" w:rsidP="00677EA4">
      <w:pPr>
        <w:numPr>
          <w:ilvl w:val="0"/>
          <w:numId w:val="11"/>
        </w:numPr>
        <w:spacing w:before="120" w:line="360" w:lineRule="auto"/>
        <w:rPr>
          <w:b/>
          <w:noProof/>
          <w:lang w:val="ro-RO"/>
        </w:rPr>
      </w:pPr>
      <w:r w:rsidRPr="00860724">
        <w:rPr>
          <w:b/>
          <w:noProof/>
          <w:lang w:val="ro-RO"/>
        </w:rPr>
        <w:lastRenderedPageBreak/>
        <w:t>minori şi familie.</w:t>
      </w:r>
    </w:p>
    <w:p w:rsidR="00677EA4" w:rsidRPr="00860724" w:rsidRDefault="00677EA4" w:rsidP="00677EA4">
      <w:pPr>
        <w:spacing w:before="120" w:line="360" w:lineRule="auto"/>
        <w:rPr>
          <w:noProof/>
          <w:lang w:val="ro-RO"/>
        </w:rPr>
      </w:pPr>
      <w:r w:rsidRPr="00860724">
        <w:rPr>
          <w:noProof/>
          <w:lang w:val="ro-RO"/>
        </w:rPr>
        <w:fldChar w:fldCharType="begin"/>
      </w:r>
      <w:r w:rsidRPr="00860724">
        <w:rPr>
          <w:noProof/>
          <w:lang w:val="ro-RO"/>
        </w:rPr>
        <w:instrText xml:space="preserve"> LINK Excel.Sheet.8 "F:\\Macheta\\Grafice 2017.xls!Jud dos intrate minori si fam![Grafice 2017.xls]Jud dos intrate minori si fam Diagramă 1" "" \a \p \* MERGEFORMAT </w:instrText>
      </w:r>
      <w:r w:rsidRPr="00860724">
        <w:rPr>
          <w:noProof/>
          <w:lang w:val="ro-RO"/>
        </w:rPr>
        <w:fldChar w:fldCharType="separate"/>
      </w:r>
      <w:r w:rsidR="009B0A85">
        <w:rPr>
          <w:noProof/>
          <w:lang w:val="ro-RO"/>
        </w:rPr>
        <w:object w:dxaOrig="14581" w:dyaOrig="8398">
          <v:shape id="_x0000_i1077" type="#_x0000_t75" style="width:489.75pt;height:281.25pt">
            <v:imagedata r:id="rId63" o:title=""/>
          </v:shape>
        </w:object>
      </w:r>
      <w:r w:rsidRPr="00860724">
        <w:rPr>
          <w:noProof/>
          <w:lang w:val="ro-RO"/>
        </w:rPr>
        <w:fldChar w:fldCharType="end"/>
      </w:r>
    </w:p>
    <w:p w:rsidR="00677EA4" w:rsidRPr="00860724" w:rsidRDefault="00677EA4" w:rsidP="00677EA4">
      <w:pPr>
        <w:pStyle w:val="AddParagraf"/>
      </w:pPr>
    </w:p>
    <w:p w:rsidR="00677EA4" w:rsidRPr="00860724" w:rsidRDefault="00677EA4" w:rsidP="00677EA4">
      <w:pPr>
        <w:pStyle w:val="AddParagraf"/>
      </w:pPr>
    </w:p>
    <w:p w:rsidR="00677EA4" w:rsidRPr="00860724" w:rsidRDefault="00677EA4" w:rsidP="00677EA4">
      <w:pPr>
        <w:pStyle w:val="AddParagraf"/>
      </w:pPr>
      <w:r w:rsidRPr="00860724">
        <w:t>La nivelul instanţelor militare în anul 2017 s-a înregistrat următoarea situaţie:</w:t>
      </w:r>
    </w:p>
    <w:tbl>
      <w:tblPr>
        <w:tblW w:w="8933" w:type="dxa"/>
        <w:jc w:val="center"/>
        <w:tblLook w:val="0000" w:firstRow="0" w:lastRow="0" w:firstColumn="0" w:lastColumn="0" w:noHBand="0" w:noVBand="0"/>
      </w:tblPr>
      <w:tblGrid>
        <w:gridCol w:w="3900"/>
        <w:gridCol w:w="1597"/>
        <w:gridCol w:w="1154"/>
        <w:gridCol w:w="931"/>
        <w:gridCol w:w="1351"/>
      </w:tblGrid>
      <w:tr w:rsidR="00677EA4" w:rsidRPr="008C5684" w:rsidTr="00D60C7C">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677EA4" w:rsidRPr="008C5684" w:rsidRDefault="00677EA4" w:rsidP="008C5684">
            <w:pPr>
              <w:spacing w:line="276" w:lineRule="auto"/>
              <w:jc w:val="center"/>
              <w:rPr>
                <w:rFonts w:cs="Calibri"/>
                <w:lang w:val="ro-RO" w:eastAsia="ro-RO"/>
              </w:rPr>
            </w:pPr>
            <w:r w:rsidRPr="008C5684">
              <w:rPr>
                <w:rFonts w:cs="Calibri"/>
                <w:b/>
                <w:bCs/>
                <w:lang w:val="ro-RO"/>
              </w:rPr>
              <w:t>Instanţa</w:t>
            </w:r>
          </w:p>
        </w:tc>
        <w:tc>
          <w:tcPr>
            <w:tcW w:w="1597" w:type="dxa"/>
            <w:tcBorders>
              <w:top w:val="single" w:sz="4" w:space="0" w:color="000000"/>
              <w:left w:val="nil"/>
              <w:bottom w:val="single" w:sz="4" w:space="0" w:color="000000"/>
              <w:right w:val="single" w:sz="4" w:space="0" w:color="000000"/>
            </w:tcBorders>
            <w:shd w:val="clear" w:color="auto" w:fill="99CCFF"/>
            <w:vAlign w:val="center"/>
          </w:tcPr>
          <w:p w:rsidR="00677EA4" w:rsidRPr="008C5684" w:rsidRDefault="00677EA4" w:rsidP="008C5684">
            <w:pPr>
              <w:spacing w:line="276" w:lineRule="auto"/>
              <w:jc w:val="center"/>
              <w:rPr>
                <w:rFonts w:cs="Calibri"/>
                <w:lang w:val="ro-RO" w:eastAsia="ro-RO"/>
              </w:rPr>
            </w:pPr>
            <w:r w:rsidRPr="008C5684">
              <w:rPr>
                <w:rFonts w:cs="Calibri"/>
                <w:b/>
                <w:bCs/>
                <w:lang w:val="ro-RO"/>
              </w:rPr>
              <w:t>Total stoc iniţial</w:t>
            </w:r>
          </w:p>
        </w:tc>
        <w:tc>
          <w:tcPr>
            <w:tcW w:w="1154" w:type="dxa"/>
            <w:tcBorders>
              <w:top w:val="single" w:sz="4" w:space="0" w:color="000000"/>
              <w:left w:val="nil"/>
              <w:bottom w:val="single" w:sz="4" w:space="0" w:color="000000"/>
              <w:right w:val="single" w:sz="4" w:space="0" w:color="000000"/>
            </w:tcBorders>
            <w:shd w:val="clear" w:color="auto" w:fill="99CCFF"/>
            <w:vAlign w:val="center"/>
          </w:tcPr>
          <w:p w:rsidR="00677EA4" w:rsidRPr="008C5684" w:rsidRDefault="00677EA4" w:rsidP="008C5684">
            <w:pPr>
              <w:spacing w:line="276" w:lineRule="auto"/>
              <w:jc w:val="center"/>
              <w:rPr>
                <w:rFonts w:cs="Calibri"/>
                <w:lang w:val="ro-RO" w:eastAsia="ro-RO"/>
              </w:rPr>
            </w:pPr>
            <w:r w:rsidRPr="008C5684">
              <w:rPr>
                <w:rFonts w:cs="Calibri"/>
                <w:b/>
                <w:bCs/>
                <w:lang w:val="ro-RO"/>
              </w:rPr>
              <w:t>Nou intrate</w:t>
            </w:r>
          </w:p>
        </w:tc>
        <w:tc>
          <w:tcPr>
            <w:tcW w:w="931" w:type="dxa"/>
            <w:tcBorders>
              <w:top w:val="single" w:sz="4" w:space="0" w:color="000000"/>
              <w:left w:val="nil"/>
              <w:bottom w:val="single" w:sz="4" w:space="0" w:color="000000"/>
              <w:right w:val="single" w:sz="4" w:space="0" w:color="auto"/>
            </w:tcBorders>
            <w:shd w:val="clear" w:color="auto" w:fill="99CCFF"/>
            <w:vAlign w:val="center"/>
          </w:tcPr>
          <w:p w:rsidR="00677EA4" w:rsidRPr="008C5684" w:rsidRDefault="00677EA4" w:rsidP="008C5684">
            <w:pPr>
              <w:spacing w:line="276" w:lineRule="auto"/>
              <w:jc w:val="center"/>
              <w:rPr>
                <w:rFonts w:cs="Calibri"/>
                <w:lang w:val="ro-RO" w:eastAsia="ro-RO"/>
              </w:rPr>
            </w:pPr>
            <w:r w:rsidRPr="008C5684">
              <w:rPr>
                <w:rFonts w:cs="Calibri"/>
                <w:b/>
                <w:bCs/>
                <w:lang w:val="ro-RO"/>
              </w:rPr>
              <w:t>Total volum</w:t>
            </w:r>
          </w:p>
        </w:tc>
        <w:tc>
          <w:tcPr>
            <w:tcW w:w="1351"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C5684" w:rsidRDefault="00677EA4" w:rsidP="008C5684">
            <w:pPr>
              <w:spacing w:line="276" w:lineRule="auto"/>
              <w:jc w:val="center"/>
              <w:rPr>
                <w:rFonts w:cs="Calibri"/>
                <w:lang w:val="ro-RO" w:eastAsia="ro-RO"/>
              </w:rPr>
            </w:pPr>
            <w:r w:rsidRPr="008C5684">
              <w:rPr>
                <w:rFonts w:cs="Calibri"/>
                <w:b/>
                <w:bCs/>
                <w:lang w:val="ro-RO"/>
              </w:rPr>
              <w:t>Total volum soluţionate</w:t>
            </w:r>
          </w:p>
        </w:tc>
      </w:tr>
      <w:tr w:rsidR="00677EA4" w:rsidRPr="008C5684" w:rsidTr="00D60C7C">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EA4" w:rsidRPr="008C5684" w:rsidRDefault="00677EA4" w:rsidP="008C5684">
            <w:pPr>
              <w:spacing w:line="276" w:lineRule="auto"/>
              <w:rPr>
                <w:rFonts w:cs="Calibri"/>
                <w:lang w:val="ro-RO" w:eastAsia="ro-RO"/>
              </w:rPr>
            </w:pPr>
            <w:r w:rsidRPr="008C5684">
              <w:rPr>
                <w:rFonts w:cs="Calibri"/>
                <w:lang w:val="ro-RO" w:eastAsia="ro-RO"/>
              </w:rPr>
              <w:t>Tribunalul Militar Bucuresti</w:t>
            </w:r>
          </w:p>
        </w:tc>
        <w:tc>
          <w:tcPr>
            <w:tcW w:w="1597" w:type="dxa"/>
            <w:tcBorders>
              <w:top w:val="single" w:sz="4" w:space="0" w:color="000000"/>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35</w:t>
            </w:r>
          </w:p>
        </w:tc>
        <w:tc>
          <w:tcPr>
            <w:tcW w:w="1154" w:type="dxa"/>
            <w:tcBorders>
              <w:top w:val="single" w:sz="4" w:space="0" w:color="000000"/>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314</w:t>
            </w:r>
          </w:p>
        </w:tc>
        <w:tc>
          <w:tcPr>
            <w:tcW w:w="931" w:type="dxa"/>
            <w:tcBorders>
              <w:top w:val="single" w:sz="4" w:space="0" w:color="000000"/>
              <w:left w:val="nil"/>
              <w:bottom w:val="single" w:sz="4" w:space="0" w:color="000000"/>
              <w:right w:val="single" w:sz="4" w:space="0" w:color="auto"/>
            </w:tcBorders>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349</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C5684" w:rsidRDefault="00677EA4" w:rsidP="008C5684">
            <w:pPr>
              <w:spacing w:line="276" w:lineRule="auto"/>
              <w:jc w:val="center"/>
              <w:rPr>
                <w:rFonts w:cs="Calibri"/>
                <w:lang w:val="ro-RO" w:eastAsia="ro-RO"/>
              </w:rPr>
            </w:pPr>
            <w:r w:rsidRPr="008C5684">
              <w:rPr>
                <w:rFonts w:cs="Calibri"/>
                <w:lang w:val="ro-RO" w:eastAsia="ro-RO"/>
              </w:rPr>
              <w:t>301</w:t>
            </w:r>
          </w:p>
        </w:tc>
      </w:tr>
      <w:tr w:rsidR="00677EA4" w:rsidRPr="008C5684" w:rsidTr="00D60C7C">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677EA4" w:rsidRPr="008C5684" w:rsidRDefault="00677EA4" w:rsidP="008C5684">
            <w:pPr>
              <w:spacing w:line="276" w:lineRule="auto"/>
              <w:rPr>
                <w:rFonts w:cs="Calibri"/>
                <w:lang w:val="ro-RO" w:eastAsia="ro-RO"/>
              </w:rPr>
            </w:pPr>
            <w:r w:rsidRPr="008C5684">
              <w:rPr>
                <w:rFonts w:cs="Calibri"/>
                <w:lang w:val="ro-RO" w:eastAsia="ro-RO"/>
              </w:rPr>
              <w:t>Tribunalul Militar Iasi</w:t>
            </w:r>
          </w:p>
        </w:tc>
        <w:tc>
          <w:tcPr>
            <w:tcW w:w="1597" w:type="dxa"/>
            <w:tcBorders>
              <w:top w:val="nil"/>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28</w:t>
            </w:r>
          </w:p>
        </w:tc>
        <w:tc>
          <w:tcPr>
            <w:tcW w:w="1154" w:type="dxa"/>
            <w:tcBorders>
              <w:top w:val="nil"/>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163</w:t>
            </w:r>
          </w:p>
        </w:tc>
        <w:tc>
          <w:tcPr>
            <w:tcW w:w="931" w:type="dxa"/>
            <w:tcBorders>
              <w:top w:val="nil"/>
              <w:left w:val="nil"/>
              <w:bottom w:val="single" w:sz="4" w:space="0" w:color="000000"/>
              <w:right w:val="single" w:sz="4" w:space="0" w:color="auto"/>
            </w:tcBorders>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191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C5684" w:rsidRDefault="00677EA4" w:rsidP="008C5684">
            <w:pPr>
              <w:spacing w:line="276" w:lineRule="auto"/>
              <w:jc w:val="center"/>
              <w:rPr>
                <w:rFonts w:cs="Calibri"/>
                <w:lang w:val="ro-RO" w:eastAsia="ro-RO"/>
              </w:rPr>
            </w:pPr>
            <w:r w:rsidRPr="008C5684">
              <w:rPr>
                <w:rFonts w:cs="Calibri"/>
                <w:lang w:val="ro-RO" w:eastAsia="ro-RO"/>
              </w:rPr>
              <w:t>153</w:t>
            </w:r>
          </w:p>
        </w:tc>
      </w:tr>
      <w:tr w:rsidR="00677EA4" w:rsidRPr="008C5684" w:rsidTr="00D60C7C">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677EA4" w:rsidRPr="008C5684" w:rsidRDefault="00677EA4" w:rsidP="008C5684">
            <w:pPr>
              <w:spacing w:line="276" w:lineRule="auto"/>
              <w:rPr>
                <w:rFonts w:cs="Calibri"/>
                <w:lang w:val="ro-RO" w:eastAsia="ro-RO"/>
              </w:rPr>
            </w:pPr>
            <w:r w:rsidRPr="008C5684">
              <w:rPr>
                <w:rFonts w:cs="Calibri"/>
                <w:lang w:val="ro-RO" w:eastAsia="ro-RO"/>
              </w:rPr>
              <w:t>Tribunalul Militar Timisoara</w:t>
            </w:r>
          </w:p>
        </w:tc>
        <w:tc>
          <w:tcPr>
            <w:tcW w:w="1597" w:type="dxa"/>
            <w:tcBorders>
              <w:top w:val="nil"/>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20</w:t>
            </w:r>
          </w:p>
        </w:tc>
        <w:tc>
          <w:tcPr>
            <w:tcW w:w="1154" w:type="dxa"/>
            <w:tcBorders>
              <w:top w:val="nil"/>
              <w:left w:val="nil"/>
              <w:bottom w:val="single" w:sz="4" w:space="0" w:color="000000"/>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69</w:t>
            </w:r>
          </w:p>
        </w:tc>
        <w:tc>
          <w:tcPr>
            <w:tcW w:w="931" w:type="dxa"/>
            <w:tcBorders>
              <w:top w:val="nil"/>
              <w:left w:val="nil"/>
              <w:bottom w:val="single" w:sz="4" w:space="0" w:color="000000"/>
              <w:right w:val="single" w:sz="4" w:space="0" w:color="auto"/>
            </w:tcBorders>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89</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C5684" w:rsidRDefault="00677EA4" w:rsidP="008C5684">
            <w:pPr>
              <w:spacing w:line="276" w:lineRule="auto"/>
              <w:jc w:val="center"/>
              <w:rPr>
                <w:rFonts w:cs="Calibri"/>
                <w:lang w:val="ro-RO" w:eastAsia="ro-RO"/>
              </w:rPr>
            </w:pPr>
            <w:r w:rsidRPr="008C5684">
              <w:rPr>
                <w:rFonts w:cs="Calibri"/>
                <w:lang w:val="ro-RO" w:eastAsia="ro-RO"/>
              </w:rPr>
              <w:t>81</w:t>
            </w:r>
          </w:p>
        </w:tc>
      </w:tr>
      <w:tr w:rsidR="00677EA4" w:rsidRPr="008C5684" w:rsidTr="00D60C7C">
        <w:trPr>
          <w:trHeight w:val="285"/>
          <w:jc w:val="center"/>
        </w:trPr>
        <w:tc>
          <w:tcPr>
            <w:tcW w:w="3900" w:type="dxa"/>
            <w:tcBorders>
              <w:top w:val="nil"/>
              <w:left w:val="single" w:sz="4" w:space="0" w:color="000000"/>
              <w:bottom w:val="single" w:sz="4" w:space="0" w:color="auto"/>
              <w:right w:val="single" w:sz="4" w:space="0" w:color="000000"/>
            </w:tcBorders>
            <w:shd w:val="clear" w:color="auto" w:fill="auto"/>
            <w:vAlign w:val="center"/>
          </w:tcPr>
          <w:p w:rsidR="00677EA4" w:rsidRPr="008C5684" w:rsidRDefault="00677EA4" w:rsidP="008C5684">
            <w:pPr>
              <w:spacing w:line="276" w:lineRule="auto"/>
              <w:rPr>
                <w:rFonts w:cs="Calibri"/>
                <w:lang w:val="ro-RO" w:eastAsia="ro-RO"/>
              </w:rPr>
            </w:pPr>
            <w:r w:rsidRPr="008C5684">
              <w:rPr>
                <w:rFonts w:cs="Calibri"/>
                <w:lang w:val="ro-RO" w:eastAsia="ro-RO"/>
              </w:rPr>
              <w:t>Tribunalul Militar Cluj-Napoca</w:t>
            </w:r>
          </w:p>
        </w:tc>
        <w:tc>
          <w:tcPr>
            <w:tcW w:w="1597" w:type="dxa"/>
            <w:tcBorders>
              <w:top w:val="nil"/>
              <w:left w:val="nil"/>
              <w:bottom w:val="single" w:sz="4" w:space="0" w:color="auto"/>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19</w:t>
            </w:r>
          </w:p>
        </w:tc>
        <w:tc>
          <w:tcPr>
            <w:tcW w:w="1154" w:type="dxa"/>
            <w:tcBorders>
              <w:top w:val="nil"/>
              <w:left w:val="nil"/>
              <w:bottom w:val="single" w:sz="4" w:space="0" w:color="auto"/>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111</w:t>
            </w:r>
          </w:p>
        </w:tc>
        <w:tc>
          <w:tcPr>
            <w:tcW w:w="931" w:type="dxa"/>
            <w:tcBorders>
              <w:top w:val="nil"/>
              <w:left w:val="nil"/>
              <w:bottom w:val="single" w:sz="4" w:space="0" w:color="auto"/>
              <w:right w:val="single" w:sz="4" w:space="0" w:color="auto"/>
            </w:tcBorders>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130</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C5684" w:rsidRDefault="00677EA4" w:rsidP="008C5684">
            <w:pPr>
              <w:spacing w:line="276" w:lineRule="auto"/>
              <w:jc w:val="center"/>
              <w:rPr>
                <w:rFonts w:cs="Calibri"/>
                <w:lang w:val="ro-RO" w:eastAsia="ro-RO"/>
              </w:rPr>
            </w:pPr>
            <w:r w:rsidRPr="008C5684">
              <w:rPr>
                <w:rFonts w:cs="Calibri"/>
                <w:lang w:val="ro-RO" w:eastAsia="ro-RO"/>
              </w:rPr>
              <w:t>112</w:t>
            </w:r>
          </w:p>
        </w:tc>
      </w:tr>
      <w:tr w:rsidR="00677EA4" w:rsidRPr="008C5684" w:rsidTr="00D60C7C">
        <w:trPr>
          <w:trHeight w:val="285"/>
          <w:jc w:val="center"/>
        </w:trPr>
        <w:tc>
          <w:tcPr>
            <w:tcW w:w="3900" w:type="dxa"/>
            <w:tcBorders>
              <w:top w:val="single" w:sz="4" w:space="0" w:color="auto"/>
              <w:left w:val="single" w:sz="4" w:space="0" w:color="auto"/>
              <w:bottom w:val="single" w:sz="4" w:space="0" w:color="auto"/>
              <w:right w:val="single" w:sz="4" w:space="0" w:color="000000"/>
            </w:tcBorders>
            <w:shd w:val="clear" w:color="auto" w:fill="auto"/>
            <w:vAlign w:val="center"/>
          </w:tcPr>
          <w:p w:rsidR="00677EA4" w:rsidRPr="008C5684" w:rsidRDefault="00677EA4" w:rsidP="008C5684">
            <w:pPr>
              <w:spacing w:line="276" w:lineRule="auto"/>
              <w:rPr>
                <w:rFonts w:cs="Calibri"/>
                <w:lang w:val="ro-RO" w:eastAsia="ro-RO"/>
              </w:rPr>
            </w:pPr>
            <w:r w:rsidRPr="008C5684">
              <w:rPr>
                <w:rFonts w:cs="Calibri"/>
                <w:lang w:val="ro-RO" w:eastAsia="ro-RO"/>
              </w:rPr>
              <w:t>Curtea Militara de Apel Bucuresti</w:t>
            </w:r>
          </w:p>
        </w:tc>
        <w:tc>
          <w:tcPr>
            <w:tcW w:w="1597" w:type="dxa"/>
            <w:tcBorders>
              <w:top w:val="single" w:sz="4" w:space="0" w:color="auto"/>
              <w:left w:val="nil"/>
              <w:bottom w:val="single" w:sz="4" w:space="0" w:color="auto"/>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36</w:t>
            </w:r>
          </w:p>
        </w:tc>
        <w:tc>
          <w:tcPr>
            <w:tcW w:w="1154" w:type="dxa"/>
            <w:tcBorders>
              <w:top w:val="single" w:sz="4" w:space="0" w:color="auto"/>
              <w:left w:val="nil"/>
              <w:bottom w:val="single" w:sz="4" w:space="0" w:color="auto"/>
              <w:right w:val="single" w:sz="4" w:space="0" w:color="000000"/>
            </w:tcBorders>
            <w:shd w:val="clear" w:color="auto" w:fill="auto"/>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100</w:t>
            </w:r>
          </w:p>
        </w:tc>
        <w:tc>
          <w:tcPr>
            <w:tcW w:w="931" w:type="dxa"/>
            <w:tcBorders>
              <w:top w:val="single" w:sz="4" w:space="0" w:color="auto"/>
              <w:left w:val="nil"/>
              <w:bottom w:val="single" w:sz="4" w:space="0" w:color="auto"/>
              <w:right w:val="single" w:sz="4" w:space="0" w:color="auto"/>
            </w:tcBorders>
            <w:vAlign w:val="center"/>
          </w:tcPr>
          <w:p w:rsidR="00677EA4" w:rsidRPr="008C5684" w:rsidRDefault="00677EA4" w:rsidP="008C5684">
            <w:pPr>
              <w:spacing w:line="276" w:lineRule="auto"/>
              <w:jc w:val="center"/>
              <w:rPr>
                <w:rFonts w:cs="Calibri"/>
                <w:lang w:val="ro-RO" w:eastAsia="ro-RO"/>
              </w:rPr>
            </w:pPr>
            <w:r w:rsidRPr="008C5684">
              <w:rPr>
                <w:rFonts w:cs="Calibri"/>
                <w:lang w:val="ro-RO" w:eastAsia="ro-RO"/>
              </w:rPr>
              <w:t>136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C5684" w:rsidRDefault="00677EA4" w:rsidP="008C5684">
            <w:pPr>
              <w:spacing w:line="276" w:lineRule="auto"/>
              <w:jc w:val="center"/>
              <w:rPr>
                <w:rFonts w:cs="Calibri"/>
                <w:lang w:val="ro-RO" w:eastAsia="ro-RO"/>
              </w:rPr>
            </w:pPr>
            <w:r w:rsidRPr="008C5684">
              <w:rPr>
                <w:rFonts w:cs="Calibri"/>
                <w:lang w:val="ro-RO" w:eastAsia="ro-RO"/>
              </w:rPr>
              <w:t>97</w:t>
            </w:r>
          </w:p>
        </w:tc>
      </w:tr>
    </w:tbl>
    <w:p w:rsidR="00677EA4" w:rsidRPr="00860724" w:rsidRDefault="00677EA4" w:rsidP="00677EA4">
      <w:pPr>
        <w:rPr>
          <w:lang w:val="ro-RO" w:eastAsia="x-none"/>
        </w:rPr>
      </w:pPr>
    </w:p>
    <w:p w:rsidR="00625F9B" w:rsidRPr="00860724" w:rsidRDefault="00574BDF" w:rsidP="003A790C">
      <w:pPr>
        <w:pStyle w:val="Titlu2"/>
      </w:pPr>
      <w:bookmarkStart w:id="19" w:name="_Toc504987123"/>
      <w:r w:rsidRPr="00860724">
        <w:t>I</w:t>
      </w:r>
      <w:r w:rsidR="00D94AC1" w:rsidRPr="00860724">
        <w:t xml:space="preserve">.2. </w:t>
      </w:r>
      <w:r w:rsidR="000951C1" w:rsidRPr="00860724">
        <w:t>Încărcătura pe judecător şi pe scheme</w:t>
      </w:r>
      <w:bookmarkEnd w:id="19"/>
    </w:p>
    <w:p w:rsidR="00677EA4" w:rsidRPr="00860724" w:rsidRDefault="00677EA4" w:rsidP="003A790C">
      <w:pPr>
        <w:spacing w:before="120" w:line="276" w:lineRule="auto"/>
        <w:ind w:firstLine="720"/>
        <w:jc w:val="both"/>
        <w:rPr>
          <w:b/>
          <w:lang w:val="ro-RO"/>
        </w:rPr>
      </w:pPr>
      <w:r w:rsidRPr="00860724">
        <w:rPr>
          <w:b/>
          <w:lang w:val="ro-RO"/>
        </w:rPr>
        <w:t>Precizări terminologice</w:t>
      </w:r>
    </w:p>
    <w:p w:rsidR="00677EA4" w:rsidRPr="00860724" w:rsidRDefault="00677EA4" w:rsidP="003A790C">
      <w:pPr>
        <w:pStyle w:val="AddParagraf"/>
        <w:spacing w:line="276" w:lineRule="auto"/>
      </w:pPr>
      <w:r w:rsidRPr="00860724">
        <w:t>Ca indicator statistic, încărcătura pe judecător poate fi examinată fie în forma încărcăturii pe judecător (posturi efectiv ocupate), fie ca încărcătură pe post de judecător prevăzut în schema de personal.</w:t>
      </w:r>
    </w:p>
    <w:p w:rsidR="00677EA4" w:rsidRPr="00860724" w:rsidRDefault="00677EA4" w:rsidP="003A790C">
      <w:pPr>
        <w:pStyle w:val="AddParagraf"/>
        <w:spacing w:line="276" w:lineRule="auto"/>
      </w:pPr>
      <w:r w:rsidRPr="00860724">
        <w:rPr>
          <w:b/>
          <w:bCs/>
        </w:rPr>
        <w:t>Încărcătura pe judecător</w:t>
      </w:r>
      <w:r w:rsidRPr="00860724">
        <w:t xml:space="preserve"> reflectă numărul de dosare pe care l-a avut de soluţionat un judecător în perioada de referinţă şi se calculează prin raportarea numărului total de dosare la numărul mediu al posturilor efectiv ocupate în anul 2017. </w:t>
      </w:r>
    </w:p>
    <w:p w:rsidR="00677EA4" w:rsidRPr="00860724" w:rsidRDefault="00677EA4" w:rsidP="003A790C">
      <w:pPr>
        <w:pStyle w:val="AddParagraf"/>
        <w:spacing w:line="276" w:lineRule="auto"/>
      </w:pPr>
      <w:r w:rsidRPr="00860724">
        <w:rPr>
          <w:b/>
        </w:rPr>
        <w:t>Încărcătura pe schemă</w:t>
      </w:r>
      <w:r w:rsidRPr="00860724">
        <w:t xml:space="preserve"> se determină prin raportarea volumului de activitate la numărul total de posturi prevăzut în statele de funcţii ale instanţelor (conform evidenţelor C.S.M.).</w:t>
      </w:r>
    </w:p>
    <w:p w:rsidR="00677EA4" w:rsidRPr="00860724" w:rsidRDefault="00677EA4" w:rsidP="003A790C">
      <w:pPr>
        <w:pStyle w:val="Titlu3"/>
      </w:pPr>
      <w:bookmarkStart w:id="20" w:name="_Toc411333480"/>
    </w:p>
    <w:p w:rsidR="00677EA4" w:rsidRPr="00860724" w:rsidRDefault="00677EA4" w:rsidP="003A790C">
      <w:pPr>
        <w:pStyle w:val="Titlu3"/>
      </w:pPr>
      <w:bookmarkStart w:id="21" w:name="_Toc411429415"/>
      <w:bookmarkStart w:id="22" w:name="_Toc506288002"/>
      <w:r w:rsidRPr="00860724">
        <w:t>I.2.1. Încărcătura la nivelul Înaltei Curţi de Casaţie şi Justiţie</w:t>
      </w:r>
      <w:bookmarkEnd w:id="20"/>
      <w:bookmarkEnd w:id="21"/>
      <w:bookmarkEnd w:id="22"/>
    </w:p>
    <w:p w:rsidR="00677EA4" w:rsidRPr="00860724" w:rsidRDefault="00677EA4" w:rsidP="003A790C">
      <w:pPr>
        <w:pStyle w:val="AddParagraf"/>
        <w:spacing w:line="276" w:lineRule="auto"/>
      </w:pPr>
      <w:r w:rsidRPr="00860724">
        <w:t>În prealabil, trebuie precizat că pentru calcularea acestui indicator statistic a fost avut în vedere numărul de cauze ce a revenit spre soluţionare instanţei supreme în raport cu competenţa sa funcţională, în sensul judecării în stadiul procesual fond dar şi în recurs de către completul de 3 judecători sau</w:t>
      </w:r>
      <w:r w:rsidR="00BE0B43" w:rsidRPr="00860724">
        <w:t xml:space="preserve"> </w:t>
      </w:r>
      <w:r w:rsidRPr="00860724">
        <w:t>de către completul de 5 judecători, cu consecinţa multiplicării numărului dosarelor în raport de numărul membrilor completelor de judecată.</w:t>
      </w:r>
    </w:p>
    <w:p w:rsidR="00677EA4" w:rsidRPr="00860724" w:rsidRDefault="00677EA4" w:rsidP="003A790C">
      <w:pPr>
        <w:pStyle w:val="AddParagraf"/>
        <w:spacing w:line="276" w:lineRule="auto"/>
      </w:pPr>
      <w:r w:rsidRPr="00860724">
        <w:t xml:space="preserve">Schema posturilor pentru acest an la instanţa supremă a fost de </w:t>
      </w:r>
      <w:r w:rsidRPr="00860724">
        <w:rPr>
          <w:b/>
        </w:rPr>
        <w:t>122</w:t>
      </w:r>
      <w:r w:rsidRPr="00860724">
        <w:t xml:space="preserve"> posturi, în timp ce media posturilor de judecător ocupate pe parcursul anului a fost de </w:t>
      </w:r>
      <w:r w:rsidRPr="00860724">
        <w:rPr>
          <w:b/>
        </w:rPr>
        <w:t>92</w:t>
      </w:r>
      <w:r w:rsidRPr="00860724">
        <w:t xml:space="preserve"> posturi.</w:t>
      </w:r>
    </w:p>
    <w:p w:rsidR="00677EA4" w:rsidRPr="00860724" w:rsidRDefault="00677EA4" w:rsidP="003A790C">
      <w:pPr>
        <w:pStyle w:val="AddParagraf"/>
        <w:spacing w:line="276" w:lineRule="auto"/>
        <w:rPr>
          <w:bCs/>
        </w:rPr>
      </w:pPr>
      <w:r w:rsidRPr="00860724">
        <w:t xml:space="preserve">În consecinţă, încărcătura pe schemă pentru anul </w:t>
      </w:r>
      <w:smartTag w:uri="urn:schemas-microsoft-com:office:smarttags" w:element="metricconverter">
        <w:smartTagPr>
          <w:attr w:name="ProductID" w:val="2017 a"/>
        </w:smartTagPr>
        <w:r w:rsidRPr="00860724">
          <w:t>2017 a</w:t>
        </w:r>
      </w:smartTag>
      <w:r w:rsidRPr="00860724">
        <w:t xml:space="preserve"> fost determinată la</w:t>
      </w:r>
      <w:r w:rsidRPr="00860724">
        <w:rPr>
          <w:b/>
        </w:rPr>
        <w:t xml:space="preserve"> 753</w:t>
      </w:r>
      <w:r w:rsidRPr="00860724">
        <w:t xml:space="preserve"> cauze (852 cauze în 2016, 604</w:t>
      </w:r>
      <w:r w:rsidRPr="00860724">
        <w:rPr>
          <w:b/>
        </w:rPr>
        <w:t xml:space="preserve"> </w:t>
      </w:r>
      <w:r w:rsidRPr="00860724">
        <w:t xml:space="preserve">cauze în 2015 şi 892 cauze în 2014), iar cea pe judecător la </w:t>
      </w:r>
      <w:r w:rsidRPr="00860724">
        <w:rPr>
          <w:b/>
        </w:rPr>
        <w:t>1.001</w:t>
      </w:r>
      <w:r w:rsidRPr="00860724">
        <w:t xml:space="preserve"> cauze (1.120 cauze în 2016, 716 cauze în 2015 şi 989</w:t>
      </w:r>
      <w:r w:rsidRPr="00860724">
        <w:rPr>
          <w:bCs/>
        </w:rPr>
        <w:t xml:space="preserve"> cauze în 2014). </w:t>
      </w:r>
    </w:p>
    <w:p w:rsidR="00677EA4" w:rsidRPr="00860724" w:rsidRDefault="00677EA4" w:rsidP="003A790C">
      <w:pPr>
        <w:pStyle w:val="AddParagraf"/>
        <w:spacing w:line="276" w:lineRule="auto"/>
      </w:pPr>
      <w:r w:rsidRPr="00860724">
        <w:t>Comparativ cu anul 2016</w:t>
      </w:r>
      <w:r w:rsidR="00BE0B43" w:rsidRPr="00860724">
        <w:t>,</w:t>
      </w:r>
      <w:r w:rsidRPr="00860724">
        <w:t xml:space="preserve"> încărcătura pe schemă a scăzut cu </w:t>
      </w:r>
      <w:r w:rsidRPr="00860724">
        <w:rPr>
          <w:b/>
        </w:rPr>
        <w:t>99</w:t>
      </w:r>
      <w:r w:rsidRPr="00860724">
        <w:t xml:space="preserve"> cauze</w:t>
      </w:r>
      <w:r w:rsidR="00BE0B43" w:rsidRPr="00860724">
        <w:t>,ceea</w:t>
      </w:r>
      <w:r w:rsidRPr="00860724">
        <w:t xml:space="preserve"> ce corespunde unui procent de </w:t>
      </w:r>
      <w:r w:rsidRPr="00860724">
        <w:rPr>
          <w:b/>
        </w:rPr>
        <w:t>11,62 %</w:t>
      </w:r>
      <w:r w:rsidR="00BE0B43" w:rsidRPr="00860724">
        <w:rPr>
          <w:b/>
        </w:rPr>
        <w:t xml:space="preserve">, </w:t>
      </w:r>
      <w:r w:rsidRPr="00860724">
        <w:t xml:space="preserve"> iar încărcătura pe judecător a scăzut cu </w:t>
      </w:r>
      <w:r w:rsidRPr="00860724">
        <w:rPr>
          <w:b/>
        </w:rPr>
        <w:t>119</w:t>
      </w:r>
      <w:r w:rsidRPr="00860724">
        <w:t xml:space="preserve"> cauze</w:t>
      </w:r>
      <w:r w:rsidR="00BE0B43" w:rsidRPr="00860724">
        <w:t>, așadar</w:t>
      </w:r>
      <w:r w:rsidRPr="00860724">
        <w:t xml:space="preserve"> </w:t>
      </w:r>
      <w:r w:rsidR="00BE0B43" w:rsidRPr="00860724">
        <w:t>un</w:t>
      </w:r>
      <w:r w:rsidRPr="00860724">
        <w:t xml:space="preserve"> procent de </w:t>
      </w:r>
      <w:r w:rsidR="00BE0B43" w:rsidRPr="00860724">
        <w:rPr>
          <w:b/>
        </w:rPr>
        <w:t xml:space="preserve">10,63 </w:t>
      </w:r>
      <w:r w:rsidRPr="00860724">
        <w:rPr>
          <w:b/>
        </w:rPr>
        <w:t>%</w:t>
      </w:r>
      <w:r w:rsidRPr="00860724">
        <w:t>.</w:t>
      </w:r>
    </w:p>
    <w:p w:rsidR="00677EA4" w:rsidRPr="00860724" w:rsidRDefault="00677EA4" w:rsidP="003A790C">
      <w:pPr>
        <w:pStyle w:val="AddParagraf"/>
        <w:spacing w:line="276" w:lineRule="auto"/>
      </w:pPr>
      <w:r w:rsidRPr="00860724">
        <w:t>Comparativ cu anul 2013</w:t>
      </w:r>
      <w:r w:rsidR="00BE0B43" w:rsidRPr="00860724">
        <w:t>,</w:t>
      </w:r>
      <w:r w:rsidRPr="00860724">
        <w:t xml:space="preserve"> încărcătura pe schemă a scăzut cu </w:t>
      </w:r>
      <w:r w:rsidRPr="00860724">
        <w:rPr>
          <w:b/>
        </w:rPr>
        <w:t>237</w:t>
      </w:r>
      <w:r w:rsidRPr="00860724">
        <w:t xml:space="preserve"> cauze</w:t>
      </w:r>
      <w:r w:rsidR="00BE0B43" w:rsidRPr="00860724">
        <w:t>, ceea</w:t>
      </w:r>
      <w:r w:rsidRPr="00860724">
        <w:t xml:space="preserve"> ce corespunde unui procent de </w:t>
      </w:r>
      <w:r w:rsidRPr="00860724">
        <w:rPr>
          <w:b/>
        </w:rPr>
        <w:t>23,94 %</w:t>
      </w:r>
      <w:r w:rsidR="00BE0B43" w:rsidRPr="00860724">
        <w:rPr>
          <w:b/>
        </w:rPr>
        <w:t xml:space="preserve">, </w:t>
      </w:r>
      <w:r w:rsidRPr="00860724">
        <w:t xml:space="preserve"> iar încărcătura pe judecător a scăzut cu </w:t>
      </w:r>
      <w:r w:rsidRPr="00860724">
        <w:rPr>
          <w:b/>
        </w:rPr>
        <w:t>78</w:t>
      </w:r>
      <w:r w:rsidRPr="00860724">
        <w:t xml:space="preserve"> cauze</w:t>
      </w:r>
      <w:r w:rsidR="00BE0B43" w:rsidRPr="00860724">
        <w:t>, ceea</w:t>
      </w:r>
      <w:r w:rsidRPr="00860724">
        <w:t xml:space="preserve"> ce corespunde unui procent de </w:t>
      </w:r>
      <w:r w:rsidRPr="00860724">
        <w:rPr>
          <w:b/>
        </w:rPr>
        <w:t>7,23 %</w:t>
      </w:r>
      <w:r w:rsidRPr="00860724">
        <w:t>.</w:t>
      </w:r>
    </w:p>
    <w:p w:rsidR="00677EA4" w:rsidRPr="00860724" w:rsidRDefault="00677EA4" w:rsidP="003A790C">
      <w:pPr>
        <w:pStyle w:val="AddParagraf"/>
        <w:spacing w:line="276" w:lineRule="auto"/>
      </w:pPr>
      <w:r w:rsidRPr="00860724">
        <w:t>Pe ultimii 5 ani, situaţia celor doi indicatori se prezintă după cum urmează:</w:t>
      </w:r>
    </w:p>
    <w:p w:rsidR="00677EA4" w:rsidRPr="00860724" w:rsidRDefault="00677EA4" w:rsidP="00BE0B43">
      <w:pPr>
        <w:pStyle w:val="AddParagraf"/>
        <w:ind w:firstLine="0"/>
        <w:jc w:val="center"/>
      </w:pPr>
      <w:r w:rsidRPr="00860724">
        <w:fldChar w:fldCharType="begin"/>
      </w:r>
      <w:r w:rsidRPr="00860724">
        <w:instrText xml:space="preserve"> LINK Excel.Sheet.8 "F:\\Macheta\\Grafice 2017.xls!Incarcat ICCJ![Grafice 2017.xls]Incarcat ICCJ Diagramă 1" "" \a \p \* MERGEFORMAT </w:instrText>
      </w:r>
      <w:r w:rsidRPr="00860724">
        <w:fldChar w:fldCharType="separate"/>
      </w:r>
      <w:r w:rsidR="009B0A85">
        <w:object w:dxaOrig="12083" w:dyaOrig="6272">
          <v:shape id="_x0000_i1078" type="#_x0000_t75" style="width:477pt;height:247.5pt">
            <v:imagedata r:id="rId64" o:title=""/>
          </v:shape>
        </w:object>
      </w:r>
      <w:r w:rsidRPr="00860724">
        <w:fldChar w:fldCharType="end"/>
      </w:r>
      <w:bookmarkStart w:id="23" w:name="_Toc411333481"/>
      <w:bookmarkStart w:id="24" w:name="_Toc411429416"/>
    </w:p>
    <w:p w:rsidR="00BE0B43" w:rsidRDefault="00BE0B43" w:rsidP="00BE0B43">
      <w:pPr>
        <w:pStyle w:val="AddParagraf"/>
        <w:ind w:firstLine="0"/>
        <w:jc w:val="center"/>
      </w:pPr>
    </w:p>
    <w:p w:rsidR="008C5684" w:rsidRDefault="008C5684" w:rsidP="00BE0B43">
      <w:pPr>
        <w:pStyle w:val="AddParagraf"/>
        <w:ind w:firstLine="0"/>
        <w:jc w:val="center"/>
      </w:pPr>
    </w:p>
    <w:p w:rsidR="008C5684" w:rsidRDefault="008C5684" w:rsidP="00BE0B43">
      <w:pPr>
        <w:pStyle w:val="AddParagraf"/>
        <w:ind w:firstLine="0"/>
        <w:jc w:val="center"/>
      </w:pPr>
    </w:p>
    <w:p w:rsidR="008C5684" w:rsidRPr="00860724" w:rsidRDefault="008C5684" w:rsidP="00BE0B43">
      <w:pPr>
        <w:pStyle w:val="AddParagraf"/>
        <w:ind w:firstLine="0"/>
        <w:jc w:val="center"/>
      </w:pPr>
    </w:p>
    <w:p w:rsidR="00677EA4" w:rsidRPr="00860724" w:rsidRDefault="00677EA4" w:rsidP="00677EA4">
      <w:pPr>
        <w:pStyle w:val="Titlu3"/>
      </w:pPr>
      <w:bookmarkStart w:id="25" w:name="_Toc506288003"/>
      <w:r w:rsidRPr="00860724">
        <w:lastRenderedPageBreak/>
        <w:t>I.2.2. Încărcătura la nivelul curţilor de apel</w:t>
      </w:r>
      <w:bookmarkEnd w:id="23"/>
      <w:bookmarkEnd w:id="24"/>
      <w:bookmarkEnd w:id="25"/>
    </w:p>
    <w:p w:rsidR="00677EA4" w:rsidRPr="00860724" w:rsidRDefault="00677EA4" w:rsidP="003A790C">
      <w:pPr>
        <w:pStyle w:val="AddParagraf"/>
        <w:spacing w:line="276" w:lineRule="auto"/>
      </w:pPr>
      <w:r w:rsidRPr="00860724">
        <w:t>Trebuie menţionat de asemenea faptul că, pentru calcularea indicatorului statistic referitor la încărcătura de cauze/judecător</w:t>
      </w:r>
      <w:r w:rsidR="00BE0B43" w:rsidRPr="00860724">
        <w:t>,</w:t>
      </w:r>
      <w:r w:rsidRPr="00860724">
        <w:t xml:space="preserve"> şi în cazul curţilor de apel s-a ţinut cont de împrejurarea că aceste instanţe judecă atât în fond, cât şi în apel şi recurs.</w:t>
      </w:r>
    </w:p>
    <w:p w:rsidR="00677EA4" w:rsidRPr="00860724" w:rsidRDefault="00677EA4" w:rsidP="003A790C">
      <w:pPr>
        <w:pStyle w:val="AddParagraf"/>
        <w:spacing w:line="276" w:lineRule="auto"/>
      </w:pPr>
      <w:r w:rsidRPr="00860724">
        <w:t xml:space="preserve">Astfel, în anul 2017, s-a înregistrat o încărcătură medie pe judecător de </w:t>
      </w:r>
      <w:r w:rsidRPr="00860724">
        <w:rPr>
          <w:b/>
        </w:rPr>
        <w:t>667</w:t>
      </w:r>
      <w:r w:rsidRPr="00860724">
        <w:t xml:space="preserve"> cauze (</w:t>
      </w:r>
      <w:r w:rsidRPr="00860724">
        <w:rPr>
          <w:b/>
        </w:rPr>
        <w:t>563</w:t>
      </w:r>
      <w:r w:rsidRPr="00860724">
        <w:t xml:space="preserve"> cauze  în 2016, 675 cauze în 2015 şi 945 cauze în 2014) şi o încărcătură medie pe schemă de </w:t>
      </w:r>
      <w:r w:rsidRPr="00860724">
        <w:rPr>
          <w:b/>
        </w:rPr>
        <w:t>558</w:t>
      </w:r>
      <w:r w:rsidRPr="00860724">
        <w:t xml:space="preserve"> dosare (</w:t>
      </w:r>
      <w:r w:rsidRPr="00860724">
        <w:rPr>
          <w:b/>
        </w:rPr>
        <w:t>465</w:t>
      </w:r>
      <w:r w:rsidRPr="00860724">
        <w:t xml:space="preserve"> dosare, 625 dosare în 2015 şi 882 dosare în 2014). </w:t>
      </w:r>
    </w:p>
    <w:p w:rsidR="00677EA4" w:rsidRPr="00860724" w:rsidRDefault="00677EA4" w:rsidP="003A790C">
      <w:pPr>
        <w:pStyle w:val="AddParagraf"/>
        <w:spacing w:line="276" w:lineRule="auto"/>
      </w:pPr>
      <w:r w:rsidRPr="00860724">
        <w:t xml:space="preserve">Comparativ cu anul 2016, încărcătura pe judecător a crescut cu </w:t>
      </w:r>
      <w:r w:rsidRPr="00860724">
        <w:rPr>
          <w:b/>
        </w:rPr>
        <w:t>104</w:t>
      </w:r>
      <w:r w:rsidRPr="00860724">
        <w:t xml:space="preserve"> cauze</w:t>
      </w:r>
      <w:r w:rsidR="00BE0B43" w:rsidRPr="00860724">
        <w:t>,</w:t>
      </w:r>
      <w:r w:rsidRPr="00860724">
        <w:t xml:space="preserve"> ceea ce reprezintă o creştere cu </w:t>
      </w:r>
      <w:r w:rsidRPr="00860724">
        <w:rPr>
          <w:b/>
        </w:rPr>
        <w:t>18,47 %</w:t>
      </w:r>
      <w:r w:rsidRPr="00860724">
        <w:t xml:space="preserve"> </w:t>
      </w:r>
      <w:r w:rsidR="00BE0B43" w:rsidRPr="00860724">
        <w:t xml:space="preserve">, </w:t>
      </w:r>
      <w:r w:rsidRPr="00860724">
        <w:t xml:space="preserve">iar cea pe schemă a crescut cu </w:t>
      </w:r>
      <w:r w:rsidRPr="00860724">
        <w:rPr>
          <w:b/>
        </w:rPr>
        <w:t xml:space="preserve">93 </w:t>
      </w:r>
      <w:r w:rsidRPr="00860724">
        <w:t>cauze</w:t>
      </w:r>
      <w:r w:rsidR="00BE0B43" w:rsidRPr="00860724">
        <w:t>,</w:t>
      </w:r>
      <w:r w:rsidRPr="00860724">
        <w:t xml:space="preserve"> ceea ce reprezintă o creştere cu </w:t>
      </w:r>
      <w:r w:rsidRPr="00860724">
        <w:rPr>
          <w:b/>
        </w:rPr>
        <w:t>20 %.</w:t>
      </w:r>
      <w:r w:rsidRPr="00860724">
        <w:t xml:space="preserve"> </w:t>
      </w:r>
    </w:p>
    <w:p w:rsidR="00677EA4" w:rsidRPr="00860724" w:rsidRDefault="00677EA4" w:rsidP="003A790C">
      <w:pPr>
        <w:pStyle w:val="AddParagraf"/>
        <w:spacing w:line="276" w:lineRule="auto"/>
      </w:pPr>
      <w:r w:rsidRPr="00860724">
        <w:t>Pe ultimii 5 ani, situaţia celor doi indicatori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2017.xls!Incarcat CA![Grafice 2017.xls]Incarcat CA Diagramă 1" "" \a \p \* MERGEFORMAT </w:instrText>
      </w:r>
      <w:r w:rsidRPr="00860724">
        <w:fldChar w:fldCharType="separate"/>
      </w:r>
      <w:r w:rsidR="009B0A85">
        <w:object w:dxaOrig="11994" w:dyaOrig="6272">
          <v:shape id="_x0000_i1079" type="#_x0000_t75" style="width:482.25pt;height:251.25pt">
            <v:imagedata r:id="rId65" o:title=""/>
          </v:shape>
        </w:object>
      </w:r>
      <w:r w:rsidRPr="00860724">
        <w:fldChar w:fldCharType="end"/>
      </w:r>
    </w:p>
    <w:p w:rsidR="00677EA4" w:rsidRPr="00860724" w:rsidRDefault="00677EA4" w:rsidP="00677EA4">
      <w:pPr>
        <w:pStyle w:val="AddParagraf"/>
        <w:ind w:firstLine="0"/>
        <w:jc w:val="center"/>
      </w:pPr>
    </w:p>
    <w:p w:rsidR="00677EA4" w:rsidRPr="00860724" w:rsidRDefault="00677EA4" w:rsidP="008C5684">
      <w:pPr>
        <w:pStyle w:val="AddParagraf"/>
        <w:spacing w:line="276" w:lineRule="auto"/>
      </w:pPr>
      <w:r w:rsidRPr="00860724">
        <w:t xml:space="preserve">Sub aspectul </w:t>
      </w:r>
      <w:r w:rsidRPr="00860724">
        <w:rPr>
          <w:b/>
        </w:rPr>
        <w:t>încărcăturii pe judecător</w:t>
      </w:r>
      <w:r w:rsidRPr="00860724">
        <w:t xml:space="preserve">, prima poziţie a fost ocupată de Curtea de Apel Alba Iulia cu </w:t>
      </w:r>
      <w:r w:rsidRPr="00860724">
        <w:rPr>
          <w:b/>
        </w:rPr>
        <w:t xml:space="preserve">971 </w:t>
      </w:r>
      <w:r w:rsidRPr="00860724">
        <w:t xml:space="preserve">dosare pe judecător (536 dosare pe judecător în 2016) urmată de Curtea de Apel Piteşti cu </w:t>
      </w:r>
      <w:r w:rsidRPr="00860724">
        <w:rPr>
          <w:b/>
        </w:rPr>
        <w:t>864</w:t>
      </w:r>
      <w:r w:rsidRPr="00860724">
        <w:t xml:space="preserve"> dosare pe judecător</w:t>
      </w:r>
      <w:r w:rsidRPr="00860724">
        <w:rPr>
          <w:b/>
        </w:rPr>
        <w:t xml:space="preserve"> </w:t>
      </w:r>
      <w:r w:rsidRPr="00860724">
        <w:t xml:space="preserve">(789 dosare pe judecător în 2016), Curtea de Apel Oradea cu </w:t>
      </w:r>
      <w:r w:rsidRPr="00860724">
        <w:rPr>
          <w:b/>
        </w:rPr>
        <w:t>830</w:t>
      </w:r>
      <w:r w:rsidRPr="00860724">
        <w:t xml:space="preserve"> dosare pe judecător</w:t>
      </w:r>
      <w:r w:rsidRPr="00860724">
        <w:rPr>
          <w:b/>
        </w:rPr>
        <w:t xml:space="preserve"> </w:t>
      </w:r>
      <w:r w:rsidRPr="00860724">
        <w:t xml:space="preserve">(684 dosare pe judecător în 2016), </w:t>
      </w:r>
      <w:r w:rsidRPr="00860724">
        <w:rPr>
          <w:lang w:eastAsia="ro-RO"/>
        </w:rPr>
        <w:t xml:space="preserve">Curtea de Apel Cluj cu </w:t>
      </w:r>
      <w:r w:rsidRPr="00860724">
        <w:rPr>
          <w:b/>
          <w:lang w:eastAsia="ro-RO"/>
        </w:rPr>
        <w:t>769</w:t>
      </w:r>
      <w:r w:rsidRPr="00860724">
        <w:rPr>
          <w:lang w:eastAsia="ro-RO"/>
        </w:rPr>
        <w:t xml:space="preserve"> </w:t>
      </w:r>
      <w:r w:rsidRPr="00860724">
        <w:t xml:space="preserve">dosare pe judecător (583 dosare pe judecător în 2016), </w:t>
      </w:r>
      <w:r w:rsidRPr="00860724">
        <w:rPr>
          <w:lang w:eastAsia="ro-RO"/>
        </w:rPr>
        <w:t xml:space="preserve">Curtea de Apel Timişoara cu </w:t>
      </w:r>
      <w:r w:rsidRPr="00860724">
        <w:rPr>
          <w:b/>
          <w:lang w:eastAsia="ro-RO"/>
        </w:rPr>
        <w:t xml:space="preserve">766 </w:t>
      </w:r>
      <w:r w:rsidRPr="00860724">
        <w:t xml:space="preserve">dosare pe judecător (673 dosare pe judecător în 2016) şi </w:t>
      </w:r>
      <w:r w:rsidRPr="00860724">
        <w:rPr>
          <w:lang w:eastAsia="ro-RO"/>
        </w:rPr>
        <w:t>Curtea de Apel Bacău cu</w:t>
      </w:r>
      <w:r w:rsidRPr="00860724">
        <w:rPr>
          <w:b/>
          <w:lang w:eastAsia="ro-RO"/>
        </w:rPr>
        <w:t xml:space="preserve"> 751</w:t>
      </w:r>
      <w:r w:rsidRPr="00860724">
        <w:rPr>
          <w:lang w:eastAsia="ro-RO"/>
        </w:rPr>
        <w:t xml:space="preserve"> </w:t>
      </w:r>
      <w:r w:rsidRPr="00860724">
        <w:t>dosare pe judecător (684 dosare pe judecător în 2016).</w:t>
      </w:r>
    </w:p>
    <w:p w:rsidR="00677EA4" w:rsidRPr="00860724" w:rsidRDefault="00677EA4" w:rsidP="008C5684">
      <w:pPr>
        <w:pStyle w:val="AddParagraf"/>
        <w:spacing w:line="276" w:lineRule="auto"/>
        <w:rPr>
          <w:b/>
        </w:rPr>
      </w:pPr>
      <w:r w:rsidRPr="00860724">
        <w:t xml:space="preserve">Curtea de Apel Alba Iulia care ocupă prima poziţie înregistrează o schemă de </w:t>
      </w:r>
      <w:r w:rsidRPr="00860724">
        <w:rPr>
          <w:b/>
        </w:rPr>
        <w:t>50</w:t>
      </w:r>
      <w:r w:rsidRPr="00860724">
        <w:t xml:space="preserve"> posturi cu </w:t>
      </w:r>
      <w:r w:rsidRPr="00860724">
        <w:rPr>
          <w:b/>
        </w:rPr>
        <w:t>39</w:t>
      </w:r>
      <w:r w:rsidRPr="00860724">
        <w:t xml:space="preserve">  posturi în medie ocupate efectiv, Curtea de Apel Piteşti înregistrează o schemă de </w:t>
      </w:r>
      <w:r w:rsidRPr="00860724">
        <w:rPr>
          <w:b/>
        </w:rPr>
        <w:t>42</w:t>
      </w:r>
      <w:r w:rsidRPr="00860724">
        <w:t xml:space="preserve"> posturi cu </w:t>
      </w:r>
      <w:r w:rsidRPr="00860724">
        <w:rPr>
          <w:b/>
        </w:rPr>
        <w:t>29</w:t>
      </w:r>
      <w:r w:rsidRPr="00860724">
        <w:t xml:space="preserve">  posturi în medie ocupate efectiv, Curtea de Apel Oradea înregistrează o schemă de </w:t>
      </w:r>
      <w:r w:rsidRPr="00860724">
        <w:rPr>
          <w:b/>
        </w:rPr>
        <w:t>39</w:t>
      </w:r>
      <w:r w:rsidRPr="00860724">
        <w:t xml:space="preserve"> posturi cu </w:t>
      </w:r>
      <w:r w:rsidRPr="00860724">
        <w:rPr>
          <w:b/>
        </w:rPr>
        <w:t>30</w:t>
      </w:r>
      <w:r w:rsidRPr="00860724">
        <w:t xml:space="preserve">  posturi în medie ocupate efectiv, Curtea de Apel Cluj înregistrează o schemă de </w:t>
      </w:r>
      <w:r w:rsidRPr="00860724">
        <w:rPr>
          <w:b/>
        </w:rPr>
        <w:t>63</w:t>
      </w:r>
      <w:r w:rsidRPr="00860724">
        <w:t xml:space="preserve"> posturi cu </w:t>
      </w:r>
      <w:r w:rsidRPr="00860724">
        <w:rPr>
          <w:b/>
        </w:rPr>
        <w:t>53</w:t>
      </w:r>
      <w:r w:rsidRPr="00860724">
        <w:t xml:space="preserve">  posturi în medie ocupate efectiv, Curtea de Apel Timişoara înregistrează o schemă de </w:t>
      </w:r>
      <w:r w:rsidRPr="00860724">
        <w:rPr>
          <w:b/>
        </w:rPr>
        <w:t>62</w:t>
      </w:r>
      <w:r w:rsidRPr="00860724">
        <w:t xml:space="preserve"> posturi cu </w:t>
      </w:r>
      <w:r w:rsidRPr="00860724">
        <w:rPr>
          <w:b/>
        </w:rPr>
        <w:t>56</w:t>
      </w:r>
      <w:r w:rsidRPr="00860724">
        <w:t xml:space="preserve">  posturi în medie ocupate efectiv şi </w:t>
      </w:r>
      <w:r w:rsidRPr="00860724">
        <w:rPr>
          <w:lang w:eastAsia="ro-RO"/>
        </w:rPr>
        <w:t xml:space="preserve">Curtea de Apel Bacău care </w:t>
      </w:r>
      <w:r w:rsidRPr="00860724">
        <w:t xml:space="preserve">înregistrează o schemă de </w:t>
      </w:r>
      <w:r w:rsidRPr="00860724">
        <w:rPr>
          <w:b/>
        </w:rPr>
        <w:t>38</w:t>
      </w:r>
      <w:r w:rsidRPr="00860724">
        <w:t xml:space="preserve"> posturi cu </w:t>
      </w:r>
      <w:r w:rsidRPr="00860724">
        <w:rPr>
          <w:b/>
        </w:rPr>
        <w:t>31</w:t>
      </w:r>
      <w:r w:rsidRPr="00860724">
        <w:t xml:space="preserve">  posturi în medie ocupate efectiv.</w:t>
      </w:r>
    </w:p>
    <w:p w:rsidR="00677EA4" w:rsidRPr="00860724" w:rsidRDefault="00677EA4" w:rsidP="008C5684">
      <w:pPr>
        <w:pStyle w:val="AddParagraf"/>
        <w:spacing w:line="276" w:lineRule="auto"/>
      </w:pPr>
      <w:r w:rsidRPr="00860724">
        <w:rPr>
          <w:rFonts w:asciiTheme="minorHAnsi" w:hAnsiTheme="minorHAnsi"/>
        </w:rPr>
        <w:lastRenderedPageBreak/>
        <w:t>Cel mai mic nivel de cauze pe judecător l-a înregistrat Curtea de Apel Targu Mureş cu</w:t>
      </w:r>
      <w:r w:rsidRPr="00860724">
        <w:rPr>
          <w:rFonts w:asciiTheme="minorHAnsi" w:hAnsiTheme="minorHAnsi"/>
          <w:b/>
        </w:rPr>
        <w:t xml:space="preserve"> 439</w:t>
      </w:r>
      <w:r w:rsidRPr="00860724">
        <w:rPr>
          <w:rFonts w:asciiTheme="minorHAnsi" w:hAnsiTheme="minorHAnsi"/>
        </w:rPr>
        <w:t xml:space="preserve"> cauze pe judecător urmată de Curtea de Apel Braşov</w:t>
      </w:r>
      <w:r w:rsidRPr="00860724">
        <w:t xml:space="preserve"> cu</w:t>
      </w:r>
      <w:r w:rsidRPr="00860724">
        <w:rPr>
          <w:b/>
        </w:rPr>
        <w:t xml:space="preserve"> 486</w:t>
      </w:r>
      <w:r w:rsidRPr="00860724">
        <w:t xml:space="preserve"> cauze pe judecător şi Curtea de Apel  Iaşi cu</w:t>
      </w:r>
      <w:r w:rsidRPr="00860724">
        <w:rPr>
          <w:b/>
        </w:rPr>
        <w:t xml:space="preserve"> 565</w:t>
      </w:r>
      <w:r w:rsidRPr="00860724">
        <w:t xml:space="preserve"> dosare pe judecător. </w:t>
      </w:r>
    </w:p>
    <w:p w:rsidR="00677EA4" w:rsidRPr="00860724" w:rsidRDefault="00677EA4" w:rsidP="008C5684">
      <w:pPr>
        <w:pStyle w:val="AddParagraf"/>
        <w:spacing w:line="276" w:lineRule="auto"/>
      </w:pPr>
      <w:r w:rsidRPr="00860724">
        <w:t xml:space="preserve">În ceea ce priveşte </w:t>
      </w:r>
      <w:r w:rsidRPr="00860724">
        <w:rPr>
          <w:b/>
        </w:rPr>
        <w:t>încărcătura pe schemă</w:t>
      </w:r>
      <w:r w:rsidRPr="00860724">
        <w:t>, în anul 2017, prima poziţi</w:t>
      </w:r>
      <w:r w:rsidR="00BE0B43" w:rsidRPr="00860724">
        <w:t>e este ocupată de aceleaşi curți de apel astfel: Curtea</w:t>
      </w:r>
      <w:r w:rsidRPr="00860724">
        <w:t xml:space="preserve"> de Apel Alba Iulia cu </w:t>
      </w:r>
      <w:r w:rsidRPr="00860724">
        <w:rPr>
          <w:b/>
        </w:rPr>
        <w:t xml:space="preserve">759 </w:t>
      </w:r>
      <w:r w:rsidRPr="00860724">
        <w:t xml:space="preserve">dosare pe schemă (460 dosare pe schemă în 2016) urmată de Curtea de apel Timişoara cu </w:t>
      </w:r>
      <w:r w:rsidRPr="00860724">
        <w:rPr>
          <w:b/>
        </w:rPr>
        <w:t xml:space="preserve">686 </w:t>
      </w:r>
      <w:r w:rsidRPr="00860724">
        <w:t xml:space="preserve">dosare pe schemă (551 dosare în 2016), </w:t>
      </w:r>
      <w:r w:rsidR="00BE0B43" w:rsidRPr="00860724">
        <w:rPr>
          <w:lang w:eastAsia="ro-RO"/>
        </w:rPr>
        <w:t>Curtea de Apel Cluj</w:t>
      </w:r>
      <w:r w:rsidRPr="00860724">
        <w:rPr>
          <w:lang w:eastAsia="ro-RO"/>
        </w:rPr>
        <w:t xml:space="preserve"> cu </w:t>
      </w:r>
      <w:r w:rsidRPr="00860724">
        <w:rPr>
          <w:b/>
          <w:lang w:eastAsia="ro-RO"/>
        </w:rPr>
        <w:t xml:space="preserve">652 </w:t>
      </w:r>
      <w:r w:rsidRPr="00860724">
        <w:t>dosare pe schemă (474 dosare în 2016), Curtea de Apel Oradea cu</w:t>
      </w:r>
      <w:r w:rsidRPr="00860724">
        <w:rPr>
          <w:b/>
        </w:rPr>
        <w:t xml:space="preserve"> 644 </w:t>
      </w:r>
      <w:r w:rsidRPr="00860724">
        <w:t xml:space="preserve">dosare pe schemă (538 dosare în 2016), Curtea de Apel Bacău cu </w:t>
      </w:r>
      <w:r w:rsidRPr="00860724">
        <w:rPr>
          <w:b/>
        </w:rPr>
        <w:t>615</w:t>
      </w:r>
      <w:r w:rsidRPr="00860724">
        <w:t xml:space="preserve"> dosare pe schemă (534 dosare în 2016), </w:t>
      </w:r>
      <w:r w:rsidRPr="00860724">
        <w:rPr>
          <w:lang w:eastAsia="ro-RO"/>
        </w:rPr>
        <w:t>Curtea de Apel Suceava cu</w:t>
      </w:r>
      <w:r w:rsidRPr="00860724">
        <w:rPr>
          <w:b/>
          <w:lang w:eastAsia="ro-RO"/>
        </w:rPr>
        <w:t xml:space="preserve"> 614 </w:t>
      </w:r>
      <w:r w:rsidRPr="00860724">
        <w:t xml:space="preserve">dosare pe schemă (369 dosare în 2016) şi </w:t>
      </w:r>
      <w:r w:rsidRPr="00860724">
        <w:rPr>
          <w:lang w:eastAsia="ro-RO"/>
        </w:rPr>
        <w:t xml:space="preserve">Curtea de Apel Piteşti cu </w:t>
      </w:r>
      <w:r w:rsidRPr="00860724">
        <w:rPr>
          <w:b/>
          <w:lang w:eastAsia="ro-RO"/>
        </w:rPr>
        <w:t>603</w:t>
      </w:r>
      <w:r w:rsidRPr="00860724">
        <w:rPr>
          <w:lang w:eastAsia="ro-RO"/>
        </w:rPr>
        <w:t xml:space="preserve"> </w:t>
      </w:r>
      <w:r w:rsidRPr="00860724">
        <w:t>dosare pe schemă (554 dosare în 2016).</w:t>
      </w:r>
    </w:p>
    <w:p w:rsidR="00677EA4" w:rsidRPr="00860724" w:rsidRDefault="00677EA4" w:rsidP="008C5684">
      <w:pPr>
        <w:pStyle w:val="AddParagraf"/>
        <w:spacing w:line="276" w:lineRule="auto"/>
      </w:pPr>
      <w:r w:rsidRPr="00860724">
        <w:t xml:space="preserve">Cea mai mică încărcătură pe schemă a </w:t>
      </w:r>
      <w:r w:rsidR="00BE0B43" w:rsidRPr="00860724">
        <w:t>înregistrat-o, Curtea de Apel Tâ</w:t>
      </w:r>
      <w:r w:rsidRPr="00860724">
        <w:t xml:space="preserve">rgu Mureş cu </w:t>
      </w:r>
      <w:r w:rsidRPr="00860724">
        <w:rPr>
          <w:b/>
        </w:rPr>
        <w:t>371</w:t>
      </w:r>
      <w:r w:rsidRPr="00860724">
        <w:t xml:space="preserve"> dosare pe schemă (331 dosare în 2016).</w:t>
      </w:r>
    </w:p>
    <w:p w:rsidR="00677EA4" w:rsidRPr="00860724" w:rsidRDefault="00677EA4" w:rsidP="008C5684">
      <w:pPr>
        <w:spacing w:before="120" w:line="276" w:lineRule="auto"/>
        <w:ind w:firstLine="720"/>
        <w:jc w:val="both"/>
        <w:rPr>
          <w:lang w:val="ro-RO"/>
        </w:rPr>
      </w:pPr>
    </w:p>
    <w:p w:rsidR="00677EA4" w:rsidRPr="00860724" w:rsidRDefault="00677EA4" w:rsidP="008C5684">
      <w:pPr>
        <w:pStyle w:val="Titlu3"/>
      </w:pPr>
      <w:bookmarkStart w:id="26" w:name="_Toc411333482"/>
      <w:bookmarkStart w:id="27" w:name="_Toc411429417"/>
      <w:bookmarkStart w:id="28" w:name="_Toc506288004"/>
      <w:r w:rsidRPr="00860724">
        <w:t>I.2.3. Încărcătura la nivelul tribunalelor</w:t>
      </w:r>
      <w:bookmarkEnd w:id="26"/>
      <w:bookmarkEnd w:id="27"/>
      <w:bookmarkEnd w:id="28"/>
    </w:p>
    <w:p w:rsidR="00677EA4" w:rsidRPr="00860724" w:rsidRDefault="00677EA4" w:rsidP="008C5684">
      <w:pPr>
        <w:pStyle w:val="AddParagraf"/>
        <w:spacing w:line="276" w:lineRule="auto"/>
      </w:pPr>
      <w:r w:rsidRPr="00860724">
        <w:t xml:space="preserve">Ca şi în cazul curţilor de apel, trebuie precizat că pentru calcularea acestui indicator statistic au fost avute în vedere nu numai numărul de cauze ce a revenit spre soluţionare instanţelor de acest grad, ci şi specificul tribunalelor de a fi atât instanţe de fond, cât şi de control judiciar (judecând deopotrivă în apel şi recurs). </w:t>
      </w:r>
    </w:p>
    <w:p w:rsidR="00677EA4" w:rsidRPr="00860724" w:rsidRDefault="00677EA4" w:rsidP="008C5684">
      <w:pPr>
        <w:pStyle w:val="AddParagraf"/>
        <w:spacing w:line="276" w:lineRule="auto"/>
      </w:pPr>
      <w:r w:rsidRPr="00860724">
        <w:t xml:space="preserve">Astfel, pentru a analiza volumul de activitate al unui judecător s-a ţinut cont de împrejurarea că în apel cauzele sunt judecate de un complet format din doi judecători, iar în recurs de un complet format din trei judecători. </w:t>
      </w:r>
    </w:p>
    <w:p w:rsidR="00677EA4" w:rsidRPr="00860724" w:rsidRDefault="00677EA4" w:rsidP="008C5684">
      <w:pPr>
        <w:pStyle w:val="AddParagraf"/>
        <w:spacing w:line="276" w:lineRule="auto"/>
      </w:pPr>
      <w:r w:rsidRPr="00860724">
        <w:t>În anul 2017</w:t>
      </w:r>
      <w:r w:rsidRPr="00860724">
        <w:rPr>
          <w:b/>
        </w:rPr>
        <w:t xml:space="preserve">, </w:t>
      </w:r>
      <w:r w:rsidRPr="00860724">
        <w:rPr>
          <w:bCs/>
        </w:rPr>
        <w:t>la nivelul tribunalelor</w:t>
      </w:r>
      <w:r w:rsidRPr="00860724">
        <w:t xml:space="preserve"> s-a înregistrat o încărcătură medie/judecător de </w:t>
      </w:r>
      <w:r w:rsidRPr="00860724">
        <w:rPr>
          <w:b/>
        </w:rPr>
        <w:t>750</w:t>
      </w:r>
      <w:r w:rsidRPr="00860724">
        <w:t xml:space="preserve"> cauze (724 cauze în 2016, 791 cauze în 2015 şi 918 cauze în 2014) şi o încărcătură a cauzelor/schemă de </w:t>
      </w:r>
      <w:r w:rsidRPr="00860724">
        <w:rPr>
          <w:b/>
        </w:rPr>
        <w:t xml:space="preserve"> 616 </w:t>
      </w:r>
      <w:r w:rsidRPr="00860724">
        <w:t xml:space="preserve">(600 cauze în 2016 şi 710 cauze în 2015 şi 819 cauze în 2014). </w:t>
      </w:r>
    </w:p>
    <w:p w:rsidR="00677EA4" w:rsidRPr="00860724" w:rsidRDefault="00677EA4" w:rsidP="008C5684">
      <w:pPr>
        <w:pStyle w:val="AddParagraf"/>
        <w:spacing w:line="276" w:lineRule="auto"/>
      </w:pPr>
      <w:r w:rsidRPr="00860724">
        <w:t xml:space="preserve">Încărcătura medie pe judecător în anul </w:t>
      </w:r>
      <w:smartTag w:uri="urn:schemas-microsoft-com:office:smarttags" w:element="metricconverter">
        <w:smartTagPr>
          <w:attr w:name="ProductID" w:val="2017 a"/>
        </w:smartTagPr>
        <w:r w:rsidRPr="00860724">
          <w:t>2017 a</w:t>
        </w:r>
      </w:smartTag>
      <w:r w:rsidRPr="00860724">
        <w:t xml:space="preserve"> crescut cu </w:t>
      </w:r>
      <w:r w:rsidRPr="00860724">
        <w:rPr>
          <w:b/>
        </w:rPr>
        <w:t>26</w:t>
      </w:r>
      <w:r w:rsidRPr="00860724">
        <w:t xml:space="preserve"> cauze pe judecător ceea ce reprezintă o creştere cu </w:t>
      </w:r>
      <w:r w:rsidRPr="00860724">
        <w:rPr>
          <w:b/>
        </w:rPr>
        <w:t>3,59 %</w:t>
      </w:r>
      <w:r w:rsidRPr="00860724">
        <w:t xml:space="preserve"> faţă de anul 2016, iar încărcătura pe schemă în anul </w:t>
      </w:r>
      <w:smartTag w:uri="urn:schemas-microsoft-com:office:smarttags" w:element="metricconverter">
        <w:smartTagPr>
          <w:attr w:name="ProductID" w:val="2017 a"/>
        </w:smartTagPr>
        <w:r w:rsidRPr="00860724">
          <w:t>2017 a</w:t>
        </w:r>
      </w:smartTag>
      <w:r w:rsidRPr="00860724">
        <w:t xml:space="preserve"> crescut cu </w:t>
      </w:r>
      <w:r w:rsidRPr="00860724">
        <w:rPr>
          <w:b/>
        </w:rPr>
        <w:t>16</w:t>
      </w:r>
      <w:r w:rsidRPr="00860724">
        <w:t xml:space="preserve"> cauze</w:t>
      </w:r>
      <w:r w:rsidR="00BE0B43" w:rsidRPr="00860724">
        <w:t>,</w:t>
      </w:r>
      <w:r w:rsidRPr="00860724">
        <w:t xml:space="preserve"> ceea ce reprezintă o creştere cu</w:t>
      </w:r>
      <w:r w:rsidRPr="00860724">
        <w:rPr>
          <w:b/>
        </w:rPr>
        <w:t xml:space="preserve"> 2,67 %</w:t>
      </w:r>
      <w:r w:rsidRPr="00860724">
        <w:t xml:space="preserve"> faţă de anul 2016.  </w:t>
      </w:r>
    </w:p>
    <w:p w:rsidR="00677EA4" w:rsidRDefault="00677EA4" w:rsidP="008C5684">
      <w:pPr>
        <w:pStyle w:val="AddParagraf"/>
        <w:spacing w:line="276" w:lineRule="auto"/>
      </w:pPr>
      <w:r w:rsidRPr="00860724">
        <w:t>Această evoluţie este urmarea creşterii volumului de activitate comparativ cu perioada anterioară.</w:t>
      </w: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Default="008C5684" w:rsidP="008C5684">
      <w:pPr>
        <w:pStyle w:val="AddParagraf"/>
        <w:spacing w:line="276" w:lineRule="auto"/>
      </w:pPr>
    </w:p>
    <w:p w:rsidR="008C5684" w:rsidRPr="00860724" w:rsidRDefault="008C5684" w:rsidP="008C5684">
      <w:pPr>
        <w:pStyle w:val="AddParagraf"/>
        <w:spacing w:line="276" w:lineRule="auto"/>
      </w:pPr>
    </w:p>
    <w:p w:rsidR="00677EA4" w:rsidRPr="00860724" w:rsidRDefault="00677EA4" w:rsidP="008C5684">
      <w:pPr>
        <w:pStyle w:val="AddParagraf"/>
        <w:spacing w:line="276" w:lineRule="auto"/>
      </w:pPr>
      <w:r w:rsidRPr="00860724">
        <w:lastRenderedPageBreak/>
        <w:t>Evoluţia pe ultimii 5 ani a acestor indicatori, se reprezintă grafic astfel:</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2017.xls!Incarcat Trib![Grafice 2017.xls]Incarcat Trib Diagramă 1" "" \a \p \* MERGEFORMAT </w:instrText>
      </w:r>
      <w:r w:rsidRPr="00860724">
        <w:fldChar w:fldCharType="separate"/>
      </w:r>
      <w:r w:rsidR="009B0A85">
        <w:object w:dxaOrig="11020" w:dyaOrig="6254">
          <v:shape id="_x0000_i1080" type="#_x0000_t75" style="width:466.5pt;height:264.75pt">
            <v:imagedata r:id="rId66" o:title=""/>
          </v:shape>
        </w:object>
      </w:r>
      <w:r w:rsidRPr="00860724">
        <w:fldChar w:fldCharType="end"/>
      </w:r>
    </w:p>
    <w:p w:rsidR="00677EA4" w:rsidRPr="00860724" w:rsidRDefault="00677EA4" w:rsidP="00677EA4">
      <w:pPr>
        <w:spacing w:before="120" w:line="360" w:lineRule="auto"/>
        <w:jc w:val="center"/>
        <w:rPr>
          <w:lang w:val="ro-RO"/>
        </w:rPr>
      </w:pPr>
    </w:p>
    <w:p w:rsidR="00677EA4" w:rsidRPr="00860724" w:rsidRDefault="00677EA4" w:rsidP="008C5684">
      <w:pPr>
        <w:pStyle w:val="AddParagraf"/>
        <w:spacing w:line="276" w:lineRule="auto"/>
        <w:rPr>
          <w:bCs/>
        </w:rPr>
      </w:pPr>
      <w:r w:rsidRPr="00860724">
        <w:t xml:space="preserve">Instanţele care au înregistrat cea mai mare încărcătură pe judecător în anul 2017 sunt: </w:t>
      </w:r>
      <w:r w:rsidRPr="00860724">
        <w:rPr>
          <w:bCs/>
        </w:rPr>
        <w:t>Tribunalul Ilfov</w:t>
      </w:r>
      <w:r w:rsidRPr="00860724">
        <w:t xml:space="preserve"> cu </w:t>
      </w:r>
      <w:r w:rsidRPr="00860724">
        <w:rPr>
          <w:b/>
        </w:rPr>
        <w:t>1846</w:t>
      </w:r>
      <w:r w:rsidRPr="00860724">
        <w:t xml:space="preserve"> dosare/judecător (1509 dosare/judecător în 2016), </w:t>
      </w:r>
      <w:r w:rsidRPr="00860724">
        <w:rPr>
          <w:bCs/>
        </w:rPr>
        <w:t xml:space="preserve">Tribunalul Giurgiu cu </w:t>
      </w:r>
      <w:r w:rsidRPr="00860724">
        <w:rPr>
          <w:b/>
          <w:bCs/>
        </w:rPr>
        <w:t>1016</w:t>
      </w:r>
      <w:r w:rsidRPr="00860724">
        <w:rPr>
          <w:bCs/>
        </w:rPr>
        <w:t xml:space="preserve"> </w:t>
      </w:r>
      <w:r w:rsidRPr="00860724">
        <w:t>dosare/judecător</w:t>
      </w:r>
      <w:r w:rsidRPr="00860724">
        <w:rPr>
          <w:bCs/>
        </w:rPr>
        <w:t xml:space="preserve"> (1120</w:t>
      </w:r>
      <w:r w:rsidRPr="00860724">
        <w:rPr>
          <w:b/>
          <w:bCs/>
        </w:rPr>
        <w:t xml:space="preserve"> </w:t>
      </w:r>
      <w:r w:rsidRPr="00860724">
        <w:t>dosare/judecător în 2016</w:t>
      </w:r>
      <w:r w:rsidRPr="00860724">
        <w:rPr>
          <w:bCs/>
        </w:rPr>
        <w:t xml:space="preserve">), Tribunalul Argeş cu </w:t>
      </w:r>
      <w:r w:rsidRPr="00860724">
        <w:rPr>
          <w:b/>
          <w:bCs/>
        </w:rPr>
        <w:t>1014</w:t>
      </w:r>
      <w:r w:rsidRPr="00860724">
        <w:rPr>
          <w:bCs/>
        </w:rPr>
        <w:t xml:space="preserve"> </w:t>
      </w:r>
      <w:r w:rsidRPr="00860724">
        <w:t>dosare/judecător (898 dosare/judecător în 2016</w:t>
      </w:r>
      <w:r w:rsidRPr="00860724">
        <w:rPr>
          <w:bCs/>
        </w:rPr>
        <w:t xml:space="preserve">), Tribunalul Prahova cu </w:t>
      </w:r>
      <w:r w:rsidRPr="00860724">
        <w:rPr>
          <w:b/>
          <w:bCs/>
        </w:rPr>
        <w:t>1012</w:t>
      </w:r>
      <w:r w:rsidRPr="00860724">
        <w:rPr>
          <w:bCs/>
        </w:rPr>
        <w:t xml:space="preserve"> </w:t>
      </w:r>
      <w:r w:rsidRPr="00860724">
        <w:t>dosare/judecător (1078 dosare/judecător în 2016) şi</w:t>
      </w:r>
      <w:r w:rsidRPr="00860724">
        <w:rPr>
          <w:bCs/>
        </w:rPr>
        <w:t xml:space="preserve"> Tribunalul Bucureşti cu </w:t>
      </w:r>
      <w:r w:rsidRPr="00860724">
        <w:rPr>
          <w:b/>
          <w:bCs/>
        </w:rPr>
        <w:t>958</w:t>
      </w:r>
      <w:r w:rsidRPr="00860724">
        <w:t xml:space="preserve"> dosare/judecător (978 dosare/judecător în 2016).</w:t>
      </w:r>
    </w:p>
    <w:p w:rsidR="00677EA4" w:rsidRPr="00860724" w:rsidRDefault="00677EA4" w:rsidP="008C5684">
      <w:pPr>
        <w:pStyle w:val="AddParagraf"/>
        <w:spacing w:line="276" w:lineRule="auto"/>
      </w:pPr>
      <w:r w:rsidRPr="00860724">
        <w:rPr>
          <w:bCs/>
        </w:rPr>
        <w:t xml:space="preserve">Tribunalul Ilfov </w:t>
      </w:r>
      <w:r w:rsidRPr="00860724">
        <w:t xml:space="preserve">a înregistrat un deficit mediu de </w:t>
      </w:r>
      <w:r w:rsidRPr="00860724">
        <w:rPr>
          <w:b/>
        </w:rPr>
        <w:t>15</w:t>
      </w:r>
      <w:r w:rsidRPr="00860724">
        <w:t xml:space="preserve"> judecători, iar dacă schema ar fi fost complet ocupată încărcătura ar fi coborât la </w:t>
      </w:r>
      <w:r w:rsidRPr="00860724">
        <w:rPr>
          <w:b/>
        </w:rPr>
        <w:t>1009</w:t>
      </w:r>
      <w:r w:rsidRPr="00860724">
        <w:t xml:space="preserve"> dosare, rămânând totuși încărcat cu mult peste media naţională.</w:t>
      </w:r>
    </w:p>
    <w:p w:rsidR="00677EA4" w:rsidRPr="00860724" w:rsidRDefault="00677EA4" w:rsidP="008C5684">
      <w:pPr>
        <w:pStyle w:val="AddParagraf"/>
        <w:spacing w:line="276" w:lineRule="auto"/>
      </w:pPr>
      <w:r w:rsidRPr="00860724">
        <w:rPr>
          <w:bCs/>
        </w:rPr>
        <w:t xml:space="preserve">Tribunalul Gurgiu </w:t>
      </w:r>
      <w:r w:rsidRPr="00860724">
        <w:t xml:space="preserve">a înregistrat un deficit mediu de </w:t>
      </w:r>
      <w:r w:rsidRPr="00860724">
        <w:rPr>
          <w:b/>
        </w:rPr>
        <w:t>7</w:t>
      </w:r>
      <w:r w:rsidRPr="00860724">
        <w:t xml:space="preserve"> judecători iar dacă schema ar fi fost complet ocupată încărcătura ar fi coborât la </w:t>
      </w:r>
      <w:r w:rsidRPr="00860724">
        <w:rPr>
          <w:b/>
        </w:rPr>
        <w:t>711</w:t>
      </w:r>
      <w:r w:rsidRPr="00860724">
        <w:t xml:space="preserve"> dosare.</w:t>
      </w:r>
    </w:p>
    <w:p w:rsidR="00677EA4" w:rsidRPr="00860724" w:rsidRDefault="00677EA4" w:rsidP="008C5684">
      <w:pPr>
        <w:pStyle w:val="AddParagraf"/>
        <w:spacing w:line="276" w:lineRule="auto"/>
      </w:pPr>
      <w:r w:rsidRPr="00860724">
        <w:rPr>
          <w:bCs/>
        </w:rPr>
        <w:t xml:space="preserve">Tribunalul Argeş </w:t>
      </w:r>
      <w:r w:rsidRPr="00860724">
        <w:t xml:space="preserve">a înregistrat un deficit mediu de </w:t>
      </w:r>
      <w:r w:rsidRPr="00860724">
        <w:rPr>
          <w:b/>
        </w:rPr>
        <w:t>8</w:t>
      </w:r>
      <w:r w:rsidRPr="00860724">
        <w:t xml:space="preserve"> judecători iar dacă schema ar fi fost complet ocupată încărcătura ar fi coborât la </w:t>
      </w:r>
      <w:r w:rsidRPr="00860724">
        <w:rPr>
          <w:b/>
        </w:rPr>
        <w:t>801</w:t>
      </w:r>
      <w:r w:rsidRPr="00860724">
        <w:t xml:space="preserve"> dosare.</w:t>
      </w:r>
    </w:p>
    <w:p w:rsidR="00677EA4" w:rsidRPr="00860724" w:rsidRDefault="00677EA4" w:rsidP="008C5684">
      <w:pPr>
        <w:pStyle w:val="AddParagraf"/>
        <w:spacing w:line="276" w:lineRule="auto"/>
      </w:pPr>
      <w:r w:rsidRPr="00860724">
        <w:rPr>
          <w:bCs/>
        </w:rPr>
        <w:t xml:space="preserve">Tribunalul Prahova </w:t>
      </w:r>
      <w:r w:rsidRPr="00860724">
        <w:t xml:space="preserve">a înregistrat un deficit mediu de </w:t>
      </w:r>
      <w:r w:rsidRPr="00860724">
        <w:rPr>
          <w:b/>
        </w:rPr>
        <w:t>17</w:t>
      </w:r>
      <w:r w:rsidRPr="00860724">
        <w:t xml:space="preserve"> judecători iar dacă schema ar fi complet ocupată încărcătura ar fi coborât la </w:t>
      </w:r>
      <w:r w:rsidRPr="00860724">
        <w:rPr>
          <w:b/>
        </w:rPr>
        <w:t>702</w:t>
      </w:r>
      <w:r w:rsidRPr="00860724">
        <w:t xml:space="preserve"> dosare.</w:t>
      </w:r>
    </w:p>
    <w:p w:rsidR="00677EA4" w:rsidRPr="00860724" w:rsidRDefault="00677EA4" w:rsidP="008C5684">
      <w:pPr>
        <w:pStyle w:val="AddParagraf"/>
        <w:spacing w:line="276" w:lineRule="auto"/>
      </w:pPr>
      <w:r w:rsidRPr="00860724">
        <w:rPr>
          <w:bCs/>
        </w:rPr>
        <w:t xml:space="preserve">Tribunalul Bucureşti </w:t>
      </w:r>
      <w:r w:rsidRPr="00860724">
        <w:t xml:space="preserve">a înregistrat un deficit mediu de </w:t>
      </w:r>
      <w:r w:rsidRPr="00860724">
        <w:rPr>
          <w:b/>
        </w:rPr>
        <w:t>56</w:t>
      </w:r>
      <w:r w:rsidRPr="00860724">
        <w:t xml:space="preserve"> judecători iar dacă schema ar fi complet ocupată încărcătura ar fi coborât la </w:t>
      </w:r>
      <w:r w:rsidRPr="00860724">
        <w:rPr>
          <w:b/>
        </w:rPr>
        <w:t>753</w:t>
      </w:r>
      <w:r w:rsidRPr="00860724">
        <w:t xml:space="preserve"> dosare.</w:t>
      </w:r>
    </w:p>
    <w:p w:rsidR="00677EA4" w:rsidRPr="00860724" w:rsidRDefault="00677EA4" w:rsidP="008C5684">
      <w:pPr>
        <w:pStyle w:val="AddParagraf"/>
        <w:spacing w:line="276" w:lineRule="auto"/>
      </w:pPr>
      <w:r w:rsidRPr="00860724">
        <w:t>Printre instanţele cu încărcătură redusă pe judecător se remarcă</w:t>
      </w:r>
      <w:r w:rsidRPr="00860724">
        <w:rPr>
          <w:bCs/>
        </w:rPr>
        <w:t xml:space="preserve"> Tribunalul Călăraşi cu </w:t>
      </w:r>
      <w:r w:rsidRPr="00860724">
        <w:rPr>
          <w:b/>
          <w:bCs/>
        </w:rPr>
        <w:t xml:space="preserve">382 </w:t>
      </w:r>
      <w:r w:rsidRPr="00860724">
        <w:t>cauze/judecător,</w:t>
      </w:r>
      <w:r w:rsidRPr="00860724">
        <w:rPr>
          <w:bCs/>
        </w:rPr>
        <w:t xml:space="preserve"> Tribunalul </w:t>
      </w:r>
      <w:r w:rsidRPr="00860724">
        <w:t xml:space="preserve">Mehedinţi care a înregistrat un număr de </w:t>
      </w:r>
      <w:r w:rsidRPr="00860724">
        <w:rPr>
          <w:b/>
        </w:rPr>
        <w:t>434</w:t>
      </w:r>
      <w:r w:rsidRPr="00860724">
        <w:t xml:space="preserve"> cauze/judecător şi </w:t>
      </w:r>
      <w:r w:rsidRPr="00860724">
        <w:rPr>
          <w:bCs/>
        </w:rPr>
        <w:t xml:space="preserve">Tribunalul Ialomiţa </w:t>
      </w:r>
      <w:r w:rsidRPr="00860724">
        <w:t xml:space="preserve">cu </w:t>
      </w:r>
      <w:r w:rsidRPr="00860724">
        <w:rPr>
          <w:b/>
        </w:rPr>
        <w:t>488</w:t>
      </w:r>
      <w:r w:rsidRPr="00860724">
        <w:t xml:space="preserve"> cauze/judecător. </w:t>
      </w:r>
    </w:p>
    <w:p w:rsidR="00677EA4" w:rsidRPr="00860724" w:rsidRDefault="00677EA4" w:rsidP="008C5684">
      <w:pPr>
        <w:pStyle w:val="AddParagraf"/>
        <w:spacing w:line="276" w:lineRule="auto"/>
      </w:pPr>
      <w:r w:rsidRPr="00860724">
        <w:t xml:space="preserve">De asemenea, în ceea ce priveşte </w:t>
      </w:r>
      <w:r w:rsidRPr="00860724">
        <w:rPr>
          <w:b/>
        </w:rPr>
        <w:t>încărcătura pe schemă</w:t>
      </w:r>
      <w:r w:rsidRPr="00860724">
        <w:t>, în anul 2017, prima poziţie este ocupată de</w:t>
      </w:r>
      <w:r w:rsidRPr="00860724">
        <w:rPr>
          <w:bCs/>
        </w:rPr>
        <w:t xml:space="preserve"> Tribunalul Ilfov</w:t>
      </w:r>
      <w:r w:rsidRPr="00860724">
        <w:t xml:space="preserve"> cu </w:t>
      </w:r>
      <w:r w:rsidRPr="00860724">
        <w:rPr>
          <w:b/>
        </w:rPr>
        <w:t xml:space="preserve">1009 </w:t>
      </w:r>
      <w:r w:rsidRPr="00860724">
        <w:t xml:space="preserve">dosare pe schemă (840 dosare în 2016), urmat </w:t>
      </w:r>
      <w:r w:rsidRPr="00860724">
        <w:rPr>
          <w:bCs/>
        </w:rPr>
        <w:t xml:space="preserve">Tribunalul Argeş </w:t>
      </w:r>
      <w:r w:rsidRPr="00860724">
        <w:t>cu</w:t>
      </w:r>
      <w:r w:rsidRPr="00860724">
        <w:rPr>
          <w:b/>
        </w:rPr>
        <w:t xml:space="preserve"> 801</w:t>
      </w:r>
      <w:r w:rsidRPr="00860724">
        <w:t xml:space="preserve"> dosare pe schemă (716 dosare în 2016), </w:t>
      </w:r>
      <w:r w:rsidRPr="00860724">
        <w:rPr>
          <w:bCs/>
        </w:rPr>
        <w:t xml:space="preserve">Tribunalul Bucureşti </w:t>
      </w:r>
      <w:r w:rsidRPr="00860724">
        <w:t xml:space="preserve">cu </w:t>
      </w:r>
      <w:r w:rsidRPr="00860724">
        <w:rPr>
          <w:b/>
        </w:rPr>
        <w:t>753</w:t>
      </w:r>
      <w:r w:rsidRPr="00860724">
        <w:t xml:space="preserve">  dosare pe schemă (774</w:t>
      </w:r>
      <w:r w:rsidRPr="00860724">
        <w:rPr>
          <w:b/>
        </w:rPr>
        <w:t xml:space="preserve"> </w:t>
      </w:r>
      <w:r w:rsidRPr="00860724">
        <w:t xml:space="preserve">dosare </w:t>
      </w:r>
      <w:r w:rsidRPr="00860724">
        <w:lastRenderedPageBreak/>
        <w:t xml:space="preserve">în 2016), </w:t>
      </w:r>
      <w:r w:rsidRPr="00860724">
        <w:rPr>
          <w:bCs/>
        </w:rPr>
        <w:t xml:space="preserve">Tribunalul Giurgiu </w:t>
      </w:r>
      <w:r w:rsidRPr="00860724">
        <w:t xml:space="preserve">cu </w:t>
      </w:r>
      <w:r w:rsidRPr="00860724">
        <w:rPr>
          <w:b/>
        </w:rPr>
        <w:t xml:space="preserve">711 </w:t>
      </w:r>
      <w:r w:rsidRPr="00860724">
        <w:t xml:space="preserve">dosare pe schemă (723 dosare în 2016) şi </w:t>
      </w:r>
      <w:r w:rsidRPr="00860724">
        <w:rPr>
          <w:bCs/>
        </w:rPr>
        <w:t xml:space="preserve">Tribunalul Braşov cu </w:t>
      </w:r>
      <w:r w:rsidRPr="00860724">
        <w:rPr>
          <w:b/>
          <w:bCs/>
        </w:rPr>
        <w:t>711</w:t>
      </w:r>
      <w:r w:rsidRPr="00860724">
        <w:rPr>
          <w:bCs/>
        </w:rPr>
        <w:t xml:space="preserve"> </w:t>
      </w:r>
      <w:r w:rsidRPr="00860724">
        <w:t>dosare pe schemă ( 672 dosare în 2016).</w:t>
      </w:r>
    </w:p>
    <w:p w:rsidR="00677EA4" w:rsidRPr="00860724" w:rsidRDefault="00677EA4" w:rsidP="008C5684">
      <w:pPr>
        <w:pStyle w:val="AddParagraf"/>
        <w:spacing w:line="276" w:lineRule="auto"/>
      </w:pPr>
      <w:r w:rsidRPr="00860724">
        <w:t>Cea mai mică încărcătură pe schemă a înregistrat-o</w:t>
      </w:r>
      <w:r w:rsidRPr="00860724">
        <w:rPr>
          <w:bCs/>
        </w:rPr>
        <w:t xml:space="preserve"> Tribunalul Călăraşi cu </w:t>
      </w:r>
      <w:r w:rsidRPr="00860724">
        <w:rPr>
          <w:b/>
        </w:rPr>
        <w:t xml:space="preserve">349 </w:t>
      </w:r>
      <w:r w:rsidRPr="00860724">
        <w:t xml:space="preserve">dosare pe schemă urmat de </w:t>
      </w:r>
      <w:r w:rsidRPr="00860724">
        <w:rPr>
          <w:bCs/>
        </w:rPr>
        <w:t xml:space="preserve">Tribunalul Mehedinţi cu </w:t>
      </w:r>
      <w:r w:rsidRPr="00860724">
        <w:rPr>
          <w:b/>
        </w:rPr>
        <w:t>375</w:t>
      </w:r>
      <w:r w:rsidRPr="00860724">
        <w:t xml:space="preserve"> dosare pe schemă şi </w:t>
      </w:r>
      <w:r w:rsidRPr="00860724">
        <w:rPr>
          <w:bCs/>
        </w:rPr>
        <w:t xml:space="preserve">Tribunalul Ialomiţa </w:t>
      </w:r>
      <w:r w:rsidRPr="00860724">
        <w:t xml:space="preserve">cu </w:t>
      </w:r>
      <w:r w:rsidRPr="00860724">
        <w:rPr>
          <w:b/>
        </w:rPr>
        <w:t xml:space="preserve">409 </w:t>
      </w:r>
      <w:r w:rsidRPr="00860724">
        <w:t>dosare pe schemă.</w:t>
      </w:r>
    </w:p>
    <w:p w:rsidR="00677EA4" w:rsidRPr="00860724" w:rsidRDefault="00677EA4" w:rsidP="00677EA4">
      <w:pPr>
        <w:pStyle w:val="AddParagraf"/>
        <w:rPr>
          <w:b/>
        </w:rPr>
      </w:pPr>
    </w:p>
    <w:p w:rsidR="00677EA4" w:rsidRPr="00860724" w:rsidRDefault="00677EA4" w:rsidP="008C5684">
      <w:pPr>
        <w:pStyle w:val="AddParagraf"/>
        <w:spacing w:line="276" w:lineRule="auto"/>
        <w:rPr>
          <w:b/>
        </w:rPr>
      </w:pPr>
      <w:r w:rsidRPr="00860724">
        <w:rPr>
          <w:b/>
        </w:rPr>
        <w:t>Încărcătura la nivelul tribunalelor specializate</w:t>
      </w:r>
    </w:p>
    <w:p w:rsidR="00677EA4" w:rsidRPr="00860724" w:rsidRDefault="00677EA4" w:rsidP="008C5684">
      <w:pPr>
        <w:pStyle w:val="AddParagraf"/>
        <w:spacing w:line="276" w:lineRule="auto"/>
      </w:pPr>
      <w:r w:rsidRPr="00860724">
        <w:t>La nivelul celor patru tribunale specializate s-a reţinut următoarea situaţie: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10"/>
        <w:gridCol w:w="2524"/>
        <w:gridCol w:w="2688"/>
      </w:tblGrid>
      <w:tr w:rsidR="00677EA4" w:rsidRPr="00860724" w:rsidTr="00D60C7C">
        <w:trPr>
          <w:jc w:val="center"/>
        </w:trPr>
        <w:tc>
          <w:tcPr>
            <w:tcW w:w="4410" w:type="dxa"/>
            <w:tcBorders>
              <w:top w:val="single" w:sz="12" w:space="0" w:color="auto"/>
              <w:bottom w:val="single" w:sz="12" w:space="0" w:color="auto"/>
            </w:tcBorders>
            <w:shd w:val="clear" w:color="auto" w:fill="99CCFF"/>
            <w:vAlign w:val="center"/>
          </w:tcPr>
          <w:p w:rsidR="00677EA4" w:rsidRPr="00860724" w:rsidRDefault="00677EA4" w:rsidP="008C5684">
            <w:pPr>
              <w:spacing w:before="120" w:line="276" w:lineRule="auto"/>
              <w:jc w:val="center"/>
              <w:rPr>
                <w:b/>
                <w:lang w:val="ro-RO"/>
              </w:rPr>
            </w:pPr>
            <w:r w:rsidRPr="00860724">
              <w:rPr>
                <w:b/>
                <w:lang w:val="ro-RO"/>
              </w:rPr>
              <w:t>Instanţa</w:t>
            </w:r>
          </w:p>
        </w:tc>
        <w:tc>
          <w:tcPr>
            <w:tcW w:w="2524" w:type="dxa"/>
            <w:tcBorders>
              <w:top w:val="single" w:sz="12" w:space="0" w:color="auto"/>
              <w:bottom w:val="single" w:sz="12" w:space="0" w:color="auto"/>
            </w:tcBorders>
            <w:shd w:val="clear" w:color="auto" w:fill="99CCFF"/>
            <w:vAlign w:val="center"/>
          </w:tcPr>
          <w:p w:rsidR="00677EA4" w:rsidRPr="00860724" w:rsidRDefault="00677EA4" w:rsidP="008C5684">
            <w:pPr>
              <w:spacing w:before="120" w:line="276" w:lineRule="auto"/>
              <w:jc w:val="both"/>
              <w:rPr>
                <w:b/>
                <w:lang w:val="ro-RO"/>
              </w:rPr>
            </w:pPr>
            <w:r w:rsidRPr="00860724">
              <w:rPr>
                <w:b/>
                <w:lang w:val="ro-RO"/>
              </w:rPr>
              <w:t>Încărcătura pe schemă</w:t>
            </w:r>
          </w:p>
        </w:tc>
        <w:tc>
          <w:tcPr>
            <w:tcW w:w="2688" w:type="dxa"/>
            <w:tcBorders>
              <w:top w:val="single" w:sz="12" w:space="0" w:color="auto"/>
              <w:bottom w:val="single" w:sz="12" w:space="0" w:color="auto"/>
            </w:tcBorders>
            <w:shd w:val="clear" w:color="auto" w:fill="99CCFF"/>
            <w:vAlign w:val="center"/>
          </w:tcPr>
          <w:p w:rsidR="00677EA4" w:rsidRPr="00860724" w:rsidRDefault="00677EA4" w:rsidP="008C5684">
            <w:pPr>
              <w:spacing w:before="120" w:line="276" w:lineRule="auto"/>
              <w:jc w:val="both"/>
              <w:rPr>
                <w:b/>
                <w:lang w:val="ro-RO"/>
              </w:rPr>
            </w:pPr>
            <w:r w:rsidRPr="00860724">
              <w:rPr>
                <w:b/>
                <w:lang w:val="ro-RO"/>
              </w:rPr>
              <w:t>Încărcătura pe judecător</w:t>
            </w:r>
          </w:p>
        </w:tc>
      </w:tr>
      <w:tr w:rsidR="00677EA4" w:rsidRPr="00860724" w:rsidTr="00D60C7C">
        <w:trPr>
          <w:trHeight w:val="120"/>
          <w:jc w:val="center"/>
        </w:trPr>
        <w:tc>
          <w:tcPr>
            <w:tcW w:w="4410" w:type="dxa"/>
            <w:tcBorders>
              <w:top w:val="single" w:sz="12" w:space="0" w:color="auto"/>
            </w:tcBorders>
            <w:shd w:val="clear" w:color="auto" w:fill="auto"/>
            <w:vAlign w:val="center"/>
          </w:tcPr>
          <w:p w:rsidR="00677EA4" w:rsidRPr="00860724" w:rsidRDefault="00677EA4" w:rsidP="008C5684">
            <w:pPr>
              <w:spacing w:before="120" w:line="276" w:lineRule="auto"/>
              <w:jc w:val="both"/>
              <w:rPr>
                <w:lang w:val="ro-RO"/>
              </w:rPr>
            </w:pPr>
            <w:r w:rsidRPr="00860724">
              <w:rPr>
                <w:lang w:val="ro-RO"/>
              </w:rPr>
              <w:t>Tribunalul pentru minori şi familie Braşov</w:t>
            </w:r>
          </w:p>
        </w:tc>
        <w:tc>
          <w:tcPr>
            <w:tcW w:w="2524" w:type="dxa"/>
            <w:tcBorders>
              <w:top w:val="single" w:sz="12" w:space="0" w:color="auto"/>
            </w:tcBorders>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326</w:t>
            </w:r>
          </w:p>
        </w:tc>
        <w:tc>
          <w:tcPr>
            <w:tcW w:w="2688" w:type="dxa"/>
            <w:tcBorders>
              <w:top w:val="single" w:sz="12" w:space="0" w:color="auto"/>
            </w:tcBorders>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332</w:t>
            </w:r>
          </w:p>
        </w:tc>
      </w:tr>
      <w:tr w:rsidR="00677EA4" w:rsidRPr="00860724" w:rsidTr="00D60C7C">
        <w:trPr>
          <w:trHeight w:val="324"/>
          <w:jc w:val="center"/>
        </w:trPr>
        <w:tc>
          <w:tcPr>
            <w:tcW w:w="4410" w:type="dxa"/>
            <w:shd w:val="clear" w:color="auto" w:fill="auto"/>
            <w:vAlign w:val="center"/>
          </w:tcPr>
          <w:p w:rsidR="00677EA4" w:rsidRPr="00860724" w:rsidRDefault="00677EA4" w:rsidP="008C5684">
            <w:pPr>
              <w:spacing w:before="120" w:line="276" w:lineRule="auto"/>
              <w:jc w:val="both"/>
              <w:rPr>
                <w:lang w:val="ro-RO"/>
              </w:rPr>
            </w:pPr>
            <w:r w:rsidRPr="00860724">
              <w:rPr>
                <w:lang w:val="ro-RO"/>
              </w:rPr>
              <w:t>Tribunalul specializat Argeş</w:t>
            </w:r>
          </w:p>
        </w:tc>
        <w:tc>
          <w:tcPr>
            <w:tcW w:w="2524"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381</w:t>
            </w:r>
          </w:p>
        </w:tc>
        <w:tc>
          <w:tcPr>
            <w:tcW w:w="2688"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556</w:t>
            </w:r>
          </w:p>
        </w:tc>
      </w:tr>
      <w:tr w:rsidR="00677EA4" w:rsidRPr="00860724" w:rsidTr="00D60C7C">
        <w:trPr>
          <w:trHeight w:val="290"/>
          <w:jc w:val="center"/>
        </w:trPr>
        <w:tc>
          <w:tcPr>
            <w:tcW w:w="4410" w:type="dxa"/>
            <w:shd w:val="clear" w:color="auto" w:fill="auto"/>
            <w:vAlign w:val="center"/>
          </w:tcPr>
          <w:p w:rsidR="00677EA4" w:rsidRPr="00860724" w:rsidRDefault="00677EA4" w:rsidP="008C5684">
            <w:pPr>
              <w:spacing w:before="120" w:line="276" w:lineRule="auto"/>
              <w:jc w:val="both"/>
              <w:rPr>
                <w:lang w:val="ro-RO"/>
              </w:rPr>
            </w:pPr>
            <w:r w:rsidRPr="00860724">
              <w:rPr>
                <w:lang w:val="ro-RO"/>
              </w:rPr>
              <w:t>Tribunalul specializat Cluj</w:t>
            </w:r>
          </w:p>
        </w:tc>
        <w:tc>
          <w:tcPr>
            <w:tcW w:w="2524"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771</w:t>
            </w:r>
          </w:p>
        </w:tc>
        <w:tc>
          <w:tcPr>
            <w:tcW w:w="2688"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1080</w:t>
            </w:r>
          </w:p>
        </w:tc>
      </w:tr>
      <w:tr w:rsidR="00677EA4" w:rsidRPr="00860724" w:rsidTr="00D60C7C">
        <w:trPr>
          <w:trHeight w:val="442"/>
          <w:jc w:val="center"/>
        </w:trPr>
        <w:tc>
          <w:tcPr>
            <w:tcW w:w="4410" w:type="dxa"/>
            <w:shd w:val="clear" w:color="auto" w:fill="auto"/>
            <w:vAlign w:val="center"/>
          </w:tcPr>
          <w:p w:rsidR="00677EA4" w:rsidRPr="00860724" w:rsidRDefault="00677EA4" w:rsidP="008C5684">
            <w:pPr>
              <w:spacing w:before="120" w:line="276" w:lineRule="auto"/>
              <w:jc w:val="both"/>
              <w:rPr>
                <w:lang w:val="ro-RO"/>
              </w:rPr>
            </w:pPr>
            <w:r w:rsidRPr="00860724">
              <w:rPr>
                <w:lang w:val="ro-RO"/>
              </w:rPr>
              <w:t>Tribunalul specializat Mureş</w:t>
            </w:r>
          </w:p>
        </w:tc>
        <w:tc>
          <w:tcPr>
            <w:tcW w:w="2524"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648</w:t>
            </w:r>
          </w:p>
        </w:tc>
        <w:tc>
          <w:tcPr>
            <w:tcW w:w="2688" w:type="dxa"/>
            <w:shd w:val="clear" w:color="auto" w:fill="auto"/>
            <w:vAlign w:val="center"/>
          </w:tcPr>
          <w:p w:rsidR="00677EA4" w:rsidRPr="00860724" w:rsidRDefault="00677EA4" w:rsidP="008C5684">
            <w:pPr>
              <w:spacing w:before="120" w:line="276" w:lineRule="auto"/>
              <w:jc w:val="center"/>
              <w:rPr>
                <w:b/>
                <w:lang w:val="ro-RO"/>
              </w:rPr>
            </w:pPr>
            <w:r w:rsidRPr="00860724">
              <w:rPr>
                <w:b/>
                <w:lang w:val="ro-RO"/>
              </w:rPr>
              <w:t>780</w:t>
            </w:r>
          </w:p>
        </w:tc>
      </w:tr>
    </w:tbl>
    <w:p w:rsidR="00677EA4" w:rsidRPr="00860724" w:rsidRDefault="00677EA4" w:rsidP="00677EA4">
      <w:pPr>
        <w:spacing w:line="360" w:lineRule="auto"/>
        <w:jc w:val="both"/>
        <w:rPr>
          <w:lang w:val="ro-RO"/>
        </w:rPr>
      </w:pPr>
    </w:p>
    <w:p w:rsidR="00677EA4" w:rsidRPr="00860724" w:rsidRDefault="00677EA4" w:rsidP="008C5684">
      <w:pPr>
        <w:pStyle w:val="Titlu3"/>
      </w:pPr>
      <w:bookmarkStart w:id="29" w:name="_Toc411333483"/>
      <w:bookmarkStart w:id="30" w:name="_Toc411429418"/>
      <w:bookmarkStart w:id="31" w:name="_Toc506288005"/>
      <w:r w:rsidRPr="00860724">
        <w:t>I.2.4. Încărcătura la nivelul judecătoriilor</w:t>
      </w:r>
      <w:bookmarkEnd w:id="29"/>
      <w:bookmarkEnd w:id="30"/>
      <w:bookmarkEnd w:id="31"/>
      <w:r w:rsidRPr="00860724">
        <w:t xml:space="preserve"> </w:t>
      </w:r>
    </w:p>
    <w:p w:rsidR="00677EA4" w:rsidRPr="00860724" w:rsidRDefault="00677EA4" w:rsidP="008C5684">
      <w:pPr>
        <w:pStyle w:val="AddParagraf"/>
        <w:spacing w:line="276" w:lineRule="auto"/>
      </w:pPr>
      <w:r w:rsidRPr="00860724">
        <w:t xml:space="preserve">În perioada de referinţă s-a înregistrat o încărcătură medie a cauzelor pe schemă de </w:t>
      </w:r>
      <w:r w:rsidRPr="00860724">
        <w:rPr>
          <w:b/>
        </w:rPr>
        <w:t>869</w:t>
      </w:r>
      <w:r w:rsidRPr="00860724">
        <w:t xml:space="preserve">  cauze (874 cauze în 2016) şi o încărcătură pe judecător de</w:t>
      </w:r>
      <w:r w:rsidRPr="00860724">
        <w:rPr>
          <w:b/>
        </w:rPr>
        <w:t xml:space="preserve"> 1119 </w:t>
      </w:r>
      <w:r w:rsidRPr="00860724">
        <w:t>cauze (1083 cauze în 2016).</w:t>
      </w:r>
    </w:p>
    <w:p w:rsidR="00677EA4" w:rsidRPr="00860724" w:rsidRDefault="00677EA4" w:rsidP="008C5684">
      <w:pPr>
        <w:pStyle w:val="AddParagraf"/>
        <w:spacing w:line="276" w:lineRule="auto"/>
      </w:pPr>
      <w:r w:rsidRPr="00860724">
        <w:t>Din punct de vedere grafic, evoluţia  încărcăturii pe judecător în ultimii 5 ani, se prezintă după cum urmează:</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2017.xls!Incarcat Jud![Grafice 2017.xls]Incarcat Jud Diagramă 1" "" \a \p \* MERGEFORMAT </w:instrText>
      </w:r>
      <w:r w:rsidRPr="00860724">
        <w:fldChar w:fldCharType="separate"/>
      </w:r>
      <w:r w:rsidR="009B0A85">
        <w:object w:dxaOrig="11923" w:dyaOrig="6573">
          <v:shape id="_x0000_i1081" type="#_x0000_t75" style="width:495.75pt;height:273.75pt">
            <v:imagedata r:id="rId67" o:title=""/>
          </v:shape>
        </w:object>
      </w:r>
      <w:r w:rsidRPr="00860724">
        <w:fldChar w:fldCharType="end"/>
      </w:r>
    </w:p>
    <w:p w:rsidR="00677EA4" w:rsidRPr="00860724" w:rsidRDefault="00677EA4" w:rsidP="008C5684">
      <w:pPr>
        <w:pStyle w:val="AddParagraf"/>
        <w:spacing w:line="276" w:lineRule="auto"/>
        <w:ind w:firstLine="0"/>
      </w:pPr>
      <w:r w:rsidRPr="00860724">
        <w:lastRenderedPageBreak/>
        <w:tab/>
        <w:t>Comparativ cu anul 2016</w:t>
      </w:r>
      <w:r w:rsidR="00CC3F11" w:rsidRPr="00860724">
        <w:t>,</w:t>
      </w:r>
      <w:r w:rsidRPr="00860724">
        <w:t xml:space="preserve"> încărcătura pe judecător a crescut cu </w:t>
      </w:r>
      <w:r w:rsidRPr="00860724">
        <w:rPr>
          <w:b/>
        </w:rPr>
        <w:t xml:space="preserve">36 </w:t>
      </w:r>
      <w:r w:rsidRPr="00860724">
        <w:t xml:space="preserve">dosare, ceea ce reprezintă o creştere cu </w:t>
      </w:r>
      <w:r w:rsidRPr="00860724">
        <w:rPr>
          <w:b/>
        </w:rPr>
        <w:t>3,32 %</w:t>
      </w:r>
      <w:r w:rsidRPr="00860724">
        <w:t xml:space="preserve"> iar încărcătura pe schemă a scăzut cu </w:t>
      </w:r>
      <w:r w:rsidRPr="00860724">
        <w:rPr>
          <w:b/>
        </w:rPr>
        <w:t xml:space="preserve">5 </w:t>
      </w:r>
      <w:r w:rsidRPr="00860724">
        <w:t xml:space="preserve">dosare, ceea ce reprezintă o scădere cu </w:t>
      </w:r>
      <w:r w:rsidRPr="00860724">
        <w:rPr>
          <w:b/>
        </w:rPr>
        <w:t>0,57 %</w:t>
      </w:r>
      <w:r w:rsidRPr="00860724">
        <w:t>.</w:t>
      </w:r>
    </w:p>
    <w:p w:rsidR="00677EA4" w:rsidRPr="00860724" w:rsidRDefault="00677EA4" w:rsidP="008C5684">
      <w:pPr>
        <w:pStyle w:val="AddParagraf"/>
        <w:spacing w:line="276" w:lineRule="auto"/>
      </w:pPr>
      <w:r w:rsidRPr="00860724">
        <w:t>Printre instanţele ce au înregistrat în anul 2017 o încărcătură excesivă pe judecător sunt următoarele:</w:t>
      </w:r>
      <w:r w:rsidRPr="00860724">
        <w:rPr>
          <w:bCs/>
        </w:rPr>
        <w:t xml:space="preserve"> Judecătoria Râmnicu Sărat </w:t>
      </w:r>
      <w:r w:rsidRPr="00860724">
        <w:t xml:space="preserve">(2339 dosare/judecător), </w:t>
      </w:r>
      <w:r w:rsidRPr="00860724">
        <w:rPr>
          <w:bCs/>
        </w:rPr>
        <w:t xml:space="preserve">Judecătoria Bârlad </w:t>
      </w:r>
      <w:r w:rsidRPr="00860724">
        <w:t>(2158 dosare/judecător),</w:t>
      </w:r>
      <w:r w:rsidRPr="00860724">
        <w:rPr>
          <w:bCs/>
        </w:rPr>
        <w:t xml:space="preserve"> Judecătoria Tulcea </w:t>
      </w:r>
      <w:r w:rsidRPr="00860724">
        <w:t>(1986 dosare/judecător),</w:t>
      </w:r>
      <w:r w:rsidRPr="00860724">
        <w:rPr>
          <w:bCs/>
        </w:rPr>
        <w:t xml:space="preserve"> Judecătoria Olteniţa </w:t>
      </w:r>
      <w:r w:rsidRPr="00860724">
        <w:t>(1984 dosare/judecător),</w:t>
      </w:r>
      <w:r w:rsidRPr="00860724">
        <w:rPr>
          <w:bCs/>
        </w:rPr>
        <w:t xml:space="preserve"> Judecătoria Săveni </w:t>
      </w:r>
      <w:r w:rsidRPr="00860724">
        <w:t>(1900 dosare/judecător),</w:t>
      </w:r>
      <w:r w:rsidRPr="00860724">
        <w:rPr>
          <w:bCs/>
        </w:rPr>
        <w:t xml:space="preserve"> Judecătoria Sebeş </w:t>
      </w:r>
      <w:r w:rsidRPr="00860724">
        <w:t xml:space="preserve">(1899 dosare/judecător) şi </w:t>
      </w:r>
      <w:r w:rsidR="00CC3F11" w:rsidRPr="00860724">
        <w:rPr>
          <w:bCs/>
        </w:rPr>
        <w:t>Judecătoria Pătâ</w:t>
      </w:r>
      <w:r w:rsidRPr="00860724">
        <w:rPr>
          <w:bCs/>
        </w:rPr>
        <w:t xml:space="preserve">rlagele </w:t>
      </w:r>
      <w:r w:rsidRPr="00860724">
        <w:t>(1888 dosare/judecător).</w:t>
      </w:r>
    </w:p>
    <w:p w:rsidR="00677EA4" w:rsidRPr="00860724" w:rsidRDefault="00677EA4" w:rsidP="008C5684">
      <w:pPr>
        <w:pStyle w:val="AddParagraf"/>
        <w:spacing w:line="276" w:lineRule="auto"/>
        <w:rPr>
          <w:bCs/>
        </w:rPr>
      </w:pPr>
      <w:r w:rsidRPr="00860724">
        <w:rPr>
          <w:bCs/>
        </w:rPr>
        <w:t>Din punct de vedere al personalului, Judecătoria Râmnicu Sărat</w:t>
      </w:r>
      <w:r w:rsidRPr="00860724">
        <w:t xml:space="preserve"> a înregistrat un deficit de </w:t>
      </w:r>
      <w:r w:rsidRPr="00860724">
        <w:rPr>
          <w:b/>
        </w:rPr>
        <w:t xml:space="preserve">4 </w:t>
      </w:r>
      <w:r w:rsidRPr="00860724">
        <w:t xml:space="preserve">posturi, </w:t>
      </w:r>
      <w:r w:rsidRPr="00860724">
        <w:rPr>
          <w:bCs/>
        </w:rPr>
        <w:t xml:space="preserve">Judecătoria Bârlad a </w:t>
      </w:r>
      <w:r w:rsidRPr="00860724">
        <w:t xml:space="preserve">înregistrat un deficit de </w:t>
      </w:r>
      <w:r w:rsidRPr="00860724">
        <w:rPr>
          <w:b/>
        </w:rPr>
        <w:t xml:space="preserve">5 </w:t>
      </w:r>
      <w:r w:rsidRPr="00860724">
        <w:t xml:space="preserve">posturi, </w:t>
      </w:r>
      <w:r w:rsidRPr="00860724">
        <w:rPr>
          <w:bCs/>
        </w:rPr>
        <w:t xml:space="preserve">Judecătoria Tulcea a </w:t>
      </w:r>
      <w:r w:rsidRPr="00860724">
        <w:t xml:space="preserve">înregistrat un deficit de </w:t>
      </w:r>
      <w:r w:rsidRPr="00860724">
        <w:rPr>
          <w:b/>
        </w:rPr>
        <w:t xml:space="preserve">7 </w:t>
      </w:r>
      <w:r w:rsidRPr="00860724">
        <w:t xml:space="preserve">posturi, </w:t>
      </w:r>
      <w:r w:rsidRPr="00860724">
        <w:rPr>
          <w:bCs/>
        </w:rPr>
        <w:t xml:space="preserve">Judecătoria Olteniţa a </w:t>
      </w:r>
      <w:r w:rsidRPr="00860724">
        <w:t xml:space="preserve">înregistrat un deficit de </w:t>
      </w:r>
      <w:r w:rsidRPr="00860724">
        <w:rPr>
          <w:b/>
        </w:rPr>
        <w:t xml:space="preserve">3 </w:t>
      </w:r>
      <w:r w:rsidRPr="00860724">
        <w:t xml:space="preserve">posturi, </w:t>
      </w:r>
      <w:r w:rsidRPr="00860724">
        <w:rPr>
          <w:bCs/>
        </w:rPr>
        <w:t xml:space="preserve">Judecătoria Săveni a </w:t>
      </w:r>
      <w:r w:rsidRPr="00860724">
        <w:t xml:space="preserve">înregistrat un deficit de </w:t>
      </w:r>
      <w:r w:rsidRPr="00860724">
        <w:rPr>
          <w:b/>
        </w:rPr>
        <w:t xml:space="preserve">3 </w:t>
      </w:r>
      <w:r w:rsidRPr="00860724">
        <w:t xml:space="preserve">posturi, </w:t>
      </w:r>
      <w:r w:rsidRPr="00860724">
        <w:rPr>
          <w:bCs/>
        </w:rPr>
        <w:t xml:space="preserve">Judecătoria Sebeş a </w:t>
      </w:r>
      <w:r w:rsidRPr="00860724">
        <w:t xml:space="preserve">înregistrat un deficit de </w:t>
      </w:r>
      <w:r w:rsidRPr="00860724">
        <w:rPr>
          <w:b/>
        </w:rPr>
        <w:t xml:space="preserve">2 </w:t>
      </w:r>
      <w:r w:rsidRPr="00860724">
        <w:t xml:space="preserve">posturi şi </w:t>
      </w:r>
      <w:r w:rsidRPr="00860724">
        <w:rPr>
          <w:bCs/>
        </w:rPr>
        <w:t xml:space="preserve">Judecătoria Pătîrlagele a </w:t>
      </w:r>
      <w:r w:rsidRPr="00860724">
        <w:t xml:space="preserve">înregistrat un deficit de </w:t>
      </w:r>
      <w:r w:rsidRPr="00860724">
        <w:rPr>
          <w:b/>
        </w:rPr>
        <w:t xml:space="preserve">4 </w:t>
      </w:r>
      <w:r w:rsidRPr="00860724">
        <w:t>posturi.</w:t>
      </w:r>
    </w:p>
    <w:p w:rsidR="00677EA4" w:rsidRPr="00860724" w:rsidRDefault="00677EA4" w:rsidP="008C5684">
      <w:pPr>
        <w:pStyle w:val="AddParagraf"/>
        <w:spacing w:line="276" w:lineRule="auto"/>
      </w:pPr>
      <w:r w:rsidRPr="00860724">
        <w:t>Dacă schemele acestor instanţe ar fi ocupate complet, încărcăturile ar scădea până la valorile calculate pentru încărcătura pe schemă, acestea fiind prezentate în tabelul de mai jos.</w:t>
      </w:r>
    </w:p>
    <w:tbl>
      <w:tblPr>
        <w:tblW w:w="6714" w:type="dxa"/>
        <w:jc w:val="center"/>
        <w:tblLook w:val="0000" w:firstRow="0" w:lastRow="0" w:firstColumn="0" w:lastColumn="0" w:noHBand="0" w:noVBand="0"/>
      </w:tblPr>
      <w:tblGrid>
        <w:gridCol w:w="3081"/>
        <w:gridCol w:w="3633"/>
      </w:tblGrid>
      <w:tr w:rsidR="00677EA4" w:rsidRPr="00860724" w:rsidTr="00D60C7C">
        <w:trPr>
          <w:trHeight w:val="315"/>
          <w:jc w:val="center"/>
        </w:trPr>
        <w:tc>
          <w:tcPr>
            <w:tcW w:w="3081"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Instanţa</w:t>
            </w:r>
          </w:p>
        </w:tc>
        <w:tc>
          <w:tcPr>
            <w:tcW w:w="3633"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lang w:val="ro-RO"/>
              </w:rPr>
            </w:pPr>
            <w:r w:rsidRPr="00860724">
              <w:rPr>
                <w:b/>
                <w:lang w:val="ro-RO"/>
              </w:rPr>
              <w:t>Încărcătura (dosare pe judecător)</w:t>
            </w:r>
          </w:p>
        </w:tc>
      </w:tr>
      <w:tr w:rsidR="00677EA4" w:rsidRPr="00860724" w:rsidTr="00D60C7C">
        <w:trPr>
          <w:trHeight w:val="315"/>
          <w:jc w:val="center"/>
        </w:trPr>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RAMNICU SARAT</w:t>
            </w:r>
          </w:p>
        </w:tc>
        <w:tc>
          <w:tcPr>
            <w:tcW w:w="3633"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969</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BARLAD</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1101</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TULCEA</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1064</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OLTENITA</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1190</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SAVENI</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874</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SEBES</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997</w:t>
            </w:r>
          </w:p>
        </w:tc>
      </w:tr>
      <w:tr w:rsidR="00677EA4" w:rsidRPr="00860724" w:rsidTr="00D60C7C">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PATARLAGELE</w:t>
            </w:r>
          </w:p>
        </w:tc>
        <w:tc>
          <w:tcPr>
            <w:tcW w:w="3633"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724</w:t>
            </w:r>
          </w:p>
        </w:tc>
      </w:tr>
    </w:tbl>
    <w:p w:rsidR="00CC3F11" w:rsidRPr="00860724" w:rsidRDefault="00CC3F11" w:rsidP="008C5684">
      <w:pPr>
        <w:pStyle w:val="AddParagraf"/>
        <w:spacing w:line="276" w:lineRule="auto"/>
      </w:pPr>
    </w:p>
    <w:p w:rsidR="00677EA4" w:rsidRPr="00860724" w:rsidRDefault="00677EA4" w:rsidP="008C5684">
      <w:pPr>
        <w:pStyle w:val="AddParagraf"/>
        <w:spacing w:line="276" w:lineRule="auto"/>
      </w:pPr>
      <w:r w:rsidRPr="00860724">
        <w:t>După cum se observă</w:t>
      </w:r>
      <w:r w:rsidR="00CC3F11" w:rsidRPr="00860724">
        <w:t>, chiar</w:t>
      </w:r>
      <w:r w:rsidRPr="00860724">
        <w:t xml:space="preserve"> şi în aceste condiţii</w:t>
      </w:r>
      <w:r w:rsidR="00CC3F11" w:rsidRPr="00860724">
        <w:t>,</w:t>
      </w:r>
      <w:r w:rsidRPr="00860724">
        <w:t xml:space="preserve"> trei dintre instanţe ar menţine o încărcătură pe judecător de peste 1.000 de dosare.</w:t>
      </w:r>
    </w:p>
    <w:p w:rsidR="00677EA4" w:rsidRPr="00860724" w:rsidRDefault="00677EA4" w:rsidP="008C5684">
      <w:pPr>
        <w:pStyle w:val="AddParagraf"/>
        <w:spacing w:line="276" w:lineRule="auto"/>
      </w:pPr>
      <w:r w:rsidRPr="00860724">
        <w:t>În ceea ce priveşte încărcătura pe schemă, în anul 2017, judecătoriile cu cea mai mare încărcătură pe schemă sunt prezentate în tabelul de mai jos.</w:t>
      </w:r>
    </w:p>
    <w:tbl>
      <w:tblPr>
        <w:tblW w:w="6194" w:type="dxa"/>
        <w:jc w:val="center"/>
        <w:tblLook w:val="0000" w:firstRow="0" w:lastRow="0" w:firstColumn="0" w:lastColumn="0" w:noHBand="0" w:noVBand="0"/>
      </w:tblPr>
      <w:tblGrid>
        <w:gridCol w:w="3576"/>
        <w:gridCol w:w="2618"/>
      </w:tblGrid>
      <w:tr w:rsidR="00677EA4" w:rsidRPr="00860724" w:rsidTr="00D60C7C">
        <w:trPr>
          <w:trHeight w:val="315"/>
          <w:jc w:val="center"/>
        </w:trPr>
        <w:tc>
          <w:tcPr>
            <w:tcW w:w="3576"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Instanţa</w:t>
            </w:r>
          </w:p>
        </w:tc>
        <w:tc>
          <w:tcPr>
            <w:tcW w:w="2618"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Încărcătura pe schemă</w:t>
            </w:r>
          </w:p>
        </w:tc>
      </w:tr>
      <w:tr w:rsidR="00677EA4" w:rsidRPr="00860724" w:rsidTr="00D60C7C">
        <w:trPr>
          <w:trHeight w:val="315"/>
          <w:jc w:val="center"/>
        </w:trPr>
        <w:tc>
          <w:tcPr>
            <w:tcW w:w="3576"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CORNETU</w:t>
            </w:r>
          </w:p>
        </w:tc>
        <w:tc>
          <w:tcPr>
            <w:tcW w:w="2618"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1363</w:t>
            </w:r>
          </w:p>
        </w:tc>
      </w:tr>
      <w:tr w:rsidR="00677EA4" w:rsidRPr="00860724" w:rsidTr="00D60C7C">
        <w:trPr>
          <w:trHeight w:val="315"/>
          <w:jc w:val="center"/>
        </w:trPr>
        <w:tc>
          <w:tcPr>
            <w:tcW w:w="3576"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SANNICOLAUL MARE</w:t>
            </w:r>
          </w:p>
        </w:tc>
        <w:tc>
          <w:tcPr>
            <w:tcW w:w="261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1285</w:t>
            </w:r>
          </w:p>
        </w:tc>
      </w:tr>
      <w:tr w:rsidR="00677EA4" w:rsidRPr="00860724" w:rsidTr="00D60C7C">
        <w:trPr>
          <w:trHeight w:val="315"/>
          <w:jc w:val="center"/>
        </w:trPr>
        <w:tc>
          <w:tcPr>
            <w:tcW w:w="3576"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BECLEAN</w:t>
            </w:r>
          </w:p>
        </w:tc>
        <w:tc>
          <w:tcPr>
            <w:tcW w:w="261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1269</w:t>
            </w:r>
          </w:p>
        </w:tc>
      </w:tr>
      <w:tr w:rsidR="00677EA4" w:rsidRPr="00860724" w:rsidTr="00D60C7C">
        <w:trPr>
          <w:trHeight w:val="315"/>
          <w:jc w:val="center"/>
        </w:trPr>
        <w:tc>
          <w:tcPr>
            <w:tcW w:w="3576"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TARGU SECUIESC</w:t>
            </w:r>
          </w:p>
        </w:tc>
        <w:tc>
          <w:tcPr>
            <w:tcW w:w="261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1267</w:t>
            </w:r>
          </w:p>
        </w:tc>
      </w:tr>
      <w:tr w:rsidR="00677EA4" w:rsidRPr="00860724" w:rsidTr="00D60C7C">
        <w:trPr>
          <w:trHeight w:val="315"/>
          <w:jc w:val="center"/>
        </w:trPr>
        <w:tc>
          <w:tcPr>
            <w:tcW w:w="3576"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BOLINTIN VALE</w:t>
            </w:r>
          </w:p>
        </w:tc>
        <w:tc>
          <w:tcPr>
            <w:tcW w:w="261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1257</w:t>
            </w:r>
          </w:p>
        </w:tc>
      </w:tr>
      <w:tr w:rsidR="00677EA4" w:rsidRPr="00860724" w:rsidTr="00D60C7C">
        <w:trPr>
          <w:trHeight w:val="315"/>
          <w:jc w:val="center"/>
        </w:trPr>
        <w:tc>
          <w:tcPr>
            <w:tcW w:w="3576"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MOTRU</w:t>
            </w:r>
          </w:p>
        </w:tc>
        <w:tc>
          <w:tcPr>
            <w:tcW w:w="261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1245</w:t>
            </w:r>
          </w:p>
        </w:tc>
      </w:tr>
    </w:tbl>
    <w:p w:rsidR="00677EA4" w:rsidRPr="00860724" w:rsidRDefault="00677EA4" w:rsidP="00677EA4">
      <w:pPr>
        <w:spacing w:before="120"/>
        <w:jc w:val="both"/>
        <w:rPr>
          <w:lang w:val="ro-RO"/>
        </w:rPr>
      </w:pPr>
      <w:r w:rsidRPr="00860724">
        <w:rPr>
          <w:lang w:val="ro-RO"/>
        </w:rPr>
        <w:tab/>
        <w:t xml:space="preserve"> </w:t>
      </w:r>
    </w:p>
    <w:p w:rsidR="00677EA4" w:rsidRPr="00860724" w:rsidRDefault="00677EA4" w:rsidP="008C5684">
      <w:pPr>
        <w:pStyle w:val="AddParagraf"/>
        <w:spacing w:line="276" w:lineRule="auto"/>
      </w:pPr>
      <w:r w:rsidRPr="00860724">
        <w:t>Cea mai mică încărcătură pe schemă s-a înregistrat la judecătoriile din tabelul de mai jos, acestea fiind cu mult sub media naţională.</w:t>
      </w:r>
    </w:p>
    <w:tbl>
      <w:tblPr>
        <w:tblW w:w="6397" w:type="dxa"/>
        <w:jc w:val="center"/>
        <w:tblLook w:val="0000" w:firstRow="0" w:lastRow="0" w:firstColumn="0" w:lastColumn="0" w:noHBand="0" w:noVBand="0"/>
      </w:tblPr>
      <w:tblGrid>
        <w:gridCol w:w="3737"/>
        <w:gridCol w:w="2660"/>
      </w:tblGrid>
      <w:tr w:rsidR="00677EA4" w:rsidRPr="00860724" w:rsidTr="00D60C7C">
        <w:trPr>
          <w:trHeight w:val="315"/>
          <w:jc w:val="center"/>
        </w:trPr>
        <w:tc>
          <w:tcPr>
            <w:tcW w:w="3737"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Instanţa</w:t>
            </w:r>
          </w:p>
        </w:tc>
        <w:tc>
          <w:tcPr>
            <w:tcW w:w="2660"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Încărcătura pe schemă</w:t>
            </w:r>
          </w:p>
        </w:tc>
      </w:tr>
      <w:tr w:rsidR="00677EA4" w:rsidRPr="00860724" w:rsidTr="00D60C7C">
        <w:trPr>
          <w:trHeight w:val="315"/>
          <w:jc w:val="center"/>
        </w:trPr>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AGNITA</w:t>
            </w:r>
          </w:p>
        </w:tc>
        <w:tc>
          <w:tcPr>
            <w:tcW w:w="2660"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370</w:t>
            </w:r>
          </w:p>
        </w:tc>
      </w:tr>
      <w:tr w:rsidR="00677EA4" w:rsidRPr="00860724" w:rsidTr="00D60C7C">
        <w:trPr>
          <w:trHeight w:val="315"/>
          <w:jc w:val="center"/>
        </w:trPr>
        <w:tc>
          <w:tcPr>
            <w:tcW w:w="373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lastRenderedPageBreak/>
              <w:t>Judecatoria RADUCANENI</w:t>
            </w:r>
          </w:p>
        </w:tc>
        <w:tc>
          <w:tcPr>
            <w:tcW w:w="2660"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365</w:t>
            </w:r>
          </w:p>
        </w:tc>
      </w:tr>
      <w:tr w:rsidR="00677EA4" w:rsidRPr="00860724" w:rsidTr="00D60C7C">
        <w:trPr>
          <w:trHeight w:val="315"/>
          <w:jc w:val="center"/>
        </w:trPr>
        <w:tc>
          <w:tcPr>
            <w:tcW w:w="373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BAIA DE ARAMA</w:t>
            </w:r>
          </w:p>
        </w:tc>
        <w:tc>
          <w:tcPr>
            <w:tcW w:w="2660"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336</w:t>
            </w:r>
          </w:p>
        </w:tc>
      </w:tr>
      <w:tr w:rsidR="00677EA4" w:rsidRPr="00860724" w:rsidTr="00D60C7C">
        <w:trPr>
          <w:trHeight w:val="315"/>
          <w:jc w:val="center"/>
        </w:trPr>
        <w:tc>
          <w:tcPr>
            <w:tcW w:w="373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FAGET</w:t>
            </w:r>
          </w:p>
        </w:tc>
        <w:tc>
          <w:tcPr>
            <w:tcW w:w="2660"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305</w:t>
            </w:r>
          </w:p>
        </w:tc>
      </w:tr>
      <w:tr w:rsidR="00677EA4" w:rsidRPr="00860724" w:rsidTr="00D60C7C">
        <w:trPr>
          <w:trHeight w:val="315"/>
          <w:jc w:val="center"/>
        </w:trPr>
        <w:tc>
          <w:tcPr>
            <w:tcW w:w="373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DRAGOMIRESTI</w:t>
            </w:r>
          </w:p>
        </w:tc>
        <w:tc>
          <w:tcPr>
            <w:tcW w:w="2660"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288</w:t>
            </w:r>
          </w:p>
        </w:tc>
      </w:tr>
      <w:tr w:rsidR="00677EA4" w:rsidRPr="00860724" w:rsidTr="00D60C7C">
        <w:trPr>
          <w:trHeight w:val="315"/>
          <w:jc w:val="center"/>
        </w:trPr>
        <w:tc>
          <w:tcPr>
            <w:tcW w:w="373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Judecatoria INTORSURA BUZAULUI</w:t>
            </w:r>
          </w:p>
        </w:tc>
        <w:tc>
          <w:tcPr>
            <w:tcW w:w="2660"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250</w:t>
            </w:r>
          </w:p>
        </w:tc>
      </w:tr>
    </w:tbl>
    <w:p w:rsidR="00677EA4" w:rsidRPr="00860724" w:rsidRDefault="00677EA4" w:rsidP="008C5684">
      <w:pPr>
        <w:pStyle w:val="AddParagraf"/>
        <w:spacing w:line="276" w:lineRule="auto"/>
      </w:pPr>
    </w:p>
    <w:p w:rsidR="00677EA4" w:rsidRPr="00860724" w:rsidRDefault="00677EA4" w:rsidP="008C5684">
      <w:pPr>
        <w:pStyle w:val="AddParagraf"/>
        <w:spacing w:line="276" w:lineRule="auto"/>
      </w:pPr>
      <w:r w:rsidRPr="00860724">
        <w:t xml:space="preserve"> Sub aspectul încărcăturii, la nivelul instanţelor militare situaţia se prezintă după cum urmează:</w:t>
      </w:r>
    </w:p>
    <w:tbl>
      <w:tblPr>
        <w:tblW w:w="6443" w:type="dxa"/>
        <w:jc w:val="center"/>
        <w:tblLook w:val="0000" w:firstRow="0" w:lastRow="0" w:firstColumn="0" w:lastColumn="0" w:noHBand="0" w:noVBand="0"/>
      </w:tblPr>
      <w:tblGrid>
        <w:gridCol w:w="3317"/>
        <w:gridCol w:w="1508"/>
        <w:gridCol w:w="1618"/>
      </w:tblGrid>
      <w:tr w:rsidR="00677EA4" w:rsidRPr="00860724" w:rsidTr="00D60C7C">
        <w:trPr>
          <w:trHeight w:val="315"/>
          <w:jc w:val="center"/>
        </w:trPr>
        <w:tc>
          <w:tcPr>
            <w:tcW w:w="3317"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Instanţa</w:t>
            </w:r>
          </w:p>
        </w:tc>
        <w:tc>
          <w:tcPr>
            <w:tcW w:w="1508"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Încărcătura pe schemă</w:t>
            </w:r>
          </w:p>
        </w:tc>
        <w:tc>
          <w:tcPr>
            <w:tcW w:w="1618"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8C5684">
            <w:pPr>
              <w:spacing w:line="276" w:lineRule="auto"/>
              <w:jc w:val="center"/>
              <w:rPr>
                <w:b/>
                <w:bCs/>
                <w:lang w:val="ro-RO"/>
              </w:rPr>
            </w:pPr>
            <w:r w:rsidRPr="00860724">
              <w:rPr>
                <w:b/>
                <w:bCs/>
                <w:lang w:val="ro-RO"/>
              </w:rPr>
              <w:t>Încărcătura pe judecător</w:t>
            </w:r>
          </w:p>
        </w:tc>
      </w:tr>
      <w:tr w:rsidR="00677EA4" w:rsidRPr="00860724" w:rsidTr="00D60C7C">
        <w:trPr>
          <w:trHeight w:val="315"/>
          <w:jc w:val="center"/>
        </w:trPr>
        <w:tc>
          <w:tcPr>
            <w:tcW w:w="3317"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Tribunalul Militar Bucuresti</w:t>
            </w:r>
          </w:p>
        </w:tc>
        <w:tc>
          <w:tcPr>
            <w:tcW w:w="1508"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44</w:t>
            </w:r>
          </w:p>
        </w:tc>
        <w:tc>
          <w:tcPr>
            <w:tcW w:w="1618" w:type="dxa"/>
            <w:tcBorders>
              <w:top w:val="single" w:sz="4" w:space="0" w:color="auto"/>
              <w:left w:val="nil"/>
              <w:bottom w:val="single" w:sz="4" w:space="0" w:color="auto"/>
              <w:right w:val="single" w:sz="4" w:space="0" w:color="auto"/>
            </w:tcBorders>
            <w:shd w:val="clear" w:color="auto" w:fill="auto"/>
            <w:vAlign w:val="bottom"/>
          </w:tcPr>
          <w:p w:rsidR="00677EA4" w:rsidRPr="00860724" w:rsidRDefault="00677EA4" w:rsidP="008C5684">
            <w:pPr>
              <w:spacing w:line="276" w:lineRule="auto"/>
              <w:jc w:val="center"/>
              <w:rPr>
                <w:rFonts w:cs="Arial"/>
                <w:lang w:val="ro-RO" w:eastAsia="ro-RO"/>
              </w:rPr>
            </w:pPr>
            <w:r w:rsidRPr="00860724">
              <w:rPr>
                <w:rFonts w:cs="Arial"/>
                <w:lang w:val="ro-RO" w:eastAsia="ro-RO"/>
              </w:rPr>
              <w:t>67</w:t>
            </w:r>
          </w:p>
        </w:tc>
      </w:tr>
      <w:tr w:rsidR="00677EA4" w:rsidRPr="00860724" w:rsidTr="00D60C7C">
        <w:trPr>
          <w:trHeight w:val="315"/>
          <w:jc w:val="center"/>
        </w:trPr>
        <w:tc>
          <w:tcPr>
            <w:tcW w:w="3317"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Tribunalul Militar Cluj-Napoca</w:t>
            </w:r>
          </w:p>
        </w:tc>
        <w:tc>
          <w:tcPr>
            <w:tcW w:w="1508"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33</w:t>
            </w:r>
          </w:p>
        </w:tc>
        <w:tc>
          <w:tcPr>
            <w:tcW w:w="1618" w:type="dxa"/>
            <w:tcBorders>
              <w:top w:val="single" w:sz="4" w:space="0" w:color="auto"/>
              <w:left w:val="nil"/>
              <w:bottom w:val="single" w:sz="4" w:space="0" w:color="auto"/>
              <w:right w:val="single" w:sz="4" w:space="0" w:color="auto"/>
            </w:tcBorders>
            <w:shd w:val="clear" w:color="auto" w:fill="auto"/>
            <w:vAlign w:val="bottom"/>
          </w:tcPr>
          <w:p w:rsidR="00677EA4" w:rsidRPr="00860724" w:rsidRDefault="00677EA4" w:rsidP="008C5684">
            <w:pPr>
              <w:spacing w:line="276" w:lineRule="auto"/>
              <w:jc w:val="center"/>
              <w:rPr>
                <w:rFonts w:cs="Arial"/>
                <w:lang w:val="ro-RO" w:eastAsia="ro-RO"/>
              </w:rPr>
            </w:pPr>
            <w:r w:rsidRPr="00860724">
              <w:rPr>
                <w:rFonts w:cs="Arial"/>
                <w:lang w:val="ro-RO" w:eastAsia="ro-RO"/>
              </w:rPr>
              <w:t>36</w:t>
            </w:r>
          </w:p>
        </w:tc>
      </w:tr>
      <w:tr w:rsidR="00677EA4" w:rsidRPr="00860724" w:rsidTr="00D60C7C">
        <w:trPr>
          <w:trHeight w:val="315"/>
          <w:jc w:val="center"/>
        </w:trPr>
        <w:tc>
          <w:tcPr>
            <w:tcW w:w="331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Tribunalul Militar Iasi</w:t>
            </w:r>
          </w:p>
        </w:tc>
        <w:tc>
          <w:tcPr>
            <w:tcW w:w="150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48</w:t>
            </w:r>
          </w:p>
        </w:tc>
        <w:tc>
          <w:tcPr>
            <w:tcW w:w="1618" w:type="dxa"/>
            <w:tcBorders>
              <w:top w:val="nil"/>
              <w:left w:val="nil"/>
              <w:bottom w:val="single" w:sz="4" w:space="0" w:color="auto"/>
              <w:right w:val="single" w:sz="4" w:space="0" w:color="auto"/>
            </w:tcBorders>
            <w:shd w:val="clear" w:color="auto" w:fill="auto"/>
            <w:vAlign w:val="bottom"/>
          </w:tcPr>
          <w:p w:rsidR="00677EA4" w:rsidRPr="00860724" w:rsidRDefault="00677EA4" w:rsidP="008C5684">
            <w:pPr>
              <w:spacing w:line="276" w:lineRule="auto"/>
              <w:jc w:val="center"/>
              <w:rPr>
                <w:rFonts w:cs="Arial"/>
                <w:lang w:val="ro-RO" w:eastAsia="ro-RO"/>
              </w:rPr>
            </w:pPr>
            <w:r w:rsidRPr="00860724">
              <w:rPr>
                <w:rFonts w:cs="Arial"/>
                <w:lang w:val="ro-RO" w:eastAsia="ro-RO"/>
              </w:rPr>
              <w:t>96</w:t>
            </w:r>
          </w:p>
        </w:tc>
      </w:tr>
      <w:tr w:rsidR="00677EA4" w:rsidRPr="00860724" w:rsidTr="00D60C7C">
        <w:trPr>
          <w:trHeight w:val="285"/>
          <w:jc w:val="center"/>
        </w:trPr>
        <w:tc>
          <w:tcPr>
            <w:tcW w:w="331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rFonts w:cs="Arial"/>
                <w:lang w:val="ro-RO" w:eastAsia="ro-RO"/>
              </w:rPr>
              <w:t>Tribunalul Militar Timisoara</w:t>
            </w:r>
          </w:p>
        </w:tc>
        <w:tc>
          <w:tcPr>
            <w:tcW w:w="150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22</w:t>
            </w:r>
          </w:p>
        </w:tc>
        <w:tc>
          <w:tcPr>
            <w:tcW w:w="1618" w:type="dxa"/>
            <w:tcBorders>
              <w:top w:val="nil"/>
              <w:left w:val="nil"/>
              <w:bottom w:val="single" w:sz="4" w:space="0" w:color="auto"/>
              <w:right w:val="single" w:sz="4" w:space="0" w:color="auto"/>
            </w:tcBorders>
            <w:shd w:val="clear" w:color="auto" w:fill="auto"/>
            <w:vAlign w:val="bottom"/>
          </w:tcPr>
          <w:p w:rsidR="00677EA4" w:rsidRPr="00860724" w:rsidRDefault="00677EA4" w:rsidP="008C5684">
            <w:pPr>
              <w:spacing w:line="276" w:lineRule="auto"/>
              <w:jc w:val="center"/>
              <w:rPr>
                <w:rFonts w:cs="Arial"/>
                <w:lang w:val="ro-RO" w:eastAsia="ro-RO"/>
              </w:rPr>
            </w:pPr>
            <w:r w:rsidRPr="00860724">
              <w:rPr>
                <w:rFonts w:cs="Arial"/>
                <w:lang w:val="ro-RO" w:eastAsia="ro-RO"/>
              </w:rPr>
              <w:t>47</w:t>
            </w:r>
          </w:p>
        </w:tc>
      </w:tr>
      <w:tr w:rsidR="00677EA4" w:rsidRPr="00860724" w:rsidTr="00D60C7C">
        <w:trPr>
          <w:trHeight w:val="315"/>
          <w:jc w:val="center"/>
        </w:trPr>
        <w:tc>
          <w:tcPr>
            <w:tcW w:w="3317"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8C5684">
            <w:pPr>
              <w:spacing w:line="276" w:lineRule="auto"/>
              <w:rPr>
                <w:rFonts w:cs="Arial"/>
                <w:lang w:val="ro-RO" w:eastAsia="ro-RO"/>
              </w:rPr>
            </w:pPr>
            <w:r w:rsidRPr="00860724">
              <w:rPr>
                <w:bCs/>
                <w:lang w:val="ro-RO"/>
              </w:rPr>
              <w:t>Curtea Militară de Apel</w:t>
            </w:r>
          </w:p>
        </w:tc>
        <w:tc>
          <w:tcPr>
            <w:tcW w:w="1508" w:type="dxa"/>
            <w:tcBorders>
              <w:top w:val="nil"/>
              <w:left w:val="nil"/>
              <w:bottom w:val="single" w:sz="4" w:space="0" w:color="auto"/>
              <w:right w:val="single" w:sz="4" w:space="0" w:color="auto"/>
            </w:tcBorders>
            <w:shd w:val="clear" w:color="auto" w:fill="auto"/>
            <w:vAlign w:val="center"/>
          </w:tcPr>
          <w:p w:rsidR="00677EA4" w:rsidRPr="00860724" w:rsidRDefault="00677EA4" w:rsidP="008C5684">
            <w:pPr>
              <w:spacing w:line="276" w:lineRule="auto"/>
              <w:jc w:val="center"/>
              <w:rPr>
                <w:rFonts w:cs="Arial"/>
                <w:lang w:val="ro-RO" w:eastAsia="ro-RO"/>
              </w:rPr>
            </w:pPr>
            <w:r w:rsidRPr="00860724">
              <w:rPr>
                <w:rFonts w:cs="Arial"/>
                <w:lang w:val="ro-RO" w:eastAsia="ro-RO"/>
              </w:rPr>
              <w:t>31</w:t>
            </w:r>
          </w:p>
        </w:tc>
        <w:tc>
          <w:tcPr>
            <w:tcW w:w="1618" w:type="dxa"/>
            <w:tcBorders>
              <w:top w:val="nil"/>
              <w:left w:val="nil"/>
              <w:bottom w:val="single" w:sz="4" w:space="0" w:color="auto"/>
              <w:right w:val="single" w:sz="4" w:space="0" w:color="auto"/>
            </w:tcBorders>
            <w:shd w:val="clear" w:color="auto" w:fill="auto"/>
            <w:vAlign w:val="bottom"/>
          </w:tcPr>
          <w:p w:rsidR="00677EA4" w:rsidRPr="00860724" w:rsidRDefault="00677EA4" w:rsidP="008C5684">
            <w:pPr>
              <w:spacing w:line="276" w:lineRule="auto"/>
              <w:jc w:val="center"/>
              <w:rPr>
                <w:rFonts w:cs="Arial"/>
                <w:lang w:val="ro-RO" w:eastAsia="ro-RO"/>
              </w:rPr>
            </w:pPr>
            <w:r w:rsidRPr="00860724">
              <w:rPr>
                <w:rFonts w:cs="Arial"/>
                <w:lang w:val="ro-RO" w:eastAsia="ro-RO"/>
              </w:rPr>
              <w:t>42</w:t>
            </w:r>
          </w:p>
        </w:tc>
      </w:tr>
    </w:tbl>
    <w:p w:rsidR="00677EA4" w:rsidRPr="00860724" w:rsidRDefault="00677EA4" w:rsidP="008C5684">
      <w:pPr>
        <w:spacing w:line="276" w:lineRule="auto"/>
        <w:rPr>
          <w:lang w:val="ro-RO"/>
        </w:rPr>
      </w:pPr>
    </w:p>
    <w:p w:rsidR="00677EA4" w:rsidRPr="00860724" w:rsidRDefault="00677EA4" w:rsidP="008C5684">
      <w:pPr>
        <w:spacing w:line="276" w:lineRule="auto"/>
        <w:rPr>
          <w:lang w:val="ro-RO" w:eastAsia="x-none"/>
        </w:rPr>
      </w:pPr>
    </w:p>
    <w:p w:rsidR="00625F9B" w:rsidRPr="00860724" w:rsidRDefault="000951C1" w:rsidP="008C5684">
      <w:pPr>
        <w:pStyle w:val="Titlu2"/>
      </w:pPr>
      <w:bookmarkStart w:id="32" w:name="_Toc504987124"/>
      <w:r w:rsidRPr="00860724">
        <w:t xml:space="preserve">I.3. </w:t>
      </w:r>
      <w:r w:rsidR="00574BDF" w:rsidRPr="00860724">
        <w:t>Indicatori de eficienţă</w:t>
      </w:r>
      <w:bookmarkEnd w:id="32"/>
    </w:p>
    <w:p w:rsidR="00677EA4" w:rsidRPr="00860724" w:rsidRDefault="00677EA4" w:rsidP="008C5684">
      <w:pPr>
        <w:pStyle w:val="Titlu2"/>
      </w:pPr>
      <w:r w:rsidRPr="00860724">
        <w:t xml:space="preserve">Operativitatea în soluţionarea cauzelor </w:t>
      </w:r>
    </w:p>
    <w:p w:rsidR="00677EA4" w:rsidRPr="00860724" w:rsidRDefault="00677EA4" w:rsidP="008C5684">
      <w:pPr>
        <w:pStyle w:val="AddParagraf"/>
        <w:spacing w:line="276" w:lineRule="auto"/>
      </w:pPr>
      <w:r w:rsidRPr="00860724">
        <w:t xml:space="preserve">Numărul cauzelor soluţionate la nivel naţional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2.184.678</w:t>
      </w:r>
      <w:r w:rsidRPr="00860724">
        <w:t xml:space="preserve"> cauze (2.177.646</w:t>
      </w:r>
      <w:r w:rsidRPr="00860724">
        <w:rPr>
          <w:b/>
        </w:rPr>
        <w:t xml:space="preserve"> </w:t>
      </w:r>
      <w:r w:rsidRPr="00860724">
        <w:t xml:space="preserve">cauze în 2016), ceea ce reprezintă o creştere cu </w:t>
      </w:r>
      <w:r w:rsidRPr="00860724">
        <w:rPr>
          <w:b/>
        </w:rPr>
        <w:t xml:space="preserve">7.032 </w:t>
      </w:r>
      <w:r w:rsidRPr="00860724">
        <w:t>cauze</w:t>
      </w:r>
      <w:r w:rsidR="00CC3F11" w:rsidRPr="00860724">
        <w:t xml:space="preserve">, respectiv de  </w:t>
      </w:r>
      <w:r w:rsidRPr="00860724">
        <w:rPr>
          <w:b/>
        </w:rPr>
        <w:t>0,32 %</w:t>
      </w:r>
      <w:r w:rsidRPr="00860724">
        <w:t xml:space="preserve"> faţă de anul 2016. </w:t>
      </w:r>
    </w:p>
    <w:p w:rsidR="00677EA4" w:rsidRPr="00860724" w:rsidRDefault="00677EA4" w:rsidP="008C5684">
      <w:pPr>
        <w:pStyle w:val="AddParagraf"/>
        <w:spacing w:line="276" w:lineRule="auto"/>
      </w:pPr>
      <w:r w:rsidRPr="00860724">
        <w:t xml:space="preserve">Numărul dosarelor nesoluţionate la sfârşitul anului </w:t>
      </w:r>
      <w:smartTag w:uri="urn:schemas-microsoft-com:office:smarttags" w:element="metricconverter">
        <w:smartTagPr>
          <w:attr w:name="ProductID" w:val="2017 a"/>
        </w:smartTagPr>
        <w:r w:rsidRPr="00860724">
          <w:t>2017 a</w:t>
        </w:r>
      </w:smartTag>
      <w:r w:rsidRPr="00860724">
        <w:t xml:space="preserve"> fost de </w:t>
      </w:r>
      <w:r w:rsidRPr="00860724">
        <w:rPr>
          <w:b/>
        </w:rPr>
        <w:t>854.995</w:t>
      </w:r>
      <w:r w:rsidRPr="00860724">
        <w:t xml:space="preserve"> cauze (817.630 cauze în 2016 şi 802.799</w:t>
      </w:r>
      <w:r w:rsidRPr="00860724">
        <w:rPr>
          <w:b/>
        </w:rPr>
        <w:t xml:space="preserve"> </w:t>
      </w:r>
      <w:r w:rsidRPr="00860724">
        <w:t>cauze în 2015).</w:t>
      </w:r>
    </w:p>
    <w:p w:rsidR="00CC3F11" w:rsidRPr="00860724" w:rsidRDefault="00CC3F11" w:rsidP="00677EA4">
      <w:pPr>
        <w:pStyle w:val="AddParagraf"/>
      </w:pPr>
    </w:p>
    <w:p w:rsidR="00677EA4" w:rsidRPr="00860724" w:rsidRDefault="00677EA4" w:rsidP="00677EA4">
      <w:pPr>
        <w:spacing w:line="360" w:lineRule="auto"/>
        <w:ind w:left="2160" w:hanging="2160"/>
        <w:jc w:val="center"/>
        <w:rPr>
          <w:rFonts w:cs="Arial"/>
          <w:b/>
          <w:lang w:val="ro-RO"/>
        </w:rPr>
      </w:pPr>
      <w:r w:rsidRPr="00860724">
        <w:rPr>
          <w:rFonts w:cs="Arial"/>
          <w:b/>
          <w:lang w:val="ro-RO"/>
        </w:rPr>
        <w:t>Operativitatea la nivelul instanţelor</w:t>
      </w:r>
    </w:p>
    <w:p w:rsidR="00677EA4" w:rsidRPr="00860724" w:rsidRDefault="00677EA4" w:rsidP="00677EA4">
      <w:pPr>
        <w:spacing w:line="360" w:lineRule="auto"/>
        <w:ind w:left="2160" w:hanging="2160"/>
        <w:jc w:val="center"/>
        <w:rPr>
          <w:rFonts w:cs="Arial"/>
          <w:b/>
          <w:lang w:val="ro-RO"/>
        </w:rPr>
      </w:pPr>
      <w:r w:rsidRPr="00860724">
        <w:rPr>
          <w:rFonts w:cs="Arial"/>
          <w:b/>
          <w:lang w:val="ro-RO"/>
        </w:rPr>
        <w:lastRenderedPageBreak/>
        <w:fldChar w:fldCharType="begin"/>
      </w:r>
      <w:r w:rsidRPr="00860724">
        <w:rPr>
          <w:rFonts w:cs="Arial"/>
          <w:b/>
          <w:lang w:val="ro-RO"/>
        </w:rPr>
        <w:instrText xml:space="preserve"> LINK Excel.Sheet.8 "F:\\Macheta\\Grafice 2017.xls!Operativit instante![Grafice 2017.xls]Operativit instante Diagramă 2" "" \a \p \* MERGEFORMAT </w:instrText>
      </w:r>
      <w:r w:rsidRPr="00860724">
        <w:rPr>
          <w:rFonts w:cs="Arial"/>
          <w:b/>
          <w:lang w:val="ro-RO"/>
        </w:rPr>
        <w:fldChar w:fldCharType="separate"/>
      </w:r>
      <w:r w:rsidR="009B0A85">
        <w:rPr>
          <w:rFonts w:cs="Arial"/>
          <w:b/>
          <w:lang w:val="ro-RO"/>
        </w:rPr>
        <w:object w:dxaOrig="12898" w:dyaOrig="7990">
          <v:shape id="_x0000_i1082" type="#_x0000_t75" style="width:486.75pt;height:301.5pt">
            <v:imagedata r:id="rId68" o:title=""/>
          </v:shape>
        </w:object>
      </w:r>
      <w:r w:rsidRPr="00860724">
        <w:rPr>
          <w:rFonts w:cs="Arial"/>
          <w:b/>
          <w:lang w:val="ro-RO"/>
        </w:rPr>
        <w:fldChar w:fldCharType="end"/>
      </w:r>
    </w:p>
    <w:p w:rsidR="00677EA4" w:rsidRPr="00860724" w:rsidRDefault="00677EA4" w:rsidP="008C5684">
      <w:pPr>
        <w:pStyle w:val="Titlu3"/>
        <w:rPr>
          <w:rStyle w:val="Titlu5Caracter"/>
          <w:b/>
          <w:bCs/>
          <w:i/>
          <w:iCs w:val="0"/>
          <w:sz w:val="24"/>
          <w:lang w:val="ro-RO"/>
        </w:rPr>
      </w:pPr>
      <w:bookmarkStart w:id="33" w:name="_Toc411333485"/>
      <w:bookmarkStart w:id="34" w:name="_Toc411429420"/>
      <w:bookmarkStart w:id="35" w:name="_Toc506288007"/>
      <w:r w:rsidRPr="00860724">
        <w:rPr>
          <w:rStyle w:val="Titlu5Caracter"/>
          <w:b/>
          <w:bCs/>
          <w:i/>
          <w:iCs w:val="0"/>
          <w:sz w:val="24"/>
          <w:lang w:val="ro-RO"/>
        </w:rPr>
        <w:t>I.3.1. Operativitatea la nivelul ICCJ</w:t>
      </w:r>
      <w:bookmarkEnd w:id="33"/>
      <w:bookmarkEnd w:id="34"/>
      <w:bookmarkEnd w:id="35"/>
      <w:r w:rsidRPr="00860724">
        <w:rPr>
          <w:rStyle w:val="Titlu5Caracter"/>
          <w:b/>
          <w:bCs/>
          <w:i/>
          <w:iCs w:val="0"/>
          <w:sz w:val="24"/>
          <w:lang w:val="ro-RO"/>
        </w:rPr>
        <w:t xml:space="preserve"> </w:t>
      </w:r>
    </w:p>
    <w:p w:rsidR="00677EA4" w:rsidRPr="00860724" w:rsidRDefault="00677EA4" w:rsidP="008C5684">
      <w:pPr>
        <w:pStyle w:val="AddParagraf"/>
        <w:spacing w:line="276" w:lineRule="auto"/>
      </w:pPr>
      <w:r w:rsidRPr="00860724">
        <w:t xml:space="preserve">Numărul cauzelor de soluţionat la nivelul </w:t>
      </w:r>
      <w:r w:rsidRPr="00860724">
        <w:rPr>
          <w:b/>
          <w:bCs/>
        </w:rPr>
        <w:t>Înaltei Curţi de Casaţie şi Justiţie</w:t>
      </w:r>
      <w:r w:rsidRPr="00860724">
        <w:t xml:space="preserve">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29.657</w:t>
      </w:r>
      <w:r w:rsidRPr="00860724">
        <w:t xml:space="preserve"> dosare, dintre acestea fiind soluţionate </w:t>
      </w:r>
      <w:r w:rsidRPr="00860724">
        <w:rPr>
          <w:b/>
        </w:rPr>
        <w:t>12.567</w:t>
      </w:r>
      <w:r w:rsidRPr="00860724">
        <w:t xml:space="preserve"> cauze, rămânând un stoc final ce se va reporta pentru anul 2018 de </w:t>
      </w:r>
      <w:r w:rsidRPr="00860724">
        <w:rPr>
          <w:b/>
        </w:rPr>
        <w:t>17.090</w:t>
      </w:r>
      <w:r w:rsidRPr="00860724">
        <w:t xml:space="preserve"> dosare (15.179</w:t>
      </w:r>
      <w:r w:rsidRPr="00860724">
        <w:rPr>
          <w:b/>
        </w:rPr>
        <w:t xml:space="preserve"> </w:t>
      </w:r>
      <w:r w:rsidRPr="00860724">
        <w:t xml:space="preserve">dosare în 2016). </w:t>
      </w:r>
    </w:p>
    <w:p w:rsidR="00677EA4" w:rsidRPr="00860724" w:rsidRDefault="00677EA4" w:rsidP="008C5684">
      <w:pPr>
        <w:pStyle w:val="AddParagraf"/>
        <w:spacing w:line="276" w:lineRule="auto"/>
      </w:pPr>
      <w:r w:rsidRPr="00860724">
        <w:t>Operativitatea în raport de volumul de activitate la nivelul anului 2017 pentru această instanţă a fost de</w:t>
      </w:r>
      <w:r w:rsidRPr="00860724">
        <w:rPr>
          <w:b/>
        </w:rPr>
        <w:t xml:space="preserve"> 42 %</w:t>
      </w:r>
      <w:r w:rsidRPr="00860724">
        <w:t xml:space="preserve"> (56 %</w:t>
      </w:r>
      <w:r w:rsidRPr="00860724">
        <w:rPr>
          <w:bCs/>
        </w:rPr>
        <w:t xml:space="preserve"> în anul 2016)</w:t>
      </w:r>
      <w:r w:rsidRPr="00860724">
        <w:t>. Evoluţia pe ultimii cinci ani este prezentată în graficul de mai jos.</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2017.xls!Operativit ICCJ![Grafice 2017.xls]Operativit ICCJ Diagramă 1025" "" \a \p \* MERGEFORMAT </w:instrText>
      </w:r>
      <w:r w:rsidRPr="00860724">
        <w:fldChar w:fldCharType="separate"/>
      </w:r>
      <w:r w:rsidR="009B0A85">
        <w:object w:dxaOrig="12348" w:dyaOrig="6591">
          <v:shape id="_x0000_i1083" type="#_x0000_t75" style="width:488.25pt;height:259.5pt">
            <v:imagedata r:id="rId69" o:title=""/>
          </v:shape>
        </w:object>
      </w:r>
      <w:r w:rsidRPr="00860724">
        <w:fldChar w:fldCharType="end"/>
      </w:r>
    </w:p>
    <w:p w:rsidR="00677EA4" w:rsidRPr="00860724" w:rsidRDefault="00677EA4" w:rsidP="008C5684">
      <w:pPr>
        <w:pStyle w:val="AddParagraf"/>
        <w:spacing w:line="276" w:lineRule="auto"/>
      </w:pPr>
      <w:r w:rsidRPr="00860724">
        <w:t xml:space="preserve">Operativitatea calculată ca raportul dintre dosarele soluţionate şi dosarele nou intrate a înregistrat în anul 2017 valoarea de </w:t>
      </w:r>
      <w:r w:rsidRPr="00860724">
        <w:rPr>
          <w:b/>
        </w:rPr>
        <w:t>87</w:t>
      </w:r>
      <w:r w:rsidRPr="00860724">
        <w:t xml:space="preserve"> </w:t>
      </w:r>
      <w:r w:rsidRPr="00860724">
        <w:rPr>
          <w:b/>
        </w:rPr>
        <w:t>%</w:t>
      </w:r>
      <w:r w:rsidRPr="00860724">
        <w:t xml:space="preserve">. </w:t>
      </w:r>
    </w:p>
    <w:p w:rsidR="00677EA4" w:rsidRPr="00860724" w:rsidRDefault="00677EA4" w:rsidP="008C5684">
      <w:pPr>
        <w:pStyle w:val="AddParagraf"/>
        <w:spacing w:line="276" w:lineRule="auto"/>
      </w:pPr>
      <w:r w:rsidRPr="00860724">
        <w:lastRenderedPageBreak/>
        <w:t>La nivelul secţiilor, distribuţia operativităţii în raport de cauzele nou intrate a fost următoarea (eficienţa în lichidarea stocurilor):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096"/>
      </w:tblGrid>
      <w:tr w:rsidR="00677EA4" w:rsidRPr="00860724" w:rsidTr="00D60C7C">
        <w:trPr>
          <w:jc w:val="center"/>
        </w:trPr>
        <w:tc>
          <w:tcPr>
            <w:tcW w:w="4320" w:type="dxa"/>
            <w:shd w:val="clear" w:color="auto" w:fill="99CCFF"/>
          </w:tcPr>
          <w:p w:rsidR="00677EA4" w:rsidRPr="00860724" w:rsidRDefault="00677EA4" w:rsidP="008C5684">
            <w:pPr>
              <w:spacing w:line="276" w:lineRule="auto"/>
              <w:jc w:val="center"/>
              <w:rPr>
                <w:b/>
                <w:bCs/>
                <w:lang w:val="ro-RO"/>
              </w:rPr>
            </w:pPr>
            <w:r w:rsidRPr="00860724">
              <w:rPr>
                <w:b/>
                <w:bCs/>
                <w:lang w:val="ro-RO"/>
              </w:rPr>
              <w:t>Secţia</w:t>
            </w:r>
          </w:p>
        </w:tc>
        <w:tc>
          <w:tcPr>
            <w:tcW w:w="2096" w:type="dxa"/>
            <w:shd w:val="clear" w:color="auto" w:fill="99CCFF"/>
          </w:tcPr>
          <w:p w:rsidR="00677EA4" w:rsidRPr="00860724" w:rsidRDefault="00677EA4" w:rsidP="008C5684">
            <w:pPr>
              <w:spacing w:line="276" w:lineRule="auto"/>
              <w:jc w:val="center"/>
              <w:rPr>
                <w:b/>
                <w:bCs/>
                <w:lang w:val="ro-RO"/>
              </w:rPr>
            </w:pPr>
            <w:r w:rsidRPr="00860724">
              <w:rPr>
                <w:rFonts w:cs="Arial"/>
                <w:b/>
                <w:bCs/>
                <w:lang w:val="ro-RO" w:eastAsia="ro-RO"/>
              </w:rPr>
              <w:t>Operativitatea (%)</w:t>
            </w:r>
          </w:p>
        </w:tc>
      </w:tr>
      <w:tr w:rsidR="00677EA4" w:rsidRPr="00860724" w:rsidTr="00D60C7C">
        <w:trPr>
          <w:jc w:val="center"/>
        </w:trPr>
        <w:tc>
          <w:tcPr>
            <w:tcW w:w="4320" w:type="dxa"/>
            <w:shd w:val="clear" w:color="auto" w:fill="auto"/>
          </w:tcPr>
          <w:p w:rsidR="00677EA4" w:rsidRPr="00860724" w:rsidRDefault="00677EA4" w:rsidP="008C5684">
            <w:pPr>
              <w:spacing w:line="276" w:lineRule="auto"/>
              <w:jc w:val="both"/>
              <w:rPr>
                <w:lang w:val="ro-RO"/>
              </w:rPr>
            </w:pPr>
            <w:r w:rsidRPr="00860724">
              <w:rPr>
                <w:lang w:val="ro-RO"/>
              </w:rPr>
              <w:t>Secţia I civilă</w:t>
            </w:r>
          </w:p>
        </w:tc>
        <w:tc>
          <w:tcPr>
            <w:tcW w:w="2096" w:type="dxa"/>
            <w:shd w:val="clear" w:color="auto" w:fill="auto"/>
          </w:tcPr>
          <w:p w:rsidR="00677EA4" w:rsidRPr="00860724" w:rsidRDefault="00677EA4" w:rsidP="008C5684">
            <w:pPr>
              <w:spacing w:line="276" w:lineRule="auto"/>
              <w:jc w:val="center"/>
              <w:rPr>
                <w:b/>
                <w:lang w:val="ro-RO"/>
              </w:rPr>
            </w:pPr>
            <w:r w:rsidRPr="00860724">
              <w:rPr>
                <w:b/>
                <w:lang w:val="ro-RO"/>
              </w:rPr>
              <w:t>92</w:t>
            </w:r>
          </w:p>
        </w:tc>
      </w:tr>
      <w:tr w:rsidR="00677EA4" w:rsidRPr="00860724" w:rsidTr="00D60C7C">
        <w:trPr>
          <w:jc w:val="center"/>
        </w:trPr>
        <w:tc>
          <w:tcPr>
            <w:tcW w:w="4320" w:type="dxa"/>
            <w:shd w:val="clear" w:color="auto" w:fill="auto"/>
          </w:tcPr>
          <w:p w:rsidR="00677EA4" w:rsidRPr="00860724" w:rsidRDefault="00677EA4" w:rsidP="008C5684">
            <w:pPr>
              <w:spacing w:line="276" w:lineRule="auto"/>
              <w:jc w:val="both"/>
              <w:rPr>
                <w:lang w:val="ro-RO"/>
              </w:rPr>
            </w:pPr>
            <w:r w:rsidRPr="00860724">
              <w:rPr>
                <w:lang w:val="ro-RO"/>
              </w:rPr>
              <w:t>Secţia a II - a civilă</w:t>
            </w:r>
          </w:p>
        </w:tc>
        <w:tc>
          <w:tcPr>
            <w:tcW w:w="2096" w:type="dxa"/>
            <w:shd w:val="clear" w:color="auto" w:fill="auto"/>
          </w:tcPr>
          <w:p w:rsidR="00677EA4" w:rsidRPr="00860724" w:rsidRDefault="00677EA4" w:rsidP="008C5684">
            <w:pPr>
              <w:spacing w:line="276" w:lineRule="auto"/>
              <w:jc w:val="center"/>
              <w:rPr>
                <w:b/>
                <w:lang w:val="ro-RO"/>
              </w:rPr>
            </w:pPr>
            <w:r w:rsidRPr="00860724">
              <w:rPr>
                <w:b/>
                <w:lang w:val="ro-RO"/>
              </w:rPr>
              <w:t>87</w:t>
            </w:r>
          </w:p>
        </w:tc>
      </w:tr>
      <w:tr w:rsidR="00677EA4" w:rsidRPr="00860724" w:rsidTr="00D60C7C">
        <w:trPr>
          <w:trHeight w:val="249"/>
          <w:jc w:val="center"/>
        </w:trPr>
        <w:tc>
          <w:tcPr>
            <w:tcW w:w="4320" w:type="dxa"/>
            <w:shd w:val="clear" w:color="auto" w:fill="auto"/>
          </w:tcPr>
          <w:p w:rsidR="00677EA4" w:rsidRPr="00860724" w:rsidRDefault="00677EA4" w:rsidP="008C5684">
            <w:pPr>
              <w:spacing w:line="276" w:lineRule="auto"/>
              <w:jc w:val="both"/>
              <w:rPr>
                <w:lang w:val="ro-RO"/>
              </w:rPr>
            </w:pPr>
            <w:r w:rsidRPr="00860724">
              <w:rPr>
                <w:lang w:val="ro-RO"/>
              </w:rPr>
              <w:t xml:space="preserve">Secţia penală </w:t>
            </w:r>
          </w:p>
        </w:tc>
        <w:tc>
          <w:tcPr>
            <w:tcW w:w="2096" w:type="dxa"/>
            <w:shd w:val="clear" w:color="auto" w:fill="auto"/>
          </w:tcPr>
          <w:p w:rsidR="00677EA4" w:rsidRPr="00860724" w:rsidRDefault="00677EA4" w:rsidP="008C5684">
            <w:pPr>
              <w:spacing w:line="276" w:lineRule="auto"/>
              <w:jc w:val="center"/>
              <w:rPr>
                <w:b/>
                <w:lang w:val="ro-RO"/>
              </w:rPr>
            </w:pPr>
            <w:r w:rsidRPr="00860724">
              <w:rPr>
                <w:b/>
                <w:lang w:val="ro-RO"/>
              </w:rPr>
              <w:t>127</w:t>
            </w:r>
          </w:p>
        </w:tc>
      </w:tr>
      <w:tr w:rsidR="00677EA4" w:rsidRPr="00860724" w:rsidTr="00D60C7C">
        <w:trPr>
          <w:jc w:val="center"/>
        </w:trPr>
        <w:tc>
          <w:tcPr>
            <w:tcW w:w="4320" w:type="dxa"/>
            <w:shd w:val="clear" w:color="auto" w:fill="auto"/>
          </w:tcPr>
          <w:p w:rsidR="00677EA4" w:rsidRPr="00860724" w:rsidRDefault="00677EA4" w:rsidP="008C5684">
            <w:pPr>
              <w:spacing w:line="276" w:lineRule="auto"/>
              <w:jc w:val="both"/>
              <w:rPr>
                <w:lang w:val="ro-RO"/>
              </w:rPr>
            </w:pPr>
            <w:r w:rsidRPr="00860724">
              <w:rPr>
                <w:lang w:val="ro-RO"/>
              </w:rPr>
              <w:t>Secţia de contencios administrativ şi fiscal</w:t>
            </w:r>
          </w:p>
        </w:tc>
        <w:tc>
          <w:tcPr>
            <w:tcW w:w="2096" w:type="dxa"/>
            <w:shd w:val="clear" w:color="auto" w:fill="auto"/>
          </w:tcPr>
          <w:p w:rsidR="00677EA4" w:rsidRPr="00860724" w:rsidRDefault="00677EA4" w:rsidP="008C5684">
            <w:pPr>
              <w:spacing w:line="276" w:lineRule="auto"/>
              <w:jc w:val="center"/>
              <w:rPr>
                <w:b/>
                <w:lang w:val="ro-RO"/>
              </w:rPr>
            </w:pPr>
            <w:r w:rsidRPr="00860724">
              <w:rPr>
                <w:b/>
                <w:lang w:val="ro-RO"/>
              </w:rPr>
              <w:t>67</w:t>
            </w:r>
          </w:p>
        </w:tc>
      </w:tr>
    </w:tbl>
    <w:p w:rsidR="00677EA4" w:rsidRPr="00860724" w:rsidRDefault="00677EA4" w:rsidP="00677EA4">
      <w:pPr>
        <w:rPr>
          <w:lang w:val="ro-RO"/>
        </w:rPr>
      </w:pPr>
    </w:p>
    <w:p w:rsidR="00677EA4" w:rsidRPr="00860724" w:rsidRDefault="00CC3F11" w:rsidP="008C5684">
      <w:pPr>
        <w:pStyle w:val="Titlu3"/>
      </w:pPr>
      <w:r w:rsidRPr="00860724">
        <w:t>I.3.2.</w:t>
      </w:r>
      <w:r w:rsidR="00677EA4" w:rsidRPr="00860724">
        <w:t xml:space="preserve">Operativitatea la curţile de apel </w:t>
      </w:r>
    </w:p>
    <w:p w:rsidR="00677EA4" w:rsidRPr="00860724" w:rsidRDefault="00677EA4" w:rsidP="008C5684">
      <w:pPr>
        <w:pStyle w:val="AddParagraf"/>
        <w:spacing w:line="276" w:lineRule="auto"/>
      </w:pPr>
      <w:r w:rsidRPr="00860724">
        <w:t xml:space="preserve">Din cele </w:t>
      </w:r>
      <w:r w:rsidRPr="00860724">
        <w:rPr>
          <w:b/>
        </w:rPr>
        <w:t>232.101</w:t>
      </w:r>
      <w:r w:rsidRPr="00860724">
        <w:t xml:space="preserve"> cauze înregistrate pe rolul curţilor de apel în anul 2017, au fost soluţionate </w:t>
      </w:r>
      <w:r w:rsidRPr="00860724">
        <w:rPr>
          <w:b/>
        </w:rPr>
        <w:t>171.544</w:t>
      </w:r>
      <w:r w:rsidRPr="00860724">
        <w:t xml:space="preserve"> dosare, rămânând un stoc de </w:t>
      </w:r>
      <w:r w:rsidRPr="00860724">
        <w:rPr>
          <w:b/>
        </w:rPr>
        <w:t>60.557</w:t>
      </w:r>
      <w:r w:rsidRPr="00860724">
        <w:t xml:space="preserve"> cauze (49.659 cauze în 2016).</w:t>
      </w:r>
    </w:p>
    <w:p w:rsidR="00677EA4" w:rsidRPr="00860724" w:rsidRDefault="00677EA4" w:rsidP="008C5684">
      <w:pPr>
        <w:pStyle w:val="AddParagraf"/>
        <w:spacing w:line="276" w:lineRule="auto"/>
      </w:pPr>
      <w:r w:rsidRPr="00860724">
        <w:t xml:space="preserve">În procente, operativitatea medie la nivelul curţilor calculată ca raportul dintre dosarele soluţionate şi volum, a fost de </w:t>
      </w:r>
      <w:r w:rsidRPr="00860724">
        <w:rPr>
          <w:b/>
        </w:rPr>
        <w:t>76 %</w:t>
      </w:r>
      <w:r w:rsidRPr="00860724">
        <w:t xml:space="preserve">, cu două procente mai mică decât în perioada anterioară. </w:t>
      </w:r>
    </w:p>
    <w:p w:rsidR="00677EA4" w:rsidRPr="00860724" w:rsidRDefault="00677EA4" w:rsidP="008C5684">
      <w:pPr>
        <w:pStyle w:val="AddParagraf"/>
        <w:spacing w:line="276" w:lineRule="auto"/>
      </w:pPr>
      <w:r w:rsidRPr="00860724">
        <w:t>Evoluţia pe ultimii cinci ani este prezentată în graficul de mai jos.</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2017.xls!Operativit CA![Grafice 2017.xls]Operativit CA Diagramă 1" "" \a \p \* MERGEFORMAT </w:instrText>
      </w:r>
      <w:r w:rsidRPr="00860724">
        <w:fldChar w:fldCharType="separate"/>
      </w:r>
      <w:r w:rsidR="009B0A85">
        <w:object w:dxaOrig="11764" w:dyaOrig="6715">
          <v:shape id="_x0000_i1084" type="#_x0000_t75" style="width:462pt;height:263.25pt">
            <v:imagedata r:id="rId70" o:title=""/>
          </v:shape>
        </w:object>
      </w:r>
      <w:r w:rsidRPr="00860724">
        <w:fldChar w:fldCharType="end"/>
      </w:r>
    </w:p>
    <w:p w:rsidR="00677EA4" w:rsidRPr="00860724" w:rsidRDefault="00677EA4" w:rsidP="008C5684">
      <w:pPr>
        <w:pStyle w:val="AddParagraf"/>
        <w:spacing w:line="276" w:lineRule="auto"/>
      </w:pPr>
      <w:r w:rsidRPr="00860724">
        <w:t>În tabelul de mai jos sunt prezentate operativităţile pentru toate curţile de apel calculate ca raportul dintre dosarele soluţionate şi cele intrate (sub aspectul eficienţei în atacarea stocurilor):</w:t>
      </w:r>
    </w:p>
    <w:tbl>
      <w:tblPr>
        <w:tblW w:w="8065" w:type="dxa"/>
        <w:jc w:val="center"/>
        <w:tblLook w:val="0000" w:firstRow="0" w:lastRow="0" w:firstColumn="0" w:lastColumn="0" w:noHBand="0" w:noVBand="0"/>
      </w:tblPr>
      <w:tblGrid>
        <w:gridCol w:w="543"/>
        <w:gridCol w:w="3380"/>
        <w:gridCol w:w="1120"/>
        <w:gridCol w:w="1351"/>
        <w:gridCol w:w="1671"/>
      </w:tblGrid>
      <w:tr w:rsidR="00677EA4" w:rsidRPr="00860724" w:rsidTr="00D60C7C">
        <w:trPr>
          <w:trHeight w:val="285"/>
          <w:jc w:val="center"/>
        </w:trPr>
        <w:tc>
          <w:tcPr>
            <w:tcW w:w="513"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Nr. crt.</w:t>
            </w:r>
          </w:p>
        </w:tc>
        <w:tc>
          <w:tcPr>
            <w:tcW w:w="3410" w:type="dxa"/>
            <w:tcBorders>
              <w:top w:val="single" w:sz="4" w:space="0" w:color="000000"/>
              <w:left w:val="nil"/>
              <w:bottom w:val="single" w:sz="4" w:space="0" w:color="000000"/>
              <w:right w:val="single" w:sz="4" w:space="0" w:color="000000"/>
            </w:tcBorders>
            <w:shd w:val="clear" w:color="auto" w:fill="99CCFF"/>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Instanţa</w:t>
            </w:r>
          </w:p>
        </w:tc>
        <w:tc>
          <w:tcPr>
            <w:tcW w:w="1120" w:type="dxa"/>
            <w:tcBorders>
              <w:top w:val="single" w:sz="4" w:space="0" w:color="000000"/>
              <w:left w:val="nil"/>
              <w:bottom w:val="single" w:sz="4" w:space="0" w:color="000000"/>
              <w:right w:val="single" w:sz="4" w:space="0" w:color="000000"/>
            </w:tcBorders>
            <w:shd w:val="clear" w:color="auto" w:fill="99CCFF"/>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Nou intrate</w:t>
            </w:r>
          </w:p>
        </w:tc>
        <w:tc>
          <w:tcPr>
            <w:tcW w:w="1351"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Total volum soluţionate</w:t>
            </w:r>
          </w:p>
        </w:tc>
        <w:tc>
          <w:tcPr>
            <w:tcW w:w="1671" w:type="dxa"/>
            <w:tcBorders>
              <w:top w:val="single" w:sz="4" w:space="0" w:color="auto"/>
              <w:left w:val="nil"/>
              <w:bottom w:val="single" w:sz="4" w:space="0" w:color="auto"/>
              <w:right w:val="single" w:sz="4" w:space="0" w:color="auto"/>
            </w:tcBorders>
            <w:shd w:val="clear" w:color="auto" w:fill="99CCFF"/>
            <w:noWrap/>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Operativitatea (%)</w:t>
            </w:r>
          </w:p>
        </w:tc>
      </w:tr>
      <w:tr w:rsidR="00677EA4" w:rsidRPr="00860724" w:rsidTr="00D60C7C">
        <w:trPr>
          <w:trHeight w:val="285"/>
          <w:jc w:val="center"/>
        </w:trPr>
        <w:tc>
          <w:tcPr>
            <w:tcW w:w="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w:t>
            </w:r>
          </w:p>
        </w:tc>
        <w:tc>
          <w:tcPr>
            <w:tcW w:w="3410" w:type="dxa"/>
            <w:tcBorders>
              <w:top w:val="single" w:sz="4" w:space="0" w:color="000000"/>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ALBA IULIA</w:t>
            </w:r>
          </w:p>
        </w:tc>
        <w:tc>
          <w:tcPr>
            <w:tcW w:w="1120" w:type="dxa"/>
            <w:tcBorders>
              <w:top w:val="single" w:sz="4" w:space="0" w:color="000000"/>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12801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10449</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82</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2</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BACAU</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7732</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7471</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97</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3</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BRASOV</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6556</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6322</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96</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4</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BUCURESTI</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37805</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36530</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97</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5</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CLUJ</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14903</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13687</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92</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CONSTANTA</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6920</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6581</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95</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lastRenderedPageBreak/>
              <w:t>7</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CRAIOVA</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20005</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20346</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102</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GALATI</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8443</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9068</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107</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IASI</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7664</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6980</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91</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ORADEA</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8101</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6850</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85</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11</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PITESTI</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9245</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8944</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97</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12</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PLOIESTI</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11309</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9911</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88</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13</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SUCEAVA</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10200</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8788</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86</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14</w:t>
            </w:r>
          </w:p>
        </w:tc>
        <w:tc>
          <w:tcPr>
            <w:tcW w:w="341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TARGU MURES</w:t>
            </w:r>
          </w:p>
        </w:tc>
        <w:tc>
          <w:tcPr>
            <w:tcW w:w="1120" w:type="dxa"/>
            <w:tcBorders>
              <w:top w:val="nil"/>
              <w:left w:val="nil"/>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4375</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3827</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87</w:t>
            </w:r>
          </w:p>
        </w:tc>
      </w:tr>
      <w:tr w:rsidR="00677EA4" w:rsidRPr="00860724" w:rsidTr="00D60C7C">
        <w:trPr>
          <w:trHeight w:val="285"/>
          <w:jc w:val="center"/>
        </w:trPr>
        <w:tc>
          <w:tcPr>
            <w:tcW w:w="513"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15</w:t>
            </w:r>
          </w:p>
        </w:tc>
        <w:tc>
          <w:tcPr>
            <w:tcW w:w="3410" w:type="dxa"/>
            <w:tcBorders>
              <w:top w:val="nil"/>
              <w:left w:val="nil"/>
              <w:bottom w:val="nil"/>
              <w:right w:val="single" w:sz="4" w:space="0" w:color="000000"/>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de Apel TIMISOARA</w:t>
            </w:r>
          </w:p>
        </w:tc>
        <w:tc>
          <w:tcPr>
            <w:tcW w:w="1120" w:type="dxa"/>
            <w:tcBorders>
              <w:top w:val="nil"/>
              <w:left w:val="nil"/>
              <w:bottom w:val="nil"/>
              <w:right w:val="single" w:sz="4" w:space="0" w:color="000000"/>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15605</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15693</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101</w:t>
            </w:r>
          </w:p>
        </w:tc>
      </w:tr>
      <w:tr w:rsidR="00677EA4" w:rsidRPr="00860724" w:rsidTr="00D60C7C">
        <w:trPr>
          <w:trHeight w:val="285"/>
          <w:jc w:val="center"/>
        </w:trPr>
        <w:tc>
          <w:tcPr>
            <w:tcW w:w="513" w:type="dxa"/>
            <w:tcBorders>
              <w:top w:val="nil"/>
              <w:left w:val="single" w:sz="4" w:space="0" w:color="000000"/>
              <w:bottom w:val="single" w:sz="4" w:space="0" w:color="000000"/>
              <w:right w:val="nil"/>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16</w:t>
            </w:r>
          </w:p>
        </w:tc>
        <w:tc>
          <w:tcPr>
            <w:tcW w:w="3410"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rPr>
                <w:rFonts w:cs="Arial"/>
                <w:lang w:val="ro-RO" w:eastAsia="ro-RO"/>
              </w:rPr>
            </w:pPr>
            <w:r w:rsidRPr="00860724">
              <w:rPr>
                <w:rFonts w:cs="Arial"/>
                <w:lang w:val="ro-RO" w:eastAsia="ro-RO"/>
              </w:rPr>
              <w:t>Curtea Militara de Apel BUCURESTI</w:t>
            </w:r>
          </w:p>
        </w:tc>
        <w:tc>
          <w:tcPr>
            <w:tcW w:w="1120"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100</w:t>
            </w:r>
          </w:p>
        </w:tc>
        <w:tc>
          <w:tcPr>
            <w:tcW w:w="1351" w:type="dxa"/>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97</w:t>
            </w:r>
          </w:p>
        </w:tc>
        <w:tc>
          <w:tcPr>
            <w:tcW w:w="1671" w:type="dxa"/>
            <w:tcBorders>
              <w:top w:val="nil"/>
              <w:left w:val="nil"/>
              <w:bottom w:val="single" w:sz="4" w:space="0" w:color="auto"/>
              <w:right w:val="single" w:sz="4" w:space="0" w:color="auto"/>
            </w:tcBorders>
            <w:shd w:val="clear" w:color="auto" w:fill="auto"/>
            <w:noWrap/>
            <w:vAlign w:val="center"/>
          </w:tcPr>
          <w:p w:rsidR="00677EA4" w:rsidRPr="00860724" w:rsidRDefault="00677EA4" w:rsidP="001552E6">
            <w:pPr>
              <w:spacing w:line="276" w:lineRule="auto"/>
              <w:jc w:val="center"/>
              <w:rPr>
                <w:rFonts w:cs="Arial"/>
                <w:lang w:val="ro-RO" w:eastAsia="ro-RO"/>
              </w:rPr>
            </w:pPr>
            <w:r w:rsidRPr="00860724">
              <w:rPr>
                <w:rFonts w:cs="Arial"/>
                <w:lang w:val="ro-RO" w:eastAsia="ro-RO"/>
              </w:rPr>
              <w:t>97</w:t>
            </w:r>
          </w:p>
        </w:tc>
      </w:tr>
      <w:tr w:rsidR="00677EA4" w:rsidRPr="00860724" w:rsidTr="00D60C7C">
        <w:trPr>
          <w:trHeight w:val="315"/>
          <w:jc w:val="center"/>
        </w:trPr>
        <w:tc>
          <w:tcPr>
            <w:tcW w:w="513" w:type="dxa"/>
            <w:tcBorders>
              <w:top w:val="nil"/>
              <w:left w:val="nil"/>
              <w:bottom w:val="nil"/>
              <w:right w:val="nil"/>
            </w:tcBorders>
            <w:shd w:val="clear" w:color="auto" w:fill="auto"/>
            <w:noWrap/>
            <w:vAlign w:val="center"/>
          </w:tcPr>
          <w:p w:rsidR="00677EA4" w:rsidRPr="00860724" w:rsidRDefault="00677EA4" w:rsidP="001552E6">
            <w:pPr>
              <w:spacing w:line="276" w:lineRule="auto"/>
              <w:jc w:val="center"/>
              <w:rPr>
                <w:rFonts w:cs="Arial"/>
                <w:b/>
                <w:bCs/>
                <w:lang w:val="ro-RO" w:eastAsia="ro-RO"/>
              </w:rPr>
            </w:pPr>
          </w:p>
        </w:tc>
        <w:tc>
          <w:tcPr>
            <w:tcW w:w="3410" w:type="dxa"/>
            <w:tcBorders>
              <w:top w:val="nil"/>
              <w:left w:val="single" w:sz="4" w:space="0" w:color="auto"/>
              <w:bottom w:val="single" w:sz="4" w:space="0" w:color="auto"/>
              <w:right w:val="single" w:sz="4" w:space="0" w:color="auto"/>
            </w:tcBorders>
            <w:shd w:val="clear" w:color="auto" w:fill="99CCFF"/>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Total</w:t>
            </w:r>
          </w:p>
        </w:tc>
        <w:tc>
          <w:tcPr>
            <w:tcW w:w="1120" w:type="dxa"/>
            <w:tcBorders>
              <w:top w:val="nil"/>
              <w:left w:val="nil"/>
              <w:bottom w:val="single" w:sz="4" w:space="0" w:color="auto"/>
              <w:right w:val="single" w:sz="4" w:space="0" w:color="auto"/>
            </w:tcBorders>
            <w:shd w:val="clear" w:color="auto" w:fill="99CCFF"/>
            <w:noWrap/>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181764</w:t>
            </w:r>
          </w:p>
        </w:tc>
        <w:tc>
          <w:tcPr>
            <w:tcW w:w="1351" w:type="dxa"/>
            <w:tcBorders>
              <w:top w:val="nil"/>
              <w:left w:val="nil"/>
              <w:bottom w:val="single" w:sz="4" w:space="0" w:color="auto"/>
              <w:right w:val="single" w:sz="4" w:space="0" w:color="auto"/>
            </w:tcBorders>
            <w:shd w:val="clear" w:color="auto" w:fill="99CCFF"/>
            <w:noWrap/>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171544</w:t>
            </w:r>
          </w:p>
        </w:tc>
        <w:tc>
          <w:tcPr>
            <w:tcW w:w="1671" w:type="dxa"/>
            <w:tcBorders>
              <w:top w:val="nil"/>
              <w:left w:val="nil"/>
              <w:bottom w:val="single" w:sz="4" w:space="0" w:color="auto"/>
              <w:right w:val="single" w:sz="4" w:space="0" w:color="auto"/>
            </w:tcBorders>
            <w:shd w:val="clear" w:color="auto" w:fill="99CCFF"/>
            <w:noWrap/>
            <w:vAlign w:val="center"/>
          </w:tcPr>
          <w:p w:rsidR="00677EA4" w:rsidRPr="00860724" w:rsidRDefault="00677EA4" w:rsidP="001552E6">
            <w:pPr>
              <w:spacing w:line="276" w:lineRule="auto"/>
              <w:jc w:val="center"/>
              <w:rPr>
                <w:rFonts w:cs="Arial"/>
                <w:b/>
                <w:bCs/>
                <w:lang w:val="ro-RO" w:eastAsia="ro-RO"/>
              </w:rPr>
            </w:pPr>
            <w:r w:rsidRPr="00860724">
              <w:rPr>
                <w:rFonts w:cs="Arial"/>
                <w:b/>
                <w:bCs/>
                <w:lang w:val="ro-RO" w:eastAsia="ro-RO"/>
              </w:rPr>
              <w:t>94</w:t>
            </w:r>
          </w:p>
        </w:tc>
      </w:tr>
    </w:tbl>
    <w:p w:rsidR="00677EA4" w:rsidRPr="00860724" w:rsidRDefault="00677EA4" w:rsidP="00677EA4">
      <w:pPr>
        <w:tabs>
          <w:tab w:val="left" w:pos="1710"/>
        </w:tabs>
        <w:spacing w:before="120" w:line="360" w:lineRule="auto"/>
        <w:jc w:val="both"/>
        <w:outlineLvl w:val="5"/>
        <w:rPr>
          <w:rFonts w:cs="Arial"/>
          <w:lang w:val="ro-RO"/>
        </w:rPr>
      </w:pPr>
    </w:p>
    <w:p w:rsidR="00677EA4" w:rsidRPr="00860724" w:rsidRDefault="00CC3F11" w:rsidP="001552E6">
      <w:pPr>
        <w:pStyle w:val="Titlu3"/>
      </w:pPr>
      <w:r w:rsidRPr="00860724">
        <w:t xml:space="preserve">I.3.3. </w:t>
      </w:r>
      <w:r w:rsidR="00677EA4" w:rsidRPr="00860724">
        <w:t>Operativitatea la tribunale</w:t>
      </w:r>
    </w:p>
    <w:p w:rsidR="00677EA4" w:rsidRPr="00860724" w:rsidRDefault="00677EA4" w:rsidP="001552E6">
      <w:pPr>
        <w:pStyle w:val="AddParagraf"/>
        <w:spacing w:line="276" w:lineRule="auto"/>
      </w:pPr>
      <w:r w:rsidRPr="00860724">
        <w:t xml:space="preserve">Din cele </w:t>
      </w:r>
      <w:r w:rsidRPr="00860724">
        <w:rPr>
          <w:b/>
        </w:rPr>
        <w:t>772.861</w:t>
      </w:r>
      <w:r w:rsidRPr="00860724">
        <w:t xml:space="preserve"> cauze de soluţionat în cursul anului 2017, au fost soluţionate un număr de </w:t>
      </w:r>
      <w:r w:rsidRPr="00860724">
        <w:rPr>
          <w:b/>
        </w:rPr>
        <w:t xml:space="preserve">508.983 </w:t>
      </w:r>
      <w:r w:rsidRPr="00860724">
        <w:t xml:space="preserve">cauze, rămânând un stoc de </w:t>
      </w:r>
      <w:r w:rsidRPr="00860724">
        <w:rPr>
          <w:b/>
        </w:rPr>
        <w:t>263.878</w:t>
      </w:r>
      <w:r w:rsidRPr="00860724">
        <w:t xml:space="preserve"> dosare</w:t>
      </w:r>
      <w:r w:rsidRPr="00860724">
        <w:rPr>
          <w:b/>
        </w:rPr>
        <w:t xml:space="preserve">  </w:t>
      </w:r>
      <w:r w:rsidRPr="00860724">
        <w:t>(253.161 dosare în 2016).</w:t>
      </w:r>
    </w:p>
    <w:p w:rsidR="00677EA4" w:rsidRPr="00860724" w:rsidRDefault="00677EA4" w:rsidP="001552E6">
      <w:pPr>
        <w:pStyle w:val="AddParagraf"/>
        <w:spacing w:line="276" w:lineRule="auto"/>
      </w:pPr>
      <w:r w:rsidRPr="00860724">
        <w:t>În procente, operativitatea medie în raport de întregul volum de activitate s-a situat la</w:t>
      </w:r>
      <w:r w:rsidRPr="00860724">
        <w:rPr>
          <w:b/>
        </w:rPr>
        <w:t xml:space="preserve"> 68 %</w:t>
      </w:r>
      <w:r w:rsidRPr="00860724">
        <w:t>,</w:t>
      </w:r>
      <w:r w:rsidRPr="00860724">
        <w:rPr>
          <w:b/>
        </w:rPr>
        <w:t xml:space="preserve"> </w:t>
      </w:r>
      <w:r w:rsidRPr="00860724">
        <w:t>la fel ca în anul 2016. Evoluţia pe ultimii cinci ani este prezentată în graficul de mai jos.</w:t>
      </w:r>
    </w:p>
    <w:p w:rsidR="00677EA4" w:rsidRPr="00860724" w:rsidRDefault="00677EA4" w:rsidP="00677EA4">
      <w:pPr>
        <w:pStyle w:val="AddParagraf"/>
        <w:ind w:firstLine="0"/>
        <w:jc w:val="center"/>
      </w:pPr>
      <w:r w:rsidRPr="00860724">
        <w:fldChar w:fldCharType="begin"/>
      </w:r>
      <w:r w:rsidRPr="00860724">
        <w:instrText xml:space="preserve"> LINK Excel.Sheet.8 "F:\\Macheta\\Grafice 2017.xls!Operativit Trib![Grafice 2017.xls]Operativit Trib Diagramă 1" "" \a \p \* MERGEFORMAT </w:instrText>
      </w:r>
      <w:r w:rsidRPr="00860724">
        <w:fldChar w:fldCharType="separate"/>
      </w:r>
      <w:r w:rsidR="009B0A85">
        <w:object w:dxaOrig="12118" w:dyaOrig="6803">
          <v:shape id="_x0000_i1085" type="#_x0000_t75" style="width:486.75pt;height:272.25pt">
            <v:imagedata r:id="rId71" o:title=""/>
          </v:shape>
        </w:object>
      </w:r>
      <w:r w:rsidRPr="00860724">
        <w:fldChar w:fldCharType="end"/>
      </w:r>
    </w:p>
    <w:p w:rsidR="00677EA4" w:rsidRPr="00860724" w:rsidRDefault="00677EA4" w:rsidP="00FB3812">
      <w:pPr>
        <w:pStyle w:val="AddParagraf"/>
        <w:spacing w:line="276" w:lineRule="auto"/>
      </w:pPr>
      <w:r w:rsidRPr="00860724">
        <w:t>În tabelul de mai jos sunt prezentate operativităţile pentru cele mai eficiente tribunale calculate ca raportul dintre dosarele soluţionate şi cele intrate (sub aspectul eficienţei în atacarea stocurilor):</w:t>
      </w:r>
    </w:p>
    <w:tbl>
      <w:tblPr>
        <w:tblW w:w="7380" w:type="dxa"/>
        <w:jc w:val="center"/>
        <w:tblLook w:val="0000" w:firstRow="0" w:lastRow="0" w:firstColumn="0" w:lastColumn="0" w:noHBand="0" w:noVBand="0"/>
      </w:tblPr>
      <w:tblGrid>
        <w:gridCol w:w="3035"/>
        <w:gridCol w:w="983"/>
        <w:gridCol w:w="1691"/>
        <w:gridCol w:w="1671"/>
      </w:tblGrid>
      <w:tr w:rsidR="00677EA4" w:rsidRPr="00860724" w:rsidTr="00D60C7C">
        <w:trPr>
          <w:trHeight w:val="655"/>
          <w:jc w:val="center"/>
        </w:trPr>
        <w:tc>
          <w:tcPr>
            <w:tcW w:w="3035"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Instanţa</w:t>
            </w:r>
          </w:p>
        </w:tc>
        <w:tc>
          <w:tcPr>
            <w:tcW w:w="983"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Nou intrate</w:t>
            </w:r>
          </w:p>
        </w:tc>
        <w:tc>
          <w:tcPr>
            <w:tcW w:w="1691"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Total volum soluţionate</w:t>
            </w:r>
          </w:p>
        </w:tc>
        <w:tc>
          <w:tcPr>
            <w:tcW w:w="1671"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Operativitatea (%)</w:t>
            </w:r>
          </w:p>
        </w:tc>
      </w:tr>
      <w:tr w:rsidR="00677EA4" w:rsidRPr="00860724" w:rsidTr="00D60C7C">
        <w:trPr>
          <w:trHeight w:val="315"/>
          <w:jc w:val="center"/>
        </w:trPr>
        <w:tc>
          <w:tcPr>
            <w:tcW w:w="3035"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GORJ</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12402</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14077</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114</w:t>
            </w:r>
          </w:p>
        </w:tc>
      </w:tr>
      <w:tr w:rsidR="00677EA4" w:rsidRPr="00860724" w:rsidTr="00D60C7C">
        <w:trPr>
          <w:trHeight w:val="315"/>
          <w:jc w:val="center"/>
        </w:trPr>
        <w:tc>
          <w:tcPr>
            <w:tcW w:w="3035"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PRAHOVA</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17295</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19305</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112</w:t>
            </w:r>
          </w:p>
        </w:tc>
      </w:tr>
      <w:tr w:rsidR="00677EA4" w:rsidRPr="00860724" w:rsidTr="00D60C7C">
        <w:trPr>
          <w:trHeight w:val="315"/>
          <w:jc w:val="center"/>
        </w:trPr>
        <w:tc>
          <w:tcPr>
            <w:tcW w:w="3035"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lastRenderedPageBreak/>
              <w:t>Tribunalul ALBA</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10422</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11574</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111</w:t>
            </w:r>
          </w:p>
        </w:tc>
      </w:tr>
      <w:tr w:rsidR="00677EA4" w:rsidRPr="00860724" w:rsidTr="00D60C7C">
        <w:trPr>
          <w:trHeight w:val="315"/>
          <w:jc w:val="center"/>
        </w:trPr>
        <w:tc>
          <w:tcPr>
            <w:tcW w:w="3035"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SIBIU</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9316</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10316</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111</w:t>
            </w:r>
          </w:p>
        </w:tc>
      </w:tr>
      <w:tr w:rsidR="00677EA4" w:rsidRPr="00860724" w:rsidTr="00D60C7C">
        <w:trPr>
          <w:trHeight w:val="315"/>
          <w:jc w:val="center"/>
        </w:trPr>
        <w:tc>
          <w:tcPr>
            <w:tcW w:w="3035"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HUNEDOARA</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8444</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9329</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110</w:t>
            </w:r>
          </w:p>
        </w:tc>
      </w:tr>
      <w:tr w:rsidR="00677EA4" w:rsidRPr="00860724" w:rsidTr="00D60C7C">
        <w:trPr>
          <w:trHeight w:val="315"/>
          <w:jc w:val="center"/>
        </w:trPr>
        <w:tc>
          <w:tcPr>
            <w:tcW w:w="3035" w:type="dxa"/>
            <w:tcBorders>
              <w:top w:val="single" w:sz="4" w:space="0" w:color="auto"/>
              <w:left w:val="single" w:sz="4" w:space="0" w:color="000000"/>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MEHEDINTI</w:t>
            </w:r>
          </w:p>
        </w:tc>
        <w:tc>
          <w:tcPr>
            <w:tcW w:w="983" w:type="dxa"/>
            <w:tcBorders>
              <w:top w:val="single" w:sz="4" w:space="0" w:color="auto"/>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8906</w:t>
            </w:r>
          </w:p>
        </w:tc>
        <w:tc>
          <w:tcPr>
            <w:tcW w:w="1691" w:type="dxa"/>
            <w:tcBorders>
              <w:top w:val="single" w:sz="4" w:space="0" w:color="auto"/>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9803</w:t>
            </w:r>
          </w:p>
        </w:tc>
        <w:tc>
          <w:tcPr>
            <w:tcW w:w="1671"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110</w:t>
            </w:r>
          </w:p>
        </w:tc>
      </w:tr>
      <w:tr w:rsidR="00677EA4" w:rsidRPr="00860724" w:rsidTr="00D60C7C">
        <w:trPr>
          <w:trHeight w:val="315"/>
          <w:jc w:val="center"/>
        </w:trPr>
        <w:tc>
          <w:tcPr>
            <w:tcW w:w="3035" w:type="dxa"/>
            <w:tcBorders>
              <w:top w:val="single" w:sz="4" w:space="0" w:color="auto"/>
              <w:left w:val="single" w:sz="4" w:space="0" w:color="000000"/>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VRANCEA</w:t>
            </w:r>
          </w:p>
        </w:tc>
        <w:tc>
          <w:tcPr>
            <w:tcW w:w="983" w:type="dxa"/>
            <w:tcBorders>
              <w:top w:val="single" w:sz="4" w:space="0" w:color="auto"/>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7736</w:t>
            </w:r>
          </w:p>
        </w:tc>
        <w:tc>
          <w:tcPr>
            <w:tcW w:w="1691" w:type="dxa"/>
            <w:tcBorders>
              <w:top w:val="single" w:sz="4" w:space="0" w:color="auto"/>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8361</w:t>
            </w:r>
          </w:p>
        </w:tc>
        <w:tc>
          <w:tcPr>
            <w:tcW w:w="1671"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108</w:t>
            </w:r>
          </w:p>
        </w:tc>
      </w:tr>
      <w:tr w:rsidR="00677EA4" w:rsidRPr="00860724" w:rsidTr="00D60C7C">
        <w:trPr>
          <w:trHeight w:val="315"/>
          <w:jc w:val="center"/>
        </w:trPr>
        <w:tc>
          <w:tcPr>
            <w:tcW w:w="3035" w:type="dxa"/>
            <w:tcBorders>
              <w:top w:val="single" w:sz="4" w:space="0" w:color="auto"/>
              <w:left w:val="single" w:sz="4" w:space="0" w:color="000000"/>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BRAILA</w:t>
            </w:r>
          </w:p>
        </w:tc>
        <w:tc>
          <w:tcPr>
            <w:tcW w:w="983" w:type="dxa"/>
            <w:tcBorders>
              <w:top w:val="single" w:sz="4" w:space="0" w:color="auto"/>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6686</w:t>
            </w:r>
          </w:p>
        </w:tc>
        <w:tc>
          <w:tcPr>
            <w:tcW w:w="1691" w:type="dxa"/>
            <w:tcBorders>
              <w:top w:val="single" w:sz="4" w:space="0" w:color="auto"/>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7221</w:t>
            </w:r>
          </w:p>
        </w:tc>
        <w:tc>
          <w:tcPr>
            <w:tcW w:w="1671"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108</w:t>
            </w:r>
          </w:p>
        </w:tc>
      </w:tr>
      <w:tr w:rsidR="00677EA4" w:rsidRPr="00860724" w:rsidTr="00D60C7C">
        <w:trPr>
          <w:trHeight w:val="315"/>
          <w:jc w:val="center"/>
        </w:trPr>
        <w:tc>
          <w:tcPr>
            <w:tcW w:w="3035" w:type="dxa"/>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VALCEA</w:t>
            </w:r>
          </w:p>
        </w:tc>
        <w:tc>
          <w:tcPr>
            <w:tcW w:w="983" w:type="dxa"/>
            <w:tcBorders>
              <w:top w:val="single" w:sz="4" w:space="0" w:color="auto"/>
              <w:left w:val="nil"/>
              <w:bottom w:val="single" w:sz="4" w:space="0" w:color="000000"/>
              <w:right w:val="single" w:sz="4" w:space="0" w:color="000000"/>
            </w:tcBorders>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10121</w:t>
            </w:r>
          </w:p>
        </w:tc>
        <w:tc>
          <w:tcPr>
            <w:tcW w:w="1691" w:type="dxa"/>
            <w:tcBorders>
              <w:top w:val="single" w:sz="4" w:space="0" w:color="auto"/>
              <w:left w:val="nil"/>
              <w:bottom w:val="single" w:sz="4" w:space="0" w:color="000000"/>
              <w:right w:val="single" w:sz="4" w:space="0" w:color="000000"/>
            </w:tcBorders>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10899</w:t>
            </w:r>
          </w:p>
        </w:tc>
        <w:tc>
          <w:tcPr>
            <w:tcW w:w="1671"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108</w:t>
            </w:r>
          </w:p>
        </w:tc>
      </w:tr>
    </w:tbl>
    <w:p w:rsidR="00677EA4" w:rsidRPr="00860724" w:rsidRDefault="00677EA4" w:rsidP="00FB3812">
      <w:pPr>
        <w:pStyle w:val="AddParagraf"/>
        <w:spacing w:line="276" w:lineRule="auto"/>
      </w:pPr>
    </w:p>
    <w:p w:rsidR="00677EA4" w:rsidRPr="00860724" w:rsidRDefault="00677EA4" w:rsidP="00FB3812">
      <w:pPr>
        <w:pStyle w:val="AddParagraf"/>
        <w:spacing w:line="276" w:lineRule="auto"/>
      </w:pPr>
      <w:r w:rsidRPr="00860724">
        <w:t>În schimb, cea mai scăzută eficienţă au înregist-o următoarele tribunale:</w:t>
      </w:r>
    </w:p>
    <w:tbl>
      <w:tblPr>
        <w:tblW w:w="7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1008"/>
        <w:gridCol w:w="1632"/>
        <w:gridCol w:w="1671"/>
      </w:tblGrid>
      <w:tr w:rsidR="00677EA4" w:rsidRPr="00860724" w:rsidTr="00D60C7C">
        <w:trPr>
          <w:trHeight w:val="315"/>
          <w:jc w:val="center"/>
        </w:trPr>
        <w:tc>
          <w:tcPr>
            <w:tcW w:w="2944"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Instanţa</w:t>
            </w:r>
          </w:p>
        </w:tc>
        <w:tc>
          <w:tcPr>
            <w:tcW w:w="1008"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Nou intrate</w:t>
            </w:r>
          </w:p>
        </w:tc>
        <w:tc>
          <w:tcPr>
            <w:tcW w:w="1632"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Total volum soluţionate</w:t>
            </w:r>
          </w:p>
        </w:tc>
        <w:tc>
          <w:tcPr>
            <w:tcW w:w="1671" w:type="dxa"/>
            <w:shd w:val="clear" w:color="auto" w:fill="99CCFF"/>
            <w:noWrap/>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Operativitatea (%)</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CALARASI</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3950</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3688</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93</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BUZAU</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8271</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7705</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93</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ILFOV</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11879</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10990</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93</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BUCURESTI</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86188</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79724</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93</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COVASNA</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3467</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3206</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92</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TULCEA</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4936</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4480</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91</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ARGES</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15822</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14345</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91</w:t>
            </w:r>
          </w:p>
        </w:tc>
      </w:tr>
      <w:tr w:rsidR="00677EA4" w:rsidRPr="00860724" w:rsidTr="00D60C7C">
        <w:trPr>
          <w:trHeight w:val="315"/>
          <w:jc w:val="center"/>
        </w:trPr>
        <w:tc>
          <w:tcPr>
            <w:tcW w:w="2944" w:type="dxa"/>
            <w:shd w:val="clear" w:color="auto" w:fill="auto"/>
            <w:vAlign w:val="center"/>
          </w:tcPr>
          <w:p w:rsidR="00677EA4" w:rsidRPr="00860724" w:rsidRDefault="00677EA4" w:rsidP="00FB3812">
            <w:pPr>
              <w:spacing w:line="276" w:lineRule="auto"/>
              <w:rPr>
                <w:rFonts w:cs="Arial"/>
                <w:lang w:val="ro-RO"/>
              </w:rPr>
            </w:pPr>
            <w:r w:rsidRPr="00860724">
              <w:rPr>
                <w:rFonts w:cs="Arial"/>
                <w:lang w:val="ro-RO"/>
              </w:rPr>
              <w:t>Tribunalul MURES</w:t>
            </w:r>
          </w:p>
        </w:tc>
        <w:tc>
          <w:tcPr>
            <w:tcW w:w="1008" w:type="dxa"/>
            <w:shd w:val="clear" w:color="auto" w:fill="auto"/>
            <w:vAlign w:val="center"/>
          </w:tcPr>
          <w:p w:rsidR="00677EA4" w:rsidRPr="00860724" w:rsidRDefault="00677EA4" w:rsidP="00FB3812">
            <w:pPr>
              <w:spacing w:line="276" w:lineRule="auto"/>
              <w:jc w:val="center"/>
              <w:rPr>
                <w:rFonts w:cs="Arial"/>
                <w:lang w:val="ro-RO"/>
              </w:rPr>
            </w:pPr>
            <w:r w:rsidRPr="00860724">
              <w:rPr>
                <w:rFonts w:cs="Arial"/>
                <w:lang w:val="ro-RO"/>
              </w:rPr>
              <w:t>8655</w:t>
            </w:r>
          </w:p>
        </w:tc>
        <w:tc>
          <w:tcPr>
            <w:tcW w:w="1632" w:type="dxa"/>
            <w:shd w:val="clear" w:color="auto" w:fill="auto"/>
            <w:vAlign w:val="bottom"/>
          </w:tcPr>
          <w:p w:rsidR="00677EA4" w:rsidRPr="00860724" w:rsidRDefault="00677EA4" w:rsidP="00FB3812">
            <w:pPr>
              <w:spacing w:line="276" w:lineRule="auto"/>
              <w:jc w:val="center"/>
              <w:rPr>
                <w:rFonts w:cs="Arial"/>
                <w:lang w:val="ro-RO"/>
              </w:rPr>
            </w:pPr>
            <w:r w:rsidRPr="00860724">
              <w:rPr>
                <w:rFonts w:cs="Arial"/>
                <w:lang w:val="ro-RO"/>
              </w:rPr>
              <w:t>6839</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79</w:t>
            </w:r>
          </w:p>
        </w:tc>
      </w:tr>
    </w:tbl>
    <w:p w:rsidR="00677EA4" w:rsidRPr="00860724" w:rsidRDefault="00677EA4" w:rsidP="00FB3812">
      <w:pPr>
        <w:spacing w:before="120" w:line="276" w:lineRule="auto"/>
        <w:ind w:firstLine="720"/>
        <w:jc w:val="both"/>
        <w:rPr>
          <w:rFonts w:cs="Arial"/>
          <w:b/>
          <w:lang w:val="ro-RO"/>
        </w:rPr>
      </w:pPr>
    </w:p>
    <w:p w:rsidR="00677EA4" w:rsidRPr="00860724" w:rsidRDefault="00677EA4" w:rsidP="00FB3812">
      <w:pPr>
        <w:spacing w:before="120" w:line="276" w:lineRule="auto"/>
        <w:ind w:firstLine="720"/>
        <w:jc w:val="both"/>
        <w:rPr>
          <w:rFonts w:cs="Arial"/>
          <w:b/>
          <w:lang w:val="ro-RO"/>
        </w:rPr>
      </w:pPr>
      <w:r w:rsidRPr="00860724">
        <w:rPr>
          <w:rFonts w:cs="Arial"/>
          <w:b/>
          <w:lang w:val="ro-RO"/>
        </w:rPr>
        <w:t>Operativitatea la tribunalele specializate</w:t>
      </w:r>
    </w:p>
    <w:p w:rsidR="00677EA4" w:rsidRPr="00860724" w:rsidRDefault="00677EA4" w:rsidP="00FB3812">
      <w:pPr>
        <w:pStyle w:val="AddParagraf"/>
        <w:spacing w:line="276" w:lineRule="auto"/>
      </w:pPr>
      <w:r w:rsidRPr="00860724">
        <w:t>În procente, la instanţele specializate operativitatea în raport de volumul de dosare nou intrate s-a distribuit astfel:</w:t>
      </w: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4"/>
        <w:gridCol w:w="960"/>
        <w:gridCol w:w="1551"/>
        <w:gridCol w:w="1671"/>
      </w:tblGrid>
      <w:tr w:rsidR="00677EA4" w:rsidRPr="00860724" w:rsidTr="00D60C7C">
        <w:trPr>
          <w:trHeight w:val="780"/>
          <w:jc w:val="center"/>
        </w:trPr>
        <w:tc>
          <w:tcPr>
            <w:tcW w:w="4254"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t>Instanţa</w:t>
            </w:r>
          </w:p>
        </w:tc>
        <w:tc>
          <w:tcPr>
            <w:tcW w:w="960"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t>Nou intrate</w:t>
            </w:r>
          </w:p>
        </w:tc>
        <w:tc>
          <w:tcPr>
            <w:tcW w:w="1551"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t>Total volum soluţionate</w:t>
            </w:r>
          </w:p>
        </w:tc>
        <w:tc>
          <w:tcPr>
            <w:tcW w:w="1671"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t>Operativitatea (%)</w:t>
            </w:r>
          </w:p>
        </w:tc>
      </w:tr>
      <w:tr w:rsidR="00677EA4" w:rsidRPr="00860724" w:rsidTr="00D60C7C">
        <w:trPr>
          <w:trHeight w:val="342"/>
          <w:jc w:val="center"/>
        </w:trPr>
        <w:tc>
          <w:tcPr>
            <w:tcW w:w="4254" w:type="dxa"/>
            <w:shd w:val="clear" w:color="auto" w:fill="auto"/>
            <w:vAlign w:val="bottom"/>
          </w:tcPr>
          <w:p w:rsidR="00677EA4" w:rsidRPr="00860724" w:rsidRDefault="00677EA4" w:rsidP="00FB3812">
            <w:pPr>
              <w:spacing w:line="276" w:lineRule="auto"/>
              <w:rPr>
                <w:bCs/>
                <w:lang w:val="ro-RO"/>
              </w:rPr>
            </w:pPr>
            <w:r w:rsidRPr="00860724">
              <w:rPr>
                <w:bCs/>
                <w:lang w:val="ro-RO"/>
              </w:rPr>
              <w:t>Tribunalul Comercial Argeş</w:t>
            </w:r>
          </w:p>
        </w:tc>
        <w:tc>
          <w:tcPr>
            <w:tcW w:w="960" w:type="dxa"/>
            <w:shd w:val="clear" w:color="auto" w:fill="auto"/>
            <w:noWrap/>
            <w:vAlign w:val="center"/>
          </w:tcPr>
          <w:p w:rsidR="00677EA4" w:rsidRPr="00860724" w:rsidRDefault="00677EA4" w:rsidP="00FB3812">
            <w:pPr>
              <w:spacing w:line="276" w:lineRule="auto"/>
              <w:jc w:val="center"/>
              <w:rPr>
                <w:rFonts w:cs="Arial"/>
                <w:lang w:val="ro-RO"/>
              </w:rPr>
            </w:pPr>
            <w:r w:rsidRPr="00860724">
              <w:rPr>
                <w:rFonts w:cs="Arial"/>
                <w:lang w:val="ro-RO"/>
              </w:rPr>
              <w:t>1312</w:t>
            </w:r>
          </w:p>
        </w:tc>
        <w:tc>
          <w:tcPr>
            <w:tcW w:w="155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1272</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97</w:t>
            </w:r>
          </w:p>
        </w:tc>
      </w:tr>
      <w:tr w:rsidR="00677EA4" w:rsidRPr="00860724" w:rsidTr="00D60C7C">
        <w:trPr>
          <w:trHeight w:val="342"/>
          <w:jc w:val="center"/>
        </w:trPr>
        <w:tc>
          <w:tcPr>
            <w:tcW w:w="4254" w:type="dxa"/>
            <w:shd w:val="clear" w:color="auto" w:fill="auto"/>
            <w:vAlign w:val="bottom"/>
          </w:tcPr>
          <w:p w:rsidR="00677EA4" w:rsidRPr="00860724" w:rsidRDefault="00677EA4" w:rsidP="00FB3812">
            <w:pPr>
              <w:spacing w:line="276" w:lineRule="auto"/>
              <w:rPr>
                <w:bCs/>
                <w:lang w:val="ro-RO"/>
              </w:rPr>
            </w:pPr>
            <w:r w:rsidRPr="00860724">
              <w:rPr>
                <w:bCs/>
                <w:lang w:val="ro-RO"/>
              </w:rPr>
              <w:t>Tribunalul pentru minori şi familie Braşov</w:t>
            </w:r>
          </w:p>
        </w:tc>
        <w:tc>
          <w:tcPr>
            <w:tcW w:w="960" w:type="dxa"/>
            <w:shd w:val="clear" w:color="auto" w:fill="auto"/>
            <w:noWrap/>
            <w:vAlign w:val="center"/>
          </w:tcPr>
          <w:p w:rsidR="00677EA4" w:rsidRPr="00860724" w:rsidRDefault="00677EA4" w:rsidP="00FB3812">
            <w:pPr>
              <w:spacing w:line="276" w:lineRule="auto"/>
              <w:jc w:val="center"/>
              <w:rPr>
                <w:rFonts w:cs="Arial"/>
                <w:lang w:val="ro-RO"/>
              </w:rPr>
            </w:pPr>
            <w:r w:rsidRPr="00860724">
              <w:rPr>
                <w:rFonts w:cs="Arial"/>
                <w:lang w:val="ro-RO"/>
              </w:rPr>
              <w:t>1238</w:t>
            </w:r>
          </w:p>
        </w:tc>
        <w:tc>
          <w:tcPr>
            <w:tcW w:w="155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1291</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104</w:t>
            </w:r>
          </w:p>
        </w:tc>
      </w:tr>
      <w:tr w:rsidR="00677EA4" w:rsidRPr="00860724" w:rsidTr="00D60C7C">
        <w:trPr>
          <w:trHeight w:val="342"/>
          <w:jc w:val="center"/>
        </w:trPr>
        <w:tc>
          <w:tcPr>
            <w:tcW w:w="4254" w:type="dxa"/>
            <w:shd w:val="clear" w:color="auto" w:fill="auto"/>
            <w:vAlign w:val="bottom"/>
          </w:tcPr>
          <w:p w:rsidR="00677EA4" w:rsidRPr="00860724" w:rsidRDefault="00677EA4" w:rsidP="00FB3812">
            <w:pPr>
              <w:spacing w:line="276" w:lineRule="auto"/>
              <w:rPr>
                <w:bCs/>
                <w:lang w:val="ro-RO"/>
              </w:rPr>
            </w:pPr>
            <w:r w:rsidRPr="00860724">
              <w:rPr>
                <w:bCs/>
                <w:lang w:val="ro-RO"/>
              </w:rPr>
              <w:t>Tribunalul Comercial Mureş</w:t>
            </w:r>
          </w:p>
        </w:tc>
        <w:tc>
          <w:tcPr>
            <w:tcW w:w="960" w:type="dxa"/>
            <w:shd w:val="clear" w:color="auto" w:fill="auto"/>
            <w:noWrap/>
            <w:vAlign w:val="center"/>
          </w:tcPr>
          <w:p w:rsidR="00677EA4" w:rsidRPr="00860724" w:rsidRDefault="00677EA4" w:rsidP="00FB3812">
            <w:pPr>
              <w:spacing w:line="276" w:lineRule="auto"/>
              <w:jc w:val="center"/>
              <w:rPr>
                <w:rFonts w:cs="Arial"/>
                <w:lang w:val="ro-RO"/>
              </w:rPr>
            </w:pPr>
            <w:r w:rsidRPr="00860724">
              <w:rPr>
                <w:rFonts w:cs="Arial"/>
                <w:lang w:val="ro-RO"/>
              </w:rPr>
              <w:t>2224</w:t>
            </w:r>
          </w:p>
        </w:tc>
        <w:tc>
          <w:tcPr>
            <w:tcW w:w="155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2463</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111</w:t>
            </w:r>
          </w:p>
        </w:tc>
      </w:tr>
      <w:tr w:rsidR="00677EA4" w:rsidRPr="00860724" w:rsidTr="00D60C7C">
        <w:trPr>
          <w:trHeight w:val="342"/>
          <w:jc w:val="center"/>
        </w:trPr>
        <w:tc>
          <w:tcPr>
            <w:tcW w:w="4254" w:type="dxa"/>
            <w:shd w:val="clear" w:color="auto" w:fill="auto"/>
            <w:vAlign w:val="bottom"/>
          </w:tcPr>
          <w:p w:rsidR="00677EA4" w:rsidRPr="00860724" w:rsidRDefault="00677EA4" w:rsidP="00FB3812">
            <w:pPr>
              <w:spacing w:line="276" w:lineRule="auto"/>
              <w:rPr>
                <w:bCs/>
                <w:lang w:val="ro-RO"/>
              </w:rPr>
            </w:pPr>
            <w:r w:rsidRPr="00860724">
              <w:rPr>
                <w:bCs/>
                <w:lang w:val="ro-RO"/>
              </w:rPr>
              <w:t>Tribunalul Comercial Cluj</w:t>
            </w:r>
          </w:p>
        </w:tc>
        <w:tc>
          <w:tcPr>
            <w:tcW w:w="960" w:type="dxa"/>
            <w:shd w:val="clear" w:color="auto" w:fill="auto"/>
            <w:noWrap/>
            <w:vAlign w:val="center"/>
          </w:tcPr>
          <w:p w:rsidR="00677EA4" w:rsidRPr="00860724" w:rsidRDefault="00677EA4" w:rsidP="00FB3812">
            <w:pPr>
              <w:spacing w:line="276" w:lineRule="auto"/>
              <w:jc w:val="center"/>
              <w:rPr>
                <w:rFonts w:cs="Arial"/>
                <w:lang w:val="ro-RO"/>
              </w:rPr>
            </w:pPr>
            <w:r w:rsidRPr="00860724">
              <w:rPr>
                <w:rFonts w:cs="Arial"/>
                <w:lang w:val="ro-RO"/>
              </w:rPr>
              <w:t>3842</w:t>
            </w:r>
          </w:p>
        </w:tc>
        <w:tc>
          <w:tcPr>
            <w:tcW w:w="155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3504</w:t>
            </w:r>
          </w:p>
        </w:tc>
        <w:tc>
          <w:tcPr>
            <w:tcW w:w="1671" w:type="dxa"/>
            <w:shd w:val="clear" w:color="auto" w:fill="auto"/>
            <w:noWrap/>
            <w:vAlign w:val="bottom"/>
          </w:tcPr>
          <w:p w:rsidR="00677EA4" w:rsidRPr="00860724" w:rsidRDefault="00677EA4" w:rsidP="00FB3812">
            <w:pPr>
              <w:spacing w:line="276" w:lineRule="auto"/>
              <w:jc w:val="center"/>
              <w:rPr>
                <w:rFonts w:cs="Arial"/>
                <w:lang w:val="ro-RO"/>
              </w:rPr>
            </w:pPr>
            <w:r w:rsidRPr="00860724">
              <w:rPr>
                <w:rFonts w:cs="Arial"/>
                <w:lang w:val="ro-RO"/>
              </w:rPr>
              <w:t>91</w:t>
            </w:r>
          </w:p>
        </w:tc>
      </w:tr>
    </w:tbl>
    <w:p w:rsidR="00677EA4" w:rsidRPr="00860724" w:rsidRDefault="00677EA4" w:rsidP="00677EA4">
      <w:pPr>
        <w:spacing w:before="120" w:line="360" w:lineRule="auto"/>
        <w:jc w:val="both"/>
        <w:rPr>
          <w:bCs/>
          <w:sz w:val="20"/>
          <w:szCs w:val="20"/>
          <w:lang w:val="ro-RO"/>
        </w:rPr>
      </w:pPr>
    </w:p>
    <w:p w:rsidR="00677EA4" w:rsidRPr="00860724" w:rsidRDefault="00CC3F11" w:rsidP="00FB3812">
      <w:pPr>
        <w:pStyle w:val="Titlu3"/>
      </w:pPr>
      <w:r w:rsidRPr="00860724">
        <w:t xml:space="preserve">I.3.4. </w:t>
      </w:r>
      <w:r w:rsidR="00677EA4" w:rsidRPr="00860724">
        <w:t>Operativitatea la nivelul judecătoriilor</w:t>
      </w:r>
    </w:p>
    <w:p w:rsidR="00677EA4" w:rsidRPr="00860724" w:rsidRDefault="00677EA4" w:rsidP="00FB3812">
      <w:pPr>
        <w:pStyle w:val="AddParagraf"/>
        <w:spacing w:line="276" w:lineRule="auto"/>
      </w:pPr>
      <w:r w:rsidRPr="00860724">
        <w:t xml:space="preserve">Din cele </w:t>
      </w:r>
      <w:r w:rsidRPr="00860724">
        <w:rPr>
          <w:b/>
        </w:rPr>
        <w:t>2.005.054</w:t>
      </w:r>
      <w:r w:rsidRPr="00860724">
        <w:t xml:space="preserve"> cauze de soluţionat în cursul anului 2017, au fost soluţionate </w:t>
      </w:r>
      <w:r w:rsidRPr="00860724">
        <w:rPr>
          <w:b/>
        </w:rPr>
        <w:t xml:space="preserve">1.491.584 </w:t>
      </w:r>
      <w:r w:rsidRPr="00860724">
        <w:t xml:space="preserve">dosare, rămânând un stoc de  </w:t>
      </w:r>
      <w:r w:rsidRPr="00860724">
        <w:rPr>
          <w:b/>
        </w:rPr>
        <w:t>513.470</w:t>
      </w:r>
      <w:r w:rsidRPr="00860724">
        <w:t xml:space="preserve"> cauze (499.631</w:t>
      </w:r>
      <w:r w:rsidRPr="00860724">
        <w:rPr>
          <w:b/>
        </w:rPr>
        <w:t xml:space="preserve"> </w:t>
      </w:r>
      <w:r w:rsidRPr="00860724">
        <w:t>cauze în 2016).</w:t>
      </w:r>
    </w:p>
    <w:p w:rsidR="00677EA4" w:rsidRPr="00860724" w:rsidRDefault="00677EA4" w:rsidP="00FB3812">
      <w:pPr>
        <w:pStyle w:val="AddParagraf"/>
        <w:spacing w:line="276" w:lineRule="auto"/>
      </w:pPr>
      <w:r w:rsidRPr="00860724">
        <w:t xml:space="preserve">În procente, operativitatea medie în raport de întregul volum de activitate s-a situat la </w:t>
      </w:r>
      <w:r w:rsidRPr="00860724">
        <w:rPr>
          <w:b/>
        </w:rPr>
        <w:t>76 %</w:t>
      </w:r>
      <w:r w:rsidRPr="00860724">
        <w:t xml:space="preserve"> (77 % în anul 2016).</w:t>
      </w:r>
    </w:p>
    <w:p w:rsidR="00677EA4" w:rsidRPr="00860724" w:rsidRDefault="00677EA4" w:rsidP="00FB3812">
      <w:pPr>
        <w:pStyle w:val="AddParagraf"/>
        <w:spacing w:line="276" w:lineRule="auto"/>
      </w:pPr>
      <w:r w:rsidRPr="00860724">
        <w:t>Evoluţia pe ultimii cinci ani este prezentată în graficul de mai jos.</w:t>
      </w:r>
    </w:p>
    <w:p w:rsidR="00677EA4" w:rsidRPr="00860724" w:rsidRDefault="00677EA4" w:rsidP="00677EA4">
      <w:pPr>
        <w:pStyle w:val="AddParagraf"/>
        <w:ind w:firstLine="0"/>
        <w:jc w:val="center"/>
      </w:pPr>
      <w:r w:rsidRPr="00860724">
        <w:lastRenderedPageBreak/>
        <w:fldChar w:fldCharType="begin"/>
      </w:r>
      <w:r w:rsidRPr="00860724">
        <w:instrText xml:space="preserve"> LINK Excel.Sheet.8 "F:\\Macheta\\Grafice 2017.xls!Operativit Jud![Grafice 2017.xls]Operativit Jud Diagramă 1" "" \a \p \* MERGEFORMAT </w:instrText>
      </w:r>
      <w:r w:rsidRPr="00860724">
        <w:fldChar w:fldCharType="separate"/>
      </w:r>
      <w:r w:rsidR="009B0A85">
        <w:object w:dxaOrig="11480" w:dyaOrig="6520">
          <v:shape id="_x0000_i1086" type="#_x0000_t75" style="width:436.5pt;height:247.5pt">
            <v:imagedata r:id="rId72" o:title=""/>
          </v:shape>
        </w:object>
      </w:r>
      <w:r w:rsidRPr="00860724">
        <w:fldChar w:fldCharType="end"/>
      </w:r>
    </w:p>
    <w:p w:rsidR="00677EA4" w:rsidRPr="00860724" w:rsidRDefault="00677EA4" w:rsidP="00FB3812">
      <w:pPr>
        <w:pStyle w:val="AddParagraf"/>
        <w:spacing w:line="276" w:lineRule="auto"/>
      </w:pPr>
      <w:r w:rsidRPr="00860724">
        <w:t>În tabelul de mai jos sunt prezentate operativităţile pentru cele mai eficiente judecătorii calculate ca raportul dintre dosarele soluţionate şi cele intrate (sub aspectul eficienţei în atacarea stocurilor).</w:t>
      </w:r>
    </w:p>
    <w:tbl>
      <w:tblPr>
        <w:tblW w:w="8090" w:type="dxa"/>
        <w:jc w:val="center"/>
        <w:tblLook w:val="0000" w:firstRow="0" w:lastRow="0" w:firstColumn="0" w:lastColumn="0" w:noHBand="0" w:noVBand="0"/>
      </w:tblPr>
      <w:tblGrid>
        <w:gridCol w:w="3967"/>
        <w:gridCol w:w="1003"/>
        <w:gridCol w:w="1410"/>
        <w:gridCol w:w="1710"/>
      </w:tblGrid>
      <w:tr w:rsidR="00677EA4" w:rsidRPr="00860724" w:rsidTr="00D60C7C">
        <w:trPr>
          <w:trHeight w:val="629"/>
          <w:jc w:val="center"/>
        </w:trPr>
        <w:tc>
          <w:tcPr>
            <w:tcW w:w="3967" w:type="dxa"/>
            <w:tcBorders>
              <w:top w:val="single" w:sz="4" w:space="0" w:color="auto"/>
              <w:left w:val="single" w:sz="4" w:space="0" w:color="auto"/>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Instanţa</w:t>
            </w:r>
          </w:p>
        </w:tc>
        <w:tc>
          <w:tcPr>
            <w:tcW w:w="1003"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Nou intrate</w:t>
            </w:r>
          </w:p>
        </w:tc>
        <w:tc>
          <w:tcPr>
            <w:tcW w:w="1410"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Total volum soluţionate</w:t>
            </w:r>
          </w:p>
        </w:tc>
        <w:tc>
          <w:tcPr>
            <w:tcW w:w="1710" w:type="dxa"/>
            <w:tcBorders>
              <w:top w:val="single" w:sz="4" w:space="0" w:color="auto"/>
              <w:left w:val="nil"/>
              <w:bottom w:val="single" w:sz="4" w:space="0" w:color="auto"/>
              <w:right w:val="single" w:sz="4" w:space="0" w:color="auto"/>
            </w:tcBorders>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Operativitatea (%)</w:t>
            </w:r>
          </w:p>
        </w:tc>
      </w:tr>
      <w:tr w:rsidR="00677EA4" w:rsidRPr="00860724" w:rsidTr="00D60C7C">
        <w:trPr>
          <w:trHeight w:val="315"/>
          <w:jc w:val="center"/>
        </w:trPr>
        <w:tc>
          <w:tcPr>
            <w:tcW w:w="3967"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MOLDOVA-NOUA</w:t>
            </w:r>
          </w:p>
        </w:tc>
        <w:tc>
          <w:tcPr>
            <w:tcW w:w="1003" w:type="dxa"/>
            <w:tcBorders>
              <w:top w:val="nil"/>
              <w:left w:val="nil"/>
              <w:bottom w:val="single" w:sz="4" w:space="0" w:color="000000"/>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1056</w:t>
            </w:r>
          </w:p>
        </w:tc>
        <w:tc>
          <w:tcPr>
            <w:tcW w:w="1410" w:type="dxa"/>
            <w:tcBorders>
              <w:top w:val="nil"/>
              <w:left w:val="nil"/>
              <w:bottom w:val="single" w:sz="4" w:space="0" w:color="000000"/>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1277</w:t>
            </w:r>
          </w:p>
        </w:tc>
        <w:tc>
          <w:tcPr>
            <w:tcW w:w="1710" w:type="dxa"/>
            <w:tcBorders>
              <w:top w:val="nil"/>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121</w:t>
            </w:r>
          </w:p>
        </w:tc>
      </w:tr>
      <w:tr w:rsidR="00677EA4" w:rsidRPr="00860724" w:rsidTr="00D60C7C">
        <w:trPr>
          <w:trHeight w:val="315"/>
          <w:jc w:val="center"/>
        </w:trPr>
        <w:tc>
          <w:tcPr>
            <w:tcW w:w="3967" w:type="dxa"/>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SEGARCEA</w:t>
            </w:r>
          </w:p>
        </w:tc>
        <w:tc>
          <w:tcPr>
            <w:tcW w:w="1003" w:type="dxa"/>
            <w:tcBorders>
              <w:top w:val="nil"/>
              <w:left w:val="nil"/>
              <w:bottom w:val="single" w:sz="4" w:space="0" w:color="000000"/>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2486</w:t>
            </w:r>
          </w:p>
        </w:tc>
        <w:tc>
          <w:tcPr>
            <w:tcW w:w="1410" w:type="dxa"/>
            <w:tcBorders>
              <w:top w:val="nil"/>
              <w:left w:val="nil"/>
              <w:bottom w:val="single" w:sz="4" w:space="0" w:color="000000"/>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2836</w:t>
            </w:r>
          </w:p>
        </w:tc>
        <w:tc>
          <w:tcPr>
            <w:tcW w:w="1710" w:type="dxa"/>
            <w:tcBorders>
              <w:top w:val="nil"/>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114</w:t>
            </w:r>
          </w:p>
        </w:tc>
      </w:tr>
      <w:tr w:rsidR="00677EA4" w:rsidRPr="00860724" w:rsidTr="00D60C7C">
        <w:trPr>
          <w:trHeight w:val="315"/>
          <w:jc w:val="center"/>
        </w:trPr>
        <w:tc>
          <w:tcPr>
            <w:tcW w:w="3967" w:type="dxa"/>
            <w:tcBorders>
              <w:top w:val="nil"/>
              <w:left w:val="single" w:sz="4" w:space="0" w:color="000000"/>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PLOIESTI</w:t>
            </w:r>
          </w:p>
        </w:tc>
        <w:tc>
          <w:tcPr>
            <w:tcW w:w="1003" w:type="dxa"/>
            <w:tcBorders>
              <w:top w:val="nil"/>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29442</w:t>
            </w:r>
          </w:p>
        </w:tc>
        <w:tc>
          <w:tcPr>
            <w:tcW w:w="1410" w:type="dxa"/>
            <w:tcBorders>
              <w:top w:val="nil"/>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33582</w:t>
            </w:r>
          </w:p>
        </w:tc>
        <w:tc>
          <w:tcPr>
            <w:tcW w:w="1710" w:type="dxa"/>
            <w:tcBorders>
              <w:top w:val="nil"/>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114</w:t>
            </w:r>
          </w:p>
        </w:tc>
      </w:tr>
      <w:tr w:rsidR="00677EA4" w:rsidRPr="00860724" w:rsidTr="00D60C7C">
        <w:trPr>
          <w:trHeight w:val="315"/>
          <w:jc w:val="center"/>
        </w:trPr>
        <w:tc>
          <w:tcPr>
            <w:tcW w:w="3967" w:type="dxa"/>
            <w:tcBorders>
              <w:top w:val="single" w:sz="4" w:space="0" w:color="auto"/>
              <w:left w:val="single" w:sz="4" w:space="0" w:color="auto"/>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SAVENI</w:t>
            </w:r>
          </w:p>
        </w:tc>
        <w:tc>
          <w:tcPr>
            <w:tcW w:w="1003" w:type="dxa"/>
            <w:tcBorders>
              <w:top w:val="single" w:sz="4" w:space="0" w:color="auto"/>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2754</w:t>
            </w:r>
          </w:p>
        </w:tc>
        <w:tc>
          <w:tcPr>
            <w:tcW w:w="1410" w:type="dxa"/>
            <w:tcBorders>
              <w:top w:val="single" w:sz="4" w:space="0" w:color="auto"/>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3095</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112</w:t>
            </w:r>
          </w:p>
        </w:tc>
      </w:tr>
      <w:tr w:rsidR="00677EA4" w:rsidRPr="00860724" w:rsidTr="00D60C7C">
        <w:trPr>
          <w:trHeight w:val="315"/>
          <w:jc w:val="center"/>
        </w:trPr>
        <w:tc>
          <w:tcPr>
            <w:tcW w:w="3967" w:type="dxa"/>
            <w:tcBorders>
              <w:top w:val="single" w:sz="4" w:space="0" w:color="auto"/>
              <w:left w:val="single" w:sz="4" w:space="0" w:color="000000"/>
              <w:bottom w:val="single" w:sz="4" w:space="0" w:color="auto"/>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HARSOVA</w:t>
            </w:r>
          </w:p>
        </w:tc>
        <w:tc>
          <w:tcPr>
            <w:tcW w:w="1003" w:type="dxa"/>
            <w:tcBorders>
              <w:top w:val="single" w:sz="4" w:space="0" w:color="auto"/>
              <w:left w:val="nil"/>
              <w:bottom w:val="single" w:sz="4" w:space="0" w:color="auto"/>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2700</w:t>
            </w:r>
          </w:p>
        </w:tc>
        <w:tc>
          <w:tcPr>
            <w:tcW w:w="1410" w:type="dxa"/>
            <w:tcBorders>
              <w:top w:val="single" w:sz="4" w:space="0" w:color="auto"/>
              <w:left w:val="nil"/>
              <w:bottom w:val="single" w:sz="4" w:space="0" w:color="auto"/>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3003</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111</w:t>
            </w:r>
          </w:p>
        </w:tc>
      </w:tr>
      <w:tr w:rsidR="00677EA4" w:rsidRPr="00860724" w:rsidTr="00D60C7C">
        <w:trPr>
          <w:trHeight w:val="315"/>
          <w:jc w:val="center"/>
        </w:trPr>
        <w:tc>
          <w:tcPr>
            <w:tcW w:w="3967" w:type="dxa"/>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ALEXANDRIA</w:t>
            </w:r>
          </w:p>
        </w:tc>
        <w:tc>
          <w:tcPr>
            <w:tcW w:w="1003" w:type="dxa"/>
            <w:tcBorders>
              <w:top w:val="single" w:sz="4" w:space="0" w:color="auto"/>
              <w:left w:val="nil"/>
              <w:bottom w:val="single" w:sz="4" w:space="0" w:color="000000"/>
              <w:right w:val="single" w:sz="4" w:space="0" w:color="000000"/>
            </w:tcBorders>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8522</w:t>
            </w:r>
          </w:p>
        </w:tc>
        <w:tc>
          <w:tcPr>
            <w:tcW w:w="1410" w:type="dxa"/>
            <w:tcBorders>
              <w:top w:val="single" w:sz="4" w:space="0" w:color="auto"/>
              <w:left w:val="nil"/>
              <w:bottom w:val="single" w:sz="4" w:space="0" w:color="000000"/>
              <w:right w:val="single" w:sz="4" w:space="0" w:color="000000"/>
            </w:tcBorders>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9427</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111</w:t>
            </w:r>
          </w:p>
        </w:tc>
      </w:tr>
    </w:tbl>
    <w:p w:rsidR="00677EA4" w:rsidRPr="00860724" w:rsidRDefault="00677EA4" w:rsidP="00FB3812">
      <w:pPr>
        <w:pStyle w:val="AddParagraf"/>
        <w:spacing w:line="276" w:lineRule="auto"/>
      </w:pPr>
      <w:r w:rsidRPr="00860724">
        <w:t>La polul opus, cea mai mică operativitate a fost înregistrată la judecătoriile:</w:t>
      </w:r>
    </w:p>
    <w:tbl>
      <w:tblPr>
        <w:tblW w:w="8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2"/>
        <w:gridCol w:w="991"/>
        <w:gridCol w:w="1509"/>
        <w:gridCol w:w="1671"/>
      </w:tblGrid>
      <w:tr w:rsidR="00677EA4" w:rsidRPr="00860724" w:rsidTr="00D60C7C">
        <w:trPr>
          <w:trHeight w:val="315"/>
          <w:jc w:val="center"/>
        </w:trPr>
        <w:tc>
          <w:tcPr>
            <w:tcW w:w="3972"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Instanţa</w:t>
            </w:r>
          </w:p>
        </w:tc>
        <w:tc>
          <w:tcPr>
            <w:tcW w:w="991"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Nou intrate</w:t>
            </w:r>
          </w:p>
        </w:tc>
        <w:tc>
          <w:tcPr>
            <w:tcW w:w="1509" w:type="dxa"/>
            <w:shd w:val="clear" w:color="auto" w:fill="99CCFF"/>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Total volum soluţionate</w:t>
            </w:r>
          </w:p>
        </w:tc>
        <w:tc>
          <w:tcPr>
            <w:tcW w:w="1671" w:type="dxa"/>
            <w:shd w:val="clear" w:color="auto" w:fill="99CCFF"/>
            <w:noWrap/>
            <w:vAlign w:val="center"/>
          </w:tcPr>
          <w:p w:rsidR="00677EA4" w:rsidRPr="00860724" w:rsidRDefault="00677EA4" w:rsidP="00FB3812">
            <w:pPr>
              <w:spacing w:line="276" w:lineRule="auto"/>
              <w:jc w:val="center"/>
              <w:rPr>
                <w:rFonts w:cs="Arial"/>
                <w:b/>
                <w:bCs/>
                <w:lang w:val="ro-RO" w:eastAsia="ro-RO"/>
              </w:rPr>
            </w:pPr>
            <w:r w:rsidRPr="00860724">
              <w:rPr>
                <w:rFonts w:cs="Arial"/>
                <w:b/>
                <w:bCs/>
                <w:lang w:val="ro-RO" w:eastAsia="ro-RO"/>
              </w:rPr>
              <w:t>Operativitatea (%)</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HARLAU</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3340</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2861</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86</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Darabani</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2342</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1937</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83</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DRAGASANI</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4254</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3432</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81</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DRAGOMIRESTI</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906</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720</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79</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MARGHITA</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4005</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3151</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79</w:t>
            </w:r>
          </w:p>
        </w:tc>
      </w:tr>
      <w:tr w:rsidR="00677EA4" w:rsidRPr="00860724" w:rsidTr="00D60C7C">
        <w:trPr>
          <w:trHeight w:val="315"/>
          <w:jc w:val="center"/>
        </w:trPr>
        <w:tc>
          <w:tcPr>
            <w:tcW w:w="3972" w:type="dxa"/>
            <w:shd w:val="clear" w:color="auto" w:fill="auto"/>
            <w:vAlign w:val="center"/>
          </w:tcPr>
          <w:p w:rsidR="00677EA4" w:rsidRPr="00860724" w:rsidRDefault="00677EA4" w:rsidP="00FB3812">
            <w:pPr>
              <w:spacing w:line="276" w:lineRule="auto"/>
              <w:rPr>
                <w:rFonts w:ascii="Cambria" w:hAnsi="Cambria" w:cs="Arial"/>
                <w:sz w:val="22"/>
                <w:szCs w:val="22"/>
                <w:lang w:val="ro-RO"/>
              </w:rPr>
            </w:pPr>
            <w:r w:rsidRPr="00860724">
              <w:rPr>
                <w:rFonts w:ascii="Cambria" w:hAnsi="Cambria" w:cs="Arial"/>
                <w:sz w:val="22"/>
                <w:szCs w:val="22"/>
                <w:lang w:val="ro-RO"/>
              </w:rPr>
              <w:t>Judecatoria HOREZU</w:t>
            </w:r>
          </w:p>
        </w:tc>
        <w:tc>
          <w:tcPr>
            <w:tcW w:w="991" w:type="dxa"/>
            <w:shd w:val="clear" w:color="auto" w:fill="auto"/>
            <w:vAlign w:val="center"/>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3874</w:t>
            </w:r>
          </w:p>
        </w:tc>
        <w:tc>
          <w:tcPr>
            <w:tcW w:w="1509" w:type="dxa"/>
            <w:shd w:val="clear" w:color="auto" w:fill="auto"/>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2676</w:t>
            </w:r>
          </w:p>
        </w:tc>
        <w:tc>
          <w:tcPr>
            <w:tcW w:w="1671" w:type="dxa"/>
            <w:shd w:val="clear" w:color="auto" w:fill="auto"/>
            <w:noWrap/>
            <w:vAlign w:val="bottom"/>
          </w:tcPr>
          <w:p w:rsidR="00677EA4" w:rsidRPr="00860724" w:rsidRDefault="00677EA4" w:rsidP="00FB3812">
            <w:pPr>
              <w:spacing w:line="276" w:lineRule="auto"/>
              <w:jc w:val="center"/>
              <w:rPr>
                <w:rFonts w:ascii="Cambria" w:hAnsi="Cambria" w:cs="Arial"/>
                <w:sz w:val="22"/>
                <w:szCs w:val="22"/>
                <w:lang w:val="ro-RO"/>
              </w:rPr>
            </w:pPr>
            <w:r w:rsidRPr="00860724">
              <w:rPr>
                <w:rFonts w:ascii="Cambria" w:hAnsi="Cambria" w:cs="Arial"/>
                <w:sz w:val="22"/>
                <w:szCs w:val="22"/>
                <w:lang w:val="ro-RO"/>
              </w:rPr>
              <w:t>69</w:t>
            </w:r>
          </w:p>
        </w:tc>
      </w:tr>
    </w:tbl>
    <w:p w:rsidR="00677EA4" w:rsidRPr="00860724" w:rsidRDefault="00677EA4" w:rsidP="00FB3812">
      <w:pPr>
        <w:pStyle w:val="AddParagraf"/>
        <w:spacing w:line="276" w:lineRule="auto"/>
      </w:pPr>
    </w:p>
    <w:p w:rsidR="00677EA4" w:rsidRPr="00860724" w:rsidRDefault="00677EA4" w:rsidP="00FB3812">
      <w:pPr>
        <w:pStyle w:val="AddParagraf"/>
        <w:spacing w:line="276" w:lineRule="auto"/>
      </w:pPr>
      <w:r w:rsidRPr="00860724">
        <w:t xml:space="preserve">În raport de  cauzele nou intrate, există </w:t>
      </w:r>
      <w:r w:rsidRPr="00860724">
        <w:rPr>
          <w:b/>
        </w:rPr>
        <w:t>74</w:t>
      </w:r>
      <w:r w:rsidRPr="00860724">
        <w:t xml:space="preserve"> judecătorii care au trecut pragul unei operativităţi de 100 %, ceea ce înseamnă că toate au „atacat”stocurile de început de perioadă, acestea urmând să scadă pentru anul 2018. </w:t>
      </w:r>
    </w:p>
    <w:p w:rsidR="00677EA4" w:rsidRPr="00860724" w:rsidRDefault="00677EA4" w:rsidP="00FB3812">
      <w:pPr>
        <w:pStyle w:val="AddParagraf"/>
        <w:spacing w:line="276" w:lineRule="auto"/>
      </w:pPr>
      <w:r w:rsidRPr="00860724">
        <w:t xml:space="preserve">Există, de asemenea, </w:t>
      </w:r>
      <w:r w:rsidRPr="00860724">
        <w:rPr>
          <w:b/>
        </w:rPr>
        <w:t>101</w:t>
      </w:r>
      <w:r w:rsidRPr="00860724">
        <w:t xml:space="preserve"> judecătorii care nu au trecut pragul unei operativităţi de 100 %.</w:t>
      </w:r>
    </w:p>
    <w:p w:rsidR="00677EA4" w:rsidRPr="00860724" w:rsidRDefault="00677EA4" w:rsidP="00FB3812">
      <w:pPr>
        <w:pStyle w:val="AddParagraf"/>
        <w:spacing w:line="276" w:lineRule="auto"/>
      </w:pPr>
      <w:r w:rsidRPr="00860724">
        <w:t>La nivelul instanţelor militare, situaţia operativităţii se prezintă după cum urmează:</w:t>
      </w:r>
    </w:p>
    <w:tbl>
      <w:tblPr>
        <w:tblW w:w="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7"/>
        <w:gridCol w:w="1709"/>
      </w:tblGrid>
      <w:tr w:rsidR="00677EA4" w:rsidRPr="00860724" w:rsidTr="00D60C7C">
        <w:trPr>
          <w:trHeight w:val="975"/>
          <w:jc w:val="center"/>
        </w:trPr>
        <w:tc>
          <w:tcPr>
            <w:tcW w:w="3857"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lastRenderedPageBreak/>
              <w:t>Instanţa</w:t>
            </w:r>
          </w:p>
        </w:tc>
        <w:tc>
          <w:tcPr>
            <w:tcW w:w="1709" w:type="dxa"/>
            <w:shd w:val="clear" w:color="auto" w:fill="99CCFF"/>
            <w:vAlign w:val="center"/>
          </w:tcPr>
          <w:p w:rsidR="00677EA4" w:rsidRPr="00860724" w:rsidRDefault="00677EA4" w:rsidP="00FB3812">
            <w:pPr>
              <w:spacing w:line="276" w:lineRule="auto"/>
              <w:jc w:val="center"/>
              <w:rPr>
                <w:b/>
                <w:bCs/>
                <w:lang w:val="ro-RO"/>
              </w:rPr>
            </w:pPr>
            <w:r w:rsidRPr="00860724">
              <w:rPr>
                <w:b/>
                <w:bCs/>
                <w:lang w:val="ro-RO"/>
              </w:rPr>
              <w:t>Operativitatea (%)</w:t>
            </w:r>
          </w:p>
        </w:tc>
      </w:tr>
      <w:tr w:rsidR="00677EA4" w:rsidRPr="00860724" w:rsidTr="00D60C7C">
        <w:trPr>
          <w:trHeight w:val="330"/>
          <w:jc w:val="center"/>
        </w:trPr>
        <w:tc>
          <w:tcPr>
            <w:tcW w:w="3857" w:type="dxa"/>
            <w:shd w:val="clear" w:color="auto" w:fill="auto"/>
            <w:vAlign w:val="center"/>
          </w:tcPr>
          <w:p w:rsidR="00677EA4" w:rsidRPr="00860724" w:rsidRDefault="00677EA4" w:rsidP="00FB3812">
            <w:pPr>
              <w:spacing w:line="276" w:lineRule="auto"/>
              <w:rPr>
                <w:bCs/>
                <w:lang w:val="ro-RO"/>
              </w:rPr>
            </w:pPr>
            <w:r w:rsidRPr="00860724">
              <w:rPr>
                <w:bCs/>
                <w:lang w:val="ro-RO"/>
              </w:rPr>
              <w:t>Tribunalul Militar Bucureşti</w:t>
            </w:r>
          </w:p>
        </w:tc>
        <w:tc>
          <w:tcPr>
            <w:tcW w:w="1709" w:type="dxa"/>
            <w:shd w:val="clear" w:color="auto" w:fill="auto"/>
            <w:noWrap/>
            <w:vAlign w:val="center"/>
          </w:tcPr>
          <w:p w:rsidR="00677EA4" w:rsidRPr="00860724" w:rsidRDefault="00677EA4" w:rsidP="00FB3812">
            <w:pPr>
              <w:spacing w:line="276" w:lineRule="auto"/>
              <w:jc w:val="center"/>
              <w:rPr>
                <w:lang w:val="ro-RO"/>
              </w:rPr>
            </w:pPr>
            <w:r w:rsidRPr="00860724">
              <w:rPr>
                <w:lang w:val="ro-RO"/>
              </w:rPr>
              <w:t>96</w:t>
            </w:r>
          </w:p>
        </w:tc>
      </w:tr>
      <w:tr w:rsidR="00677EA4" w:rsidRPr="00860724" w:rsidTr="00D60C7C">
        <w:trPr>
          <w:trHeight w:val="330"/>
          <w:jc w:val="center"/>
        </w:trPr>
        <w:tc>
          <w:tcPr>
            <w:tcW w:w="3857" w:type="dxa"/>
            <w:shd w:val="clear" w:color="auto" w:fill="FFFFFF"/>
            <w:vAlign w:val="center"/>
          </w:tcPr>
          <w:p w:rsidR="00677EA4" w:rsidRPr="00860724" w:rsidRDefault="00677EA4" w:rsidP="00FB3812">
            <w:pPr>
              <w:spacing w:line="276" w:lineRule="auto"/>
              <w:rPr>
                <w:bCs/>
                <w:lang w:val="ro-RO"/>
              </w:rPr>
            </w:pPr>
            <w:r w:rsidRPr="00860724">
              <w:rPr>
                <w:bCs/>
                <w:lang w:val="ro-RO"/>
              </w:rPr>
              <w:t>Tribunalul  Militar Cluj Napoca</w:t>
            </w:r>
          </w:p>
        </w:tc>
        <w:tc>
          <w:tcPr>
            <w:tcW w:w="1709" w:type="dxa"/>
            <w:shd w:val="clear" w:color="auto" w:fill="auto"/>
            <w:noWrap/>
            <w:vAlign w:val="center"/>
          </w:tcPr>
          <w:p w:rsidR="00677EA4" w:rsidRPr="00860724" w:rsidRDefault="00677EA4" w:rsidP="00FB3812">
            <w:pPr>
              <w:spacing w:line="276" w:lineRule="auto"/>
              <w:jc w:val="center"/>
              <w:rPr>
                <w:lang w:val="ro-RO"/>
              </w:rPr>
            </w:pPr>
            <w:r w:rsidRPr="00860724">
              <w:rPr>
                <w:lang w:val="ro-RO"/>
              </w:rPr>
              <w:t>101</w:t>
            </w:r>
          </w:p>
        </w:tc>
      </w:tr>
      <w:tr w:rsidR="00677EA4" w:rsidRPr="00860724" w:rsidTr="00D60C7C">
        <w:trPr>
          <w:trHeight w:val="330"/>
          <w:jc w:val="center"/>
        </w:trPr>
        <w:tc>
          <w:tcPr>
            <w:tcW w:w="3857" w:type="dxa"/>
            <w:shd w:val="clear" w:color="auto" w:fill="auto"/>
            <w:vAlign w:val="center"/>
          </w:tcPr>
          <w:p w:rsidR="00677EA4" w:rsidRPr="00860724" w:rsidRDefault="00677EA4" w:rsidP="00FB3812">
            <w:pPr>
              <w:spacing w:line="276" w:lineRule="auto"/>
              <w:rPr>
                <w:bCs/>
                <w:lang w:val="ro-RO"/>
              </w:rPr>
            </w:pPr>
            <w:r w:rsidRPr="00860724">
              <w:rPr>
                <w:bCs/>
                <w:lang w:val="ro-RO"/>
              </w:rPr>
              <w:t>Tribunalul Militar Iaşi</w:t>
            </w:r>
          </w:p>
        </w:tc>
        <w:tc>
          <w:tcPr>
            <w:tcW w:w="1709" w:type="dxa"/>
            <w:shd w:val="clear" w:color="auto" w:fill="auto"/>
            <w:noWrap/>
            <w:vAlign w:val="center"/>
          </w:tcPr>
          <w:p w:rsidR="00677EA4" w:rsidRPr="00860724" w:rsidRDefault="00677EA4" w:rsidP="00FB3812">
            <w:pPr>
              <w:spacing w:line="276" w:lineRule="auto"/>
              <w:jc w:val="center"/>
              <w:rPr>
                <w:lang w:val="ro-RO"/>
              </w:rPr>
            </w:pPr>
            <w:r w:rsidRPr="00860724">
              <w:rPr>
                <w:lang w:val="ro-RO"/>
              </w:rPr>
              <w:t>94</w:t>
            </w:r>
          </w:p>
        </w:tc>
      </w:tr>
      <w:tr w:rsidR="00677EA4" w:rsidRPr="00860724" w:rsidTr="00D60C7C">
        <w:trPr>
          <w:trHeight w:val="300"/>
          <w:jc w:val="center"/>
        </w:trPr>
        <w:tc>
          <w:tcPr>
            <w:tcW w:w="3857" w:type="dxa"/>
            <w:shd w:val="clear" w:color="auto" w:fill="auto"/>
            <w:vAlign w:val="center"/>
          </w:tcPr>
          <w:p w:rsidR="00677EA4" w:rsidRPr="00860724" w:rsidRDefault="00677EA4" w:rsidP="00FB3812">
            <w:pPr>
              <w:spacing w:line="276" w:lineRule="auto"/>
              <w:rPr>
                <w:bCs/>
                <w:lang w:val="ro-RO"/>
              </w:rPr>
            </w:pPr>
            <w:r w:rsidRPr="00860724">
              <w:rPr>
                <w:bCs/>
                <w:lang w:val="ro-RO"/>
              </w:rPr>
              <w:t>Tribunalul Militar Timişoara</w:t>
            </w:r>
          </w:p>
        </w:tc>
        <w:tc>
          <w:tcPr>
            <w:tcW w:w="1709" w:type="dxa"/>
            <w:shd w:val="clear" w:color="auto" w:fill="auto"/>
            <w:noWrap/>
            <w:vAlign w:val="center"/>
          </w:tcPr>
          <w:p w:rsidR="00677EA4" w:rsidRPr="00860724" w:rsidRDefault="00677EA4" w:rsidP="00FB3812">
            <w:pPr>
              <w:spacing w:line="276" w:lineRule="auto"/>
              <w:jc w:val="center"/>
              <w:rPr>
                <w:lang w:val="ro-RO"/>
              </w:rPr>
            </w:pPr>
            <w:r w:rsidRPr="00860724">
              <w:rPr>
                <w:lang w:val="ro-RO"/>
              </w:rPr>
              <w:t>117</w:t>
            </w:r>
          </w:p>
        </w:tc>
      </w:tr>
      <w:tr w:rsidR="00677EA4" w:rsidRPr="00860724" w:rsidTr="00D60C7C">
        <w:trPr>
          <w:trHeight w:val="330"/>
          <w:jc w:val="center"/>
        </w:trPr>
        <w:tc>
          <w:tcPr>
            <w:tcW w:w="3857" w:type="dxa"/>
            <w:shd w:val="clear" w:color="auto" w:fill="auto"/>
            <w:vAlign w:val="center"/>
          </w:tcPr>
          <w:p w:rsidR="00677EA4" w:rsidRPr="00860724" w:rsidRDefault="00677EA4" w:rsidP="00FB3812">
            <w:pPr>
              <w:spacing w:line="276" w:lineRule="auto"/>
              <w:rPr>
                <w:bCs/>
                <w:lang w:val="ro-RO"/>
              </w:rPr>
            </w:pPr>
            <w:r w:rsidRPr="00860724">
              <w:rPr>
                <w:bCs/>
                <w:lang w:val="ro-RO"/>
              </w:rPr>
              <w:t>Curtea Militară de Apel</w:t>
            </w:r>
          </w:p>
        </w:tc>
        <w:tc>
          <w:tcPr>
            <w:tcW w:w="1709" w:type="dxa"/>
            <w:shd w:val="clear" w:color="auto" w:fill="auto"/>
            <w:noWrap/>
            <w:vAlign w:val="center"/>
          </w:tcPr>
          <w:p w:rsidR="00677EA4" w:rsidRPr="00860724" w:rsidRDefault="00677EA4" w:rsidP="00FB3812">
            <w:pPr>
              <w:spacing w:line="276" w:lineRule="auto"/>
              <w:jc w:val="center"/>
              <w:rPr>
                <w:lang w:val="ro-RO"/>
              </w:rPr>
            </w:pPr>
            <w:r w:rsidRPr="00860724">
              <w:rPr>
                <w:lang w:val="ro-RO"/>
              </w:rPr>
              <w:t>97</w:t>
            </w:r>
          </w:p>
        </w:tc>
      </w:tr>
    </w:tbl>
    <w:p w:rsidR="00677EA4" w:rsidRPr="00860724" w:rsidRDefault="00677EA4" w:rsidP="00FB3812">
      <w:pPr>
        <w:pStyle w:val="Titlu3"/>
      </w:pPr>
    </w:p>
    <w:p w:rsidR="00677EA4" w:rsidRPr="00860724" w:rsidRDefault="00677EA4" w:rsidP="00FB3812">
      <w:pPr>
        <w:pStyle w:val="Titlu2"/>
      </w:pPr>
      <w:r w:rsidRPr="00860724">
        <w:t>Analiza activităţii instanţelor din perspectiva indicatorilor de eficienţă</w:t>
      </w:r>
    </w:p>
    <w:p w:rsidR="00677EA4" w:rsidRPr="00860724" w:rsidRDefault="00677EA4" w:rsidP="00FB3812">
      <w:pPr>
        <w:spacing w:line="276" w:lineRule="auto"/>
        <w:rPr>
          <w:lang w:val="ro-RO"/>
        </w:rPr>
      </w:pPr>
    </w:p>
    <w:p w:rsidR="00677EA4" w:rsidRPr="00860724" w:rsidRDefault="00677EA4" w:rsidP="00FB3812">
      <w:pPr>
        <w:pStyle w:val="AddParagraf"/>
        <w:spacing w:line="276" w:lineRule="auto"/>
      </w:pPr>
      <w:r w:rsidRPr="00860724">
        <w:t>Prin Hotărârea nr. 1305/2014 a Secţiei pentru judecători a  Consiliului Superior al Magistraturii, s-au stabilit 5 indicatori de performanţă pentru instanţe şi anume:</w:t>
      </w:r>
    </w:p>
    <w:p w:rsidR="00677EA4" w:rsidRPr="00860724" w:rsidRDefault="00677EA4" w:rsidP="00FB3812">
      <w:pPr>
        <w:pStyle w:val="AddParagraf"/>
        <w:numPr>
          <w:ilvl w:val="0"/>
          <w:numId w:val="13"/>
        </w:numPr>
        <w:spacing w:line="276" w:lineRule="auto"/>
      </w:pPr>
      <w:r w:rsidRPr="00860724">
        <w:t>Rata de soluţionare a dosarelor denumit E01;</w:t>
      </w:r>
    </w:p>
    <w:p w:rsidR="00677EA4" w:rsidRPr="00860724" w:rsidRDefault="00677EA4" w:rsidP="00FB3812">
      <w:pPr>
        <w:pStyle w:val="AddParagraf"/>
        <w:numPr>
          <w:ilvl w:val="0"/>
          <w:numId w:val="13"/>
        </w:numPr>
        <w:spacing w:line="276" w:lineRule="auto"/>
      </w:pPr>
      <w:r w:rsidRPr="00860724">
        <w:t>Stocul de dosare mai vechi de 1 an/1 an și 6 luni denumit E02;</w:t>
      </w:r>
    </w:p>
    <w:p w:rsidR="00677EA4" w:rsidRPr="00860724" w:rsidRDefault="00677EA4" w:rsidP="00FB3812">
      <w:pPr>
        <w:pStyle w:val="AddParagraf"/>
        <w:numPr>
          <w:ilvl w:val="0"/>
          <w:numId w:val="13"/>
        </w:numPr>
        <w:spacing w:line="276" w:lineRule="auto"/>
      </w:pPr>
      <w:r w:rsidRPr="00860724">
        <w:t>Ponderea dosarelor închise într-un an denumit E03;</w:t>
      </w:r>
    </w:p>
    <w:p w:rsidR="00677EA4" w:rsidRPr="00860724" w:rsidRDefault="00677EA4" w:rsidP="00FB3812">
      <w:pPr>
        <w:pStyle w:val="AddParagraf"/>
        <w:numPr>
          <w:ilvl w:val="0"/>
          <w:numId w:val="13"/>
        </w:numPr>
        <w:spacing w:line="276" w:lineRule="auto"/>
      </w:pPr>
      <w:r w:rsidRPr="00860724">
        <w:t>Durata medie de soluţionare denumit E04;</w:t>
      </w:r>
    </w:p>
    <w:p w:rsidR="00677EA4" w:rsidRPr="00860724" w:rsidRDefault="00677EA4" w:rsidP="00FB3812">
      <w:pPr>
        <w:pStyle w:val="AddParagraf"/>
        <w:numPr>
          <w:ilvl w:val="0"/>
          <w:numId w:val="13"/>
        </w:numPr>
        <w:spacing w:line="276" w:lineRule="auto"/>
      </w:pPr>
      <w:r w:rsidRPr="00860724">
        <w:t>Redacatările peste termenul legal denumit E05.</w:t>
      </w:r>
    </w:p>
    <w:p w:rsidR="00677EA4" w:rsidRPr="00860724" w:rsidRDefault="00677EA4" w:rsidP="00FB3812">
      <w:pPr>
        <w:pStyle w:val="AddParagraf"/>
        <w:spacing w:line="276" w:lineRule="auto"/>
      </w:pPr>
      <w:r w:rsidRPr="00860724">
        <w:t>Fiecare din cei 5 indicatori sunt împărţiţi în patru grade de eficienţă reprezentate grafic  şi anume: foarte eficient (culoarea verde), eficient (culoarea galben), satisfăcător (culoarea orange) şi ineficient (culoarea roşu). De asemenea, există un raport centralizator al tuturor indicatorilor de performanţă care indică starea generală a instanţei.</w:t>
      </w:r>
    </w:p>
    <w:p w:rsidR="00FB3812" w:rsidRDefault="00FB3812" w:rsidP="00FB3812">
      <w:pPr>
        <w:pStyle w:val="AddParagraf"/>
        <w:spacing w:line="276" w:lineRule="auto"/>
      </w:pPr>
    </w:p>
    <w:p w:rsidR="00677EA4" w:rsidRPr="00860724" w:rsidRDefault="00677EA4" w:rsidP="00FB3812">
      <w:pPr>
        <w:pStyle w:val="AddParagraf"/>
        <w:spacing w:line="276" w:lineRule="auto"/>
      </w:pPr>
      <w:r w:rsidRPr="00860724">
        <w:t>Având în vedere indicatorii de performanţă enumeraţi mai sus, la nivelul curţilor de apel situaţia centralizată a acestor indicatori se prezintă astfel:</w:t>
      </w:r>
    </w:p>
    <w:tbl>
      <w:tblPr>
        <w:tblW w:w="9291" w:type="dxa"/>
        <w:jc w:val="center"/>
        <w:tblLook w:val="0000" w:firstRow="0" w:lastRow="0" w:firstColumn="0" w:lastColumn="0" w:noHBand="0" w:noVBand="0"/>
      </w:tblPr>
      <w:tblGrid>
        <w:gridCol w:w="524"/>
        <w:gridCol w:w="1751"/>
        <w:gridCol w:w="587"/>
        <w:gridCol w:w="587"/>
        <w:gridCol w:w="587"/>
        <w:gridCol w:w="587"/>
        <w:gridCol w:w="587"/>
        <w:gridCol w:w="587"/>
        <w:gridCol w:w="587"/>
        <w:gridCol w:w="587"/>
        <w:gridCol w:w="587"/>
        <w:gridCol w:w="587"/>
        <w:gridCol w:w="573"/>
        <w:gridCol w:w="573"/>
      </w:tblGrid>
      <w:tr w:rsidR="00677EA4" w:rsidRPr="00860724" w:rsidTr="00D60C7C">
        <w:trPr>
          <w:trHeight w:val="285"/>
          <w:jc w:val="center"/>
        </w:trPr>
        <w:tc>
          <w:tcPr>
            <w:tcW w:w="22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b/>
                <w:bCs/>
                <w:sz w:val="20"/>
                <w:szCs w:val="20"/>
                <w:lang w:val="ro-RO" w:eastAsia="ro-RO"/>
              </w:rPr>
            </w:pPr>
            <w:r w:rsidRPr="00860724">
              <w:rPr>
                <w:rFonts w:cs="Arial"/>
                <w:b/>
                <w:bCs/>
                <w:sz w:val="20"/>
                <w:szCs w:val="20"/>
                <w:lang w:val="ro-RO" w:eastAsia="ro-RO"/>
              </w:rPr>
              <w:t> Total Curţi de Apel</w:t>
            </w:r>
          </w:p>
        </w:tc>
        <w:tc>
          <w:tcPr>
            <w:tcW w:w="7016" w:type="dxa"/>
            <w:gridSpan w:val="12"/>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2275" w:type="dxa"/>
            <w:gridSpan w:val="2"/>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b/>
                <w:bCs/>
                <w:sz w:val="20"/>
                <w:szCs w:val="20"/>
                <w:lang w:val="ro-RO" w:eastAsia="ro-RO"/>
              </w:rPr>
            </w:pPr>
          </w:p>
        </w:tc>
        <w:tc>
          <w:tcPr>
            <w:tcW w:w="2935" w:type="dxa"/>
            <w:gridSpan w:val="5"/>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935" w:type="dxa"/>
            <w:gridSpan w:val="5"/>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573"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573"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285"/>
          <w:jc w:val="center"/>
        </w:trPr>
        <w:tc>
          <w:tcPr>
            <w:tcW w:w="2275" w:type="dxa"/>
            <w:gridSpan w:val="2"/>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b/>
                <w:bCs/>
                <w:sz w:val="20"/>
                <w:szCs w:val="20"/>
                <w:lang w:val="ro-RO" w:eastAsia="ro-RO"/>
              </w:rPr>
            </w:pP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2275" w:type="dxa"/>
            <w:gridSpan w:val="2"/>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b/>
                <w:bCs/>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Nr. Crt.</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b/>
                <w:bCs/>
                <w:sz w:val="20"/>
                <w:szCs w:val="20"/>
                <w:lang w:val="ro-RO" w:eastAsia="ro-RO"/>
              </w:rPr>
            </w:pPr>
            <w:r w:rsidRPr="00860724">
              <w:rPr>
                <w:rFonts w:cs="Arial"/>
                <w:b/>
                <w:bCs/>
                <w:sz w:val="20"/>
                <w:szCs w:val="20"/>
                <w:lang w:val="ro-RO" w:eastAsia="ro-RO"/>
              </w:rPr>
              <w:t>DENUMIRE CURTE DE APEL</w:t>
            </w:r>
          </w:p>
        </w:tc>
        <w:tc>
          <w:tcPr>
            <w:tcW w:w="7016" w:type="dxa"/>
            <w:gridSpan w:val="12"/>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b/>
                <w:bCs/>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b/>
                <w:bCs/>
                <w:sz w:val="20"/>
                <w:szCs w:val="20"/>
                <w:lang w:val="ro-RO" w:eastAsia="ro-RO"/>
              </w:rPr>
            </w:pPr>
          </w:p>
        </w:tc>
        <w:tc>
          <w:tcPr>
            <w:tcW w:w="2935" w:type="dxa"/>
            <w:gridSpan w:val="5"/>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935" w:type="dxa"/>
            <w:gridSpan w:val="5"/>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573"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573" w:type="dxa"/>
            <w:tcBorders>
              <w:top w:val="single" w:sz="4" w:space="0" w:color="auto"/>
              <w:left w:val="nil"/>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BACAU</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CLUJ</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CRAIOVA</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GALATI</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PITESTI</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TIMISOARA</w:t>
            </w:r>
          </w:p>
        </w:tc>
        <w:tc>
          <w:tcPr>
            <w:tcW w:w="2935" w:type="dxa"/>
            <w:gridSpan w:val="5"/>
            <w:tcBorders>
              <w:top w:val="single" w:sz="4" w:space="0" w:color="auto"/>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ALBA IULIA</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BRASOV</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BUCURESTI</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CONSTANTA</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IASI</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ORADEA</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PLOIESTI</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SUCEAVA</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de Apel TARGU MURES</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Curtea Militara de Apel BUCURESTI</w:t>
            </w:r>
          </w:p>
        </w:tc>
        <w:tc>
          <w:tcPr>
            <w:tcW w:w="29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tcBorders>
              <w:top w:val="single" w:sz="4" w:space="0" w:color="auto"/>
              <w:left w:val="nil"/>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751" w:type="dxa"/>
            <w:vMerge/>
            <w:tcBorders>
              <w:top w:val="nil"/>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93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87" w:type="dxa"/>
            <w:tcBorders>
              <w:top w:val="nil"/>
              <w:left w:val="nil"/>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tcBorders>
              <w:top w:val="nil"/>
              <w:left w:val="nil"/>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tcBorders>
              <w:top w:val="nil"/>
              <w:left w:val="nil"/>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73" w:type="dxa"/>
            <w:vMerge/>
            <w:tcBorders>
              <w:top w:val="nil"/>
              <w:left w:val="nil"/>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bl>
    <w:p w:rsidR="00677EA4" w:rsidRPr="00860724" w:rsidRDefault="00677EA4" w:rsidP="00677EA4">
      <w:pPr>
        <w:pStyle w:val="AddParagraf"/>
        <w:ind w:firstLine="0"/>
      </w:pPr>
    </w:p>
    <w:p w:rsidR="00677EA4" w:rsidRPr="00860724" w:rsidRDefault="00677EA4" w:rsidP="00FB3812">
      <w:pPr>
        <w:pStyle w:val="AddParagraf"/>
        <w:spacing w:line="276" w:lineRule="auto"/>
      </w:pPr>
      <w:r w:rsidRPr="00860724">
        <w:t xml:space="preserve">Se obseservă că la gradul de eficienţă „foarte eficient” se încadrează următoarele instanţe: Curtea de Apel Bacău, Curtea de Apel Cluj, Curtea de Apel Craiova, Curtea de Apel Galaţi, Curtea de Apel Piteşti şi Timişoara. </w:t>
      </w:r>
    </w:p>
    <w:p w:rsidR="00677EA4" w:rsidRPr="00860724" w:rsidRDefault="00677EA4" w:rsidP="00FB3812">
      <w:pPr>
        <w:pStyle w:val="AddParagraf"/>
        <w:spacing w:line="276" w:lineRule="auto"/>
      </w:pPr>
      <w:r w:rsidRPr="00860724">
        <w:t>Ca observație, Curtea de Apel Galaţi este foarte eficientâ în cadrul tuturor indicatorilor.</w:t>
      </w:r>
    </w:p>
    <w:p w:rsidR="00677EA4" w:rsidRPr="00860724" w:rsidRDefault="00677EA4" w:rsidP="00FB3812">
      <w:pPr>
        <w:pStyle w:val="AddParagraf"/>
        <w:spacing w:line="276" w:lineRule="auto"/>
      </w:pPr>
      <w:r w:rsidRPr="00860724">
        <w:t>De asemenea se observă că nu există nici o instanţă la gradul de eficienţă „satisfăcător” sau „ineficient”.</w:t>
      </w:r>
    </w:p>
    <w:p w:rsidR="00677EA4" w:rsidRPr="00860724" w:rsidRDefault="00677EA4" w:rsidP="00FB3812">
      <w:pPr>
        <w:pStyle w:val="AddParagraf"/>
        <w:spacing w:line="276" w:lineRule="auto"/>
      </w:pPr>
      <w:r w:rsidRPr="00860724">
        <w:t>La nivelul tribunalelor situaţia centralizată a indicatorilor de eficienţă se prezintă astfel:</w:t>
      </w:r>
    </w:p>
    <w:tbl>
      <w:tblPr>
        <w:tblW w:w="10508" w:type="dxa"/>
        <w:jc w:val="center"/>
        <w:tblLook w:val="0000" w:firstRow="0" w:lastRow="0" w:firstColumn="0" w:lastColumn="0" w:noHBand="0" w:noVBand="0"/>
      </w:tblPr>
      <w:tblGrid>
        <w:gridCol w:w="543"/>
        <w:gridCol w:w="1384"/>
        <w:gridCol w:w="553"/>
        <w:gridCol w:w="553"/>
        <w:gridCol w:w="553"/>
        <w:gridCol w:w="553"/>
        <w:gridCol w:w="553"/>
        <w:gridCol w:w="553"/>
        <w:gridCol w:w="553"/>
        <w:gridCol w:w="553"/>
        <w:gridCol w:w="553"/>
        <w:gridCol w:w="553"/>
        <w:gridCol w:w="553"/>
        <w:gridCol w:w="553"/>
        <w:gridCol w:w="553"/>
        <w:gridCol w:w="553"/>
        <w:gridCol w:w="553"/>
        <w:gridCol w:w="286"/>
      </w:tblGrid>
      <w:tr w:rsidR="00677EA4" w:rsidRPr="00860724" w:rsidTr="00D60C7C">
        <w:trPr>
          <w:trHeight w:val="285"/>
          <w:jc w:val="center"/>
        </w:trPr>
        <w:tc>
          <w:tcPr>
            <w:tcW w:w="1927" w:type="dxa"/>
            <w:gridSpan w:val="2"/>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Total Tribunale</w:t>
            </w:r>
          </w:p>
        </w:tc>
        <w:tc>
          <w:tcPr>
            <w:tcW w:w="8581"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1927" w:type="dxa"/>
            <w:gridSpan w:val="2"/>
            <w:vMerge/>
            <w:tcBorders>
              <w:top w:val="single" w:sz="4" w:space="0" w:color="000000"/>
              <w:left w:val="single" w:sz="4" w:space="0" w:color="000000"/>
              <w:bottom w:val="single" w:sz="4" w:space="0" w:color="000000"/>
              <w:right w:val="single" w:sz="4" w:space="0" w:color="auto"/>
            </w:tcBorders>
            <w:vAlign w:val="center"/>
          </w:tcPr>
          <w:p w:rsidR="00677EA4" w:rsidRPr="00860724" w:rsidRDefault="00677EA4" w:rsidP="00D60C7C">
            <w:pPr>
              <w:rPr>
                <w:rFonts w:cs="Arial"/>
                <w:b/>
                <w:bCs/>
                <w:sz w:val="20"/>
                <w:szCs w:val="20"/>
                <w:lang w:val="ro-RO" w:eastAsia="ro-RO"/>
              </w:rPr>
            </w:pP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286"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270"/>
          <w:jc w:val="center"/>
        </w:trPr>
        <w:tc>
          <w:tcPr>
            <w:tcW w:w="1927" w:type="dxa"/>
            <w:gridSpan w:val="2"/>
            <w:vMerge/>
            <w:tcBorders>
              <w:top w:val="single" w:sz="4" w:space="0" w:color="000000"/>
              <w:left w:val="single" w:sz="4" w:space="0" w:color="000000"/>
              <w:bottom w:val="single" w:sz="4" w:space="0" w:color="000000"/>
              <w:right w:val="single" w:sz="4" w:space="0" w:color="auto"/>
            </w:tcBorders>
            <w:vAlign w:val="center"/>
          </w:tcPr>
          <w:p w:rsidR="00677EA4" w:rsidRPr="00860724" w:rsidRDefault="00677EA4" w:rsidP="00D60C7C">
            <w:pPr>
              <w:rPr>
                <w:rFonts w:cs="Arial"/>
                <w:b/>
                <w:bCs/>
                <w:sz w:val="20"/>
                <w:szCs w:val="20"/>
                <w:lang w:val="ro-RO" w:eastAsia="ro-RO"/>
              </w:rPr>
            </w:pP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1927" w:type="dxa"/>
            <w:gridSpan w:val="2"/>
            <w:vMerge/>
            <w:tcBorders>
              <w:top w:val="single" w:sz="4" w:space="0" w:color="000000"/>
              <w:left w:val="single" w:sz="4" w:space="0" w:color="000000"/>
              <w:bottom w:val="single" w:sz="4" w:space="0" w:color="000000"/>
              <w:right w:val="single" w:sz="4" w:space="0" w:color="auto"/>
            </w:tcBorders>
            <w:vAlign w:val="center"/>
          </w:tcPr>
          <w:p w:rsidR="00677EA4" w:rsidRPr="00860724" w:rsidRDefault="00677EA4" w:rsidP="00D60C7C">
            <w:pPr>
              <w:rPr>
                <w:rFonts w:cs="Arial"/>
                <w:b/>
                <w:bCs/>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Nr. Crt.</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b/>
                <w:bCs/>
                <w:sz w:val="20"/>
                <w:szCs w:val="20"/>
                <w:lang w:val="ro-RO" w:eastAsia="ro-RO"/>
              </w:rPr>
            </w:pPr>
            <w:r w:rsidRPr="00860724">
              <w:rPr>
                <w:rFonts w:cs="Arial"/>
                <w:b/>
                <w:bCs/>
                <w:sz w:val="20"/>
                <w:szCs w:val="20"/>
                <w:lang w:val="ro-RO" w:eastAsia="ro-RO"/>
              </w:rPr>
              <w:t>DENUMIRE TRIBUNAL</w:t>
            </w:r>
          </w:p>
        </w:tc>
        <w:tc>
          <w:tcPr>
            <w:tcW w:w="8581"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b/>
                <w:bCs/>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b/>
                <w:bCs/>
                <w:sz w:val="20"/>
                <w:szCs w:val="20"/>
                <w:lang w:val="ro-RO" w:eastAsia="ro-RO"/>
              </w:rPr>
            </w:pP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2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286" w:type="dxa"/>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ALBA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ARGES</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auto"/>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BRAILA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384"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w:t>
            </w:r>
          </w:p>
        </w:tc>
        <w:tc>
          <w:tcPr>
            <w:tcW w:w="1384" w:type="dxa"/>
            <w:vMerge w:val="restart"/>
            <w:tcBorders>
              <w:top w:val="single" w:sz="4" w:space="0" w:color="auto"/>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CLUJ</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DAMBOVITA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lastRenderedPageBreak/>
              <w:t>6</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DOLJ</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GORJ</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MEHEDINTI</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Militar CLUJ-NAPOCA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Militar IASI</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Militar Teritorial BUCURESTI</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Militar TIMISOARA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OLT</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pentru minori si familie BRASOV</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SALAJ</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SIBIU</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VALCEA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18</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VRANCEA</w:t>
            </w:r>
          </w:p>
        </w:tc>
        <w:tc>
          <w:tcPr>
            <w:tcW w:w="2765" w:type="dxa"/>
            <w:gridSpan w:val="5"/>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19</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ARAD</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20</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BACAU</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21</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BIHOR</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22</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BISTRITA NASSUD</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auto"/>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23</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BOTOSANI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384"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24</w:t>
            </w:r>
          </w:p>
        </w:tc>
        <w:tc>
          <w:tcPr>
            <w:tcW w:w="1384" w:type="dxa"/>
            <w:vMerge w:val="restart"/>
            <w:tcBorders>
              <w:top w:val="single" w:sz="4" w:space="0" w:color="auto"/>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BRASOV</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25</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BUCURESTI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26</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BUZAU</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27</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CALARASI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auto"/>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28</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CARAS SEVERIN</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384"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29</w:t>
            </w:r>
          </w:p>
        </w:tc>
        <w:tc>
          <w:tcPr>
            <w:tcW w:w="1384" w:type="dxa"/>
            <w:vMerge w:val="restart"/>
            <w:tcBorders>
              <w:top w:val="single" w:sz="4" w:space="0" w:color="auto"/>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Comercial ARGES</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30</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Comercial CLUJ</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31</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Comercial MURES</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32</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CONSTANTA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33</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COVASNA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34</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GALATI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35</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GIURGIU</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36</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HARGHITA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37</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HUNEDOARA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38</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IALOMITA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39</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IASI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40</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MARAMURES</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41</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MURES</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42</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NEAMT</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43</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PRAHOVA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44</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SATU MARE</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45</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SUCEAVA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46</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TELEORMAN</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47</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TIMIS</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nil"/>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48</w:t>
            </w:r>
          </w:p>
        </w:tc>
        <w:tc>
          <w:tcPr>
            <w:tcW w:w="1384" w:type="dxa"/>
            <w:vMerge w:val="restart"/>
            <w:tcBorders>
              <w:top w:val="nil"/>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TULCEA</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auto"/>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49</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VASLUI</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1384"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single" w:sz="4" w:space="0" w:color="auto"/>
              <w:bottom w:val="single" w:sz="4" w:space="0" w:color="auto"/>
              <w:right w:val="single" w:sz="4" w:space="0" w:color="auto"/>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single" w:sz="4" w:space="0" w:color="auto"/>
              <w:bottom w:val="single" w:sz="4" w:space="0" w:color="auto"/>
              <w:right w:val="single" w:sz="4" w:space="0" w:color="auto"/>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765" w:type="dxa"/>
            <w:gridSpan w:val="5"/>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r w:rsidR="00677EA4" w:rsidRPr="00860724" w:rsidTr="00D60C7C">
        <w:trPr>
          <w:trHeight w:val="270"/>
          <w:jc w:val="center"/>
        </w:trPr>
        <w:tc>
          <w:tcPr>
            <w:tcW w:w="54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50</w:t>
            </w:r>
          </w:p>
        </w:tc>
        <w:tc>
          <w:tcPr>
            <w:tcW w:w="1384" w:type="dxa"/>
            <w:vMerge w:val="restart"/>
            <w:tcBorders>
              <w:top w:val="single" w:sz="4" w:space="0" w:color="auto"/>
              <w:left w:val="single" w:sz="4" w:space="0" w:color="000000"/>
              <w:bottom w:val="single" w:sz="4" w:space="0" w:color="000000"/>
              <w:right w:val="single" w:sz="4" w:space="0" w:color="auto"/>
            </w:tcBorders>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Tribunalul ILFOV</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765" w:type="dxa"/>
            <w:gridSpan w:val="5"/>
            <w:tcBorders>
              <w:top w:val="single" w:sz="4" w:space="0" w:color="auto"/>
              <w:left w:val="single" w:sz="4" w:space="0" w:color="auto"/>
              <w:bottom w:val="single" w:sz="4" w:space="0" w:color="auto"/>
              <w:right w:val="single" w:sz="4" w:space="0" w:color="auto"/>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55"/>
          <w:jc w:val="center"/>
        </w:trPr>
        <w:tc>
          <w:tcPr>
            <w:tcW w:w="543"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1384" w:type="dxa"/>
            <w:vMerge/>
            <w:tcBorders>
              <w:top w:val="nil"/>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2765" w:type="dxa"/>
            <w:gridSpan w:val="5"/>
            <w:vMerge/>
            <w:tcBorders>
              <w:top w:val="single" w:sz="4" w:space="0" w:color="auto"/>
              <w:left w:val="single" w:sz="4" w:space="0" w:color="000000"/>
              <w:bottom w:val="single" w:sz="4" w:space="0" w:color="000000"/>
              <w:right w:val="single" w:sz="4" w:space="0" w:color="000000"/>
            </w:tcBorders>
            <w:vAlign w:val="center"/>
          </w:tcPr>
          <w:p w:rsidR="00677EA4" w:rsidRPr="00860724" w:rsidRDefault="00677EA4" w:rsidP="00D60C7C">
            <w:pPr>
              <w:rPr>
                <w:rFonts w:cs="Arial"/>
                <w:sz w:val="20"/>
                <w:szCs w:val="20"/>
                <w:lang w:val="ro-RO" w:eastAsia="ro-RO"/>
              </w:rPr>
            </w:pPr>
          </w:p>
        </w:tc>
        <w:tc>
          <w:tcPr>
            <w:tcW w:w="553" w:type="dxa"/>
            <w:tcBorders>
              <w:top w:val="single" w:sz="4" w:space="0" w:color="auto"/>
              <w:left w:val="nil"/>
              <w:bottom w:val="single" w:sz="4" w:space="0" w:color="000000"/>
              <w:right w:val="single" w:sz="8" w:space="0" w:color="000000"/>
            </w:tcBorders>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53" w:type="dxa"/>
            <w:tcBorders>
              <w:top w:val="single" w:sz="4" w:space="0" w:color="auto"/>
              <w:left w:val="nil"/>
              <w:bottom w:val="single" w:sz="4" w:space="0" w:color="000000"/>
              <w:right w:val="single" w:sz="8" w:space="0" w:color="000000"/>
            </w:tcBorders>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53" w:type="dxa"/>
            <w:tcBorders>
              <w:top w:val="single" w:sz="4" w:space="0" w:color="auto"/>
              <w:left w:val="nil"/>
              <w:bottom w:val="single" w:sz="4" w:space="0" w:color="000000"/>
              <w:right w:val="single" w:sz="8" w:space="0" w:color="000000"/>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53" w:type="dxa"/>
            <w:tcBorders>
              <w:top w:val="single" w:sz="4" w:space="0" w:color="auto"/>
              <w:left w:val="nil"/>
              <w:bottom w:val="single" w:sz="4" w:space="0" w:color="000000"/>
              <w:right w:val="single" w:sz="8" w:space="0" w:color="000000"/>
            </w:tcBorders>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53" w:type="dxa"/>
            <w:tcBorders>
              <w:top w:val="single" w:sz="4" w:space="0" w:color="auto"/>
              <w:left w:val="nil"/>
              <w:bottom w:val="single" w:sz="4" w:space="0" w:color="000000"/>
              <w:right w:val="single" w:sz="4" w:space="0" w:color="auto"/>
            </w:tcBorders>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86" w:type="dxa"/>
            <w:vMerge/>
            <w:tcBorders>
              <w:top w:val="single" w:sz="4" w:space="0" w:color="auto"/>
              <w:left w:val="single" w:sz="4" w:space="0" w:color="auto"/>
              <w:bottom w:val="single" w:sz="4" w:space="0" w:color="auto"/>
              <w:right w:val="single" w:sz="4" w:space="0" w:color="auto"/>
            </w:tcBorders>
            <w:vAlign w:val="center"/>
          </w:tcPr>
          <w:p w:rsidR="00677EA4" w:rsidRPr="00860724" w:rsidRDefault="00677EA4" w:rsidP="00D60C7C">
            <w:pPr>
              <w:rPr>
                <w:rFonts w:cs="Arial"/>
                <w:sz w:val="20"/>
                <w:szCs w:val="20"/>
                <w:lang w:val="ro-RO" w:eastAsia="ro-RO"/>
              </w:rPr>
            </w:pPr>
          </w:p>
        </w:tc>
      </w:tr>
    </w:tbl>
    <w:p w:rsidR="00A07C77" w:rsidRDefault="00677EA4" w:rsidP="00FB3812">
      <w:pPr>
        <w:spacing w:line="276" w:lineRule="auto"/>
        <w:jc w:val="both"/>
        <w:rPr>
          <w:rFonts w:cs="Arial"/>
          <w:lang w:val="ro-RO"/>
        </w:rPr>
      </w:pPr>
      <w:r w:rsidRPr="00860724">
        <w:rPr>
          <w:rFonts w:cs="Arial"/>
          <w:lang w:val="ro-RO"/>
        </w:rPr>
        <w:tab/>
      </w:r>
    </w:p>
    <w:p w:rsidR="00677EA4" w:rsidRPr="00860724" w:rsidRDefault="00677EA4" w:rsidP="00A07C77">
      <w:pPr>
        <w:spacing w:line="276" w:lineRule="auto"/>
        <w:ind w:firstLine="708"/>
        <w:jc w:val="both"/>
        <w:rPr>
          <w:rFonts w:cs="Arial"/>
          <w:lang w:val="ro-RO"/>
        </w:rPr>
      </w:pPr>
      <w:r w:rsidRPr="00860724">
        <w:rPr>
          <w:rFonts w:cs="Arial"/>
          <w:lang w:val="ro-RO"/>
        </w:rPr>
        <w:t xml:space="preserve">La gradul de eficienţă </w:t>
      </w:r>
      <w:r w:rsidRPr="00860724">
        <w:rPr>
          <w:lang w:val="ro-RO"/>
        </w:rPr>
        <w:t>„foarte eficient” se în cadrează 18 tribunale şi</w:t>
      </w:r>
      <w:r w:rsidRPr="00860724">
        <w:rPr>
          <w:rFonts w:cs="Arial"/>
          <w:lang w:val="ro-RO"/>
        </w:rPr>
        <w:t xml:space="preserve"> la gradul de eficienţă </w:t>
      </w:r>
      <w:r w:rsidRPr="00860724">
        <w:rPr>
          <w:lang w:val="ro-RO"/>
        </w:rPr>
        <w:t>„ eficient” se încadrează 31 tribunale.</w:t>
      </w:r>
    </w:p>
    <w:p w:rsidR="00677EA4" w:rsidRPr="00860724" w:rsidRDefault="00677EA4" w:rsidP="00FB3812">
      <w:pPr>
        <w:spacing w:line="276" w:lineRule="auto"/>
        <w:ind w:firstLine="708"/>
        <w:jc w:val="both"/>
        <w:rPr>
          <w:lang w:val="ro-RO"/>
        </w:rPr>
      </w:pPr>
      <w:r w:rsidRPr="00860724">
        <w:rPr>
          <w:lang w:val="ro-RO"/>
        </w:rPr>
        <w:t>De asemenea, la gradul de eficienţă „satisfăcător” se încadrează doar Tribunalul Ilfov.</w:t>
      </w:r>
    </w:p>
    <w:p w:rsidR="00677EA4" w:rsidRPr="00860724" w:rsidRDefault="00677EA4" w:rsidP="00FB3812">
      <w:pPr>
        <w:spacing w:line="276" w:lineRule="auto"/>
        <w:ind w:firstLine="708"/>
        <w:jc w:val="both"/>
        <w:rPr>
          <w:rFonts w:cs="Arial"/>
          <w:lang w:val="ro-RO"/>
        </w:rPr>
      </w:pPr>
      <w:r w:rsidRPr="00860724">
        <w:rPr>
          <w:rFonts w:cs="Arial"/>
          <w:lang w:val="ro-RO"/>
        </w:rPr>
        <w:t>Niciun tribunal nu a înregistrat gradul de eficienţă “ineficient”.</w:t>
      </w:r>
    </w:p>
    <w:p w:rsidR="00677EA4" w:rsidRPr="00860724" w:rsidRDefault="00677EA4" w:rsidP="00FB3812">
      <w:pPr>
        <w:spacing w:line="276" w:lineRule="auto"/>
        <w:ind w:firstLine="708"/>
        <w:jc w:val="both"/>
        <w:rPr>
          <w:rFonts w:cs="Arial"/>
          <w:lang w:val="ro-RO"/>
        </w:rPr>
      </w:pPr>
    </w:p>
    <w:p w:rsidR="00677EA4" w:rsidRPr="00860724" w:rsidRDefault="00677EA4" w:rsidP="00FB3812">
      <w:pPr>
        <w:pStyle w:val="AddParagraf"/>
        <w:spacing w:line="276" w:lineRule="auto"/>
      </w:pPr>
      <w:r w:rsidRPr="00860724">
        <w:t>La nivelul judecătoriilor situaţia centralizată a indicatorilor de eficienţă se prezintă astfel:</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2182"/>
        <w:gridCol w:w="587"/>
        <w:gridCol w:w="587"/>
        <w:gridCol w:w="587"/>
        <w:gridCol w:w="587"/>
        <w:gridCol w:w="587"/>
        <w:gridCol w:w="587"/>
        <w:gridCol w:w="587"/>
        <w:gridCol w:w="587"/>
        <w:gridCol w:w="587"/>
        <w:gridCol w:w="587"/>
        <w:gridCol w:w="360"/>
        <w:gridCol w:w="323"/>
      </w:tblGrid>
      <w:tr w:rsidR="00677EA4" w:rsidRPr="00860724" w:rsidTr="00D60C7C">
        <w:trPr>
          <w:trHeight w:val="285"/>
          <w:jc w:val="center"/>
        </w:trPr>
        <w:tc>
          <w:tcPr>
            <w:tcW w:w="2706" w:type="dxa"/>
            <w:gridSpan w:val="2"/>
            <w:vMerge w:val="restart"/>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Total Judecătorii</w:t>
            </w:r>
          </w:p>
        </w:tc>
        <w:tc>
          <w:tcPr>
            <w:tcW w:w="6553" w:type="dxa"/>
            <w:gridSpan w:val="12"/>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2706" w:type="dxa"/>
            <w:gridSpan w:val="2"/>
            <w:vMerge/>
            <w:vAlign w:val="center"/>
          </w:tcPr>
          <w:p w:rsidR="00677EA4" w:rsidRPr="00860724" w:rsidRDefault="00677EA4" w:rsidP="00D60C7C">
            <w:pPr>
              <w:rPr>
                <w:rFonts w:cs="Arial"/>
                <w:b/>
                <w:bCs/>
                <w:sz w:val="20"/>
                <w:szCs w:val="20"/>
                <w:lang w:val="ro-RO" w:eastAsia="ro-RO"/>
              </w:rPr>
            </w:pPr>
          </w:p>
        </w:tc>
        <w:tc>
          <w:tcPr>
            <w:tcW w:w="2935" w:type="dxa"/>
            <w:gridSpan w:val="5"/>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935" w:type="dxa"/>
            <w:gridSpan w:val="5"/>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360" w:type="dxa"/>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323" w:type="dxa"/>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300"/>
          <w:jc w:val="center"/>
        </w:trPr>
        <w:tc>
          <w:tcPr>
            <w:tcW w:w="2706" w:type="dxa"/>
            <w:gridSpan w:val="2"/>
            <w:vMerge/>
            <w:vAlign w:val="center"/>
          </w:tcPr>
          <w:p w:rsidR="00677EA4" w:rsidRPr="00860724" w:rsidRDefault="00677EA4" w:rsidP="00D60C7C">
            <w:pPr>
              <w:rPr>
                <w:rFonts w:cs="Arial"/>
                <w:b/>
                <w:bCs/>
                <w:sz w:val="20"/>
                <w:szCs w:val="20"/>
                <w:lang w:val="ro-RO" w:eastAsia="ro-RO"/>
              </w:rPr>
            </w:pP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2706" w:type="dxa"/>
            <w:gridSpan w:val="2"/>
            <w:vMerge/>
            <w:vAlign w:val="center"/>
          </w:tcPr>
          <w:p w:rsidR="00677EA4" w:rsidRPr="00860724" w:rsidRDefault="00677EA4" w:rsidP="00D60C7C">
            <w:pPr>
              <w:rPr>
                <w:rFonts w:cs="Arial"/>
                <w:b/>
                <w:bCs/>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285"/>
          <w:jc w:val="center"/>
        </w:trPr>
        <w:tc>
          <w:tcPr>
            <w:tcW w:w="524" w:type="dxa"/>
            <w:vMerge w:val="restart"/>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Nr. Crt.</w:t>
            </w:r>
          </w:p>
        </w:tc>
        <w:tc>
          <w:tcPr>
            <w:tcW w:w="2182" w:type="dxa"/>
            <w:vMerge w:val="restart"/>
            <w:shd w:val="clear" w:color="auto" w:fill="auto"/>
            <w:vAlign w:val="center"/>
          </w:tcPr>
          <w:p w:rsidR="00677EA4" w:rsidRPr="00860724" w:rsidRDefault="00677EA4" w:rsidP="00D60C7C">
            <w:pPr>
              <w:rPr>
                <w:rFonts w:cs="Arial"/>
                <w:b/>
                <w:bCs/>
                <w:sz w:val="20"/>
                <w:szCs w:val="20"/>
                <w:lang w:val="ro-RO" w:eastAsia="ro-RO"/>
              </w:rPr>
            </w:pPr>
            <w:r w:rsidRPr="00860724">
              <w:rPr>
                <w:rFonts w:cs="Arial"/>
                <w:b/>
                <w:bCs/>
                <w:sz w:val="20"/>
                <w:szCs w:val="20"/>
                <w:lang w:val="ro-RO" w:eastAsia="ro-RO"/>
              </w:rPr>
              <w:t>DENUMIRE JUDECATORIE</w:t>
            </w:r>
          </w:p>
        </w:tc>
        <w:tc>
          <w:tcPr>
            <w:tcW w:w="6553" w:type="dxa"/>
            <w:gridSpan w:val="12"/>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GRAD DE EFICIENTA</w:t>
            </w:r>
          </w:p>
        </w:tc>
      </w:tr>
      <w:tr w:rsidR="00677EA4" w:rsidRPr="00860724" w:rsidTr="00D60C7C">
        <w:trPr>
          <w:trHeight w:val="285"/>
          <w:jc w:val="center"/>
        </w:trPr>
        <w:tc>
          <w:tcPr>
            <w:tcW w:w="524" w:type="dxa"/>
            <w:vMerge/>
            <w:vAlign w:val="center"/>
          </w:tcPr>
          <w:p w:rsidR="00677EA4" w:rsidRPr="00860724" w:rsidRDefault="00677EA4" w:rsidP="00D60C7C">
            <w:pPr>
              <w:rPr>
                <w:rFonts w:cs="Arial"/>
                <w:b/>
                <w:bCs/>
                <w:sz w:val="20"/>
                <w:szCs w:val="20"/>
                <w:lang w:val="ro-RO" w:eastAsia="ro-RO"/>
              </w:rPr>
            </w:pPr>
          </w:p>
        </w:tc>
        <w:tc>
          <w:tcPr>
            <w:tcW w:w="2182" w:type="dxa"/>
            <w:vMerge/>
            <w:vAlign w:val="center"/>
          </w:tcPr>
          <w:p w:rsidR="00677EA4" w:rsidRPr="00860724" w:rsidRDefault="00677EA4" w:rsidP="00D60C7C">
            <w:pPr>
              <w:rPr>
                <w:rFonts w:cs="Arial"/>
                <w:b/>
                <w:bCs/>
                <w:sz w:val="20"/>
                <w:szCs w:val="20"/>
                <w:lang w:val="ro-RO" w:eastAsia="ro-RO"/>
              </w:rPr>
            </w:pPr>
          </w:p>
        </w:tc>
        <w:tc>
          <w:tcPr>
            <w:tcW w:w="2935" w:type="dxa"/>
            <w:gridSpan w:val="5"/>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F</w:t>
            </w:r>
          </w:p>
        </w:tc>
        <w:tc>
          <w:tcPr>
            <w:tcW w:w="2935" w:type="dxa"/>
            <w:gridSpan w:val="5"/>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E</w:t>
            </w:r>
          </w:p>
        </w:tc>
        <w:tc>
          <w:tcPr>
            <w:tcW w:w="360" w:type="dxa"/>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S</w:t>
            </w:r>
          </w:p>
        </w:tc>
        <w:tc>
          <w:tcPr>
            <w:tcW w:w="323" w:type="dxa"/>
            <w:shd w:val="clear" w:color="auto" w:fill="auto"/>
            <w:vAlign w:val="center"/>
          </w:tcPr>
          <w:p w:rsidR="00677EA4" w:rsidRPr="00860724" w:rsidRDefault="00677EA4" w:rsidP="00D60C7C">
            <w:pPr>
              <w:jc w:val="center"/>
              <w:rPr>
                <w:rFonts w:cs="Arial"/>
                <w:b/>
                <w:bCs/>
                <w:sz w:val="20"/>
                <w:szCs w:val="20"/>
                <w:lang w:val="ro-RO" w:eastAsia="ro-RO"/>
              </w:rPr>
            </w:pPr>
            <w:r w:rsidRPr="00860724">
              <w:rPr>
                <w:rFonts w:cs="Arial"/>
                <w:b/>
                <w:bCs/>
                <w:sz w:val="20"/>
                <w:szCs w:val="20"/>
                <w:lang w:val="ro-RO" w:eastAsia="ro-RO"/>
              </w:rPr>
              <w:t>I</w:t>
            </w: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ADJUD</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ARAD</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AVRIG</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BACAU</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BAIA DE ARAMA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BAILESTI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BALCESTI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BALS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BEIUS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BLAJ</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BRAILA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BRASOV</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BUZAU</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CALAFAT</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CALARASI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CAMPINA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CAMPULUNG</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CAMPULUNG MOLDOVENESC</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CARANSEBES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CAREI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CHISINEU CRIS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CORABIA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CURTEA DE ARGES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DEJ</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DETA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FAGARAS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FAGET</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FALTICENI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29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FAUREI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FILIASI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GAESTI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GURA HONT</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GURA HUMORULUI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HARSOVA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HUNEDOARA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HUSI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INEU</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INTORSURA BUZAULUI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39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LIESTI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LIPOVA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LUGOJ</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MEDIAS</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MIERCUREA CIUC</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MIZIL</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MOINESTI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MOLDOVA-NOUA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NOVACI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ORADEA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49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ORAVITA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ORSOVA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PANCIU</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POGOANELE</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PUCIOASA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RAMNICU SARAT</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ROSIORI DE VEDE</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RUPEA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SALISTE</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4 BUCURESTI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59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6 BUCURESTI</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SINAIA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SLATINA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STREHAIA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SECUIESC</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TIMISOARA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TOPLITA</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TURNU MAGURELE</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VANJU MARE</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ZALAU</w:t>
            </w:r>
          </w:p>
        </w:tc>
        <w:tc>
          <w:tcPr>
            <w:tcW w:w="2935" w:type="dxa"/>
            <w:gridSpan w:val="5"/>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2935" w:type="dxa"/>
            <w:gridSpan w:val="5"/>
            <w:vMerge/>
            <w:vAlign w:val="center"/>
          </w:tcPr>
          <w:p w:rsidR="00677EA4" w:rsidRPr="00860724" w:rsidRDefault="00677EA4" w:rsidP="00D60C7C">
            <w:pPr>
              <w:rPr>
                <w:rFonts w:cs="Arial"/>
                <w:sz w:val="20"/>
                <w:szCs w:val="20"/>
                <w:lang w:val="ro-RO" w:eastAsia="ro-RO"/>
              </w:rPr>
            </w:pP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69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AGNITA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AIUD</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ALBA IULIA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ALESD</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ALEXANDRIA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BABADAG</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BAIA MARE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BARLAD</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BECLEAN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BICAZ</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79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BISTRITA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BOLINTIN VALE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BOTOSANI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BRAD</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BREZOI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BUFTEA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BUHUSI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CAMPENI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CARACAL</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CLUJ-NAPOCA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89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CONSTANTA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CORNETU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COSTESTI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CRAIOVA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 xml:space="preserve">Judecatoria </w:t>
            </w:r>
            <w:r w:rsidR="009B41D7" w:rsidRPr="00860724">
              <w:rPr>
                <w:rFonts w:cs="Arial"/>
                <w:sz w:val="20"/>
                <w:szCs w:val="20"/>
                <w:lang w:val="ro-RO" w:eastAsia="ro-RO"/>
              </w:rPr>
              <w:t>DARABANI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DEVA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DOROHOI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DRAGASANI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DRAGOMIRESTI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DROBETA-TURNU SEVERIN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99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FETESTI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FOCSANI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GALATI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GHEORGHENI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GHERLA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GIURGIU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HARLAU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HATEG</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HOREZU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HUEDIN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109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IASI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JIBOU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LEHLIU-GARA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LUDUS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MACIN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MANGALIA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MARGHITA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MEDGIDIA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MORENI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MOTRU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119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NASAUD</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NEGRESTI-OAS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ODORHEIUL SECUIESC</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OLTENITA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ONESTI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ORASTIE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PASCANI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PATARLAGELE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PETROSANI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PIATRA-NEAMT</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129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PITESTI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PLOIESTI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PODU TURCULUI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RACARI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RADAUTI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RADUCANENI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RAMNICU VALCEA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REGHIN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RESITA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ROMAN</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139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SALONTA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SANNICOLAUL MARE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SATU MARE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SAVENI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SEBES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1 BUCURESTI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2 BUCURESTI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3 BUCURESTI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SECTORUL 5 BUCURESTI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SEGARCEA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149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SFANTU GHEORGHE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SIBIU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SIGHETU MARMATIEI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SIGHISOARA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SIMLEUL SILVANIEI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SLOBOZIA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SUCEAVA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TARGOVISTE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BUJOR</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JIU</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159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LAPUS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MURES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 NEAMT</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TARGU-CARBUNESTI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TARNAVENI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TECUCI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TOPOLOVENI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166</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TULCEA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167</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TURDA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168</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URZICENI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169</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VALENII DE MUNTE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170</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VASLUI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171</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VATRA DORNEI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172</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VIDELE</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0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173</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VISEU DE SUS</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174</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ZARNESTI</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r w:rsidR="00677EA4" w:rsidRPr="00860724" w:rsidTr="00D60C7C">
        <w:trPr>
          <w:trHeight w:val="300"/>
          <w:jc w:val="center"/>
        </w:trPr>
        <w:tc>
          <w:tcPr>
            <w:tcW w:w="524" w:type="dxa"/>
            <w:vMerge w:val="restart"/>
            <w:shd w:val="clear" w:color="auto" w:fill="auto"/>
            <w:vAlign w:val="center"/>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175</w:t>
            </w:r>
          </w:p>
        </w:tc>
        <w:tc>
          <w:tcPr>
            <w:tcW w:w="2182" w:type="dxa"/>
            <w:vMerge w:val="restart"/>
            <w:shd w:val="clear" w:color="auto" w:fill="auto"/>
            <w:vAlign w:val="center"/>
          </w:tcPr>
          <w:p w:rsidR="00677EA4" w:rsidRPr="00860724" w:rsidRDefault="00677EA4" w:rsidP="00D60C7C">
            <w:pPr>
              <w:rPr>
                <w:rFonts w:cs="Arial"/>
                <w:sz w:val="20"/>
                <w:szCs w:val="20"/>
                <w:lang w:val="ro-RO" w:eastAsia="ro-RO"/>
              </w:rPr>
            </w:pPr>
            <w:r w:rsidRPr="00860724">
              <w:rPr>
                <w:rFonts w:cs="Arial"/>
                <w:sz w:val="20"/>
                <w:szCs w:val="20"/>
                <w:lang w:val="ro-RO" w:eastAsia="ro-RO"/>
              </w:rPr>
              <w:t>Judecatoria ZIMNICEA</w:t>
            </w:r>
          </w:p>
        </w:tc>
        <w:tc>
          <w:tcPr>
            <w:tcW w:w="2935" w:type="dxa"/>
            <w:gridSpan w:val="5"/>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2935" w:type="dxa"/>
            <w:gridSpan w:val="5"/>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60"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c>
          <w:tcPr>
            <w:tcW w:w="323" w:type="dxa"/>
            <w:vMerge w:val="restart"/>
            <w:shd w:val="clear" w:color="auto" w:fill="auto"/>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 </w:t>
            </w:r>
          </w:p>
        </w:tc>
      </w:tr>
      <w:tr w:rsidR="00677EA4" w:rsidRPr="00860724" w:rsidTr="00D60C7C">
        <w:trPr>
          <w:trHeight w:val="285"/>
          <w:jc w:val="center"/>
        </w:trPr>
        <w:tc>
          <w:tcPr>
            <w:tcW w:w="524" w:type="dxa"/>
            <w:vMerge/>
            <w:vAlign w:val="center"/>
          </w:tcPr>
          <w:p w:rsidR="00677EA4" w:rsidRPr="00860724" w:rsidRDefault="00677EA4" w:rsidP="00D60C7C">
            <w:pPr>
              <w:rPr>
                <w:rFonts w:cs="Arial"/>
                <w:sz w:val="20"/>
                <w:szCs w:val="20"/>
                <w:lang w:val="ro-RO" w:eastAsia="ro-RO"/>
              </w:rPr>
            </w:pPr>
          </w:p>
        </w:tc>
        <w:tc>
          <w:tcPr>
            <w:tcW w:w="2182" w:type="dxa"/>
            <w:vMerge/>
            <w:vAlign w:val="center"/>
          </w:tcPr>
          <w:p w:rsidR="00677EA4" w:rsidRPr="00860724" w:rsidRDefault="00677EA4" w:rsidP="00D60C7C">
            <w:pPr>
              <w:rPr>
                <w:rFonts w:cs="Arial"/>
                <w:sz w:val="20"/>
                <w:szCs w:val="20"/>
                <w:lang w:val="ro-RO" w:eastAsia="ro-RO"/>
              </w:rPr>
            </w:pPr>
          </w:p>
        </w:tc>
        <w:tc>
          <w:tcPr>
            <w:tcW w:w="2935" w:type="dxa"/>
            <w:gridSpan w:val="5"/>
            <w:vMerge/>
            <w:vAlign w:val="center"/>
          </w:tcPr>
          <w:p w:rsidR="00677EA4" w:rsidRPr="00860724" w:rsidRDefault="00677EA4" w:rsidP="00D60C7C">
            <w:pPr>
              <w:rPr>
                <w:rFonts w:cs="Arial"/>
                <w:sz w:val="20"/>
                <w:szCs w:val="20"/>
                <w:lang w:val="ro-RO" w:eastAsia="ro-RO"/>
              </w:rPr>
            </w:pPr>
          </w:p>
        </w:tc>
        <w:tc>
          <w:tcPr>
            <w:tcW w:w="587" w:type="dxa"/>
            <w:shd w:val="clear" w:color="auto" w:fill="FFFF99"/>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E01</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E02</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E03</w:t>
            </w:r>
          </w:p>
        </w:tc>
        <w:tc>
          <w:tcPr>
            <w:tcW w:w="587" w:type="dxa"/>
            <w:shd w:val="clear" w:color="auto" w:fill="8080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E04</w:t>
            </w:r>
          </w:p>
        </w:tc>
        <w:tc>
          <w:tcPr>
            <w:tcW w:w="587" w:type="dxa"/>
            <w:shd w:val="clear" w:color="auto" w:fill="FF6600"/>
            <w:vAlign w:val="bottom"/>
          </w:tcPr>
          <w:p w:rsidR="00677EA4" w:rsidRPr="00860724" w:rsidRDefault="00677EA4" w:rsidP="00D60C7C">
            <w:pPr>
              <w:jc w:val="center"/>
              <w:rPr>
                <w:rFonts w:cs="Arial"/>
                <w:sz w:val="20"/>
                <w:szCs w:val="20"/>
                <w:lang w:val="ro-RO" w:eastAsia="ro-RO"/>
              </w:rPr>
            </w:pPr>
            <w:r w:rsidRPr="00860724">
              <w:rPr>
                <w:rFonts w:cs="Arial"/>
                <w:sz w:val="20"/>
                <w:szCs w:val="20"/>
                <w:lang w:val="ro-RO" w:eastAsia="ro-RO"/>
              </w:rPr>
              <w:t>E05</w:t>
            </w:r>
          </w:p>
        </w:tc>
        <w:tc>
          <w:tcPr>
            <w:tcW w:w="360" w:type="dxa"/>
            <w:vMerge/>
            <w:vAlign w:val="center"/>
          </w:tcPr>
          <w:p w:rsidR="00677EA4" w:rsidRPr="00860724" w:rsidRDefault="00677EA4" w:rsidP="00D60C7C">
            <w:pPr>
              <w:rPr>
                <w:rFonts w:cs="Arial"/>
                <w:sz w:val="20"/>
                <w:szCs w:val="20"/>
                <w:lang w:val="ro-RO" w:eastAsia="ro-RO"/>
              </w:rPr>
            </w:pPr>
          </w:p>
        </w:tc>
        <w:tc>
          <w:tcPr>
            <w:tcW w:w="323" w:type="dxa"/>
            <w:vMerge/>
            <w:vAlign w:val="center"/>
          </w:tcPr>
          <w:p w:rsidR="00677EA4" w:rsidRPr="00860724" w:rsidRDefault="00677EA4" w:rsidP="00D60C7C">
            <w:pPr>
              <w:rPr>
                <w:rFonts w:cs="Arial"/>
                <w:sz w:val="20"/>
                <w:szCs w:val="20"/>
                <w:lang w:val="ro-RO" w:eastAsia="ro-RO"/>
              </w:rPr>
            </w:pPr>
          </w:p>
        </w:tc>
      </w:tr>
    </w:tbl>
    <w:p w:rsidR="00677EA4" w:rsidRPr="00860724" w:rsidRDefault="00677EA4" w:rsidP="00677EA4">
      <w:pPr>
        <w:jc w:val="both"/>
        <w:rPr>
          <w:rFonts w:cs="Arial"/>
          <w:lang w:val="ro-RO"/>
        </w:rPr>
      </w:pPr>
    </w:p>
    <w:p w:rsidR="00677EA4" w:rsidRPr="00860724" w:rsidRDefault="00677EA4" w:rsidP="00A07C77">
      <w:pPr>
        <w:spacing w:line="276" w:lineRule="auto"/>
        <w:ind w:firstLine="708"/>
        <w:jc w:val="both"/>
        <w:rPr>
          <w:lang w:val="ro-RO"/>
        </w:rPr>
      </w:pPr>
      <w:r w:rsidRPr="00860724">
        <w:rPr>
          <w:rFonts w:cs="Arial"/>
          <w:lang w:val="ro-RO"/>
        </w:rPr>
        <w:t xml:space="preserve">În ceea ce privește judecătoriile, </w:t>
      </w:r>
      <w:r w:rsidRPr="00860724">
        <w:rPr>
          <w:lang w:val="ro-RO"/>
        </w:rPr>
        <w:t xml:space="preserve">la gradul de eficienţă „foarte eficient” se încadrează </w:t>
      </w:r>
      <w:r w:rsidRPr="00860724">
        <w:rPr>
          <w:b/>
          <w:lang w:val="ro-RO"/>
        </w:rPr>
        <w:t xml:space="preserve">68 </w:t>
      </w:r>
      <w:r w:rsidRPr="00860724">
        <w:rPr>
          <w:lang w:val="ro-RO"/>
        </w:rPr>
        <w:t xml:space="preserve">instanţe iar la gradul „eficient” se încadrează </w:t>
      </w:r>
      <w:r w:rsidRPr="00860724">
        <w:rPr>
          <w:b/>
          <w:lang w:val="ro-RO"/>
        </w:rPr>
        <w:t>107</w:t>
      </w:r>
      <w:r w:rsidRPr="00860724">
        <w:rPr>
          <w:lang w:val="ro-RO"/>
        </w:rPr>
        <w:t xml:space="preserve"> instanţe.</w:t>
      </w:r>
    </w:p>
    <w:p w:rsidR="00677EA4" w:rsidRPr="00860724" w:rsidRDefault="00677EA4" w:rsidP="00A07C77">
      <w:pPr>
        <w:spacing w:line="276" w:lineRule="auto"/>
        <w:ind w:firstLine="708"/>
        <w:jc w:val="both"/>
        <w:rPr>
          <w:lang w:val="ro-RO"/>
        </w:rPr>
      </w:pPr>
      <w:r w:rsidRPr="00860724">
        <w:rPr>
          <w:lang w:val="ro-RO"/>
        </w:rPr>
        <w:t>Nici o judecătorie nu a înregistrat gradul de eficienţă „satisfăcător” şi “ineficient”.</w:t>
      </w:r>
    </w:p>
    <w:p w:rsidR="006703A4" w:rsidRDefault="006703A4" w:rsidP="00A07C77">
      <w:pPr>
        <w:pStyle w:val="Titlu2"/>
      </w:pPr>
      <w:bookmarkStart w:id="36" w:name="_Toc504987125"/>
    </w:p>
    <w:p w:rsidR="00677EA4" w:rsidRPr="00860724" w:rsidRDefault="00574BDF" w:rsidP="00A07C77">
      <w:pPr>
        <w:pStyle w:val="Titlu2"/>
      </w:pPr>
      <w:r w:rsidRPr="00860724">
        <w:t>I.4</w:t>
      </w:r>
      <w:r w:rsidR="002526AA" w:rsidRPr="00860724">
        <w:t>. Indicii de atacabilitate a hotărârilor judecătoreşti</w:t>
      </w:r>
      <w:bookmarkStart w:id="37" w:name="_Toc128326231"/>
      <w:bookmarkStart w:id="38" w:name="_Toc128547435"/>
      <w:bookmarkStart w:id="39" w:name="_Toc368398444"/>
      <w:bookmarkStart w:id="40" w:name="_Toc411333490"/>
      <w:bookmarkEnd w:id="36"/>
      <w:r w:rsidR="00677EA4" w:rsidRPr="00860724">
        <w:t>. Indicii de desfiinţare a hotărârilor judecătoreşti</w:t>
      </w:r>
    </w:p>
    <w:p w:rsidR="00677EA4" w:rsidRPr="00860724" w:rsidRDefault="00677EA4" w:rsidP="00A07C77">
      <w:pPr>
        <w:pStyle w:val="AddParagraf"/>
        <w:spacing w:line="276" w:lineRule="auto"/>
        <w:ind w:firstLine="0"/>
        <w:rPr>
          <w:b/>
        </w:rPr>
      </w:pPr>
      <w:r w:rsidRPr="00860724">
        <w:tab/>
      </w:r>
      <w:r w:rsidRPr="00860724">
        <w:rPr>
          <w:b/>
        </w:rPr>
        <w:t>Definiţii:</w:t>
      </w:r>
    </w:p>
    <w:p w:rsidR="00677EA4" w:rsidRPr="00860724" w:rsidRDefault="00677EA4" w:rsidP="00A07C77">
      <w:pPr>
        <w:pStyle w:val="AddParagraf"/>
        <w:spacing w:line="276" w:lineRule="auto"/>
        <w:ind w:firstLine="708"/>
      </w:pPr>
      <w:r w:rsidRPr="00860724">
        <w:rPr>
          <w:b/>
        </w:rPr>
        <w:t xml:space="preserve">Ponderea atacabilităţii – </w:t>
      </w:r>
      <w:r w:rsidRPr="00860724">
        <w:t>numărul dosarelor ajunse în căile de atac la instanţa superioară raportat la numărul dosarelor soluţionate la instanţa de referinţă.</w:t>
      </w:r>
    </w:p>
    <w:p w:rsidR="00677EA4" w:rsidRPr="00860724" w:rsidRDefault="00677EA4" w:rsidP="00A07C77">
      <w:pPr>
        <w:pStyle w:val="AddParagraf"/>
        <w:spacing w:line="276" w:lineRule="auto"/>
        <w:ind w:firstLine="708"/>
      </w:pPr>
      <w:r w:rsidRPr="00860724">
        <w:rPr>
          <w:b/>
        </w:rPr>
        <w:t xml:space="preserve">Indicele de casare – </w:t>
      </w:r>
      <w:r w:rsidRPr="00860724">
        <w:t>numărul hotărârilor admise în tot sau în parte în căile de atac raportat la numărul dosarelor  soluţionate în căile de atac la aceeaşi instanţă.</w:t>
      </w:r>
    </w:p>
    <w:p w:rsidR="00677EA4" w:rsidRPr="00860724" w:rsidRDefault="00677EA4" w:rsidP="00A07C77">
      <w:pPr>
        <w:pStyle w:val="AddParagraf"/>
        <w:spacing w:line="276" w:lineRule="auto"/>
        <w:ind w:firstLine="708"/>
        <w:rPr>
          <w:b/>
        </w:rPr>
      </w:pPr>
      <w:r w:rsidRPr="00860724">
        <w:rPr>
          <w:b/>
        </w:rPr>
        <w:t>Ponderea schimbări</w:t>
      </w:r>
      <w:r w:rsidRPr="00860724">
        <w:t>i – numărul hotărârilor admise în tot sau în parte în căile de atac raportat la numărul dosarelor  soluţionate la instanţa inferioară.</w:t>
      </w:r>
    </w:p>
    <w:p w:rsidR="00677EA4" w:rsidRPr="00860724" w:rsidRDefault="00677EA4" w:rsidP="00A07C77">
      <w:pPr>
        <w:pStyle w:val="AddParagraf"/>
        <w:spacing w:line="276" w:lineRule="auto"/>
      </w:pPr>
      <w:r w:rsidRPr="00860724">
        <w:t xml:space="preserve">La nivelul celor 175 judecătorii care funcţionează în prezent, s-a înregistrat în cursul anului 2017 un volum total de </w:t>
      </w:r>
      <w:r w:rsidRPr="00860724">
        <w:rPr>
          <w:b/>
        </w:rPr>
        <w:t>2.005.054</w:t>
      </w:r>
      <w:r w:rsidRPr="00860724">
        <w:t xml:space="preserve"> cauze, din care au fost soluţionate un număr de </w:t>
      </w:r>
      <w:r w:rsidRPr="00860724">
        <w:rPr>
          <w:b/>
        </w:rPr>
        <w:t xml:space="preserve">1.491.584 </w:t>
      </w:r>
      <w:r w:rsidRPr="00860724">
        <w:t>dosare.</w:t>
      </w:r>
      <w:bookmarkEnd w:id="37"/>
      <w:bookmarkEnd w:id="38"/>
      <w:bookmarkEnd w:id="39"/>
      <w:bookmarkEnd w:id="40"/>
    </w:p>
    <w:p w:rsidR="00677EA4" w:rsidRPr="00860724" w:rsidRDefault="00677EA4" w:rsidP="00A07C77">
      <w:pPr>
        <w:pStyle w:val="AddParagraf"/>
        <w:spacing w:line="276" w:lineRule="auto"/>
      </w:pPr>
      <w:r w:rsidRPr="00860724">
        <w:t xml:space="preserve">Din totalul dosarelor soluţionate de judecătorii, au fost atacate cu apel, recurs şi contestaţii la tribunal </w:t>
      </w:r>
      <w:r w:rsidRPr="00860724">
        <w:rPr>
          <w:b/>
        </w:rPr>
        <w:t>191.504</w:t>
      </w:r>
      <w:r w:rsidRPr="00860724">
        <w:t xml:space="preserve"> cauze. Rezultă astfel că ponderea atacabilităţii hotărârilor pronunţate de judecătorii în fond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13 %</w:t>
      </w:r>
      <w:r w:rsidRPr="00860724">
        <w:t xml:space="preserve"> (13 % în anul 2016). Se poate observa că procentul justiţiabililor nemulţumiţi de hotărârile pronunţate de judecătorii este relativ mic.</w:t>
      </w:r>
    </w:p>
    <w:p w:rsidR="00677EA4" w:rsidRPr="00860724" w:rsidRDefault="00677EA4" w:rsidP="00A07C77">
      <w:pPr>
        <w:pStyle w:val="AddParagraf"/>
        <w:spacing w:line="276" w:lineRule="auto"/>
      </w:pPr>
      <w:r w:rsidRPr="00860724">
        <w:t xml:space="preserve">Din totalul de </w:t>
      </w:r>
      <w:r w:rsidRPr="00860724">
        <w:rPr>
          <w:b/>
        </w:rPr>
        <w:t>187.744</w:t>
      </w:r>
      <w:r w:rsidRPr="00860724">
        <w:t xml:space="preserve"> hotărâri pronunţate de tribunale în căile de atac, au fost pronunţate soluţii de admitere în tot sau în parte în </w:t>
      </w:r>
      <w:r w:rsidRPr="00860724">
        <w:rPr>
          <w:b/>
        </w:rPr>
        <w:t>40.593</w:t>
      </w:r>
      <w:r w:rsidRPr="00860724">
        <w:t xml:space="preserve"> cauze (45.355 cauze în 2016), indicele de casare fiind în acest fel de</w:t>
      </w:r>
      <w:r w:rsidRPr="00860724">
        <w:rPr>
          <w:b/>
        </w:rPr>
        <w:t xml:space="preserve"> 21,62 % (</w:t>
      </w:r>
      <w:r w:rsidRPr="00860724">
        <w:t>23,77 % în 2016</w:t>
      </w:r>
      <w:r w:rsidRPr="00860724">
        <w:rPr>
          <w:b/>
        </w:rPr>
        <w:t>)</w:t>
      </w:r>
      <w:r w:rsidRPr="00860724">
        <w:t xml:space="preserve">. </w:t>
      </w:r>
    </w:p>
    <w:p w:rsidR="00677EA4" w:rsidRPr="00860724" w:rsidRDefault="00677EA4" w:rsidP="00A07C77">
      <w:pPr>
        <w:pStyle w:val="AddParagraf"/>
        <w:spacing w:line="276" w:lineRule="auto"/>
      </w:pPr>
      <w:r w:rsidRPr="00860724">
        <w:t xml:space="preserve">Ponderea schimbării hotărârilor judecătoriilor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 xml:space="preserve">3 % </w:t>
      </w:r>
      <w:r w:rsidRPr="00860724">
        <w:t>(3 % și în 2016).</w:t>
      </w:r>
    </w:p>
    <w:p w:rsidR="00677EA4" w:rsidRPr="00860724" w:rsidRDefault="00677EA4" w:rsidP="00A07C77">
      <w:pPr>
        <w:pStyle w:val="AddParagraf"/>
        <w:spacing w:line="276" w:lineRule="auto"/>
      </w:pPr>
      <w:bookmarkStart w:id="41" w:name="_Toc128326232"/>
      <w:bookmarkStart w:id="42" w:name="_Toc128547436"/>
      <w:bookmarkStart w:id="43" w:name="_Toc368398445"/>
      <w:bookmarkStart w:id="44" w:name="_Toc411333491"/>
      <w:r w:rsidRPr="00860724">
        <w:t xml:space="preserve">La nivelul tribunalelor, au fost soluţionate în cursul anului 2017 </w:t>
      </w:r>
      <w:bookmarkEnd w:id="41"/>
      <w:bookmarkEnd w:id="42"/>
      <w:bookmarkEnd w:id="43"/>
      <w:bookmarkEnd w:id="44"/>
      <w:r w:rsidRPr="00860724">
        <w:t xml:space="preserve">un număr de </w:t>
      </w:r>
      <w:r w:rsidRPr="00860724">
        <w:rPr>
          <w:b/>
        </w:rPr>
        <w:t xml:space="preserve">508.983 </w:t>
      </w:r>
      <w:r w:rsidRPr="00860724">
        <w:t>dosare.</w:t>
      </w:r>
    </w:p>
    <w:p w:rsidR="00677EA4" w:rsidRPr="00860724" w:rsidRDefault="00677EA4" w:rsidP="00A07C77">
      <w:pPr>
        <w:pStyle w:val="AddParagraf"/>
        <w:spacing w:line="276" w:lineRule="auto"/>
      </w:pPr>
      <w:r w:rsidRPr="00860724">
        <w:t xml:space="preserve">Dintre aceste cauze, </w:t>
      </w:r>
      <w:r w:rsidRPr="00860724">
        <w:rPr>
          <w:b/>
        </w:rPr>
        <w:t>154.953</w:t>
      </w:r>
      <w:r w:rsidRPr="00860724">
        <w:t xml:space="preserve"> dosare au fost atacate la curţile de apel, ponderea atacabilităţii hotărârilor fiind în acest fel de </w:t>
      </w:r>
      <w:r w:rsidRPr="00860724">
        <w:rPr>
          <w:b/>
        </w:rPr>
        <w:t xml:space="preserve">30 % </w:t>
      </w:r>
      <w:r w:rsidRPr="00860724">
        <w:t>(26 % în anul 2016).</w:t>
      </w:r>
    </w:p>
    <w:p w:rsidR="00677EA4" w:rsidRPr="00860724" w:rsidRDefault="00677EA4" w:rsidP="00A07C77">
      <w:pPr>
        <w:pStyle w:val="AddParagraf"/>
        <w:spacing w:line="276" w:lineRule="auto"/>
      </w:pPr>
      <w:r w:rsidRPr="00860724">
        <w:t xml:space="preserve">Numărul cauzelor soluţionate în căile de atac la curţile de apel în anul </w:t>
      </w:r>
      <w:smartTag w:uri="urn:schemas-microsoft-com:office:smarttags" w:element="metricconverter">
        <w:smartTagPr>
          <w:attr w:name="ProductID" w:val="2017 a"/>
        </w:smartTagPr>
        <w:r w:rsidRPr="00860724">
          <w:t>2017 a</w:t>
        </w:r>
      </w:smartTag>
      <w:r w:rsidRPr="00860724">
        <w:t xml:space="preserve"> fost de </w:t>
      </w:r>
      <w:r w:rsidRPr="00860724">
        <w:rPr>
          <w:b/>
        </w:rPr>
        <w:t xml:space="preserve">145.377 </w:t>
      </w:r>
      <w:r w:rsidRPr="00860724">
        <w:t xml:space="preserve">iar al celor admise a fost de </w:t>
      </w:r>
      <w:r w:rsidRPr="00860724">
        <w:rPr>
          <w:b/>
        </w:rPr>
        <w:t>26.961</w:t>
      </w:r>
      <w:r w:rsidRPr="00860724">
        <w:t xml:space="preserve"> dosare (23.290 în 2016).</w:t>
      </w:r>
    </w:p>
    <w:p w:rsidR="00677EA4" w:rsidRPr="00860724" w:rsidRDefault="00677EA4" w:rsidP="00A07C77">
      <w:pPr>
        <w:pStyle w:val="AddParagraf"/>
        <w:spacing w:line="276" w:lineRule="auto"/>
      </w:pPr>
      <w:bookmarkStart w:id="45" w:name="_Toc128326233"/>
      <w:bookmarkStart w:id="46" w:name="_Toc128547437"/>
      <w:bookmarkStart w:id="47" w:name="_Toc368398446"/>
      <w:bookmarkStart w:id="48" w:name="_Toc411333492"/>
      <w:r w:rsidRPr="00860724">
        <w:t xml:space="preserve">Rezultă că indicele de casare a hotărîrilor a fost în anul 2017 de </w:t>
      </w:r>
      <w:r w:rsidRPr="00860724">
        <w:rPr>
          <w:b/>
        </w:rPr>
        <w:t>18,55 %</w:t>
      </w:r>
      <w:r w:rsidRPr="00860724">
        <w:t xml:space="preserve"> (18,24 în anul 2016).</w:t>
      </w:r>
    </w:p>
    <w:p w:rsidR="00677EA4" w:rsidRPr="00860724" w:rsidRDefault="00677EA4" w:rsidP="00A07C77">
      <w:pPr>
        <w:pStyle w:val="AddParagraf"/>
        <w:spacing w:line="276" w:lineRule="auto"/>
      </w:pPr>
      <w:r w:rsidRPr="00860724">
        <w:t xml:space="preserve">Ponderea schimbării hotărârilor pronunţate  a fost în acest caz de </w:t>
      </w:r>
      <w:r w:rsidRPr="00860724">
        <w:rPr>
          <w:b/>
        </w:rPr>
        <w:t xml:space="preserve"> 5 % (</w:t>
      </w:r>
      <w:r w:rsidRPr="00860724">
        <w:t xml:space="preserve"> 5 % în anul 2016).</w:t>
      </w:r>
    </w:p>
    <w:bookmarkEnd w:id="45"/>
    <w:bookmarkEnd w:id="46"/>
    <w:bookmarkEnd w:id="47"/>
    <w:bookmarkEnd w:id="48"/>
    <w:p w:rsidR="00677EA4" w:rsidRPr="00860724" w:rsidRDefault="00677EA4" w:rsidP="00A07C77">
      <w:pPr>
        <w:pStyle w:val="AddParagraf"/>
        <w:spacing w:line="276" w:lineRule="auto"/>
      </w:pPr>
      <w:r w:rsidRPr="00860724">
        <w:t xml:space="preserve">În ceea ce priveşte curţile de apel în raport cu Înalta Curte de Casaţie şi Justiţie, din totalul de </w:t>
      </w:r>
      <w:r w:rsidRPr="00860724">
        <w:rPr>
          <w:b/>
        </w:rPr>
        <w:t xml:space="preserve">171.544 </w:t>
      </w:r>
      <w:r w:rsidRPr="00860724">
        <w:t xml:space="preserve">cauze soluţionate la curţile de apel, au fost atacate un număr de </w:t>
      </w:r>
      <w:r w:rsidRPr="00860724">
        <w:rPr>
          <w:b/>
        </w:rPr>
        <w:t xml:space="preserve">9.503 </w:t>
      </w:r>
      <w:r w:rsidRPr="00860724">
        <w:t xml:space="preserve">dosare. Rezultă un indice de atacabilitate de </w:t>
      </w:r>
      <w:r w:rsidRPr="00860724">
        <w:rPr>
          <w:b/>
        </w:rPr>
        <w:t>6 %</w:t>
      </w:r>
      <w:r w:rsidRPr="00860724">
        <w:t xml:space="preserve"> (6 % în anul 2016). </w:t>
      </w:r>
    </w:p>
    <w:p w:rsidR="00677EA4" w:rsidRPr="00860724" w:rsidRDefault="00677EA4" w:rsidP="00A07C77">
      <w:pPr>
        <w:pStyle w:val="AddParagraf"/>
        <w:spacing w:line="276" w:lineRule="auto"/>
      </w:pPr>
      <w:r w:rsidRPr="00860724">
        <w:t xml:space="preserve">În acelaşi timp, din cele </w:t>
      </w:r>
      <w:r w:rsidRPr="00860724">
        <w:rPr>
          <w:b/>
        </w:rPr>
        <w:t>8.109</w:t>
      </w:r>
      <w:r w:rsidRPr="00860724">
        <w:t xml:space="preserve"> dosare soluţionate de Înalta Curte în căile de atac s-a pronunţat o soluţie de admitere în tot sau în parte în </w:t>
      </w:r>
      <w:r w:rsidRPr="00860724">
        <w:rPr>
          <w:b/>
        </w:rPr>
        <w:t xml:space="preserve">1.135 </w:t>
      </w:r>
      <w:r w:rsidRPr="00860724">
        <w:t xml:space="preserve">cauze (869 cauze în 2016). </w:t>
      </w:r>
    </w:p>
    <w:p w:rsidR="00677EA4" w:rsidRPr="00860724" w:rsidRDefault="00677EA4" w:rsidP="00A07C77">
      <w:pPr>
        <w:pStyle w:val="AddParagraf"/>
        <w:spacing w:line="276" w:lineRule="auto"/>
      </w:pPr>
      <w:r w:rsidRPr="00860724">
        <w:t xml:space="preserve">Rezultă un indice de casare  în anul 2017 de </w:t>
      </w:r>
      <w:r w:rsidRPr="00860724">
        <w:rPr>
          <w:b/>
        </w:rPr>
        <w:t>14</w:t>
      </w:r>
      <w:r w:rsidRPr="00860724">
        <w:t xml:space="preserve"> </w:t>
      </w:r>
      <w:r w:rsidRPr="00860724">
        <w:rPr>
          <w:b/>
        </w:rPr>
        <w:t>%</w:t>
      </w:r>
      <w:r w:rsidRPr="00860724">
        <w:t xml:space="preserve"> (8,38 % în anul 2016).</w:t>
      </w:r>
    </w:p>
    <w:p w:rsidR="004D0426" w:rsidRDefault="00677EA4" w:rsidP="004D0426">
      <w:pPr>
        <w:pStyle w:val="AddParagraf"/>
        <w:spacing w:line="276" w:lineRule="auto"/>
      </w:pPr>
      <w:r w:rsidRPr="00860724">
        <w:t>De asemenea ponderea schimbării CA – ICCJ (total admise la ICCJ/total soluţionate la CA) a fost  de</w:t>
      </w:r>
      <w:r w:rsidRPr="00860724">
        <w:rPr>
          <w:b/>
        </w:rPr>
        <w:t xml:space="preserve"> 1% </w:t>
      </w:r>
      <w:r w:rsidRPr="00860724">
        <w:t>(1% în anul 2016</w:t>
      </w:r>
      <w:r w:rsidRPr="00860724">
        <w:rPr>
          <w:b/>
        </w:rPr>
        <w:t>)</w:t>
      </w:r>
      <w:r w:rsidRPr="00860724">
        <w:t>.</w:t>
      </w:r>
      <w:bookmarkStart w:id="49" w:name="_Toc504987127"/>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4D0426" w:rsidRDefault="004D0426" w:rsidP="004D0426">
      <w:pPr>
        <w:pStyle w:val="AddParagraf"/>
        <w:spacing w:line="276" w:lineRule="auto"/>
      </w:pPr>
    </w:p>
    <w:p w:rsidR="000D005D" w:rsidRPr="004D0426" w:rsidRDefault="004D0426" w:rsidP="004D0426">
      <w:pPr>
        <w:pStyle w:val="AddParagraf"/>
        <w:spacing w:line="276" w:lineRule="auto"/>
        <w:rPr>
          <w:b/>
          <w:sz w:val="28"/>
          <w:szCs w:val="28"/>
        </w:rPr>
      </w:pPr>
      <w:r>
        <w:tab/>
      </w:r>
      <w:r>
        <w:tab/>
      </w:r>
      <w:r>
        <w:tab/>
      </w:r>
      <w:r>
        <w:tab/>
      </w:r>
      <w:r>
        <w:tab/>
      </w:r>
      <w:r w:rsidR="000D005D" w:rsidRPr="004D0426">
        <w:rPr>
          <w:b/>
          <w:sz w:val="28"/>
          <w:szCs w:val="28"/>
        </w:rPr>
        <w:t>CAPITOLUL II</w:t>
      </w:r>
    </w:p>
    <w:p w:rsidR="00625F9B" w:rsidRPr="00860724" w:rsidRDefault="00A10FC6" w:rsidP="000D005D">
      <w:pPr>
        <w:pStyle w:val="Titlu1"/>
      </w:pPr>
      <w:r>
        <w:t xml:space="preserve"> </w:t>
      </w:r>
      <w:r w:rsidR="006F2993" w:rsidRPr="00860724">
        <w:t>Date statistice privind activitatea parchetelor</w:t>
      </w:r>
      <w:bookmarkEnd w:id="49"/>
    </w:p>
    <w:p w:rsidR="00625F9B" w:rsidRPr="00860724" w:rsidRDefault="00625F9B" w:rsidP="00A07C77">
      <w:pPr>
        <w:pStyle w:val="Frspaiere"/>
        <w:spacing w:line="276" w:lineRule="auto"/>
        <w:rPr>
          <w:lang w:val="ro-RO"/>
        </w:rPr>
      </w:pPr>
    </w:p>
    <w:p w:rsidR="00625F9B" w:rsidRPr="00860724" w:rsidRDefault="00B452B9" w:rsidP="00A07C77">
      <w:pPr>
        <w:pStyle w:val="Titlu2"/>
      </w:pPr>
      <w:bookmarkStart w:id="50" w:name="_Toc504987128"/>
      <w:r w:rsidRPr="00860724">
        <w:t>I</w:t>
      </w:r>
      <w:r w:rsidR="008A336D" w:rsidRPr="00860724">
        <w:t xml:space="preserve">I.1. </w:t>
      </w:r>
      <w:r w:rsidR="006F2993" w:rsidRPr="00860724">
        <w:t>Volumul de activitate</w:t>
      </w:r>
      <w:bookmarkEnd w:id="50"/>
    </w:p>
    <w:p w:rsidR="00D60C7C" w:rsidRPr="00860724" w:rsidRDefault="00D60C7C" w:rsidP="00A07C77">
      <w:pPr>
        <w:widowControl w:val="0"/>
        <w:autoSpaceDE w:val="0"/>
        <w:autoSpaceDN w:val="0"/>
        <w:adjustRightInd w:val="0"/>
        <w:spacing w:line="276" w:lineRule="auto"/>
        <w:ind w:firstLine="684"/>
        <w:jc w:val="both"/>
        <w:rPr>
          <w:lang w:val="ro-RO"/>
        </w:rPr>
      </w:pPr>
      <w:r w:rsidRPr="00860724">
        <w:rPr>
          <w:lang w:val="ro-RO"/>
        </w:rPr>
        <w:t xml:space="preserve">În anul 2017, la nivelul întregii ţări şi-au desfăşurat activitatea un număr de 176 de parchete pe lângă judecătorii, 42 parchete pe lângă tribunale, 1 parchet specializat pentru cauze cu minori şi familie, 15 parchete pe lângă curţile de apel şi parchetul de pe lângă instanţa supremă, înregistrând cu tot cu parchetele militare un volum total de activitate de </w:t>
      </w:r>
      <w:r w:rsidRPr="00860724">
        <w:rPr>
          <w:b/>
          <w:lang w:val="ro-RO"/>
        </w:rPr>
        <w:t>3303216</w:t>
      </w:r>
      <w:r w:rsidRPr="00860724">
        <w:rPr>
          <w:lang w:val="ro-RO"/>
        </w:rPr>
        <w:t xml:space="preserve"> lucrări, din care </w:t>
      </w:r>
      <w:r w:rsidRPr="00860724">
        <w:rPr>
          <w:b/>
          <w:lang w:val="ro-RO"/>
        </w:rPr>
        <w:t>1752067</w:t>
      </w:r>
      <w:r w:rsidRPr="00860724">
        <w:rPr>
          <w:lang w:val="ro-RO"/>
        </w:rPr>
        <w:t xml:space="preserve"> de dosare penale, cele 2 reprezentări grafice de mai jos incluzând în cadrul volumului de activitate al Parchetului de pe lângă Înalta Curte de Casaţie şi Justiţie atât activitatea D.N.A şi D.I.I.C.O.T. cât şi a parchetelor militare.</w:t>
      </w:r>
    </w:p>
    <w:p w:rsidR="00D60C7C" w:rsidRPr="00860724" w:rsidRDefault="00D60C7C" w:rsidP="00D60C7C">
      <w:pPr>
        <w:tabs>
          <w:tab w:val="left" w:pos="1260"/>
        </w:tabs>
        <w:spacing w:before="120" w:line="360" w:lineRule="auto"/>
        <w:jc w:val="center"/>
        <w:rPr>
          <w:color w:val="0000FF"/>
          <w:lang w:val="ro-RO"/>
        </w:rPr>
      </w:pPr>
      <w:r w:rsidRPr="00860724">
        <w:rPr>
          <w:noProof/>
          <w:color w:val="0000FF"/>
          <w:lang w:val="ro-RO" w:eastAsia="ro-RO"/>
        </w:rPr>
        <w:drawing>
          <wp:inline distT="0" distB="0" distL="0" distR="0" wp14:anchorId="717B294E" wp14:editId="1CEC7F23">
            <wp:extent cx="6035040" cy="2346960"/>
            <wp:effectExtent l="0" t="0" r="3810" b="15240"/>
            <wp:docPr id="20" name="Char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D60C7C" w:rsidRPr="00860724" w:rsidRDefault="00D60C7C" w:rsidP="00D60C7C">
      <w:pPr>
        <w:spacing w:before="120" w:line="360" w:lineRule="auto"/>
        <w:jc w:val="both"/>
        <w:rPr>
          <w:color w:val="0000FF"/>
          <w:lang w:val="ro-RO"/>
        </w:rPr>
      </w:pPr>
    </w:p>
    <w:p w:rsidR="00D60C7C" w:rsidRPr="00860724" w:rsidRDefault="00D60C7C" w:rsidP="00CB1A07">
      <w:pPr>
        <w:spacing w:line="276" w:lineRule="auto"/>
        <w:jc w:val="center"/>
        <w:rPr>
          <w:lang w:val="ro-RO"/>
        </w:rPr>
      </w:pPr>
      <w:r w:rsidRPr="00860724">
        <w:rPr>
          <w:b/>
          <w:i/>
          <w:noProof/>
          <w:color w:val="0000FF"/>
          <w:lang w:val="ro-RO" w:eastAsia="ro-RO"/>
        </w:rPr>
        <w:drawing>
          <wp:inline distT="0" distB="0" distL="0" distR="0" wp14:anchorId="37D62779" wp14:editId="2DB52AEB">
            <wp:extent cx="6126480" cy="2430780"/>
            <wp:effectExtent l="0" t="0" r="7620" b="7620"/>
            <wp:docPr id="19" name="Char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D60C7C" w:rsidRPr="00860724" w:rsidRDefault="00D60C7C" w:rsidP="00CB1A07">
      <w:pPr>
        <w:pStyle w:val="Titlu3"/>
      </w:pPr>
    </w:p>
    <w:p w:rsidR="00D60C7C" w:rsidRPr="00860724" w:rsidRDefault="00D60C7C" w:rsidP="00CB1A07">
      <w:pPr>
        <w:pStyle w:val="Titlu3"/>
      </w:pPr>
      <w:bookmarkStart w:id="51" w:name="_Toc506288015"/>
      <w:r w:rsidRPr="00860724">
        <w:t>II.1.1. Activitatea la nivelul Parchetului de pe lângă Înalta Curte de Casaţie şi Justiţie</w:t>
      </w:r>
      <w:bookmarkEnd w:id="51"/>
    </w:p>
    <w:p w:rsidR="00D60C7C" w:rsidRPr="00860724" w:rsidRDefault="00D60C7C" w:rsidP="00CB1A07">
      <w:pPr>
        <w:widowControl w:val="0"/>
        <w:autoSpaceDE w:val="0"/>
        <w:autoSpaceDN w:val="0"/>
        <w:adjustRightInd w:val="0"/>
        <w:spacing w:line="276" w:lineRule="auto"/>
        <w:ind w:firstLine="855"/>
        <w:jc w:val="both"/>
        <w:rPr>
          <w:lang w:val="ro-RO"/>
        </w:rPr>
      </w:pPr>
      <w:r w:rsidRPr="00860724">
        <w:rPr>
          <w:lang w:val="ro-RO"/>
        </w:rPr>
        <w:t>La nivelul Parchetului de pe lângă Înalta Curte de Casaţie şi Justiţie (cu excepţia Secţiei parchetelor militare), numărul lucrărilor de soluţionat în anul 2017 s-a ridicat la 24869 , în timp ce numărul înregistrat al dosarelor de soluţionat a fost de 1152. Faţă de anul 2016, numărul lucrărilor de soluţionat a scăzut cu 2082 de lucrări (cu 7,72%), în timp ce numărul cauzelor de soluţionat a scăzut cu 28 de dosare (2,37%).</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Numărul cauzelor soluţionate în acest an s-a ridicat la 509,</w:t>
      </w:r>
      <w:r w:rsidRPr="00860724">
        <w:rPr>
          <w:b/>
          <w:lang w:val="ro-RO"/>
        </w:rPr>
        <w:t xml:space="preserve"> </w:t>
      </w:r>
      <w:r w:rsidRPr="00860724">
        <w:rPr>
          <w:lang w:val="ro-RO"/>
        </w:rPr>
        <w:t>adică 44,18% din numărul dosarelor de soluţionat în anul 2017.</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 xml:space="preserve">În acelaşi timp, </w:t>
      </w:r>
      <w:r w:rsidRPr="00860724">
        <w:rPr>
          <w:b/>
          <w:lang w:val="ro-RO"/>
        </w:rPr>
        <w:t>Direcţia Naţională Anticorupţie</w:t>
      </w:r>
      <w:r w:rsidRPr="00860724">
        <w:rPr>
          <w:lang w:val="ro-RO"/>
        </w:rPr>
        <w:t xml:space="preserve"> a înregistrat în anul 2017 un număr de 43202 lucrări, din care 11234 de</w:t>
      </w:r>
      <w:r w:rsidRPr="00860724">
        <w:rPr>
          <w:rFonts w:eastAsia="Tahoma"/>
          <w:color w:val="002060"/>
          <w:sz w:val="20"/>
          <w:szCs w:val="20"/>
          <w:lang w:val="ro-RO"/>
        </w:rPr>
        <w:t xml:space="preserve"> </w:t>
      </w:r>
      <w:r w:rsidRPr="00860724">
        <w:rPr>
          <w:lang w:val="ro-RO"/>
        </w:rPr>
        <w:t>cauze de soluţionat. Comparativ cu anul 2016, numărul lucrărilor a scăzut cu 8802 de unităţi (16,92%), iar numărul dosarelor de soluţionat a scăzut cu 1119 de cauze (9,05 %).</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Numărul cauzelor soluţionate la DNA în acest an s-a ridicat la 3893 de cauze (27% din totalul cauzelor de soluţionat).</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 xml:space="preserve">La nivelul </w:t>
      </w:r>
      <w:r w:rsidRPr="00860724">
        <w:rPr>
          <w:b/>
          <w:lang w:val="ro-RO"/>
        </w:rPr>
        <w:t>Direcţiei de Investigare a Infracţiunilor de Criminalitate Organizată şi Terorism (DIICOT)</w:t>
      </w:r>
      <w:r w:rsidRPr="00860724">
        <w:rPr>
          <w:lang w:val="ro-RO"/>
        </w:rPr>
        <w:t>, numărul lucrărilor de soluţionat s-a ridicat la 102696, iar cel al dosarelor la 24709 cauze. Comparativ cu anul 2016, numărul de lucrări a crescut cu 9592 de lucrări (10,3%); în aceeaşi perioadă de timp, numărul de cauze de soluţionat a scăzut cu 948 de dosare, adica cu 3,69 %.</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Numărul cauzelor soluţionate în acest an s-a ridicat la 7191</w:t>
      </w:r>
      <w:r w:rsidRPr="00860724">
        <w:rPr>
          <w:b/>
          <w:lang w:val="ro-RO"/>
        </w:rPr>
        <w:t xml:space="preserve"> </w:t>
      </w:r>
      <w:r w:rsidRPr="00860724">
        <w:rPr>
          <w:lang w:val="ro-RO"/>
        </w:rPr>
        <w:t>(29,1% din numărul dosarelor de soluţionat la nivelul DIICOT).</w:t>
      </w:r>
    </w:p>
    <w:p w:rsidR="00D60C7C" w:rsidRPr="00860724" w:rsidRDefault="00D60C7C" w:rsidP="00CB1A07">
      <w:pPr>
        <w:spacing w:before="120" w:line="276" w:lineRule="auto"/>
        <w:ind w:firstLine="684"/>
        <w:jc w:val="both"/>
        <w:rPr>
          <w:lang w:val="ro-RO"/>
        </w:rPr>
      </w:pPr>
      <w:r w:rsidRPr="00860724">
        <w:rPr>
          <w:lang w:val="ro-RO"/>
        </w:rPr>
        <w:t>Dinamica numărului de cauze de soluţionat în ultimii 5 ani la aceste trei mari structuri de parchet se prezintă astfel :</w:t>
      </w:r>
    </w:p>
    <w:p w:rsidR="00D60C7C" w:rsidRPr="00860724" w:rsidRDefault="00D60C7C" w:rsidP="00D60C7C">
      <w:pPr>
        <w:spacing w:before="120" w:line="360" w:lineRule="auto"/>
        <w:jc w:val="center"/>
        <w:rPr>
          <w:b/>
          <w:lang w:val="ro-RO"/>
        </w:rPr>
      </w:pPr>
      <w:r w:rsidRPr="00860724">
        <w:rPr>
          <w:noProof/>
          <w:lang w:val="ro-RO" w:eastAsia="ro-RO"/>
        </w:rPr>
        <w:drawing>
          <wp:inline distT="0" distB="0" distL="0" distR="0" wp14:anchorId="1A3C4AAC" wp14:editId="16095F09">
            <wp:extent cx="6088380" cy="2979420"/>
            <wp:effectExtent l="19050" t="19050" r="26670" b="1143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88380" cy="297942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pStyle w:val="Titlu3"/>
      </w:pPr>
    </w:p>
    <w:p w:rsidR="00D60C7C" w:rsidRPr="00860724" w:rsidRDefault="00D60C7C" w:rsidP="00CB1A07">
      <w:pPr>
        <w:pStyle w:val="Titlu3"/>
      </w:pPr>
      <w:bookmarkStart w:id="52" w:name="_Toc506288016"/>
      <w:r w:rsidRPr="00860724">
        <w:t>II.1.2. Activitatea la nivelul parchetelor de pe lângă curţile de apel</w:t>
      </w:r>
      <w:bookmarkEnd w:id="52"/>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Cele 15 parchete de pe lângă curţile de apel, au înregistrat spre soluţionare în perioada de referinţă un număr de 147000 de lucrări, dintre acestea 15770 constituind dosare penale, repartizate unui număr de 235 de procurori care au ocupat efectiv schema.</w:t>
      </w:r>
      <w:r w:rsidRPr="00860724">
        <w:rPr>
          <w:color w:val="0000FF"/>
          <w:lang w:val="ro-RO"/>
        </w:rPr>
        <w:t xml:space="preserve"> </w:t>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Cei doi indicatori, în ultimii 5 ani au înregistrat următoarea evoluţie:</w:t>
      </w:r>
    </w:p>
    <w:p w:rsidR="00D60C7C" w:rsidRPr="00860724" w:rsidRDefault="00D60C7C" w:rsidP="00D60C7C">
      <w:pPr>
        <w:widowControl w:val="0"/>
        <w:autoSpaceDE w:val="0"/>
        <w:autoSpaceDN w:val="0"/>
        <w:adjustRightInd w:val="0"/>
        <w:spacing w:line="360" w:lineRule="auto"/>
        <w:jc w:val="center"/>
        <w:rPr>
          <w:lang w:val="ro-RO"/>
        </w:rPr>
      </w:pPr>
      <w:r w:rsidRPr="00860724">
        <w:rPr>
          <w:noProof/>
          <w:lang w:val="ro-RO" w:eastAsia="ro-RO"/>
        </w:rPr>
        <w:drawing>
          <wp:inline distT="0" distB="0" distL="0" distR="0" wp14:anchorId="008F98BE" wp14:editId="1FE3548B">
            <wp:extent cx="5859780" cy="2842260"/>
            <wp:effectExtent l="19050" t="19050" r="26670" b="152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59780" cy="284226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CB1A07">
      <w:pPr>
        <w:widowControl w:val="0"/>
        <w:autoSpaceDE w:val="0"/>
        <w:autoSpaceDN w:val="0"/>
        <w:adjustRightInd w:val="0"/>
        <w:spacing w:line="276" w:lineRule="auto"/>
        <w:ind w:firstLine="684"/>
        <w:jc w:val="both"/>
        <w:rPr>
          <w:lang w:val="ro-RO"/>
        </w:rPr>
      </w:pPr>
      <w:r w:rsidRPr="00860724">
        <w:rPr>
          <w:lang w:val="ro-RO"/>
        </w:rPr>
        <w:t>În funcţie de volumul dosarelor penale, parchetele de pe lângă curţile de apel se pot grupa astfel:</w:t>
      </w:r>
    </w:p>
    <w:p w:rsidR="00D60C7C" w:rsidRPr="00860724" w:rsidRDefault="00D60C7C" w:rsidP="00CB1A07">
      <w:pPr>
        <w:widowControl w:val="0"/>
        <w:autoSpaceDE w:val="0"/>
        <w:autoSpaceDN w:val="0"/>
        <w:adjustRightInd w:val="0"/>
        <w:spacing w:line="276" w:lineRule="auto"/>
        <w:jc w:val="both"/>
        <w:rPr>
          <w:lang w:val="ro-RO"/>
        </w:rPr>
      </w:pPr>
      <w:r w:rsidRPr="00860724">
        <w:rPr>
          <w:lang w:val="ro-RO"/>
        </w:rPr>
        <w:t xml:space="preserve">- unităţi cu volum mai mic de 500 dosare: </w:t>
      </w:r>
      <w:r w:rsidRPr="00860724">
        <w:rPr>
          <w:b/>
          <w:lang w:val="ro-RO"/>
        </w:rPr>
        <w:t xml:space="preserve">1 </w:t>
      </w:r>
      <w:r w:rsidRPr="00860724">
        <w:rPr>
          <w:lang w:val="ro-RO"/>
        </w:rPr>
        <w:t>(1 şi în anul 2016);</w:t>
      </w:r>
    </w:p>
    <w:p w:rsidR="00D60C7C" w:rsidRPr="00860724" w:rsidRDefault="00D60C7C" w:rsidP="00CB1A07">
      <w:pPr>
        <w:widowControl w:val="0"/>
        <w:autoSpaceDE w:val="0"/>
        <w:autoSpaceDN w:val="0"/>
        <w:adjustRightInd w:val="0"/>
        <w:spacing w:line="276" w:lineRule="auto"/>
        <w:jc w:val="both"/>
        <w:rPr>
          <w:lang w:val="ro-RO"/>
        </w:rPr>
      </w:pPr>
      <w:r w:rsidRPr="00860724">
        <w:rPr>
          <w:lang w:val="ro-RO"/>
        </w:rPr>
        <w:t xml:space="preserve">- unităţi cu un volum cuprins între 500 şi 1.000 dosare: </w:t>
      </w:r>
      <w:r w:rsidRPr="00860724">
        <w:rPr>
          <w:b/>
          <w:lang w:val="ro-RO"/>
        </w:rPr>
        <w:t xml:space="preserve">5 </w:t>
      </w:r>
      <w:r w:rsidRPr="00860724">
        <w:rPr>
          <w:lang w:val="ro-RO"/>
        </w:rPr>
        <w:t>(6 în anul 2016);</w:t>
      </w:r>
    </w:p>
    <w:p w:rsidR="00D60C7C" w:rsidRPr="00860724" w:rsidRDefault="00D60C7C" w:rsidP="00CB1A07">
      <w:pPr>
        <w:widowControl w:val="0"/>
        <w:autoSpaceDE w:val="0"/>
        <w:autoSpaceDN w:val="0"/>
        <w:adjustRightInd w:val="0"/>
        <w:spacing w:line="276" w:lineRule="auto"/>
        <w:jc w:val="both"/>
        <w:rPr>
          <w:lang w:val="ro-RO"/>
        </w:rPr>
      </w:pPr>
      <w:r w:rsidRPr="00860724">
        <w:rPr>
          <w:lang w:val="ro-RO"/>
        </w:rPr>
        <w:t>- unităţi cu un volum situat peste 1.000 dosare:</w:t>
      </w:r>
      <w:r w:rsidRPr="00860724">
        <w:rPr>
          <w:b/>
          <w:lang w:val="ro-RO"/>
        </w:rPr>
        <w:t xml:space="preserve"> 9 </w:t>
      </w:r>
      <w:r w:rsidRPr="00860724">
        <w:rPr>
          <w:lang w:val="ro-RO"/>
        </w:rPr>
        <w:t>(8 în anul 2016).</w:t>
      </w:r>
    </w:p>
    <w:p w:rsidR="00D60C7C" w:rsidRPr="00860724" w:rsidRDefault="00D60C7C" w:rsidP="00CB1A07">
      <w:pPr>
        <w:tabs>
          <w:tab w:val="left" w:pos="225"/>
        </w:tabs>
        <w:spacing w:before="120" w:line="276" w:lineRule="auto"/>
        <w:jc w:val="both"/>
        <w:rPr>
          <w:lang w:val="ro-RO"/>
        </w:rPr>
      </w:pPr>
      <w:r w:rsidRPr="00860724">
        <w:rPr>
          <w:lang w:val="ro-RO"/>
        </w:rPr>
        <w:tab/>
        <w:t xml:space="preserve">Grafic, volumul de activitate privind </w:t>
      </w:r>
      <w:r w:rsidRPr="00860724">
        <w:rPr>
          <w:b/>
          <w:lang w:val="ro-RO"/>
        </w:rPr>
        <w:t>numărul de dosare penale de soluţionat la parchetele de pe lângă curţile de apel</w:t>
      </w:r>
      <w:r w:rsidRPr="00860724">
        <w:rPr>
          <w:lang w:val="ro-RO"/>
        </w:rPr>
        <w:t xml:space="preserve"> este prezentat în situaţia comparativă de mai jos pe ultimii 3 ani:</w:t>
      </w:r>
    </w:p>
    <w:p w:rsidR="00D60C7C" w:rsidRPr="00860724" w:rsidRDefault="00D60C7C" w:rsidP="00D60C7C">
      <w:pPr>
        <w:tabs>
          <w:tab w:val="left" w:pos="225"/>
        </w:tabs>
        <w:spacing w:line="360" w:lineRule="auto"/>
        <w:ind w:left="180"/>
        <w:jc w:val="center"/>
        <w:rPr>
          <w:lang w:val="ro-RO"/>
        </w:rPr>
      </w:pPr>
      <w:r w:rsidRPr="00860724">
        <w:rPr>
          <w:noProof/>
          <w:lang w:val="ro-RO" w:eastAsia="ro-RO"/>
        </w:rPr>
        <w:drawing>
          <wp:inline distT="0" distB="0" distL="0" distR="0" wp14:anchorId="6F2F0FB8" wp14:editId="7B7AE629">
            <wp:extent cx="5661660" cy="2705100"/>
            <wp:effectExtent l="0" t="0" r="0" b="0"/>
            <wp:docPr id="16" name="Char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D60C7C" w:rsidRPr="00860724" w:rsidRDefault="00D60C7C" w:rsidP="00CB1A07">
      <w:pPr>
        <w:widowControl w:val="0"/>
        <w:autoSpaceDE w:val="0"/>
        <w:autoSpaceDN w:val="0"/>
        <w:adjustRightInd w:val="0"/>
        <w:spacing w:line="276" w:lineRule="auto"/>
        <w:ind w:firstLine="686"/>
        <w:jc w:val="both"/>
        <w:rPr>
          <w:lang w:val="ro-RO"/>
        </w:rPr>
      </w:pPr>
      <w:r w:rsidRPr="00860724">
        <w:rPr>
          <w:lang w:val="ro-RO"/>
        </w:rPr>
        <w:t>Parchetele cu cel mai mare volum de dosare înregistrat în anul 2017 au fost Parchetul de pe lângă Curtea de Apel Bucureşti cu 2072 de dosare, având cu 426 de dosare mai putin decât în anul 2016 (rămânând însă pe prima poziţie ca şi în anii anteriori), urmat de Parchetul de pe lângă Curtea de Apel Constanța cu 1468 de cauze, acesta înregistrând o scădere cu 279 de dosare față de volumul din anul trecut şi de Parchetul de pe lângă Curtea de Apel Timișoara cu 1322 de dosare, cu 31 de cauze mai mult faţă de anul precedent.</w:t>
      </w:r>
    </w:p>
    <w:p w:rsidR="00D60C7C" w:rsidRPr="00860724" w:rsidRDefault="00D60C7C" w:rsidP="00CB1A07">
      <w:pPr>
        <w:widowControl w:val="0"/>
        <w:autoSpaceDE w:val="0"/>
        <w:autoSpaceDN w:val="0"/>
        <w:adjustRightInd w:val="0"/>
        <w:spacing w:line="276" w:lineRule="auto"/>
        <w:ind w:firstLine="686"/>
        <w:jc w:val="both"/>
        <w:rPr>
          <w:lang w:val="ro-RO"/>
        </w:rPr>
      </w:pPr>
      <w:r w:rsidRPr="00860724">
        <w:rPr>
          <w:lang w:val="ro-RO"/>
        </w:rPr>
        <w:t>La polul opus s-au aflat Parchetul de pe lângă Curtea de Apel Cluj cu un număr de numai 357 de dosare, în scădere faţă de cele 390 de dosare din 2016 şi Parchetul de pe lângă Curtea de Apel Târgu Mureş cu 548, de asemenea în scădere față de cele 657 de cauze din anul 2016.</w:t>
      </w:r>
    </w:p>
    <w:p w:rsidR="00D60C7C" w:rsidRPr="00860724" w:rsidRDefault="00D60C7C" w:rsidP="00CB1A07">
      <w:pPr>
        <w:widowControl w:val="0"/>
        <w:autoSpaceDE w:val="0"/>
        <w:autoSpaceDN w:val="0"/>
        <w:adjustRightInd w:val="0"/>
        <w:spacing w:line="276" w:lineRule="auto"/>
        <w:ind w:firstLine="686"/>
        <w:jc w:val="both"/>
        <w:rPr>
          <w:lang w:val="ro-RO"/>
        </w:rPr>
      </w:pPr>
      <w:r w:rsidRPr="00860724">
        <w:rPr>
          <w:lang w:val="ro-RO"/>
        </w:rPr>
        <w:t>Din totalul celor 147000 de lucrări de soluţionat înregistrate la aceste unităţi de parchet în anul 2017, au fost soluţionate 132448, reprezentând o operativitate de 90,1%. În acelaşi timp, au fost înregistrate 15770 de cauze penale de soluţionat, fiind soluţionate un număr de 10642 de dosare (67,48%).</w:t>
      </w:r>
    </w:p>
    <w:p w:rsidR="00D60C7C" w:rsidRPr="00860724" w:rsidRDefault="00D60C7C" w:rsidP="00CB1A07">
      <w:pPr>
        <w:widowControl w:val="0"/>
        <w:autoSpaceDE w:val="0"/>
        <w:autoSpaceDN w:val="0"/>
        <w:adjustRightInd w:val="0"/>
        <w:spacing w:line="276" w:lineRule="auto"/>
        <w:ind w:firstLine="686"/>
        <w:jc w:val="both"/>
        <w:rPr>
          <w:bCs/>
          <w:lang w:val="ro-RO"/>
        </w:rPr>
      </w:pPr>
      <w:r w:rsidRPr="00860724">
        <w:rPr>
          <w:bCs/>
          <w:lang w:val="ro-RO"/>
        </w:rPr>
        <w:t xml:space="preserve">Sub aspectul numărului de cauze soluţionate, situaţia din ultimii 5 ani se prezintă astfel: </w:t>
      </w:r>
    </w:p>
    <w:p w:rsidR="00D60C7C" w:rsidRPr="00860724" w:rsidRDefault="00D60C7C" w:rsidP="00D60C7C">
      <w:pPr>
        <w:jc w:val="center"/>
        <w:rPr>
          <w:color w:val="0000FF"/>
          <w:lang w:val="ro-RO"/>
        </w:rPr>
      </w:pPr>
      <w:r w:rsidRPr="00860724">
        <w:rPr>
          <w:noProof/>
          <w:color w:val="0000FF"/>
          <w:lang w:val="ro-RO" w:eastAsia="ro-RO"/>
        </w:rPr>
        <w:drawing>
          <wp:inline distT="0" distB="0" distL="0" distR="0" wp14:anchorId="34DCB319" wp14:editId="11CF97D5">
            <wp:extent cx="5516880" cy="2933700"/>
            <wp:effectExtent l="19050" t="19050" r="2667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16880" cy="293370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widowControl w:val="0"/>
        <w:autoSpaceDE w:val="0"/>
        <w:autoSpaceDN w:val="0"/>
        <w:adjustRightInd w:val="0"/>
        <w:spacing w:line="360" w:lineRule="auto"/>
        <w:ind w:firstLine="684"/>
        <w:jc w:val="both"/>
        <w:rPr>
          <w:lang w:val="ro-RO"/>
        </w:rPr>
      </w:pPr>
    </w:p>
    <w:p w:rsidR="00D60C7C" w:rsidRPr="00860724" w:rsidRDefault="00D60C7C" w:rsidP="00CB1A07">
      <w:pPr>
        <w:pStyle w:val="Titlu3"/>
      </w:pPr>
      <w:bookmarkStart w:id="53" w:name="_Toc506288017"/>
      <w:r w:rsidRPr="00860724">
        <w:t>II.1.3. Activitatea la nivelul parchetelor de pe lângă tribunale</w:t>
      </w:r>
      <w:bookmarkEnd w:id="53"/>
    </w:p>
    <w:p w:rsidR="00D60C7C" w:rsidRPr="00860724" w:rsidRDefault="00D60C7C" w:rsidP="00CB1A07">
      <w:pPr>
        <w:widowControl w:val="0"/>
        <w:autoSpaceDE w:val="0"/>
        <w:autoSpaceDN w:val="0"/>
        <w:adjustRightInd w:val="0"/>
        <w:spacing w:line="276" w:lineRule="auto"/>
        <w:ind w:firstLine="856"/>
        <w:jc w:val="both"/>
        <w:rPr>
          <w:lang w:val="ro-RO"/>
        </w:rPr>
      </w:pPr>
      <w:r w:rsidRPr="00860724">
        <w:rPr>
          <w:lang w:val="ro-RO"/>
        </w:rPr>
        <w:t>La nivelul celor 43 de parchete de pe lângă tribunale a fost înregistrat un volum de activitate de 342798 de de lucrări, din care 81888 de dosare penale, repartizate unui număr de 518 procurori care au ocupat efectiv posturile existente în schema parchetelor de la acest nivel.</w:t>
      </w:r>
    </w:p>
    <w:p w:rsidR="00D60C7C" w:rsidRPr="00860724" w:rsidRDefault="00D60C7C" w:rsidP="00CB1A07">
      <w:pPr>
        <w:spacing w:before="120" w:line="276" w:lineRule="auto"/>
        <w:jc w:val="both"/>
        <w:rPr>
          <w:lang w:val="ro-RO"/>
        </w:rPr>
      </w:pPr>
      <w:r w:rsidRPr="00860724">
        <w:rPr>
          <w:lang w:val="ro-RO"/>
        </w:rPr>
        <w:tab/>
        <w:t>Comparativ, evoluţia acestor indicatori în ultimii 5 ani se prezintă astfel:</w:t>
      </w:r>
    </w:p>
    <w:p w:rsidR="00D60C7C" w:rsidRPr="00860724" w:rsidRDefault="00D60C7C" w:rsidP="00D60C7C">
      <w:pPr>
        <w:spacing w:before="120" w:line="360" w:lineRule="auto"/>
        <w:jc w:val="center"/>
        <w:rPr>
          <w:lang w:val="ro-RO"/>
        </w:rPr>
      </w:pPr>
      <w:r w:rsidRPr="00860724">
        <w:rPr>
          <w:noProof/>
          <w:lang w:val="ro-RO" w:eastAsia="ro-RO"/>
        </w:rPr>
        <w:drawing>
          <wp:inline distT="0" distB="0" distL="0" distR="0" wp14:anchorId="6400805F" wp14:editId="0249ACFC">
            <wp:extent cx="5547360" cy="2788920"/>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47360" cy="278892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spacing w:before="120" w:line="360" w:lineRule="auto"/>
        <w:jc w:val="both"/>
        <w:rPr>
          <w:lang w:val="ro-RO"/>
        </w:rPr>
      </w:pPr>
    </w:p>
    <w:p w:rsidR="00D60C7C" w:rsidRPr="00860724" w:rsidRDefault="00D60C7C" w:rsidP="00DD2935">
      <w:pPr>
        <w:widowControl w:val="0"/>
        <w:autoSpaceDE w:val="0"/>
        <w:autoSpaceDN w:val="0"/>
        <w:adjustRightInd w:val="0"/>
        <w:spacing w:line="276" w:lineRule="auto"/>
        <w:ind w:firstLine="684"/>
        <w:jc w:val="both"/>
        <w:rPr>
          <w:lang w:val="ro-RO"/>
        </w:rPr>
      </w:pPr>
      <w:r w:rsidRPr="00860724">
        <w:rPr>
          <w:lang w:val="ro-RO"/>
        </w:rPr>
        <w:t>În funcţie de volumul de dosare penale, aceste unităţi de parchet se pot grupa în anul 2017 astfel:</w:t>
      </w:r>
    </w:p>
    <w:p w:rsidR="00D60C7C" w:rsidRPr="00860724" w:rsidRDefault="00D60C7C" w:rsidP="00DD2935">
      <w:pPr>
        <w:widowControl w:val="0"/>
        <w:autoSpaceDE w:val="0"/>
        <w:autoSpaceDN w:val="0"/>
        <w:adjustRightInd w:val="0"/>
        <w:spacing w:line="276" w:lineRule="auto"/>
        <w:jc w:val="both"/>
        <w:rPr>
          <w:lang w:val="ro-RO"/>
        </w:rPr>
      </w:pPr>
      <w:r w:rsidRPr="00860724">
        <w:rPr>
          <w:lang w:val="ro-RO"/>
        </w:rPr>
        <w:t>- unităţi cu un volum situat sub 1.000 de dosare: 6 parchete( 10 în anul precedent );</w:t>
      </w:r>
    </w:p>
    <w:p w:rsidR="00D60C7C" w:rsidRPr="00860724" w:rsidRDefault="00D60C7C" w:rsidP="00DD2935">
      <w:pPr>
        <w:widowControl w:val="0"/>
        <w:autoSpaceDE w:val="0"/>
        <w:autoSpaceDN w:val="0"/>
        <w:adjustRightInd w:val="0"/>
        <w:spacing w:line="276" w:lineRule="auto"/>
        <w:jc w:val="both"/>
        <w:rPr>
          <w:lang w:val="ro-RO"/>
        </w:rPr>
      </w:pPr>
      <w:r w:rsidRPr="00860724">
        <w:rPr>
          <w:lang w:val="ro-RO"/>
        </w:rPr>
        <w:t>- unităţi cu un volum cuprins între 1.000 – 3.000 de dosare: 33 de unități de parchet, faţă de 28 în 2016;</w:t>
      </w:r>
    </w:p>
    <w:p w:rsidR="00D60C7C" w:rsidRPr="00860724" w:rsidRDefault="00D60C7C" w:rsidP="00DD2935">
      <w:pPr>
        <w:widowControl w:val="0"/>
        <w:autoSpaceDE w:val="0"/>
        <w:autoSpaceDN w:val="0"/>
        <w:adjustRightInd w:val="0"/>
        <w:spacing w:line="276" w:lineRule="auto"/>
        <w:jc w:val="both"/>
        <w:rPr>
          <w:lang w:val="ro-RO"/>
        </w:rPr>
      </w:pPr>
      <w:r w:rsidRPr="00860724">
        <w:rPr>
          <w:lang w:val="ro-RO"/>
        </w:rPr>
        <w:t>- unităţi cu un volum de peste 3.000 de dosare: 4 parchete ( 5 în 2016 )</w:t>
      </w:r>
    </w:p>
    <w:p w:rsidR="00D60C7C" w:rsidRPr="00860724" w:rsidRDefault="00D60C7C" w:rsidP="00DD2935">
      <w:pPr>
        <w:spacing w:before="120" w:line="276" w:lineRule="auto"/>
        <w:ind w:firstLine="708"/>
        <w:jc w:val="both"/>
        <w:rPr>
          <w:b/>
          <w:lang w:val="ro-RO"/>
        </w:rPr>
      </w:pPr>
    </w:p>
    <w:p w:rsidR="00D60C7C" w:rsidRPr="00860724" w:rsidRDefault="00D60C7C" w:rsidP="00DD2935">
      <w:pPr>
        <w:spacing w:before="120" w:line="276" w:lineRule="auto"/>
        <w:ind w:firstLine="708"/>
        <w:jc w:val="both"/>
        <w:rPr>
          <w:b/>
          <w:lang w:val="ro-RO"/>
        </w:rPr>
      </w:pPr>
      <w:r w:rsidRPr="00860724">
        <w:rPr>
          <w:b/>
          <w:lang w:val="ro-RO"/>
        </w:rPr>
        <w:t>Volumul de activitate al parchetelor de pe lângă tribunale – situaţie comparativă privind dosarele penale:</w:t>
      </w:r>
    </w:p>
    <w:p w:rsidR="00D60C7C" w:rsidRPr="00860724" w:rsidRDefault="00D60C7C" w:rsidP="00D60C7C">
      <w:pPr>
        <w:spacing w:before="120" w:line="360" w:lineRule="auto"/>
        <w:jc w:val="center"/>
        <w:rPr>
          <w:b/>
          <w:color w:val="0000FF"/>
          <w:lang w:val="ro-RO"/>
        </w:rPr>
      </w:pPr>
      <w:r w:rsidRPr="00860724">
        <w:rPr>
          <w:b/>
          <w:noProof/>
          <w:color w:val="0000FF"/>
          <w:lang w:val="ro-RO" w:eastAsia="ro-RO"/>
        </w:rPr>
        <w:drawing>
          <wp:inline distT="0" distB="0" distL="0" distR="0" wp14:anchorId="5F7DE54F" wp14:editId="7BD2F684">
            <wp:extent cx="5882640" cy="2766060"/>
            <wp:effectExtent l="0" t="0" r="0" b="0"/>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D60C7C" w:rsidRPr="00860724" w:rsidRDefault="00D60C7C" w:rsidP="00D60C7C">
      <w:pPr>
        <w:spacing w:before="120" w:line="360" w:lineRule="auto"/>
        <w:ind w:firstLine="720"/>
        <w:jc w:val="both"/>
        <w:rPr>
          <w:lang w:val="ro-RO"/>
        </w:rPr>
      </w:pPr>
      <w:r w:rsidRPr="00860724">
        <w:rPr>
          <w:lang w:val="ro-RO"/>
        </w:rPr>
        <w:t>Cu un volum ridicat de activitate se remarcă, aşa cum s-a întâmplat mereu în ultimii ani, Parchetul de pe lângă Tribunalul Bucureşti, care a înregistrat în perioada de referinţă un volum de lucrări de 33974, dintre care 13028 de dosare penale, în scădere faţă de anul anterior la capitolul lucrări, cu 4763 de unităţi şi în creștere cu 101 unităţi în ceea ce priveşte numărul de dosare. În ordine descrescătoare a volumului de activitate, prin prisma numărului cauzelor penale, Parchetul de pe lângă Tribunalul Bucureşti a fost urmat de Parchetul de pe lângă Tribunalul Constanţa cu 4369 de dosare (în scădere la acest indicator cu 596 de cauze, dar păstrând neschimbată ierarhia de anul trecut) şi de Parchetul de pe lângă Tribunalul Vrancea cu 3877 de dosare de soluţionat, locul 3 în această ierarhie și în 2016.</w:t>
      </w:r>
    </w:p>
    <w:p w:rsidR="00D60C7C" w:rsidRPr="00860724" w:rsidRDefault="00D60C7C" w:rsidP="00D60C7C">
      <w:pPr>
        <w:spacing w:before="120" w:line="360" w:lineRule="auto"/>
        <w:ind w:firstLine="720"/>
        <w:jc w:val="both"/>
        <w:rPr>
          <w:lang w:val="ro-RO"/>
        </w:rPr>
      </w:pPr>
      <w:r w:rsidRPr="00860724">
        <w:rPr>
          <w:lang w:val="ro-RO"/>
        </w:rPr>
        <w:t>Din totalul de 342978 de lucrări de soluţionat (dintre care 81888 de dosare penale) înregistrate la aceste unităţi de parchet, au fost soluţionate un număr de 283372 de lucrări (din care 35774 dosare penale). Procentul de soluţionare a lucrărilor a fost determinat la 82,62%, iar cel al dosarelor la 43,68 %.</w:t>
      </w:r>
    </w:p>
    <w:p w:rsidR="00D60C7C" w:rsidRPr="00860724" w:rsidRDefault="00D60C7C" w:rsidP="00DD2935">
      <w:pPr>
        <w:spacing w:line="276" w:lineRule="auto"/>
        <w:jc w:val="both"/>
        <w:rPr>
          <w:lang w:val="ro-RO"/>
        </w:rPr>
      </w:pPr>
      <w:r w:rsidRPr="00860724">
        <w:rPr>
          <w:lang w:val="ro-RO"/>
        </w:rPr>
        <w:t xml:space="preserve"> </w:t>
      </w:r>
      <w:r w:rsidR="00DD2935">
        <w:rPr>
          <w:lang w:val="ro-RO"/>
        </w:rPr>
        <w:tab/>
      </w:r>
      <w:r w:rsidRPr="00860724">
        <w:rPr>
          <w:lang w:val="ro-RO"/>
        </w:rPr>
        <w:t>Sub aspectul numărului de dosare soluţionate, dinamica ultimilor 5 ani se prezintă astfel:</w:t>
      </w:r>
    </w:p>
    <w:p w:rsidR="00D60C7C" w:rsidRPr="00860724" w:rsidRDefault="00D60C7C" w:rsidP="00D60C7C">
      <w:pPr>
        <w:spacing w:line="360" w:lineRule="auto"/>
        <w:jc w:val="center"/>
        <w:rPr>
          <w:lang w:val="ro-RO"/>
        </w:rPr>
      </w:pPr>
      <w:r w:rsidRPr="00860724">
        <w:rPr>
          <w:noProof/>
          <w:lang w:val="ro-RO" w:eastAsia="ro-RO"/>
        </w:rPr>
        <w:drawing>
          <wp:inline distT="0" distB="0" distL="0" distR="0" wp14:anchorId="67482F98" wp14:editId="5756CDFB">
            <wp:extent cx="6210300" cy="3169920"/>
            <wp:effectExtent l="19050" t="19050" r="1905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10300" cy="316992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spacing w:before="120" w:line="360" w:lineRule="auto"/>
        <w:ind w:firstLine="720"/>
        <w:jc w:val="both"/>
        <w:rPr>
          <w:b/>
          <w:lang w:val="ro-RO"/>
        </w:rPr>
      </w:pPr>
    </w:p>
    <w:p w:rsidR="00D60C7C" w:rsidRPr="00860724" w:rsidRDefault="00D60C7C" w:rsidP="00DD2935">
      <w:pPr>
        <w:spacing w:before="120" w:line="276" w:lineRule="auto"/>
        <w:ind w:firstLine="720"/>
        <w:jc w:val="both"/>
        <w:rPr>
          <w:b/>
          <w:lang w:val="ro-RO"/>
        </w:rPr>
      </w:pPr>
      <w:r w:rsidRPr="00860724">
        <w:rPr>
          <w:b/>
          <w:lang w:val="ro-RO"/>
        </w:rPr>
        <w:t>Activitatea la nivelul Parchetului de pe lângă Tribunalul pentru cauze cu minori şi de familie Braşov</w:t>
      </w:r>
    </w:p>
    <w:p w:rsidR="00D60C7C" w:rsidRPr="00860724" w:rsidRDefault="00D60C7C" w:rsidP="00DD2935">
      <w:pPr>
        <w:spacing w:before="120" w:line="276" w:lineRule="auto"/>
        <w:ind w:firstLine="720"/>
        <w:jc w:val="both"/>
        <w:rPr>
          <w:kern w:val="28"/>
          <w:lang w:val="ro-RO"/>
        </w:rPr>
      </w:pPr>
      <w:r w:rsidRPr="00860724">
        <w:rPr>
          <w:kern w:val="28"/>
          <w:lang w:val="ro-RO"/>
        </w:rPr>
        <w:t>La nivelul unicului parchet specializat existent în prezent în această materie la nivel naţional, în 2017 s-au înregistrat 2297 de lucrări de soluţionat, din care 165 de dosare. În anul 2017 au fost soluţionate 2224 de lucrări, din care 116 dosare penale. Cât priveşte numărul de procurori activi care operează la nivelul Parchetului de pe lângă Tribunalul Specializat pentru Minori şi Familie Braşov, acesta a rămas identic cu cel de anul trecut, schema de 2 procurori fiind ocupată integral.</w:t>
      </w:r>
    </w:p>
    <w:p w:rsidR="00D60C7C" w:rsidRPr="00860724" w:rsidRDefault="00D60C7C" w:rsidP="00DD2935">
      <w:pPr>
        <w:tabs>
          <w:tab w:val="left" w:pos="225"/>
        </w:tabs>
        <w:spacing w:line="276" w:lineRule="auto"/>
        <w:jc w:val="both"/>
        <w:rPr>
          <w:lang w:val="ro-RO"/>
        </w:rPr>
      </w:pPr>
    </w:p>
    <w:p w:rsidR="00D60C7C" w:rsidRPr="00860724" w:rsidRDefault="00D60C7C" w:rsidP="00DD2935">
      <w:pPr>
        <w:pStyle w:val="Titlu3"/>
      </w:pPr>
      <w:bookmarkStart w:id="54" w:name="_Toc506288018"/>
      <w:r w:rsidRPr="00860724">
        <w:t>II.1.4. Activitatea la nivelul parchetelor de pe lângă judecătorii</w:t>
      </w:r>
      <w:bookmarkEnd w:id="54"/>
    </w:p>
    <w:p w:rsidR="00D60C7C" w:rsidRPr="00860724" w:rsidRDefault="00D60C7C" w:rsidP="00DD2935">
      <w:pPr>
        <w:tabs>
          <w:tab w:val="left" w:pos="720"/>
        </w:tabs>
        <w:spacing w:before="120" w:line="276" w:lineRule="auto"/>
        <w:ind w:firstLine="708"/>
        <w:jc w:val="both"/>
        <w:rPr>
          <w:lang w:val="ro-RO"/>
        </w:rPr>
      </w:pPr>
      <w:r w:rsidRPr="00860724">
        <w:rPr>
          <w:lang w:val="ro-RO"/>
        </w:rPr>
        <w:t>În perioada de referinţă, la nivelul întregii ţări au funcţionat un număr de 176 parchete pe lângă judecătorii, care au înregistrat un volum de activitate de 2631907 lucrări de soluţionat, din care 1613212 de dosare, repartizate unui număr de 1033 de procurori activi într-o schemă de 1345 de posturi.</w:t>
      </w:r>
    </w:p>
    <w:p w:rsidR="00D60C7C" w:rsidRPr="00860724" w:rsidRDefault="00D60C7C" w:rsidP="00DD2935">
      <w:pPr>
        <w:spacing w:before="120" w:line="276" w:lineRule="auto"/>
        <w:ind w:firstLine="708"/>
        <w:jc w:val="both"/>
        <w:rPr>
          <w:lang w:val="ro-RO"/>
        </w:rPr>
      </w:pPr>
      <w:r w:rsidRPr="00860724">
        <w:rPr>
          <w:lang w:val="ro-RO"/>
        </w:rPr>
        <w:t>Volumul de activitate al acestor unităţi a crescut în anul 2017 faţă de anul precedent în ceea ce priveşte numărul de lucrări (cu 51737 de lucrări, crestere de 2%) dar a scăzut cu 25120 de unităţi la dosarele penale (scădere de 1,53%).</w:t>
      </w:r>
    </w:p>
    <w:p w:rsidR="00D60C7C" w:rsidRPr="00860724" w:rsidRDefault="00D60C7C" w:rsidP="00DD2935">
      <w:pPr>
        <w:spacing w:before="120" w:line="276" w:lineRule="auto"/>
        <w:jc w:val="both"/>
        <w:rPr>
          <w:bCs/>
          <w:lang w:val="ro-RO"/>
        </w:rPr>
      </w:pPr>
      <w:r w:rsidRPr="00860724">
        <w:rPr>
          <w:b/>
          <w:lang w:val="ro-RO"/>
        </w:rPr>
        <w:tab/>
      </w:r>
      <w:r w:rsidRPr="00860724">
        <w:rPr>
          <w:bCs/>
          <w:lang w:val="ro-RO"/>
        </w:rPr>
        <w:t>Din punct de vedere grafic, situaţia din ultimii 5 ani se prezintă astfel:</w:t>
      </w:r>
    </w:p>
    <w:p w:rsidR="00D60C7C" w:rsidRPr="00860724" w:rsidRDefault="00D60C7C" w:rsidP="00D60C7C">
      <w:pPr>
        <w:spacing w:before="120" w:line="360" w:lineRule="auto"/>
        <w:jc w:val="center"/>
        <w:rPr>
          <w:bCs/>
          <w:lang w:val="ro-RO"/>
        </w:rPr>
      </w:pPr>
      <w:r w:rsidRPr="00860724">
        <w:rPr>
          <w:bCs/>
          <w:noProof/>
          <w:lang w:val="ro-RO" w:eastAsia="ro-RO"/>
        </w:rPr>
        <w:drawing>
          <wp:inline distT="0" distB="0" distL="0" distR="0" wp14:anchorId="38290860" wp14:editId="19331DD3">
            <wp:extent cx="5806440" cy="2590800"/>
            <wp:effectExtent l="19050" t="19050" r="2286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06440" cy="259080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D2935">
      <w:pPr>
        <w:spacing w:before="120" w:line="276" w:lineRule="auto"/>
        <w:ind w:firstLine="684"/>
        <w:jc w:val="both"/>
        <w:rPr>
          <w:lang w:val="ro-RO"/>
        </w:rPr>
      </w:pPr>
      <w:r w:rsidRPr="00860724">
        <w:rPr>
          <w:b/>
          <w:lang w:val="ro-RO"/>
        </w:rPr>
        <w:t xml:space="preserve"> </w:t>
      </w:r>
      <w:r w:rsidRPr="00860724">
        <w:rPr>
          <w:lang w:val="ro-RO"/>
        </w:rPr>
        <w:t>În funcţie de volumul de activitate, parchetele de pe lângă judecătorii se pot clasifica astfel:</w:t>
      </w:r>
    </w:p>
    <w:p w:rsidR="00D60C7C" w:rsidRPr="00860724" w:rsidRDefault="00D60C7C" w:rsidP="00DD2935">
      <w:pPr>
        <w:spacing w:before="120" w:line="276" w:lineRule="auto"/>
        <w:ind w:firstLine="684"/>
        <w:jc w:val="both"/>
        <w:rPr>
          <w:lang w:val="ro-RO"/>
        </w:rPr>
      </w:pPr>
      <w:r w:rsidRPr="00860724">
        <w:rPr>
          <w:lang w:val="ro-RO"/>
        </w:rPr>
        <w:t xml:space="preserve">- unităţi cu volum mai mic de 3.000 dosare:  </w:t>
      </w:r>
      <w:r w:rsidRPr="00860724">
        <w:rPr>
          <w:b/>
          <w:lang w:val="ro-RO"/>
        </w:rPr>
        <w:t xml:space="preserve">64 </w:t>
      </w:r>
      <w:r w:rsidRPr="00860724">
        <w:rPr>
          <w:lang w:val="ro-RO"/>
        </w:rPr>
        <w:t>( 65 în anul 2016);</w:t>
      </w:r>
    </w:p>
    <w:p w:rsidR="00D60C7C" w:rsidRPr="00860724" w:rsidRDefault="00D60C7C" w:rsidP="00DD2935">
      <w:pPr>
        <w:spacing w:before="120" w:line="276" w:lineRule="auto"/>
        <w:ind w:firstLine="684"/>
        <w:jc w:val="both"/>
        <w:rPr>
          <w:b/>
          <w:lang w:val="ro-RO"/>
        </w:rPr>
      </w:pPr>
      <w:r w:rsidRPr="00860724">
        <w:rPr>
          <w:lang w:val="ro-RO"/>
        </w:rPr>
        <w:t xml:space="preserve">- unităţi cu volum cuprins între 3.000 – 5.000 dosare: </w:t>
      </w:r>
      <w:r w:rsidRPr="00860724">
        <w:rPr>
          <w:b/>
          <w:lang w:val="ro-RO"/>
        </w:rPr>
        <w:t xml:space="preserve">37 </w:t>
      </w:r>
      <w:r w:rsidRPr="00860724">
        <w:rPr>
          <w:lang w:val="ro-RO"/>
        </w:rPr>
        <w:t>(36</w:t>
      </w:r>
      <w:r w:rsidRPr="00860724">
        <w:rPr>
          <w:b/>
          <w:lang w:val="ro-RO"/>
        </w:rPr>
        <w:t xml:space="preserve"> </w:t>
      </w:r>
      <w:r w:rsidRPr="00860724">
        <w:rPr>
          <w:lang w:val="ro-RO"/>
        </w:rPr>
        <w:t>în 2016);</w:t>
      </w:r>
      <w:r w:rsidRPr="00860724">
        <w:rPr>
          <w:b/>
          <w:lang w:val="ro-RO"/>
        </w:rPr>
        <w:tab/>
      </w:r>
    </w:p>
    <w:p w:rsidR="00D60C7C" w:rsidRPr="00860724" w:rsidRDefault="00D60C7C" w:rsidP="00DD2935">
      <w:pPr>
        <w:spacing w:before="120" w:line="276" w:lineRule="auto"/>
        <w:ind w:firstLine="708"/>
        <w:jc w:val="both"/>
        <w:rPr>
          <w:lang w:val="ro-RO"/>
        </w:rPr>
      </w:pPr>
      <w:r w:rsidRPr="00860724">
        <w:rPr>
          <w:lang w:val="ro-RO"/>
        </w:rPr>
        <w:t xml:space="preserve">- unităţi cu volum cuprins între 5.000 – 10.000 dosare: </w:t>
      </w:r>
      <w:r w:rsidRPr="00860724">
        <w:rPr>
          <w:b/>
          <w:lang w:val="ro-RO"/>
        </w:rPr>
        <w:t xml:space="preserve">30 </w:t>
      </w:r>
      <w:r w:rsidRPr="00860724">
        <w:rPr>
          <w:lang w:val="ro-RO"/>
        </w:rPr>
        <w:t>(29 în anul trecut);</w:t>
      </w:r>
    </w:p>
    <w:p w:rsidR="00D60C7C" w:rsidRPr="00860724" w:rsidRDefault="00D60C7C" w:rsidP="00DD2935">
      <w:pPr>
        <w:spacing w:before="120" w:line="276" w:lineRule="auto"/>
        <w:ind w:firstLine="708"/>
        <w:jc w:val="both"/>
        <w:rPr>
          <w:lang w:val="ro-RO"/>
        </w:rPr>
      </w:pPr>
      <w:r w:rsidRPr="00860724">
        <w:rPr>
          <w:lang w:val="ro-RO"/>
        </w:rPr>
        <w:t xml:space="preserve">- unităţi cu volum cuprins între 10.000 – 15.000 dosare: </w:t>
      </w:r>
      <w:r w:rsidRPr="00860724">
        <w:rPr>
          <w:b/>
          <w:lang w:val="ro-RO"/>
        </w:rPr>
        <w:t xml:space="preserve">18 </w:t>
      </w:r>
      <w:r w:rsidRPr="00860724">
        <w:rPr>
          <w:lang w:val="ro-RO"/>
        </w:rPr>
        <w:t>(19 în 2016);</w:t>
      </w:r>
    </w:p>
    <w:p w:rsidR="00D60C7C" w:rsidRPr="00860724" w:rsidRDefault="00D60C7C" w:rsidP="00DD2935">
      <w:pPr>
        <w:spacing w:before="120" w:line="276" w:lineRule="auto"/>
        <w:ind w:firstLine="708"/>
        <w:jc w:val="both"/>
        <w:rPr>
          <w:lang w:val="ro-RO"/>
        </w:rPr>
      </w:pPr>
      <w:r w:rsidRPr="00860724">
        <w:rPr>
          <w:lang w:val="ro-RO"/>
        </w:rPr>
        <w:t xml:space="preserve">- unităţi cu volum cuprins între 15.000 – 20.000 dosare: </w:t>
      </w:r>
      <w:r w:rsidRPr="00860724">
        <w:rPr>
          <w:b/>
          <w:lang w:val="ro-RO"/>
        </w:rPr>
        <w:t>8</w:t>
      </w:r>
      <w:r w:rsidRPr="00860724">
        <w:rPr>
          <w:lang w:val="ro-RO"/>
        </w:rPr>
        <w:t xml:space="preserve"> (7 în 2016)</w:t>
      </w:r>
      <w:r w:rsidRPr="00860724">
        <w:rPr>
          <w:b/>
          <w:lang w:val="ro-RO"/>
        </w:rPr>
        <w:t>;</w:t>
      </w:r>
    </w:p>
    <w:p w:rsidR="00D60C7C" w:rsidRPr="00860724" w:rsidRDefault="00D60C7C" w:rsidP="00DD2935">
      <w:pPr>
        <w:spacing w:before="120" w:line="276" w:lineRule="auto"/>
        <w:ind w:firstLine="708"/>
        <w:jc w:val="both"/>
        <w:rPr>
          <w:lang w:val="ro-RO"/>
        </w:rPr>
      </w:pPr>
      <w:r w:rsidRPr="00860724">
        <w:rPr>
          <w:lang w:val="ro-RO"/>
        </w:rPr>
        <w:t xml:space="preserve">- unităţi cu volum cuprins între 20.000 – 30.000 dosare: </w:t>
      </w:r>
      <w:r w:rsidRPr="00860724">
        <w:rPr>
          <w:b/>
          <w:lang w:val="ro-RO"/>
        </w:rPr>
        <w:t xml:space="preserve">7 </w:t>
      </w:r>
      <w:r w:rsidRPr="00860724">
        <w:rPr>
          <w:lang w:val="ro-RO"/>
        </w:rPr>
        <w:t>(la fel şi anul trecut);</w:t>
      </w:r>
    </w:p>
    <w:p w:rsidR="00D60C7C" w:rsidRPr="00860724" w:rsidRDefault="00D60C7C" w:rsidP="00DD2935">
      <w:pPr>
        <w:spacing w:before="120" w:line="276" w:lineRule="auto"/>
        <w:ind w:firstLine="708"/>
        <w:jc w:val="both"/>
        <w:rPr>
          <w:lang w:val="ro-RO"/>
        </w:rPr>
      </w:pPr>
      <w:r w:rsidRPr="00860724">
        <w:rPr>
          <w:lang w:val="ro-RO"/>
        </w:rPr>
        <w:t xml:space="preserve">- unităţi cu un volum de peste 30.000 dosare: </w:t>
      </w:r>
      <w:r w:rsidRPr="00860724">
        <w:rPr>
          <w:b/>
          <w:lang w:val="ro-RO"/>
        </w:rPr>
        <w:t xml:space="preserve">12 </w:t>
      </w:r>
      <w:r w:rsidRPr="00860724">
        <w:rPr>
          <w:lang w:val="ro-RO"/>
        </w:rPr>
        <w:t>(13 în anul 2016).</w:t>
      </w:r>
    </w:p>
    <w:p w:rsidR="00D60C7C" w:rsidRPr="00860724" w:rsidRDefault="00D60C7C" w:rsidP="00DD2935">
      <w:pPr>
        <w:spacing w:before="120" w:line="276" w:lineRule="auto"/>
        <w:ind w:firstLine="708"/>
        <w:jc w:val="both"/>
        <w:rPr>
          <w:b/>
          <w:lang w:val="ro-RO"/>
        </w:rPr>
      </w:pPr>
      <w:r w:rsidRPr="00860724">
        <w:rPr>
          <w:b/>
          <w:lang w:val="ro-RO"/>
        </w:rPr>
        <w:t>Clasificarea parchetelor de pe lângă judecătorii  după volumul de activitate al acestora în materia dosarelor penale se prezintă grafic astfel:</w:t>
      </w:r>
    </w:p>
    <w:p w:rsidR="00D60C7C" w:rsidRPr="00860724" w:rsidRDefault="00D60C7C" w:rsidP="00D60C7C">
      <w:pPr>
        <w:tabs>
          <w:tab w:val="left" w:pos="1335"/>
        </w:tabs>
        <w:rPr>
          <w:b/>
          <w:color w:val="0000FF"/>
          <w:lang w:val="ro-RO"/>
        </w:rPr>
      </w:pPr>
      <w:r w:rsidRPr="00860724">
        <w:rPr>
          <w:noProof/>
          <w:color w:val="0000FF"/>
          <w:sz w:val="32"/>
          <w:szCs w:val="32"/>
          <w:lang w:val="ro-RO" w:eastAsia="ro-RO"/>
        </w:rPr>
        <w:drawing>
          <wp:anchor distT="0" distB="0" distL="114300" distR="114300" simplePos="0" relativeHeight="251661312" behindDoc="0" locked="0" layoutInCell="1" allowOverlap="1" wp14:anchorId="590BDE0D" wp14:editId="37526D9E">
            <wp:simplePos x="0" y="0"/>
            <wp:positionH relativeFrom="column">
              <wp:posOffset>434340</wp:posOffset>
            </wp:positionH>
            <wp:positionV relativeFrom="paragraph">
              <wp:posOffset>48260</wp:posOffset>
            </wp:positionV>
            <wp:extent cx="5429250" cy="3436620"/>
            <wp:effectExtent l="5715" t="10160" r="13335" b="10795"/>
            <wp:wrapSquare wrapText="left"/>
            <wp:docPr id="21" name="Char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r w:rsidRPr="00860724">
        <w:rPr>
          <w:b/>
          <w:color w:val="0000FF"/>
          <w:lang w:val="ro-RO"/>
        </w:rPr>
        <w:br w:type="textWrapping" w:clear="all"/>
      </w:r>
    </w:p>
    <w:p w:rsidR="00D60C7C" w:rsidRPr="00860724" w:rsidRDefault="00D60C7C" w:rsidP="00DD2935">
      <w:pPr>
        <w:spacing w:line="276" w:lineRule="auto"/>
        <w:ind w:firstLine="708"/>
        <w:jc w:val="both"/>
        <w:rPr>
          <w:lang w:val="ro-RO"/>
        </w:rPr>
      </w:pPr>
      <w:r w:rsidRPr="00860724">
        <w:rPr>
          <w:lang w:val="ro-RO"/>
        </w:rPr>
        <w:t xml:space="preserve">Se constată astfel că, sub aspectul criteriului volumului de activitate, fluctuaţiile în cadrul aceleiași categorii au fost nesemnificative în perioada 2015-2017. </w:t>
      </w:r>
    </w:p>
    <w:p w:rsidR="00D60C7C" w:rsidRPr="00860724" w:rsidRDefault="00D60C7C" w:rsidP="00DD2935">
      <w:pPr>
        <w:spacing w:before="120" w:line="276" w:lineRule="auto"/>
        <w:ind w:firstLine="720"/>
        <w:jc w:val="both"/>
        <w:rPr>
          <w:lang w:val="ro-RO"/>
        </w:rPr>
      </w:pPr>
      <w:r w:rsidRPr="00860724">
        <w:rPr>
          <w:lang w:val="ro-RO"/>
        </w:rPr>
        <w:t xml:space="preserve"> De asemenea, este de reţinut şi faptul că din cele 12 parchete care au avut un volum de activitate mai mare de 30.000 de dosare penale, 10 unităţi de parchet au depăşit, la fel ca în ultimii 2 ani, numărul de 40.000 de cauze, iar 7 parchete dintre acestea (ca și anul trecut)  au avut chiar un volum de activitate mai mare de 50.000 de dosare ( între acestea trebuie menţionate în mod special 3 parchete, </w:t>
      </w:r>
      <w:r w:rsidRPr="00860724">
        <w:rPr>
          <w:b/>
          <w:bCs/>
          <w:lang w:val="ro-RO"/>
        </w:rPr>
        <w:t>Parchetul de pe lângă Judecătoria Sectorului 3 Bucureşti, Parchetul de pe lângă Judecătoria Constanţa și Parchetul de pe lângă Judecătoria Sectorului 2 Bucureşti</w:t>
      </w:r>
      <w:r w:rsidRPr="00860724">
        <w:rPr>
          <w:lang w:val="ro-RO"/>
        </w:rPr>
        <w:t xml:space="preserve"> </w:t>
      </w:r>
      <w:r w:rsidRPr="00860724">
        <w:rPr>
          <w:bCs/>
          <w:lang w:val="ro-RO"/>
        </w:rPr>
        <w:t>cu peste 60000 de cauze de solutionat).</w:t>
      </w:r>
      <w:r w:rsidRPr="00860724">
        <w:rPr>
          <w:lang w:val="ro-RO"/>
        </w:rPr>
        <w:t xml:space="preserve"> Urmează în ordinea numărului de dosare de solutionat, mai mare oricum de 50000 de cauze, </w:t>
      </w:r>
      <w:r w:rsidRPr="00860724">
        <w:rPr>
          <w:b/>
          <w:bCs/>
          <w:lang w:val="ro-RO"/>
        </w:rPr>
        <w:t xml:space="preserve">Parchetul de pe lângă Judecătoria Sectorului 1 Bucureşti, Parchetul de pe lângă Judecătoria Iaşi, Parchetul de pe lângă Judecătoria Sectorului 6 Bucureşti şi Parchetul de pe lângă Judecătoria Sectorului 4 Bucureşti. </w:t>
      </w:r>
      <w:r w:rsidRPr="00860724">
        <w:rPr>
          <w:lang w:val="ro-RO"/>
        </w:rPr>
        <w:t>Din totalul de 2631907 de lucrări de soluţionat înregistrate la aceste unităţi de parchet, au fost soluţionate un număr de 1460221 de lucrări, reprezentând aproximativ 55,48%, un procentaj de soluţionare similar celor din anii 2015 și 2016.</w:t>
      </w:r>
    </w:p>
    <w:p w:rsidR="00D60C7C" w:rsidRPr="00860724" w:rsidRDefault="00D60C7C" w:rsidP="00DD2935">
      <w:pPr>
        <w:spacing w:before="120" w:line="276" w:lineRule="auto"/>
        <w:ind w:firstLine="720"/>
        <w:jc w:val="both"/>
        <w:rPr>
          <w:lang w:val="ro-RO"/>
        </w:rPr>
      </w:pPr>
      <w:r w:rsidRPr="00860724">
        <w:rPr>
          <w:lang w:val="ro-RO"/>
        </w:rPr>
        <w:t>De asemenea, din cele 1613212 dosare penale de soluţionat în anul 2017, au fost soluţionate 472954 de cauze, reprezentând un procentaj de 29%, în scădere cu 2% faţă de cel din anul anterior și cu 5% față de anul 2015.</w:t>
      </w:r>
    </w:p>
    <w:p w:rsidR="00D60C7C" w:rsidRPr="00860724" w:rsidRDefault="00D60C7C" w:rsidP="00DD2935">
      <w:pPr>
        <w:spacing w:line="276" w:lineRule="auto"/>
        <w:ind w:firstLine="684"/>
        <w:jc w:val="both"/>
        <w:rPr>
          <w:lang w:val="ro-RO"/>
        </w:rPr>
      </w:pPr>
      <w:r w:rsidRPr="00860724">
        <w:rPr>
          <w:lang w:val="ro-RO"/>
        </w:rPr>
        <w:t xml:space="preserve"> Sub aspectul numărului de dosare soluţionate, dinamica ultimilor 5 ani se prezintă astfel:</w:t>
      </w:r>
    </w:p>
    <w:p w:rsidR="00D60C7C" w:rsidRPr="00860724" w:rsidRDefault="00D60C7C" w:rsidP="00D60C7C">
      <w:pPr>
        <w:spacing w:line="360" w:lineRule="auto"/>
        <w:jc w:val="center"/>
        <w:rPr>
          <w:color w:val="0000FF"/>
          <w:lang w:val="ro-RO"/>
        </w:rPr>
      </w:pPr>
      <w:r w:rsidRPr="00860724">
        <w:rPr>
          <w:noProof/>
          <w:color w:val="0000FF"/>
          <w:lang w:val="ro-RO" w:eastAsia="ro-RO"/>
        </w:rPr>
        <w:drawing>
          <wp:inline distT="0" distB="0" distL="0" distR="0" wp14:anchorId="70441884" wp14:editId="7F6D8326">
            <wp:extent cx="5867400" cy="270510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67400" cy="270510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jc w:val="both"/>
        <w:rPr>
          <w:color w:val="0000FF"/>
          <w:lang w:val="ro-RO"/>
        </w:rPr>
      </w:pPr>
    </w:p>
    <w:p w:rsidR="00D60C7C" w:rsidRPr="00860724" w:rsidRDefault="00D60C7C" w:rsidP="009A2435">
      <w:pPr>
        <w:spacing w:line="276" w:lineRule="auto"/>
        <w:ind w:firstLine="708"/>
        <w:jc w:val="both"/>
        <w:rPr>
          <w:lang w:val="ro-RO"/>
        </w:rPr>
      </w:pPr>
      <w:r w:rsidRPr="00860724">
        <w:rPr>
          <w:lang w:val="ro-RO"/>
        </w:rPr>
        <w:t xml:space="preserve">În ceea ce priveşte </w:t>
      </w:r>
      <w:r w:rsidRPr="00860724">
        <w:rPr>
          <w:b/>
          <w:bCs/>
          <w:lang w:val="ro-RO"/>
        </w:rPr>
        <w:t>Parchetele Militare</w:t>
      </w:r>
      <w:r w:rsidRPr="00860724">
        <w:rPr>
          <w:lang w:val="ro-RO"/>
        </w:rPr>
        <w:t xml:space="preserve">, numărul lucrărilor de soluţionat în anul </w:t>
      </w:r>
      <w:smartTag w:uri="urn:schemas-microsoft-com:office:smarttags" w:element="metricconverter">
        <w:smartTagPr>
          <w:attr w:name="ProductID" w:val="2017 a"/>
        </w:smartTagPr>
        <w:r w:rsidRPr="00860724">
          <w:rPr>
            <w:lang w:val="ro-RO"/>
          </w:rPr>
          <w:t>2017 a</w:t>
        </w:r>
      </w:smartTag>
      <w:r w:rsidRPr="00860724">
        <w:rPr>
          <w:lang w:val="ro-RO"/>
        </w:rPr>
        <w:t xml:space="preserve"> fost de 10744, din care au fost soluţionate 8185 (76%) prin participarea unui număr total de 59 procurori militari. De asemenea, numărul cauzelor de soluţionat a fost de 4102, fiind soluţionate 2077 de dosare (50,63%) prin participarea unui număr 59 de procurori militari care au lucrat efectiv la instrumentarea acestor cauze penale.</w:t>
      </w:r>
    </w:p>
    <w:p w:rsidR="00D60C7C" w:rsidRPr="00860724" w:rsidRDefault="00D60C7C" w:rsidP="009A2435">
      <w:pPr>
        <w:spacing w:line="276" w:lineRule="auto"/>
        <w:rPr>
          <w:lang w:val="ro-RO" w:eastAsia="x-none"/>
        </w:rPr>
      </w:pPr>
    </w:p>
    <w:p w:rsidR="00625F9B" w:rsidRPr="00860724" w:rsidRDefault="00B452B9" w:rsidP="009A2435">
      <w:pPr>
        <w:pStyle w:val="Titlu2"/>
      </w:pPr>
      <w:bookmarkStart w:id="55" w:name="_Toc504987129"/>
      <w:r w:rsidRPr="00860724">
        <w:t>I</w:t>
      </w:r>
      <w:r w:rsidR="008A336D" w:rsidRPr="00860724">
        <w:t xml:space="preserve">I.2. </w:t>
      </w:r>
      <w:r w:rsidR="006F2993" w:rsidRPr="00860724">
        <w:t>Încărcătura pe procuror şi pe scheme</w:t>
      </w:r>
      <w:bookmarkEnd w:id="55"/>
    </w:p>
    <w:p w:rsidR="00D60C7C" w:rsidRPr="00860724" w:rsidRDefault="00D60C7C" w:rsidP="009A2435">
      <w:pPr>
        <w:tabs>
          <w:tab w:val="left" w:pos="-3060"/>
        </w:tabs>
        <w:spacing w:before="120" w:line="276" w:lineRule="auto"/>
        <w:ind w:firstLine="720"/>
        <w:jc w:val="both"/>
        <w:rPr>
          <w:lang w:val="ro-RO"/>
        </w:rPr>
      </w:pPr>
      <w:r w:rsidRPr="00860724">
        <w:rPr>
          <w:lang w:val="ro-RO"/>
        </w:rPr>
        <w:t>Acest indicator statistic reflectă numărul de dosare pe care un procuror le-a avut spre soluţionare în intervalul de timp analizat şi se determină concret prin raportarea numărului total de dosare de soluţionat din perioada de referinţă la numărul total de procurori. Trebuie precizat faptul că pentru calcularea acestui indicator statistic se au în vedere posturile efectiv ocupate, aşa cum au fost acestea comunicate de către Parchetul de pe lângă Înalta Curte de Casaţie şi Justiţie.</w:t>
      </w:r>
    </w:p>
    <w:p w:rsidR="00D60C7C" w:rsidRPr="00860724" w:rsidRDefault="00D60C7C" w:rsidP="009A2435">
      <w:pPr>
        <w:pStyle w:val="Titlu3"/>
      </w:pPr>
    </w:p>
    <w:p w:rsidR="00D60C7C" w:rsidRPr="00860724" w:rsidRDefault="00D60C7C" w:rsidP="009A2435">
      <w:pPr>
        <w:pStyle w:val="Titlu3"/>
      </w:pPr>
      <w:r w:rsidRPr="00860724">
        <w:t xml:space="preserve"> </w:t>
      </w:r>
      <w:bookmarkStart w:id="56" w:name="_Toc506288020"/>
      <w:r w:rsidRPr="00860724">
        <w:t>II.2.1. Încărcătura de dosare pe procuror la nivelul Parchetului de pe lângă Înalta Curte de Casaţie şi Justiţie</w:t>
      </w:r>
      <w:bookmarkEnd w:id="56"/>
    </w:p>
    <w:p w:rsidR="00D60C7C" w:rsidRPr="00860724" w:rsidRDefault="00D60C7C" w:rsidP="009A2435">
      <w:pPr>
        <w:spacing w:before="120" w:line="276" w:lineRule="auto"/>
        <w:ind w:firstLine="855"/>
        <w:jc w:val="both"/>
        <w:rPr>
          <w:bCs/>
          <w:lang w:val="ro-RO"/>
        </w:rPr>
      </w:pPr>
    </w:p>
    <w:p w:rsidR="00D60C7C" w:rsidRPr="00860724" w:rsidRDefault="00D60C7C" w:rsidP="009A2435">
      <w:pPr>
        <w:spacing w:before="120" w:line="276" w:lineRule="auto"/>
        <w:ind w:firstLine="855"/>
        <w:jc w:val="both"/>
        <w:rPr>
          <w:bCs/>
          <w:lang w:val="ro-RO"/>
        </w:rPr>
      </w:pPr>
      <w:r w:rsidRPr="00860724">
        <w:rPr>
          <w:bCs/>
          <w:lang w:val="ro-RO"/>
        </w:rPr>
        <w:t>La nivelul Parchetului de pe lângă Înalta Curtea de Casaţie şi Justiţie, exceptând Secţia Parchetelor Militare, numărul cauzelor de soluţionat pe procuror a fost în perioada de referinţă de 8,53 dosare raportat la 126 de posturi ocupate efectiv.  În schimb, dacă se ia în calcul doar numărul procurorilor care au participat efectiv la soluţionarea dosarelor penale şi care a fost de 38, rezultă o încărcătură medie de 30,2 dosare pe procuror.</w:t>
      </w:r>
    </w:p>
    <w:p w:rsidR="00D60C7C" w:rsidRPr="00860724" w:rsidRDefault="00D60C7C" w:rsidP="009A2435">
      <w:pPr>
        <w:spacing w:before="120" w:line="276" w:lineRule="auto"/>
        <w:ind w:firstLine="855"/>
        <w:jc w:val="both"/>
        <w:rPr>
          <w:bCs/>
          <w:lang w:val="ro-RO"/>
        </w:rPr>
      </w:pPr>
      <w:r w:rsidRPr="00860724">
        <w:rPr>
          <w:bCs/>
          <w:lang w:val="ro-RO"/>
        </w:rPr>
        <w:t xml:space="preserve"> La nivelul Direcţiei Naţionale Anticorupţie, acest indicator s-a situat la 62,41 dosare pe procuror, iar la nivelul Direcţiei de Investigare a Infracţiunilor de Criminalitate Organizată şi Terorism la 93,24 dosare pe procuror, cifre raportate la numărul posturilor de procuror ocupate efectiv în aceste instituţii. În mod similar, dacă se ţine cont doar de numărul procurorilor care au lucrat efectiv la soluţionarea dosarelor penale, va rezulta o încărcătură mai mare, 89,16 dosare pe procuror la D.N.A (raportată la cei 126</w:t>
      </w:r>
      <w:r w:rsidRPr="00860724">
        <w:rPr>
          <w:bCs/>
          <w:color w:val="FF0000"/>
          <w:lang w:val="ro-RO"/>
        </w:rPr>
        <w:t xml:space="preserve"> </w:t>
      </w:r>
      <w:r w:rsidRPr="00860724">
        <w:rPr>
          <w:bCs/>
          <w:lang w:val="ro-RO"/>
        </w:rPr>
        <w:t>de procurori care au instrumentat dosarele penale) şi de 108,37 cauze pe procuror la D.I.I.C.O.T. (raportată pe acelaşi criteriu la 220</w:t>
      </w:r>
      <w:r w:rsidRPr="00860724">
        <w:rPr>
          <w:bCs/>
          <w:color w:val="FF0000"/>
          <w:lang w:val="ro-RO"/>
        </w:rPr>
        <w:t xml:space="preserve"> </w:t>
      </w:r>
      <w:r w:rsidRPr="00860724">
        <w:rPr>
          <w:bCs/>
          <w:lang w:val="ro-RO"/>
        </w:rPr>
        <w:t>de procurori).</w:t>
      </w:r>
    </w:p>
    <w:p w:rsidR="00D60C7C" w:rsidRPr="00860724" w:rsidRDefault="00D60C7C" w:rsidP="009A2435">
      <w:pPr>
        <w:spacing w:before="120" w:line="276" w:lineRule="auto"/>
        <w:rPr>
          <w:bCs/>
          <w:lang w:val="ro-RO"/>
        </w:rPr>
      </w:pPr>
    </w:p>
    <w:p w:rsidR="00D60C7C" w:rsidRPr="00860724" w:rsidRDefault="00D60C7C" w:rsidP="009A2435">
      <w:pPr>
        <w:pStyle w:val="Titlu3"/>
      </w:pPr>
      <w:bookmarkStart w:id="57" w:name="_Toc506288021"/>
      <w:r w:rsidRPr="00860724">
        <w:t>II.2.2. Încărcătura la nivelul parchetelor de pe lângă curţile de apel</w:t>
      </w:r>
      <w:bookmarkEnd w:id="57"/>
    </w:p>
    <w:p w:rsidR="00D60C7C" w:rsidRPr="00860724" w:rsidRDefault="00D60C7C" w:rsidP="009A2435">
      <w:pPr>
        <w:tabs>
          <w:tab w:val="left" w:pos="225"/>
        </w:tabs>
        <w:spacing w:before="120" w:line="276" w:lineRule="auto"/>
        <w:ind w:firstLine="720"/>
        <w:jc w:val="center"/>
        <w:rPr>
          <w:lang w:val="ro-RO"/>
        </w:rPr>
      </w:pPr>
    </w:p>
    <w:p w:rsidR="00D60C7C" w:rsidRPr="00860724" w:rsidRDefault="00D60C7C" w:rsidP="009A2435">
      <w:pPr>
        <w:tabs>
          <w:tab w:val="left" w:pos="225"/>
        </w:tabs>
        <w:spacing w:before="120" w:line="276" w:lineRule="auto"/>
        <w:ind w:firstLine="720"/>
        <w:jc w:val="both"/>
        <w:rPr>
          <w:lang w:val="ro-RO"/>
        </w:rPr>
      </w:pPr>
      <w:r w:rsidRPr="00860724">
        <w:rPr>
          <w:lang w:val="ro-RO"/>
        </w:rPr>
        <w:t>La nivelul parchetelor de pe lângă curţile de apel</w:t>
      </w:r>
      <w:r w:rsidRPr="00860724">
        <w:rPr>
          <w:i/>
          <w:lang w:val="ro-RO"/>
        </w:rPr>
        <w:t>,</w:t>
      </w:r>
      <w:r w:rsidRPr="00860724">
        <w:rPr>
          <w:lang w:val="ro-RO"/>
        </w:rPr>
        <w:t xml:space="preserve"> a fost stabilită o medie naţională de 67,11</w:t>
      </w:r>
      <w:r w:rsidRPr="00860724">
        <w:rPr>
          <w:bCs/>
          <w:lang w:val="ro-RO"/>
        </w:rPr>
        <w:t xml:space="preserve"> </w:t>
      </w:r>
      <w:r w:rsidRPr="00860724">
        <w:rPr>
          <w:lang w:val="ro-RO"/>
        </w:rPr>
        <w:t>dosare penale pe procuror, raportată la numărul efectiv de procurori activi în anul 2017 şi de 122,25 dosare pe procuror dacă volumul dosarelor de soluţionat se raportează doar la numărul procurorilor ce au instrumentat efectiv dosare penale (dintr-un total de 235 de procuri care activează la nivelul de parchet de curte de apel, doar unui număr de 129 de procurori li s-au încredinţat dosare penale spre soluţionare).</w:t>
      </w:r>
    </w:p>
    <w:p w:rsidR="00D60C7C" w:rsidRPr="00860724" w:rsidRDefault="00D60C7C" w:rsidP="009A2435">
      <w:pPr>
        <w:tabs>
          <w:tab w:val="left" w:pos="225"/>
        </w:tabs>
        <w:spacing w:before="120" w:line="276" w:lineRule="auto"/>
        <w:ind w:firstLine="720"/>
        <w:jc w:val="both"/>
        <w:rPr>
          <w:lang w:val="ro-RO"/>
        </w:rPr>
      </w:pPr>
      <w:r w:rsidRPr="00860724">
        <w:rPr>
          <w:lang w:val="ro-RO"/>
        </w:rPr>
        <w:t>Grafic, evoluţia indicatorului pe ultimii ani se prezintă după cum urmează:</w:t>
      </w:r>
    </w:p>
    <w:p w:rsidR="00D60C7C" w:rsidRPr="00860724" w:rsidRDefault="00D60C7C" w:rsidP="00D60C7C">
      <w:pPr>
        <w:tabs>
          <w:tab w:val="left" w:pos="225"/>
        </w:tabs>
        <w:spacing w:before="120" w:line="360" w:lineRule="auto"/>
        <w:jc w:val="center"/>
        <w:rPr>
          <w:color w:val="00B0F0"/>
          <w:lang w:val="ro-RO"/>
        </w:rPr>
      </w:pPr>
      <w:r w:rsidRPr="00860724">
        <w:rPr>
          <w:noProof/>
          <w:color w:val="00B0F0"/>
          <w:lang w:val="ro-RO" w:eastAsia="ro-RO"/>
        </w:rPr>
        <w:drawing>
          <wp:inline distT="0" distB="0" distL="0" distR="0" wp14:anchorId="274D4B1B" wp14:editId="5B471FDA">
            <wp:extent cx="5573864" cy="3204790"/>
            <wp:effectExtent l="19050" t="19050" r="27305"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94295" cy="3216537"/>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În anul 2017, cea mai mare încărcătură de cauze pe procuror a fost înregistrată de  </w:t>
      </w:r>
      <w:r w:rsidRPr="00860724">
        <w:rPr>
          <w:b/>
          <w:bCs/>
          <w:lang w:val="ro-RO"/>
        </w:rPr>
        <w:t xml:space="preserve">Parchetul de pe lângă Curtea de Apel Alba-Iulia </w:t>
      </w:r>
      <w:r w:rsidRPr="00860724">
        <w:rPr>
          <w:lang w:val="ro-RO"/>
        </w:rPr>
        <w:t>, cu un număr de 98,25 dosare penale pe procuror</w:t>
      </w:r>
      <w:r w:rsidRPr="00860724">
        <w:rPr>
          <w:b/>
          <w:bCs/>
          <w:lang w:val="ro-RO"/>
        </w:rPr>
        <w:t xml:space="preserve">, Parchetul de pe lângă Curtea de Apel Bacău </w:t>
      </w:r>
      <w:r w:rsidRPr="00860724">
        <w:rPr>
          <w:lang w:val="ro-RO"/>
        </w:rPr>
        <w:t xml:space="preserve">cu un număr de 92,38 dosare penale pe procuror şi </w:t>
      </w:r>
      <w:r w:rsidRPr="00860724">
        <w:rPr>
          <w:b/>
          <w:bCs/>
          <w:lang w:val="ro-RO"/>
        </w:rPr>
        <w:t xml:space="preserve">Parchetul de pe lângă Curtea de Apel Constanţa </w:t>
      </w:r>
      <w:r w:rsidRPr="00860724">
        <w:rPr>
          <w:lang w:val="ro-RO"/>
        </w:rPr>
        <w:t xml:space="preserve">, cu un număr de 91,75 dosare penale pe procuror. </w:t>
      </w:r>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La încărcătura de cauze calculată strict pe procurorii care au fost desemnaţi să soluţioneze dosare, media cea mai ridicată a fost înregistrată la </w:t>
      </w:r>
      <w:r w:rsidRPr="00860724">
        <w:rPr>
          <w:b/>
          <w:bCs/>
          <w:lang w:val="ro-RO"/>
        </w:rPr>
        <w:t>Parchetul de pe lângă Curtea de Apel Bacău</w:t>
      </w:r>
      <w:r w:rsidRPr="00860724">
        <w:rPr>
          <w:lang w:val="ro-RO"/>
        </w:rPr>
        <w:t xml:space="preserve">, cu un număr de 200,17 cauze pe procuror, urmat de </w:t>
      </w:r>
      <w:r w:rsidRPr="00860724">
        <w:rPr>
          <w:b/>
          <w:bCs/>
          <w:lang w:val="ro-RO"/>
        </w:rPr>
        <w:t xml:space="preserve">Parchetul de pe lângă Curtea de Apel Ploiești </w:t>
      </w:r>
      <w:r w:rsidRPr="00860724">
        <w:rPr>
          <w:bCs/>
          <w:lang w:val="ro-RO"/>
        </w:rPr>
        <w:t xml:space="preserve">cu o medie de  de dosare de 173 şi </w:t>
      </w:r>
      <w:r w:rsidRPr="00860724">
        <w:rPr>
          <w:b/>
          <w:bCs/>
          <w:lang w:val="ro-RO"/>
        </w:rPr>
        <w:t xml:space="preserve">Parchetul de pe lângă Curtea de Apel Pitești </w:t>
      </w:r>
      <w:r w:rsidRPr="00860724">
        <w:rPr>
          <w:bCs/>
          <w:lang w:val="ro-RO"/>
        </w:rPr>
        <w:t>cu o medie de 173,25 cauze.</w:t>
      </w:r>
    </w:p>
    <w:p w:rsidR="00D60C7C" w:rsidRPr="00860724" w:rsidRDefault="00D60C7C" w:rsidP="009A2435">
      <w:pPr>
        <w:tabs>
          <w:tab w:val="left" w:pos="225"/>
        </w:tabs>
        <w:spacing w:before="120" w:line="276" w:lineRule="auto"/>
        <w:ind w:firstLine="720"/>
        <w:jc w:val="both"/>
        <w:rPr>
          <w:lang w:val="ro-RO"/>
        </w:rPr>
      </w:pPr>
      <w:r w:rsidRPr="00860724">
        <w:rPr>
          <w:lang w:val="ro-RO"/>
        </w:rPr>
        <w:t>La celălalt pol, s-au situat Parchetul de pe lângă Curtea de Apel Cluj cu numai 25,5 dosare penale pe procuror, Parchetul de pe lângă Curtea de Apel Bucureşti cu 41,44 dosare pe procuror şi Parchetul de pe lângă Curtea de Apel Târgu Mureş cu 45,67 de dosare penale pe procuror. Pe criteriul strict al numărului de procurori care au instrumentat dosarele penale din 2017 cele mai mici medii la dosare de soluționat s-au înregistrat la Parchetul de pe lângă Curtea de Apel Cluj cu numai 59,5 de dosare penale pe procuror, la Parchetul de pe lângă Curtea de Apel București cu  66,84 cauze şi Parchetul de pe lângă Curtea de Apel Târgu-Mureș cu 78,29 dosare pe procuror.</w:t>
      </w:r>
    </w:p>
    <w:p w:rsidR="00D60C7C" w:rsidRPr="00860724" w:rsidRDefault="00D60C7C" w:rsidP="009A2435">
      <w:pPr>
        <w:spacing w:line="276" w:lineRule="auto"/>
        <w:ind w:firstLine="708"/>
        <w:jc w:val="both"/>
        <w:rPr>
          <w:lang w:val="ro-RO"/>
        </w:rPr>
      </w:pPr>
      <w:r w:rsidRPr="00860724">
        <w:rPr>
          <w:lang w:val="ro-RO"/>
        </w:rPr>
        <w:t>În ipoteza în care la parchetele de pe lângă curţile de apel ar fi ocupate integral posturile  vacante de procuror s-ar obţine o încărcătură medie de 62,09 de dosare pe procuror (aşa-numita încărcătură pe schemă).</w:t>
      </w:r>
    </w:p>
    <w:p w:rsidR="00D60C7C" w:rsidRPr="00860724" w:rsidRDefault="00D60C7C" w:rsidP="009A2435">
      <w:pPr>
        <w:spacing w:line="276" w:lineRule="auto"/>
        <w:ind w:firstLine="708"/>
        <w:jc w:val="both"/>
        <w:rPr>
          <w:lang w:val="ro-RO"/>
        </w:rPr>
      </w:pPr>
    </w:p>
    <w:p w:rsidR="00D60C7C" w:rsidRPr="00860724" w:rsidRDefault="00D60C7C" w:rsidP="009A2435">
      <w:pPr>
        <w:pStyle w:val="Titlu3"/>
      </w:pPr>
      <w:bookmarkStart w:id="58" w:name="_Toc506288022"/>
      <w:r w:rsidRPr="00860724">
        <w:t>II.2.3. Încărcătura la nivelul parchetelor de pe lângă tribunale</w:t>
      </w:r>
      <w:bookmarkEnd w:id="58"/>
    </w:p>
    <w:p w:rsidR="00D60C7C" w:rsidRPr="00860724" w:rsidRDefault="00D60C7C" w:rsidP="009A2435">
      <w:pPr>
        <w:tabs>
          <w:tab w:val="left" w:pos="225"/>
        </w:tabs>
        <w:spacing w:before="120" w:line="276" w:lineRule="auto"/>
        <w:ind w:firstLine="720"/>
        <w:jc w:val="center"/>
        <w:rPr>
          <w:lang w:val="ro-RO"/>
        </w:rPr>
      </w:pPr>
    </w:p>
    <w:p w:rsidR="00D60C7C" w:rsidRPr="00860724" w:rsidRDefault="00D60C7C" w:rsidP="009A2435">
      <w:pPr>
        <w:tabs>
          <w:tab w:val="left" w:pos="225"/>
        </w:tabs>
        <w:spacing w:before="120" w:line="276" w:lineRule="auto"/>
        <w:ind w:firstLine="720"/>
        <w:jc w:val="both"/>
        <w:rPr>
          <w:b/>
          <w:lang w:val="ro-RO"/>
        </w:rPr>
      </w:pPr>
      <w:r w:rsidRPr="00860724">
        <w:rPr>
          <w:lang w:val="ro-RO"/>
        </w:rPr>
        <w:t xml:space="preserve">La nivelul parchetelor de pe lângă tribunale, pentru anul </w:t>
      </w:r>
      <w:smartTag w:uri="urn:schemas-microsoft-com:office:smarttags" w:element="metricconverter">
        <w:smartTagPr>
          <w:attr w:name="ProductID" w:val="2017 a"/>
        </w:smartTagPr>
        <w:r w:rsidRPr="00860724">
          <w:rPr>
            <w:lang w:val="ro-RO"/>
          </w:rPr>
          <w:t>2017 a</w:t>
        </w:r>
      </w:smartTag>
      <w:r w:rsidRPr="00860724">
        <w:rPr>
          <w:lang w:val="ro-RO"/>
        </w:rPr>
        <w:t xml:space="preserve"> fost stabilită o medie naţională de </w:t>
      </w:r>
      <w:r w:rsidRPr="00860724">
        <w:rPr>
          <w:bCs/>
          <w:lang w:val="ro-RO"/>
        </w:rPr>
        <w:t xml:space="preserve">158,08 </w:t>
      </w:r>
      <w:r w:rsidRPr="00860724">
        <w:rPr>
          <w:lang w:val="ro-RO"/>
        </w:rPr>
        <w:t>dosare penale de soluţionat</w:t>
      </w:r>
      <w:r w:rsidRPr="00860724">
        <w:rPr>
          <w:b/>
          <w:lang w:val="ro-RO"/>
        </w:rPr>
        <w:t xml:space="preserve"> </w:t>
      </w:r>
      <w:r w:rsidRPr="00860724">
        <w:rPr>
          <w:lang w:val="ro-RO"/>
        </w:rPr>
        <w:t>pe procuror</w:t>
      </w:r>
      <w:r w:rsidRPr="00860724">
        <w:rPr>
          <w:bCs/>
          <w:lang w:val="ro-RO"/>
        </w:rPr>
        <w:t>.</w:t>
      </w:r>
      <w:r w:rsidRPr="00860724">
        <w:rPr>
          <w:lang w:val="ro-RO"/>
        </w:rPr>
        <w:t xml:space="preserve">  </w:t>
      </w:r>
    </w:p>
    <w:p w:rsidR="00D60C7C" w:rsidRPr="00860724" w:rsidRDefault="00D60C7C" w:rsidP="009A2435">
      <w:pPr>
        <w:tabs>
          <w:tab w:val="left" w:pos="225"/>
        </w:tabs>
        <w:spacing w:before="120" w:line="276" w:lineRule="auto"/>
        <w:ind w:firstLine="720"/>
        <w:jc w:val="both"/>
        <w:rPr>
          <w:lang w:val="ro-RO"/>
        </w:rPr>
      </w:pPr>
      <w:r w:rsidRPr="00860724">
        <w:rPr>
          <w:lang w:val="ro-RO"/>
        </w:rPr>
        <w:t>În ultimii 5 ani, evoluţia acestui indicator a fost următoarea:</w:t>
      </w:r>
    </w:p>
    <w:p w:rsidR="00D60C7C" w:rsidRPr="00860724" w:rsidRDefault="00D60C7C" w:rsidP="00D60C7C">
      <w:pPr>
        <w:tabs>
          <w:tab w:val="left" w:pos="225"/>
        </w:tabs>
        <w:spacing w:before="120" w:line="360" w:lineRule="auto"/>
        <w:jc w:val="center"/>
        <w:rPr>
          <w:color w:val="0070C0"/>
          <w:lang w:val="ro-RO"/>
        </w:rPr>
      </w:pPr>
      <w:r w:rsidRPr="00860724">
        <w:rPr>
          <w:noProof/>
          <w:color w:val="0070C0"/>
          <w:lang w:val="ro-RO" w:eastAsia="ro-RO"/>
        </w:rPr>
        <w:drawing>
          <wp:inline distT="0" distB="0" distL="0" distR="0" wp14:anchorId="529DCE41" wp14:editId="0AFE6836">
            <wp:extent cx="5913120" cy="2941320"/>
            <wp:effectExtent l="19050" t="19050" r="1143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13120" cy="294132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În anul 2017 s-au remarcat ca având cea mai mare încărcătură de dosare pe procuror, în raport cu media naţională, următoarele unităţi: </w:t>
      </w:r>
      <w:r w:rsidRPr="00860724">
        <w:rPr>
          <w:b/>
          <w:bCs/>
          <w:lang w:val="ro-RO"/>
        </w:rPr>
        <w:t>Parchetul de pe lângă Tribunalul Tulcea</w:t>
      </w:r>
      <w:r w:rsidRPr="00860724">
        <w:rPr>
          <w:lang w:val="ro-RO"/>
        </w:rPr>
        <w:t xml:space="preserve"> (o medie de 421,50 dosare), </w:t>
      </w:r>
      <w:r w:rsidRPr="00860724">
        <w:rPr>
          <w:b/>
          <w:bCs/>
          <w:lang w:val="ro-RO"/>
        </w:rPr>
        <w:t xml:space="preserve">Parchetul de pe lângă Tribunalul Ilfov </w:t>
      </w:r>
      <w:r w:rsidRPr="00860724">
        <w:rPr>
          <w:lang w:val="ro-RO"/>
        </w:rPr>
        <w:t xml:space="preserve">(360 de dosare pe procuror) şi </w:t>
      </w:r>
      <w:r w:rsidRPr="00860724">
        <w:rPr>
          <w:b/>
          <w:bCs/>
          <w:lang w:val="ro-RO"/>
        </w:rPr>
        <w:t>Parchetul de pe lângă Tribunalul Constanţa</w:t>
      </w:r>
      <w:r w:rsidRPr="00860724">
        <w:rPr>
          <w:lang w:val="ro-RO"/>
        </w:rPr>
        <w:t xml:space="preserve"> (323,08 dosare pe procuror), primele două parchete ocupând şi anul trecut acelaşi poziţii.</w:t>
      </w:r>
    </w:p>
    <w:p w:rsidR="00D60C7C" w:rsidRPr="00860724" w:rsidRDefault="00D60C7C" w:rsidP="009A2435">
      <w:pPr>
        <w:tabs>
          <w:tab w:val="left" w:pos="225"/>
        </w:tabs>
        <w:spacing w:before="120" w:line="276" w:lineRule="auto"/>
        <w:ind w:firstLine="720"/>
        <w:jc w:val="both"/>
        <w:rPr>
          <w:lang w:val="ro-RO"/>
        </w:rPr>
      </w:pPr>
      <w:r w:rsidRPr="00860724">
        <w:rPr>
          <w:lang w:val="ro-RO"/>
        </w:rPr>
        <w:t>Încărcătura cea mai mică de dosare pe procuror a fost înregistrată de Parchetul de pe lângă Tribunalul Sălaj (o medie de 51 de dosare), Parchetul de pe lângă Tribunalul Gorj (76,52 de dosare) şi Parchetul de pe lângă Tribunalul Brașov (81,82 dosare pe procuror), primele două parchete ocupând şi anul trecut acelaşi poziţii în această clasificare.</w:t>
      </w:r>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Pe criteriul numărului de procurori repartizaţi efectiv la soluţionarea dosarelor penale, la nivelul parchetelor de pe lângă tribunale, în anul 2017 s-a înregistrat o medie naţională de 222,52 dosare pe procuror. Cea mai mare medie calculată pe acest criteriu a înregistrat-o </w:t>
      </w:r>
      <w:r w:rsidRPr="00860724">
        <w:rPr>
          <w:b/>
          <w:bCs/>
          <w:lang w:val="ro-RO"/>
        </w:rPr>
        <w:t>Parchetul de pe lângă Tribunalul Brăila</w:t>
      </w:r>
      <w:r w:rsidRPr="00860724">
        <w:rPr>
          <w:lang w:val="ro-RO"/>
        </w:rPr>
        <w:t xml:space="preserve"> (435,2 de dosare pe procuror), urmat fiind de </w:t>
      </w:r>
      <w:r w:rsidRPr="00860724">
        <w:rPr>
          <w:b/>
          <w:bCs/>
          <w:lang w:val="ro-RO"/>
        </w:rPr>
        <w:t>Parchetul de pe lângă Tribunalul Vrancea</w:t>
      </w:r>
      <w:r w:rsidRPr="00860724">
        <w:rPr>
          <w:lang w:val="ro-RO"/>
        </w:rPr>
        <w:t xml:space="preserve"> ( o medie de 430,78 dosare) şi de </w:t>
      </w:r>
      <w:r w:rsidRPr="00860724">
        <w:rPr>
          <w:b/>
          <w:bCs/>
          <w:lang w:val="ro-RO"/>
        </w:rPr>
        <w:t>Parchetul de pe lângă Tribunalul Mureş</w:t>
      </w:r>
      <w:r w:rsidRPr="00860724">
        <w:rPr>
          <w:lang w:val="ro-RO"/>
        </w:rPr>
        <w:t xml:space="preserve"> (385,2 dosare). Cele mai mici medii, pe acelaşi mod de calcul, au fost la </w:t>
      </w:r>
      <w:r w:rsidRPr="00860724">
        <w:rPr>
          <w:b/>
          <w:bCs/>
          <w:lang w:val="ro-RO"/>
        </w:rPr>
        <w:t xml:space="preserve">Parchetul de pe lângă </w:t>
      </w:r>
      <w:r w:rsidRPr="00860724">
        <w:rPr>
          <w:b/>
          <w:lang w:val="ro-RO"/>
        </w:rPr>
        <w:t>Caraş Severin</w:t>
      </w:r>
      <w:r w:rsidRPr="00860724">
        <w:rPr>
          <w:lang w:val="ro-RO"/>
        </w:rPr>
        <w:t xml:space="preserve"> (o medie de 76,11 dosare), </w:t>
      </w:r>
      <w:r w:rsidRPr="00860724">
        <w:rPr>
          <w:b/>
          <w:bCs/>
          <w:lang w:val="ro-RO"/>
        </w:rPr>
        <w:t xml:space="preserve">Parchetul de pe lângă Tribunalul Sălaj </w:t>
      </w:r>
      <w:r w:rsidRPr="00860724">
        <w:rPr>
          <w:lang w:val="ro-RO"/>
        </w:rPr>
        <w:t xml:space="preserve">(76,5 dosare) şi </w:t>
      </w:r>
      <w:r w:rsidRPr="00860724">
        <w:rPr>
          <w:b/>
          <w:bCs/>
          <w:lang w:val="ro-RO"/>
        </w:rPr>
        <w:t>Parchetul de pe lângă Tribunalul Maramureș</w:t>
      </w:r>
      <w:r w:rsidRPr="00860724">
        <w:rPr>
          <w:lang w:val="ro-RO"/>
        </w:rPr>
        <w:t xml:space="preserve"> (104,38 de   dosare).</w:t>
      </w:r>
    </w:p>
    <w:p w:rsidR="00D60C7C" w:rsidRPr="00860724" w:rsidRDefault="00D60C7C" w:rsidP="009A2435">
      <w:pPr>
        <w:tabs>
          <w:tab w:val="left" w:pos="225"/>
        </w:tabs>
        <w:spacing w:before="120" w:line="276" w:lineRule="auto"/>
        <w:jc w:val="both"/>
        <w:rPr>
          <w:lang w:val="ro-RO"/>
        </w:rPr>
      </w:pPr>
    </w:p>
    <w:p w:rsidR="00D60C7C" w:rsidRPr="00860724" w:rsidRDefault="00D60C7C" w:rsidP="009A2435">
      <w:pPr>
        <w:tabs>
          <w:tab w:val="left" w:pos="225"/>
        </w:tabs>
        <w:spacing w:before="120" w:line="276" w:lineRule="auto"/>
        <w:ind w:firstLine="720"/>
        <w:jc w:val="both"/>
        <w:rPr>
          <w:b/>
          <w:lang w:val="ro-RO"/>
        </w:rPr>
      </w:pPr>
      <w:r w:rsidRPr="00860724">
        <w:rPr>
          <w:b/>
          <w:lang w:val="ro-RO"/>
        </w:rPr>
        <w:t>Încărcătura la nivelul Parchetului de pe lângă Tribunalul specializat pentru cauze cu minori şi de familie Braşov</w:t>
      </w:r>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Activitatea Parchetului de pe lângă Tribunalul pentru Minori şi Familie Braşov a înregistrat o medie de </w:t>
      </w:r>
      <w:r w:rsidRPr="00860724">
        <w:rPr>
          <w:b/>
          <w:lang w:val="ro-RO"/>
        </w:rPr>
        <w:t>82,50 dosare</w:t>
      </w:r>
      <w:r w:rsidRPr="00860724">
        <w:rPr>
          <w:lang w:val="ro-RO"/>
        </w:rPr>
        <w:t xml:space="preserve"> penale pe procuror, acest parchet funcţionând în continuare cu 2 procurori, cu schema completă.</w:t>
      </w:r>
    </w:p>
    <w:p w:rsidR="00D60C7C" w:rsidRPr="00860724" w:rsidRDefault="00D60C7C" w:rsidP="009A2435">
      <w:pPr>
        <w:tabs>
          <w:tab w:val="left" w:pos="225"/>
        </w:tabs>
        <w:spacing w:before="120" w:line="276" w:lineRule="auto"/>
        <w:ind w:firstLine="720"/>
        <w:jc w:val="both"/>
        <w:rPr>
          <w:lang w:val="ro-RO"/>
        </w:rPr>
      </w:pPr>
    </w:p>
    <w:p w:rsidR="00D60C7C" w:rsidRPr="00860724" w:rsidRDefault="00D60C7C" w:rsidP="009A2435">
      <w:pPr>
        <w:pStyle w:val="Titlu3"/>
      </w:pPr>
      <w:bookmarkStart w:id="59" w:name="_Toc506288023"/>
      <w:r w:rsidRPr="00860724">
        <w:t>II.2.4. Încărcătura la nivelul parchetelor de pe lângă judecătorii</w:t>
      </w:r>
      <w:bookmarkEnd w:id="59"/>
    </w:p>
    <w:p w:rsidR="00D60C7C" w:rsidRPr="00860724" w:rsidRDefault="00D60C7C" w:rsidP="009A2435">
      <w:pPr>
        <w:tabs>
          <w:tab w:val="left" w:pos="225"/>
        </w:tabs>
        <w:spacing w:before="120" w:line="276" w:lineRule="auto"/>
        <w:ind w:firstLine="720"/>
        <w:jc w:val="both"/>
        <w:rPr>
          <w:lang w:val="ro-RO"/>
        </w:rPr>
      </w:pPr>
      <w:r w:rsidRPr="00860724">
        <w:rPr>
          <w:lang w:val="ro-RO"/>
        </w:rPr>
        <w:t xml:space="preserve">La sfârşitul perioadei de referinţă, la nivelul parchetelor de pe lângă judecătorii, a fost stabilită o medie naţională de dosare penale de soluţionat pe procuror de </w:t>
      </w:r>
      <w:r w:rsidRPr="00860724">
        <w:rPr>
          <w:b/>
          <w:bCs/>
          <w:lang w:val="ro-RO"/>
        </w:rPr>
        <w:t>1561,68</w:t>
      </w:r>
      <w:r w:rsidRPr="00860724">
        <w:rPr>
          <w:bCs/>
          <w:lang w:val="ro-RO"/>
        </w:rPr>
        <w:t xml:space="preserve"> cauze</w:t>
      </w:r>
      <w:r w:rsidRPr="00860724">
        <w:rPr>
          <w:lang w:val="ro-RO"/>
        </w:rPr>
        <w:t>.</w:t>
      </w:r>
    </w:p>
    <w:p w:rsidR="00D60C7C" w:rsidRPr="00860724" w:rsidRDefault="00D60C7C" w:rsidP="009A2435">
      <w:pPr>
        <w:tabs>
          <w:tab w:val="left" w:pos="225"/>
        </w:tabs>
        <w:spacing w:before="120" w:line="276" w:lineRule="auto"/>
        <w:ind w:firstLine="684"/>
        <w:jc w:val="both"/>
        <w:rPr>
          <w:lang w:val="ro-RO"/>
        </w:rPr>
      </w:pPr>
      <w:r w:rsidRPr="00860724">
        <w:rPr>
          <w:lang w:val="ro-RO"/>
        </w:rPr>
        <w:t>Evoluţia încărcăturii pe procuror la parchetele de pe lângă judecătorii în ultimii ani a fost următoarea:</w:t>
      </w:r>
    </w:p>
    <w:p w:rsidR="00D60C7C" w:rsidRPr="00860724" w:rsidRDefault="00D60C7C" w:rsidP="00D60C7C">
      <w:pPr>
        <w:tabs>
          <w:tab w:val="left" w:pos="225"/>
        </w:tabs>
        <w:spacing w:before="120" w:line="360" w:lineRule="auto"/>
        <w:jc w:val="center"/>
        <w:rPr>
          <w:color w:val="0000FF"/>
          <w:lang w:val="ro-RO"/>
        </w:rPr>
      </w:pPr>
      <w:r w:rsidRPr="00860724">
        <w:rPr>
          <w:noProof/>
          <w:color w:val="0000FF"/>
          <w:lang w:val="ro-RO" w:eastAsia="ro-RO"/>
        </w:rPr>
        <w:drawing>
          <wp:inline distT="0" distB="0" distL="0" distR="0" wp14:anchorId="5CF095DD" wp14:editId="14B22C9C">
            <wp:extent cx="5295569" cy="2664650"/>
            <wp:effectExtent l="19050" t="19050" r="19685" b="215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57851" cy="2695989"/>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9A2435">
      <w:pPr>
        <w:tabs>
          <w:tab w:val="left" w:pos="225"/>
        </w:tabs>
        <w:spacing w:before="120" w:line="276" w:lineRule="auto"/>
        <w:ind w:firstLine="720"/>
        <w:jc w:val="both"/>
        <w:rPr>
          <w:bCs/>
          <w:kern w:val="28"/>
          <w:lang w:val="ro-RO"/>
        </w:rPr>
      </w:pPr>
      <w:r w:rsidRPr="00860724">
        <w:rPr>
          <w:lang w:val="ro-RO"/>
        </w:rPr>
        <w:t xml:space="preserve">În perioada de referinţă, cea mai mare încărcătură pe procuror a înregistrat-o </w:t>
      </w:r>
      <w:r w:rsidRPr="00860724">
        <w:rPr>
          <w:b/>
          <w:bCs/>
          <w:kern w:val="28"/>
          <w:lang w:val="ro-RO"/>
        </w:rPr>
        <w:t>Parchetul de pe lângă Judecătoria Fetești</w:t>
      </w:r>
      <w:r w:rsidRPr="00860724">
        <w:rPr>
          <w:kern w:val="28"/>
          <w:lang w:val="ro-RO"/>
        </w:rPr>
        <w:t xml:space="preserve"> </w:t>
      </w:r>
      <w:r w:rsidRPr="00860724">
        <w:rPr>
          <w:bCs/>
          <w:kern w:val="28"/>
          <w:lang w:val="ro-RO"/>
        </w:rPr>
        <w:t>cu 3719 dosare penale pe procuror (explicabil în condiţiile în care acest parchet a funcţionat anul trecut cu o schemă ocupată în proporție de doar 40%)</w:t>
      </w:r>
      <w:r w:rsidRPr="00860724">
        <w:rPr>
          <w:lang w:val="ro-RO"/>
        </w:rPr>
        <w:t xml:space="preserve"> urmat de </w:t>
      </w:r>
      <w:r w:rsidRPr="00860724">
        <w:rPr>
          <w:b/>
          <w:bCs/>
          <w:kern w:val="28"/>
          <w:lang w:val="ro-RO"/>
        </w:rPr>
        <w:t xml:space="preserve">Parchetul de pe lângă Judecătoria Târgoviște </w:t>
      </w:r>
      <w:r w:rsidRPr="00860724">
        <w:rPr>
          <w:kern w:val="28"/>
          <w:lang w:val="ro-RO"/>
        </w:rPr>
        <w:t xml:space="preserve">cu 3501 cauze pe procuror la un grad de ocupare a schemei de 50%  (aici activează 6 procurori dintr-o schemă de 12) şi de </w:t>
      </w:r>
      <w:r w:rsidRPr="00860724">
        <w:rPr>
          <w:b/>
          <w:kern w:val="28"/>
          <w:lang w:val="ro-RO"/>
        </w:rPr>
        <w:t>Parchetele de pe lângă Judecătoriile Săveni, Turnu Măgurele şi Constanța</w:t>
      </w:r>
      <w:r w:rsidRPr="00860724">
        <w:rPr>
          <w:kern w:val="28"/>
          <w:lang w:val="ro-RO"/>
        </w:rPr>
        <w:t xml:space="preserve">, cu 3434, 3168 şi, respectiv, 3029 de dosare penale pe procuror, ca rezultat imediat şi logic al gradului mic de ocupare a schemei la care se adaugă, în cazul Parchetului de pe lângă Judecatoria Constanța, şi un volum ridicat de dosare de soluţionat. Celelalte unităţi care au depăşit nivelul de 2700 de dosare pe procuror sunt, în ordinea descrescătoare a mediei de dosare, </w:t>
      </w:r>
      <w:r w:rsidRPr="00860724">
        <w:rPr>
          <w:b/>
          <w:bCs/>
          <w:kern w:val="28"/>
          <w:lang w:val="ro-RO"/>
        </w:rPr>
        <w:t xml:space="preserve">Parchetele de pe lângă Judecătoriile Vaslui, Miercurea Ciuc și Sector 2 Bucureşti. </w:t>
      </w:r>
      <w:r w:rsidRPr="00860724">
        <w:rPr>
          <w:bCs/>
          <w:kern w:val="28"/>
          <w:lang w:val="ro-RO"/>
        </w:rPr>
        <w:t xml:space="preserve"> De asemenea,</w:t>
      </w:r>
      <w:r w:rsidRPr="00860724">
        <w:rPr>
          <w:b/>
          <w:bCs/>
          <w:kern w:val="28"/>
          <w:lang w:val="ro-RO"/>
        </w:rPr>
        <w:t xml:space="preserve"> </w:t>
      </w:r>
      <w:r w:rsidRPr="00860724">
        <w:rPr>
          <w:bCs/>
          <w:kern w:val="28"/>
          <w:lang w:val="ro-RO"/>
        </w:rPr>
        <w:t>alte 20 parchete de la acest nivel jurisdicţional au înregistrat în anul 2017 o încărcătură de dosare de soluţionat pe procuror ce a depășit 2000 de cauze penale.</w:t>
      </w:r>
    </w:p>
    <w:p w:rsidR="00D60C7C" w:rsidRPr="00860724" w:rsidRDefault="00D60C7C" w:rsidP="009A2435">
      <w:pPr>
        <w:tabs>
          <w:tab w:val="left" w:pos="225"/>
        </w:tabs>
        <w:spacing w:before="120" w:line="276" w:lineRule="auto"/>
        <w:ind w:firstLine="720"/>
        <w:jc w:val="both"/>
        <w:rPr>
          <w:lang w:val="ro-RO"/>
        </w:rPr>
      </w:pPr>
      <w:r w:rsidRPr="00860724">
        <w:rPr>
          <w:lang w:val="ro-RO"/>
        </w:rPr>
        <w:t>La polul opus, în perioada de referinţă, au existat mai multe parchete care au înregistrat o încărcătură de dosare de soluţionat pe procuror situată cu mult sub media naţională de dosare: Parchetul de pe lângă Judecătoria Întorsura Buzăului – 207 dosare,  Parchetu</w:t>
      </w:r>
      <w:r w:rsidR="009333D5">
        <w:rPr>
          <w:lang w:val="ro-RO"/>
        </w:rPr>
        <w:t>l de pe lângă Judecătoria Gurah</w:t>
      </w:r>
      <w:r w:rsidRPr="00860724">
        <w:rPr>
          <w:lang w:val="ro-RO"/>
        </w:rPr>
        <w:t>onț – 330,33 de dosare</w:t>
      </w:r>
      <w:r w:rsidRPr="00860724">
        <w:rPr>
          <w:b/>
          <w:lang w:val="ro-RO"/>
        </w:rPr>
        <w:t>,</w:t>
      </w:r>
      <w:r w:rsidRPr="00860724">
        <w:rPr>
          <w:lang w:val="ro-RO"/>
        </w:rPr>
        <w:t xml:space="preserve"> Parchetul de pe lângă Judecătoria Săliște – 339 de dosare,  Parchetul de pe lângă Judecătoria Filiași – 393,75 dosare, existând încă alte 24 de parchete a căror încărcătură pe procuror este mai mică decât jumătatea mediei naționale de 1562 de dosare pe procuror.</w:t>
      </w:r>
    </w:p>
    <w:p w:rsidR="00D60C7C" w:rsidRPr="00860724" w:rsidRDefault="00D60C7C" w:rsidP="009A2435">
      <w:pPr>
        <w:spacing w:line="276" w:lineRule="auto"/>
        <w:jc w:val="both"/>
        <w:rPr>
          <w:lang w:val="ro-RO"/>
        </w:rPr>
      </w:pPr>
    </w:p>
    <w:p w:rsidR="00D60C7C" w:rsidRPr="00860724" w:rsidRDefault="00D60C7C" w:rsidP="009A2435">
      <w:pPr>
        <w:spacing w:line="276" w:lineRule="auto"/>
        <w:ind w:firstLine="684"/>
        <w:jc w:val="both"/>
        <w:rPr>
          <w:lang w:val="ro-RO"/>
        </w:rPr>
      </w:pPr>
      <w:r w:rsidRPr="00860724">
        <w:rPr>
          <w:lang w:val="ro-RO"/>
        </w:rPr>
        <w:t xml:space="preserve">Încărcătura pe schemă a </w:t>
      </w:r>
      <w:r w:rsidRPr="00860724">
        <w:rPr>
          <w:b/>
          <w:bCs/>
          <w:lang w:val="ro-RO"/>
        </w:rPr>
        <w:t>Parchetelor militare</w:t>
      </w:r>
      <w:r w:rsidRPr="00860724">
        <w:rPr>
          <w:lang w:val="ro-RO"/>
        </w:rPr>
        <w:t xml:space="preserve"> în raport de numărul cauzelor s-a ridicat în anul 2017 la 44 de dosare, iar încărcătura pe procuror la 70 de dosare.</w:t>
      </w:r>
    </w:p>
    <w:p w:rsidR="00D60C7C" w:rsidRPr="00860724" w:rsidRDefault="00D60C7C" w:rsidP="009A2435">
      <w:pPr>
        <w:tabs>
          <w:tab w:val="left" w:pos="0"/>
        </w:tabs>
        <w:spacing w:before="120" w:line="276" w:lineRule="auto"/>
        <w:jc w:val="both"/>
        <w:rPr>
          <w:bCs/>
          <w:lang w:val="ro-RO"/>
        </w:rPr>
      </w:pPr>
      <w:r w:rsidRPr="00860724">
        <w:rPr>
          <w:bCs/>
          <w:lang w:val="ro-RO"/>
        </w:rPr>
        <w:t>Comparativ, gradul de încărcare cu dosare de soluţionat pe procuror la nivel naţional în 2017, raportat exclusiv la procurorii cu activitate de instrumentare dosare penale se prezintă astfel:</w:t>
      </w:r>
    </w:p>
    <w:p w:rsidR="00D60C7C" w:rsidRPr="00860724" w:rsidRDefault="00D60C7C" w:rsidP="00D60C7C">
      <w:pPr>
        <w:tabs>
          <w:tab w:val="left" w:pos="0"/>
        </w:tabs>
        <w:spacing w:before="120" w:line="360" w:lineRule="auto"/>
        <w:jc w:val="center"/>
        <w:rPr>
          <w:bCs/>
          <w:lang w:val="ro-RO"/>
        </w:rPr>
      </w:pPr>
      <w:r w:rsidRPr="00860724">
        <w:rPr>
          <w:bCs/>
          <w:noProof/>
          <w:lang w:val="ro-RO" w:eastAsia="ro-RO"/>
        </w:rPr>
        <w:drawing>
          <wp:inline distT="0" distB="0" distL="0" distR="0" wp14:anchorId="126610AD" wp14:editId="709A7292">
            <wp:extent cx="6103620" cy="3040380"/>
            <wp:effectExtent l="19050" t="19050" r="11430" b="266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03620" cy="3040380"/>
                    </a:xfrm>
                    <a:prstGeom prst="rect">
                      <a:avLst/>
                    </a:prstGeom>
                    <a:noFill/>
                    <a:ln w="6350" cmpd="sng">
                      <a:solidFill>
                        <a:srgbClr val="000000"/>
                      </a:solidFill>
                      <a:miter lim="800000"/>
                      <a:headEnd/>
                      <a:tailEnd/>
                    </a:ln>
                    <a:effectLst/>
                  </pic:spPr>
                </pic:pic>
              </a:graphicData>
            </a:graphic>
          </wp:inline>
        </w:drawing>
      </w:r>
    </w:p>
    <w:p w:rsidR="00D60C7C" w:rsidRPr="00860724" w:rsidRDefault="00D60C7C" w:rsidP="00D60C7C">
      <w:pPr>
        <w:rPr>
          <w:lang w:val="ro-RO"/>
        </w:rPr>
      </w:pPr>
    </w:p>
    <w:p w:rsidR="00D60C7C" w:rsidRPr="00860724" w:rsidRDefault="00D60C7C" w:rsidP="00D60C7C">
      <w:pPr>
        <w:rPr>
          <w:lang w:val="ro-RO" w:eastAsia="x-none"/>
        </w:rPr>
      </w:pPr>
    </w:p>
    <w:p w:rsidR="00625F9B" w:rsidRPr="00860724" w:rsidRDefault="00B452B9" w:rsidP="009A2435">
      <w:pPr>
        <w:pStyle w:val="Titlu2"/>
      </w:pPr>
      <w:bookmarkStart w:id="60" w:name="_Toc504987130"/>
      <w:r w:rsidRPr="00860724">
        <w:t>I</w:t>
      </w:r>
      <w:r w:rsidR="006F2993" w:rsidRPr="00860724">
        <w:t>I.3. Operativitatea soluţionării cauzelor</w:t>
      </w:r>
      <w:bookmarkEnd w:id="60"/>
      <w:r w:rsidR="006F2993" w:rsidRPr="00860724">
        <w:t xml:space="preserve"> </w:t>
      </w:r>
    </w:p>
    <w:p w:rsidR="00D60C7C" w:rsidRPr="00860724" w:rsidRDefault="00D60C7C" w:rsidP="009A2435">
      <w:pPr>
        <w:spacing w:before="120" w:line="276" w:lineRule="auto"/>
        <w:ind w:firstLine="720"/>
        <w:jc w:val="both"/>
        <w:rPr>
          <w:kern w:val="28"/>
          <w:lang w:val="ro-RO"/>
        </w:rPr>
      </w:pPr>
      <w:r w:rsidRPr="00860724">
        <w:rPr>
          <w:kern w:val="28"/>
          <w:lang w:val="ro-RO"/>
        </w:rPr>
        <w:t>Numărul lucrărilor soluţionate în anul 2017 la nivelul tuturor parchetelor, inclusiv la nivelul parchetelor militare, a fost de 2011854 de lucrări, în creştere faţă de anul 2016 cu 38482 de lucrări soluţionate, în timp ce numărul dosarelor penale soluţionate, inclusiv la nivelul parchetelor militare, a fost de 533040 de cauze (în scădere cu 36633 de dosare soluţionate) din care 45931 soluţionate prin trimitere în judecată (în scădere cu 3,6% faţă de anul 2016)  însemnând o pondere de 8,61 % din totalul cauzelor soluţionate.</w:t>
      </w:r>
    </w:p>
    <w:p w:rsidR="00D60C7C" w:rsidRPr="00860724" w:rsidRDefault="00D60C7C" w:rsidP="009A2435">
      <w:pPr>
        <w:spacing w:before="120" w:line="276" w:lineRule="auto"/>
        <w:ind w:firstLine="720"/>
        <w:jc w:val="both"/>
        <w:rPr>
          <w:kern w:val="28"/>
          <w:lang w:val="ro-RO"/>
        </w:rPr>
      </w:pPr>
      <w:r w:rsidRPr="00860724">
        <w:rPr>
          <w:kern w:val="28"/>
          <w:lang w:val="ro-RO"/>
        </w:rPr>
        <w:t>În acelaşi timp, numărul cauzelor rămase nesoluţionate (fără cauzele cu autor neidentificat) a fost de 544473 şi a crescut faţă anul de 2016 cu  2,98%.</w:t>
      </w:r>
    </w:p>
    <w:p w:rsidR="00D60C7C" w:rsidRPr="00860724" w:rsidRDefault="00D60C7C" w:rsidP="009A2435">
      <w:pPr>
        <w:spacing w:before="120" w:line="276" w:lineRule="auto"/>
        <w:ind w:firstLine="720"/>
        <w:jc w:val="both"/>
        <w:rPr>
          <w:kern w:val="28"/>
          <w:lang w:val="ro-RO"/>
        </w:rPr>
      </w:pPr>
      <w:r w:rsidRPr="00860724">
        <w:rPr>
          <w:kern w:val="28"/>
          <w:lang w:val="ro-RO"/>
        </w:rPr>
        <w:t>Numărul cauzelor cu autor neidentificat rămase nesoluţionate a crescut în anul 2017 la 585945  de cauze, fiind cu 0,52% mai mic faţă de cel din anul 2016 când au rămas nesoluţionate 588986 cauze cu A.N.</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În procente, operativitatea înregistrată la nivelul tuturor parchetelor  în anul </w:t>
      </w:r>
      <w:smartTag w:uri="urn:schemas-microsoft-com:office:smarttags" w:element="metricconverter">
        <w:smartTagPr>
          <w:attr w:name="ProductID" w:val="2017 a"/>
        </w:smartTagPr>
        <w:r w:rsidRPr="00860724">
          <w:rPr>
            <w:kern w:val="28"/>
            <w:lang w:val="ro-RO"/>
          </w:rPr>
          <w:t>2017 a</w:t>
        </w:r>
      </w:smartTag>
      <w:r w:rsidRPr="00860724">
        <w:rPr>
          <w:kern w:val="28"/>
          <w:lang w:val="ro-RO"/>
        </w:rPr>
        <w:t xml:space="preserve"> fost de 60.90% pentru lucrări,</w:t>
      </w:r>
      <w:r w:rsidRPr="00860724">
        <w:rPr>
          <w:b/>
          <w:kern w:val="28"/>
          <w:lang w:val="ro-RO"/>
        </w:rPr>
        <w:t xml:space="preserve"> </w:t>
      </w:r>
      <w:r w:rsidRPr="00860724">
        <w:rPr>
          <w:kern w:val="28"/>
          <w:lang w:val="ro-RO"/>
        </w:rPr>
        <w:t>respectiv de 30,42% pentru dosare.</w:t>
      </w:r>
    </w:p>
    <w:p w:rsidR="00D60C7C" w:rsidRPr="00860724" w:rsidRDefault="00D60C7C" w:rsidP="009A2435">
      <w:pPr>
        <w:spacing w:before="120" w:line="276" w:lineRule="auto"/>
        <w:ind w:firstLine="720"/>
        <w:jc w:val="both"/>
        <w:rPr>
          <w:kern w:val="28"/>
          <w:lang w:val="ro-RO"/>
        </w:rPr>
      </w:pPr>
      <w:r w:rsidRPr="00860724">
        <w:rPr>
          <w:kern w:val="28"/>
          <w:lang w:val="ro-RO"/>
        </w:rPr>
        <w:t>În ceea ce priveşte operativitatea în funcţie de durata soluţionării unei cauze, numărul de cauze soluţionate până în 6 luni de la sesizare a scăzut cu 15% ( 198423 de cauze în anul 2017, faţă de 234596 în anul 2016), cele soluţionate între 6 luni şi 1 an de la sesizare au scazut cu 11% faţă de anul precedent (110024  de cauze în anul 2017, faţă de 124069  în anul 2016).</w:t>
      </w:r>
    </w:p>
    <w:p w:rsidR="00D60C7C" w:rsidRPr="00860724" w:rsidRDefault="00D60C7C" w:rsidP="009A2435">
      <w:pPr>
        <w:spacing w:before="120" w:line="276" w:lineRule="auto"/>
        <w:ind w:firstLine="720"/>
        <w:jc w:val="both"/>
        <w:rPr>
          <w:kern w:val="28"/>
          <w:lang w:val="ro-RO"/>
        </w:rPr>
      </w:pPr>
      <w:r w:rsidRPr="00860724">
        <w:rPr>
          <w:kern w:val="28"/>
          <w:lang w:val="ro-RO"/>
        </w:rPr>
        <w:t>159292 de cauze au fost soluţionate la peste 1 an de la sesizare,  în creștere cu 5,38% faţă de aceeași perioadă de referinţă a anului trecut.</w:t>
      </w:r>
    </w:p>
    <w:p w:rsidR="00D60C7C" w:rsidRPr="00860724" w:rsidRDefault="00D60C7C" w:rsidP="009A2435">
      <w:pPr>
        <w:tabs>
          <w:tab w:val="left" w:pos="8640"/>
          <w:tab w:val="left" w:pos="8820"/>
        </w:tabs>
        <w:spacing w:line="276" w:lineRule="auto"/>
        <w:ind w:firstLine="684"/>
        <w:jc w:val="both"/>
        <w:rPr>
          <w:b/>
          <w:lang w:val="ro-RO"/>
        </w:rPr>
      </w:pPr>
      <w:r w:rsidRPr="00860724">
        <w:rPr>
          <w:kern w:val="28"/>
          <w:lang w:val="ro-RO"/>
        </w:rPr>
        <w:t>Din numărul de cauze rămase nesoluţionate în 2017,  în total pe Ministerul Public 544473 de cauze, fără cauzele cu A.N.,  în 184866 de cauze s-a depăşit termenul de 6 luni de la începerea urmăririi penale, adică în 33,95% din totalul cauzelor nesoluţionate, în creștere cu 5,45% faţă de anul 2016.</w:t>
      </w:r>
    </w:p>
    <w:p w:rsidR="00D60C7C" w:rsidRPr="00860724" w:rsidRDefault="00D60C7C" w:rsidP="009A2435">
      <w:pPr>
        <w:tabs>
          <w:tab w:val="left" w:pos="8640"/>
          <w:tab w:val="left" w:pos="8820"/>
        </w:tabs>
        <w:spacing w:line="276" w:lineRule="auto"/>
        <w:jc w:val="both"/>
        <w:rPr>
          <w:b/>
          <w:lang w:val="ro-RO"/>
        </w:rPr>
      </w:pPr>
    </w:p>
    <w:p w:rsidR="00D60C7C" w:rsidRPr="00860724" w:rsidRDefault="00D60C7C" w:rsidP="009A2435">
      <w:pPr>
        <w:pStyle w:val="Titlu3"/>
      </w:pPr>
      <w:r w:rsidRPr="00860724">
        <w:t xml:space="preserve"> </w:t>
      </w:r>
      <w:bookmarkStart w:id="61" w:name="_Toc506288025"/>
      <w:r w:rsidRPr="00860724">
        <w:t>II.3.1. Operativitatea la nivelul Parchetului de pe lângă Înalta Curte de Casaţie şi Justiţie</w:t>
      </w:r>
      <w:bookmarkEnd w:id="61"/>
    </w:p>
    <w:p w:rsidR="00D60C7C" w:rsidRPr="00860724" w:rsidRDefault="00D60C7C" w:rsidP="009A2435">
      <w:pPr>
        <w:tabs>
          <w:tab w:val="left" w:pos="8640"/>
          <w:tab w:val="left" w:pos="8820"/>
        </w:tabs>
        <w:spacing w:line="276" w:lineRule="auto"/>
        <w:ind w:firstLine="684"/>
        <w:jc w:val="both"/>
        <w:rPr>
          <w:bCs/>
          <w:lang w:val="ro-RO"/>
        </w:rPr>
      </w:pPr>
      <w:r w:rsidRPr="00860724">
        <w:rPr>
          <w:bCs/>
          <w:lang w:val="ro-RO"/>
        </w:rPr>
        <w:t>În anul 2017, numărul lucrărilor de soluţionat la această unitate a fost de 24869, fiind soluţionate 17636 de lucrări, ceea ce reprezintă o operativitate de 70,91%. Numărul dosarelor de soluţionat a fost de 1152, fiind soluţionate 509</w:t>
      </w:r>
      <w:r w:rsidRPr="00860724">
        <w:rPr>
          <w:b/>
          <w:bCs/>
          <w:lang w:val="ro-RO"/>
        </w:rPr>
        <w:t xml:space="preserve"> </w:t>
      </w:r>
      <w:r w:rsidRPr="00860724">
        <w:rPr>
          <w:bCs/>
          <w:lang w:val="ro-RO"/>
        </w:rPr>
        <w:t>de dosare dintre acestea, ceea ce se transpune într-o operativitate de 44,18%.</w:t>
      </w:r>
    </w:p>
    <w:p w:rsidR="00D60C7C" w:rsidRPr="00860724" w:rsidRDefault="00D60C7C" w:rsidP="009A2435">
      <w:pPr>
        <w:tabs>
          <w:tab w:val="left" w:pos="8640"/>
          <w:tab w:val="left" w:pos="8820"/>
        </w:tabs>
        <w:spacing w:line="276" w:lineRule="auto"/>
        <w:ind w:firstLine="684"/>
        <w:jc w:val="both"/>
        <w:rPr>
          <w:bCs/>
          <w:lang w:val="ro-RO"/>
        </w:rPr>
      </w:pPr>
      <w:r w:rsidRPr="00860724">
        <w:rPr>
          <w:bCs/>
          <w:lang w:val="ro-RO"/>
        </w:rPr>
        <w:t xml:space="preserve"> În acelaşi mod, operativitatea </w:t>
      </w:r>
      <w:r w:rsidRPr="00860724">
        <w:rPr>
          <w:b/>
          <w:bCs/>
          <w:lang w:val="ro-RO"/>
        </w:rPr>
        <w:t>D.N.A.</w:t>
      </w:r>
      <w:r w:rsidRPr="00860724">
        <w:rPr>
          <w:bCs/>
          <w:lang w:val="ro-RO"/>
        </w:rPr>
        <w:t xml:space="preserve"> este determinată la 70,84% pentru lucrări, respectiv la 34,65% pentru dosare. Cele două procente ale operativităţii pentru </w:t>
      </w:r>
      <w:r w:rsidRPr="00860724">
        <w:rPr>
          <w:b/>
          <w:bCs/>
          <w:lang w:val="ro-RO"/>
        </w:rPr>
        <w:t>D.I.I.C.O.T</w:t>
      </w:r>
      <w:r w:rsidRPr="00860724">
        <w:rPr>
          <w:bCs/>
          <w:lang w:val="ro-RO"/>
        </w:rPr>
        <w:t xml:space="preserve"> sunt de 77,3</w:t>
      </w:r>
      <w:r w:rsidRPr="00860724">
        <w:rPr>
          <w:b/>
          <w:bCs/>
          <w:lang w:val="ro-RO"/>
        </w:rPr>
        <w:t>%</w:t>
      </w:r>
      <w:r w:rsidRPr="00860724">
        <w:rPr>
          <w:bCs/>
          <w:lang w:val="ro-RO"/>
        </w:rPr>
        <w:t>, respectiv 29,10%.</w:t>
      </w:r>
    </w:p>
    <w:p w:rsidR="00D60C7C" w:rsidRPr="00860724" w:rsidRDefault="00D60C7C" w:rsidP="009A2435">
      <w:pPr>
        <w:spacing w:before="120" w:line="276" w:lineRule="auto"/>
        <w:ind w:firstLine="720"/>
        <w:jc w:val="both"/>
        <w:rPr>
          <w:b/>
          <w:lang w:val="ro-RO"/>
        </w:rPr>
      </w:pPr>
    </w:p>
    <w:p w:rsidR="00D60C7C" w:rsidRPr="00860724" w:rsidRDefault="00D60C7C" w:rsidP="009A2435">
      <w:pPr>
        <w:pStyle w:val="Titlu3"/>
        <w:rPr>
          <w:kern w:val="28"/>
        </w:rPr>
      </w:pPr>
      <w:bookmarkStart w:id="62" w:name="_Toc506288026"/>
      <w:r w:rsidRPr="00860724">
        <w:rPr>
          <w:kern w:val="28"/>
        </w:rPr>
        <w:t>II.3.2. Operativitatea la nivelul parchetelor de pe lângă curţile de apel</w:t>
      </w:r>
      <w:bookmarkEnd w:id="62"/>
    </w:p>
    <w:p w:rsidR="00D60C7C" w:rsidRPr="00860724" w:rsidRDefault="00D60C7C" w:rsidP="009A2435">
      <w:pPr>
        <w:spacing w:before="120" w:line="276" w:lineRule="auto"/>
        <w:ind w:firstLine="720"/>
        <w:jc w:val="both"/>
        <w:rPr>
          <w:kern w:val="28"/>
          <w:lang w:val="ro-RO"/>
        </w:rPr>
      </w:pPr>
      <w:r w:rsidRPr="00860724">
        <w:rPr>
          <w:kern w:val="28"/>
          <w:lang w:val="ro-RO"/>
        </w:rPr>
        <w:t>În anul 2017, din totalul de 154122 de lucrări de soluţionat (din care 16360 de dosare penale), parchetele de pe lângă curţile de apel au soluţionat un număr de 138229 de  lucrări (din care 10041 de dosare penale).</w:t>
      </w:r>
    </w:p>
    <w:p w:rsidR="00D60C7C" w:rsidRPr="00860724" w:rsidRDefault="00D60C7C" w:rsidP="009A2435">
      <w:pPr>
        <w:spacing w:before="120" w:line="276" w:lineRule="auto"/>
        <w:ind w:firstLine="720"/>
        <w:jc w:val="both"/>
        <w:rPr>
          <w:kern w:val="28"/>
          <w:lang w:val="ro-RO"/>
        </w:rPr>
      </w:pPr>
      <w:r w:rsidRPr="00860724">
        <w:rPr>
          <w:kern w:val="28"/>
          <w:lang w:val="ro-RO"/>
        </w:rPr>
        <w:t>Procentual, operativitatea generală a fost de 90%</w:t>
      </w:r>
      <w:r w:rsidRPr="00860724">
        <w:rPr>
          <w:b/>
          <w:i/>
          <w:kern w:val="28"/>
          <w:lang w:val="ro-RO"/>
        </w:rPr>
        <w:t xml:space="preserve"> </w:t>
      </w:r>
      <w:r w:rsidRPr="00860724">
        <w:rPr>
          <w:kern w:val="28"/>
          <w:lang w:val="ro-RO"/>
        </w:rPr>
        <w:t>în ceea ce priveşte numărul de lucrări şi</w:t>
      </w:r>
      <w:r w:rsidRPr="00860724">
        <w:rPr>
          <w:b/>
          <w:kern w:val="28"/>
          <w:lang w:val="ro-RO"/>
        </w:rPr>
        <w:t xml:space="preserve"> </w:t>
      </w:r>
      <w:r w:rsidRPr="00860724">
        <w:rPr>
          <w:kern w:val="28"/>
          <w:lang w:val="ro-RO"/>
        </w:rPr>
        <w:t>de</w:t>
      </w:r>
      <w:r w:rsidRPr="00860724">
        <w:rPr>
          <w:b/>
          <w:kern w:val="28"/>
          <w:lang w:val="ro-RO"/>
        </w:rPr>
        <w:t xml:space="preserve"> </w:t>
      </w:r>
      <w:r w:rsidRPr="00860724">
        <w:rPr>
          <w:kern w:val="28"/>
          <w:lang w:val="ro-RO"/>
        </w:rPr>
        <w:t>61%</w:t>
      </w:r>
      <w:r w:rsidRPr="00860724">
        <w:rPr>
          <w:b/>
          <w:kern w:val="28"/>
          <w:lang w:val="ro-RO"/>
        </w:rPr>
        <w:t xml:space="preserve"> </w:t>
      </w:r>
      <w:r w:rsidRPr="00860724">
        <w:rPr>
          <w:kern w:val="28"/>
          <w:lang w:val="ro-RO"/>
        </w:rPr>
        <w:t xml:space="preserve">raportat la numărul de dosare. </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Sub aspectul procentului de solutionare a dosarelor, </w:t>
      </w:r>
      <w:r w:rsidRPr="00860724">
        <w:rPr>
          <w:b/>
          <w:kern w:val="28"/>
          <w:lang w:val="ro-RO"/>
        </w:rPr>
        <w:t>cea mai mare operativitate</w:t>
      </w:r>
      <w:r w:rsidRPr="00860724">
        <w:rPr>
          <w:kern w:val="28"/>
          <w:lang w:val="ro-RO"/>
        </w:rPr>
        <w:t xml:space="preserve"> a înregistrat-o </w:t>
      </w:r>
      <w:r w:rsidRPr="00860724">
        <w:rPr>
          <w:b/>
          <w:bCs/>
          <w:kern w:val="28"/>
          <w:lang w:val="ro-RO"/>
        </w:rPr>
        <w:t>Parchetul de pe lângă Curtea de apel Bacău</w:t>
      </w:r>
      <w:r w:rsidRPr="00860724">
        <w:rPr>
          <w:kern w:val="28"/>
          <w:lang w:val="ro-RO"/>
        </w:rPr>
        <w:t xml:space="preserve"> cu 83,35%, urmat de </w:t>
      </w:r>
      <w:r w:rsidRPr="00860724">
        <w:rPr>
          <w:b/>
          <w:bCs/>
          <w:kern w:val="28"/>
          <w:lang w:val="ro-RO"/>
        </w:rPr>
        <w:t xml:space="preserve">Parchetul de pe lângă Curtea de apel Craiova </w:t>
      </w:r>
      <w:r w:rsidRPr="00860724">
        <w:rPr>
          <w:kern w:val="28"/>
          <w:lang w:val="ro-RO"/>
        </w:rPr>
        <w:t xml:space="preserve">cu 78,53%. </w:t>
      </w:r>
      <w:r w:rsidRPr="00860724">
        <w:rPr>
          <w:b/>
          <w:kern w:val="28"/>
          <w:lang w:val="ro-RO"/>
        </w:rPr>
        <w:t>Operativitatea cea mai mică</w:t>
      </w:r>
      <w:r w:rsidRPr="00860724">
        <w:rPr>
          <w:kern w:val="28"/>
          <w:lang w:val="ro-RO"/>
        </w:rPr>
        <w:t xml:space="preserve"> a înregistrat-o </w:t>
      </w:r>
      <w:r w:rsidRPr="00860724">
        <w:rPr>
          <w:b/>
          <w:kern w:val="28"/>
          <w:lang w:val="ro-RO"/>
        </w:rPr>
        <w:t>Parchetul de pe lângă Curtea de apel Constanta,</w:t>
      </w:r>
      <w:r w:rsidRPr="00860724">
        <w:rPr>
          <w:kern w:val="28"/>
          <w:lang w:val="ro-RO"/>
        </w:rPr>
        <w:t xml:space="preserve"> cu un procent de 48,64%.</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Media naţională a cauzelor penale soluţionate la parchetele de acest rang în anul </w:t>
      </w:r>
      <w:smartTag w:uri="urn:schemas-microsoft-com:office:smarttags" w:element="metricconverter">
        <w:smartTagPr>
          <w:attr w:name="ProductID" w:val="2017 a"/>
        </w:smartTagPr>
        <w:r w:rsidRPr="00860724">
          <w:rPr>
            <w:kern w:val="28"/>
            <w:lang w:val="ro-RO"/>
          </w:rPr>
          <w:t>2017 a</w:t>
        </w:r>
      </w:smartTag>
      <w:r w:rsidRPr="00860724">
        <w:rPr>
          <w:kern w:val="28"/>
          <w:lang w:val="ro-RO"/>
        </w:rPr>
        <w:t xml:space="preserve"> fost de 45,29 de dosare pe procuror</w:t>
      </w:r>
      <w:r w:rsidRPr="00860724">
        <w:rPr>
          <w:b/>
          <w:kern w:val="28"/>
          <w:lang w:val="ro-RO"/>
        </w:rPr>
        <w:t xml:space="preserve"> </w:t>
      </w:r>
      <w:r w:rsidRPr="00860724">
        <w:rPr>
          <w:kern w:val="28"/>
          <w:lang w:val="ro-RO"/>
        </w:rPr>
        <w:t xml:space="preserve"> şi de 82,50 de dosare soluţionate pe procuror dacă se iau în calcul doar procurorii care au lucrat efectiv la soluționarea cauzelor penale.</w:t>
      </w:r>
    </w:p>
    <w:p w:rsidR="00D60C7C" w:rsidRPr="00860724" w:rsidRDefault="00D60C7C" w:rsidP="009A2435">
      <w:pPr>
        <w:spacing w:before="120" w:line="276" w:lineRule="auto"/>
        <w:ind w:firstLine="720"/>
        <w:jc w:val="both"/>
        <w:rPr>
          <w:kern w:val="28"/>
          <w:lang w:val="ro-RO"/>
        </w:rPr>
      </w:pPr>
    </w:p>
    <w:p w:rsidR="00D60C7C" w:rsidRPr="00860724" w:rsidRDefault="00D60C7C" w:rsidP="009A2435">
      <w:pPr>
        <w:pStyle w:val="Titlu3"/>
        <w:rPr>
          <w:kern w:val="28"/>
        </w:rPr>
      </w:pPr>
      <w:bookmarkStart w:id="63" w:name="_Toc506288027"/>
      <w:r w:rsidRPr="00860724">
        <w:rPr>
          <w:kern w:val="28"/>
        </w:rPr>
        <w:t>II.3.3. Operativitatea la nivelul parchetelor de pe lângă tribunale</w:t>
      </w:r>
      <w:bookmarkEnd w:id="63"/>
    </w:p>
    <w:p w:rsidR="00D60C7C" w:rsidRPr="00860724" w:rsidRDefault="00D60C7C" w:rsidP="009A2435">
      <w:pPr>
        <w:spacing w:before="120" w:line="276" w:lineRule="auto"/>
        <w:ind w:firstLine="720"/>
        <w:jc w:val="both"/>
        <w:rPr>
          <w:b/>
          <w:kern w:val="28"/>
          <w:lang w:val="ro-RO"/>
        </w:rPr>
      </w:pPr>
      <w:r w:rsidRPr="00860724">
        <w:rPr>
          <w:kern w:val="28"/>
          <w:lang w:val="ro-RO"/>
        </w:rPr>
        <w:t>Dintre cele 342798 de</w:t>
      </w:r>
      <w:r w:rsidRPr="00860724">
        <w:rPr>
          <w:b/>
          <w:i/>
          <w:kern w:val="28"/>
          <w:lang w:val="ro-RO"/>
        </w:rPr>
        <w:t xml:space="preserve"> </w:t>
      </w:r>
      <w:r w:rsidRPr="00860724">
        <w:rPr>
          <w:kern w:val="28"/>
          <w:lang w:val="ro-RO"/>
        </w:rPr>
        <w:t>lucrări de soluţionat în cursul anului 2017, au fost soluţionate la nivelul parchetelor de pe lângă tribunale un număr de 283372 de lucrări. De asemenea, din totalul de 81888 de dosare penale înregistrate, au fost soluţionate 35774 de cauze</w:t>
      </w:r>
      <w:r w:rsidRPr="00860724">
        <w:rPr>
          <w:b/>
          <w:kern w:val="28"/>
          <w:lang w:val="ro-RO"/>
        </w:rPr>
        <w:t>.</w:t>
      </w:r>
    </w:p>
    <w:p w:rsidR="00D60C7C" w:rsidRPr="00860724" w:rsidRDefault="00D60C7C" w:rsidP="009A2435">
      <w:pPr>
        <w:spacing w:before="120" w:line="276" w:lineRule="auto"/>
        <w:ind w:firstLine="720"/>
        <w:jc w:val="both"/>
        <w:rPr>
          <w:kern w:val="28"/>
          <w:lang w:val="ro-RO"/>
        </w:rPr>
      </w:pPr>
      <w:r w:rsidRPr="00860724">
        <w:rPr>
          <w:kern w:val="28"/>
          <w:lang w:val="ro-RO"/>
        </w:rPr>
        <w:t>În procente, operativitatea generală a fost determinată la 82,66 %</w:t>
      </w:r>
      <w:r w:rsidRPr="00860724">
        <w:rPr>
          <w:b/>
          <w:kern w:val="28"/>
          <w:lang w:val="ro-RO"/>
        </w:rPr>
        <w:t xml:space="preserve"> </w:t>
      </w:r>
      <w:r w:rsidRPr="00860724">
        <w:rPr>
          <w:kern w:val="28"/>
          <w:lang w:val="ro-RO"/>
        </w:rPr>
        <w:t>pentru lucrări, respectiv</w:t>
      </w:r>
      <w:r w:rsidRPr="00860724">
        <w:rPr>
          <w:b/>
          <w:kern w:val="28"/>
          <w:lang w:val="ro-RO"/>
        </w:rPr>
        <w:t xml:space="preserve"> </w:t>
      </w:r>
      <w:r w:rsidRPr="00860724">
        <w:rPr>
          <w:kern w:val="28"/>
          <w:lang w:val="ro-RO"/>
        </w:rPr>
        <w:t>la</w:t>
      </w:r>
      <w:r w:rsidRPr="00860724">
        <w:rPr>
          <w:b/>
          <w:kern w:val="28"/>
          <w:lang w:val="ro-RO"/>
        </w:rPr>
        <w:t xml:space="preserve"> </w:t>
      </w:r>
      <w:r w:rsidRPr="00860724">
        <w:rPr>
          <w:kern w:val="28"/>
          <w:lang w:val="ro-RO"/>
        </w:rPr>
        <w:t>43,68 %</w:t>
      </w:r>
      <w:r w:rsidRPr="00860724">
        <w:rPr>
          <w:b/>
          <w:kern w:val="28"/>
          <w:lang w:val="ro-RO"/>
        </w:rPr>
        <w:t xml:space="preserve"> </w:t>
      </w:r>
      <w:r w:rsidRPr="00860724">
        <w:rPr>
          <w:kern w:val="28"/>
          <w:lang w:val="ro-RO"/>
        </w:rPr>
        <w:t xml:space="preserve">pentru dosare penale. </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În ceea ce priveşte operativitatea calculată în raport cu numărul de dosare de soluționat, cea mai mare operativitate a înregistrat-o </w:t>
      </w:r>
      <w:r w:rsidRPr="00860724">
        <w:rPr>
          <w:b/>
          <w:kern w:val="28"/>
          <w:lang w:val="ro-RO"/>
        </w:rPr>
        <w:t xml:space="preserve">Parchetul de pe lângă Tribunalul Braşov pentru minori si familie  </w:t>
      </w:r>
      <w:r w:rsidRPr="00860724">
        <w:rPr>
          <w:kern w:val="28"/>
          <w:lang w:val="ro-RO"/>
        </w:rPr>
        <w:t xml:space="preserve">cu 70,30%, fiind însă un caz aparte dat fiind numărul mic de cauze  ce trebuiau soluționate (165) </w:t>
      </w:r>
      <w:r w:rsidRPr="00860724">
        <w:rPr>
          <w:b/>
          <w:kern w:val="28"/>
          <w:lang w:val="ro-RO"/>
        </w:rPr>
        <w:t xml:space="preserve">, </w:t>
      </w:r>
      <w:r w:rsidRPr="00860724">
        <w:rPr>
          <w:kern w:val="28"/>
          <w:lang w:val="ro-RO"/>
        </w:rPr>
        <w:t xml:space="preserve">urmat de </w:t>
      </w:r>
      <w:r w:rsidRPr="00860724">
        <w:rPr>
          <w:b/>
          <w:bCs/>
          <w:kern w:val="28"/>
          <w:lang w:val="ro-RO"/>
        </w:rPr>
        <w:t xml:space="preserve">Parchetele de pe lângă Tribunalele Brăila </w:t>
      </w:r>
      <w:r w:rsidRPr="00860724">
        <w:rPr>
          <w:bCs/>
          <w:kern w:val="28"/>
          <w:lang w:val="ro-RO"/>
        </w:rPr>
        <w:t>si</w:t>
      </w:r>
      <w:r w:rsidRPr="00860724">
        <w:rPr>
          <w:b/>
          <w:bCs/>
          <w:kern w:val="28"/>
          <w:lang w:val="ro-RO"/>
        </w:rPr>
        <w:t xml:space="preserve"> Bacău,</w:t>
      </w:r>
      <w:r w:rsidRPr="00860724">
        <w:rPr>
          <w:kern w:val="28"/>
          <w:lang w:val="ro-RO"/>
        </w:rPr>
        <w:t xml:space="preserve"> cu 66,81%, respectiv 65,62%, iar cea mai mică operativitate a fost înregistrată de </w:t>
      </w:r>
      <w:r w:rsidRPr="00860724">
        <w:rPr>
          <w:b/>
          <w:kern w:val="28"/>
          <w:lang w:val="ro-RO"/>
        </w:rPr>
        <w:t>Parchetul de pe lângă Tribunalul Ilfov</w:t>
      </w:r>
      <w:r w:rsidRPr="00860724">
        <w:rPr>
          <w:kern w:val="28"/>
          <w:lang w:val="ro-RO"/>
        </w:rPr>
        <w:t xml:space="preserve"> cu 20,06% şi </w:t>
      </w:r>
      <w:r w:rsidRPr="00860724">
        <w:rPr>
          <w:b/>
          <w:kern w:val="28"/>
          <w:lang w:val="ro-RO"/>
        </w:rPr>
        <w:t xml:space="preserve">Parchetul de pe lângă Tribunalul București </w:t>
      </w:r>
      <w:r w:rsidRPr="00860724">
        <w:rPr>
          <w:kern w:val="28"/>
          <w:lang w:val="ro-RO"/>
        </w:rPr>
        <w:t>cu</w:t>
      </w:r>
      <w:r w:rsidRPr="00860724">
        <w:rPr>
          <w:b/>
          <w:kern w:val="28"/>
          <w:lang w:val="ro-RO"/>
        </w:rPr>
        <w:t xml:space="preserve"> </w:t>
      </w:r>
      <w:r w:rsidRPr="00860724">
        <w:rPr>
          <w:kern w:val="28"/>
          <w:lang w:val="ro-RO"/>
        </w:rPr>
        <w:t>21,47%.</w:t>
      </w:r>
    </w:p>
    <w:p w:rsidR="00D60C7C" w:rsidRPr="00860724" w:rsidRDefault="00D60C7C" w:rsidP="009A2435">
      <w:pPr>
        <w:spacing w:before="120" w:line="276" w:lineRule="auto"/>
        <w:ind w:firstLine="720"/>
        <w:jc w:val="both"/>
        <w:rPr>
          <w:kern w:val="28"/>
          <w:lang w:val="ro-RO"/>
        </w:rPr>
      </w:pPr>
      <w:r w:rsidRPr="00860724">
        <w:rPr>
          <w:kern w:val="28"/>
          <w:lang w:val="ro-RO"/>
        </w:rPr>
        <w:t>Media naţională a cauzelor penale soluţionate pe procuror, înregistrată la nivelul parchetelor de pe lângă tribunale,  a fost de 69,06</w:t>
      </w:r>
      <w:r w:rsidRPr="00860724">
        <w:rPr>
          <w:b/>
          <w:kern w:val="28"/>
          <w:lang w:val="ro-RO"/>
        </w:rPr>
        <w:t xml:space="preserve"> </w:t>
      </w:r>
      <w:r w:rsidRPr="00860724">
        <w:rPr>
          <w:kern w:val="28"/>
          <w:lang w:val="ro-RO"/>
        </w:rPr>
        <w:t>de dosare</w:t>
      </w:r>
      <w:r w:rsidRPr="00860724">
        <w:rPr>
          <w:b/>
          <w:kern w:val="28"/>
          <w:lang w:val="ro-RO"/>
        </w:rPr>
        <w:t xml:space="preserve"> </w:t>
      </w:r>
      <w:r w:rsidRPr="00860724">
        <w:rPr>
          <w:kern w:val="28"/>
          <w:lang w:val="ro-RO"/>
        </w:rPr>
        <w:t>în anul 2017. Dacă aceasta se calculează ținând cont de numărul real de procurori care au soluționat aceste dosare, se va înregistra o medie de dosare soluționate pe procuror de 97,21 de cauze.</w:t>
      </w:r>
    </w:p>
    <w:p w:rsidR="00D60C7C" w:rsidRPr="00860724" w:rsidRDefault="00D60C7C" w:rsidP="009A2435">
      <w:pPr>
        <w:spacing w:before="120" w:line="276" w:lineRule="auto"/>
        <w:ind w:firstLine="720"/>
        <w:jc w:val="both"/>
        <w:rPr>
          <w:b/>
          <w:kern w:val="28"/>
          <w:lang w:val="ro-RO"/>
        </w:rPr>
      </w:pPr>
      <w:r w:rsidRPr="00860724">
        <w:rPr>
          <w:b/>
          <w:kern w:val="28"/>
          <w:lang w:val="ro-RO"/>
        </w:rPr>
        <w:t>Operativitatea la nivelul Parchetului de pe lângă Tribunalul pentru minori şi familie Braşov</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 Din cele </w:t>
      </w:r>
      <w:r w:rsidRPr="00860724">
        <w:rPr>
          <w:b/>
          <w:kern w:val="28"/>
          <w:lang w:val="ro-RO"/>
        </w:rPr>
        <w:t xml:space="preserve">2297 </w:t>
      </w:r>
      <w:r w:rsidRPr="00860724">
        <w:rPr>
          <w:kern w:val="28"/>
          <w:lang w:val="ro-RO"/>
        </w:rPr>
        <w:t xml:space="preserve">de lucrări aflate pe rol în anul 2017, au fost soluţionate </w:t>
      </w:r>
      <w:r w:rsidRPr="00860724">
        <w:rPr>
          <w:b/>
          <w:kern w:val="28"/>
          <w:lang w:val="ro-RO"/>
        </w:rPr>
        <w:t xml:space="preserve">2224 </w:t>
      </w:r>
      <w:r w:rsidRPr="00860724">
        <w:rPr>
          <w:kern w:val="28"/>
          <w:lang w:val="ro-RO"/>
        </w:rPr>
        <w:t xml:space="preserve">de lucrări, rezultând o operativitate de 96,82%, iar în ceea ce priveşte dosarele penale, din cele </w:t>
      </w:r>
      <w:r w:rsidRPr="00860724">
        <w:rPr>
          <w:b/>
          <w:kern w:val="28"/>
          <w:lang w:val="ro-RO"/>
        </w:rPr>
        <w:t xml:space="preserve">165 </w:t>
      </w:r>
      <w:r w:rsidRPr="00860724">
        <w:rPr>
          <w:kern w:val="28"/>
          <w:lang w:val="ro-RO"/>
        </w:rPr>
        <w:t xml:space="preserve">de cauze aflate în lucru au fost finalizate </w:t>
      </w:r>
      <w:r w:rsidRPr="00860724">
        <w:rPr>
          <w:b/>
          <w:kern w:val="28"/>
          <w:lang w:val="ro-RO"/>
        </w:rPr>
        <w:t xml:space="preserve">116 </w:t>
      </w:r>
      <w:r w:rsidRPr="00860724">
        <w:rPr>
          <w:kern w:val="28"/>
          <w:lang w:val="ro-RO"/>
        </w:rPr>
        <w:t>dosare</w:t>
      </w:r>
      <w:r w:rsidRPr="00860724">
        <w:rPr>
          <w:b/>
          <w:kern w:val="28"/>
          <w:lang w:val="ro-RO"/>
        </w:rPr>
        <w:t xml:space="preserve">, </w:t>
      </w:r>
      <w:r w:rsidRPr="00860724">
        <w:rPr>
          <w:kern w:val="28"/>
          <w:lang w:val="ro-RO"/>
        </w:rPr>
        <w:t>ceea ce determină o operativitate de 70,30%. Numărul mediu de cauze soluţionate de cei 2 procurori ai parchetului a fost de 58</w:t>
      </w:r>
      <w:r w:rsidRPr="00860724">
        <w:rPr>
          <w:b/>
          <w:kern w:val="28"/>
          <w:lang w:val="ro-RO"/>
        </w:rPr>
        <w:t xml:space="preserve"> </w:t>
      </w:r>
      <w:r w:rsidRPr="00860724">
        <w:rPr>
          <w:kern w:val="28"/>
          <w:lang w:val="ro-RO"/>
        </w:rPr>
        <w:t>de dosare pe procuror</w:t>
      </w:r>
      <w:r w:rsidRPr="00860724">
        <w:rPr>
          <w:b/>
          <w:kern w:val="28"/>
          <w:lang w:val="ro-RO"/>
        </w:rPr>
        <w:t>.</w:t>
      </w:r>
    </w:p>
    <w:p w:rsidR="00D60C7C" w:rsidRPr="00860724" w:rsidRDefault="00D60C7C" w:rsidP="009A2435">
      <w:pPr>
        <w:spacing w:before="120" w:line="276" w:lineRule="auto"/>
        <w:ind w:firstLine="720"/>
        <w:jc w:val="both"/>
        <w:rPr>
          <w:kern w:val="28"/>
          <w:lang w:val="ro-RO"/>
        </w:rPr>
      </w:pPr>
    </w:p>
    <w:p w:rsidR="00D60C7C" w:rsidRPr="00860724" w:rsidRDefault="00D60C7C" w:rsidP="009A2435">
      <w:pPr>
        <w:pStyle w:val="Titlu3"/>
        <w:rPr>
          <w:kern w:val="28"/>
        </w:rPr>
      </w:pPr>
      <w:bookmarkStart w:id="64" w:name="_Toc506288028"/>
      <w:r w:rsidRPr="00860724">
        <w:rPr>
          <w:kern w:val="28"/>
        </w:rPr>
        <w:t>II.3.4. Operativitatea la nivelul parchetelor de pe lângă judecătorii</w:t>
      </w:r>
      <w:bookmarkEnd w:id="64"/>
    </w:p>
    <w:p w:rsidR="00D60C7C" w:rsidRPr="00860724" w:rsidRDefault="00D60C7C" w:rsidP="009A2435">
      <w:pPr>
        <w:spacing w:before="120" w:line="276" w:lineRule="auto"/>
        <w:ind w:firstLine="720"/>
        <w:jc w:val="both"/>
        <w:rPr>
          <w:kern w:val="28"/>
          <w:lang w:val="ro-RO"/>
        </w:rPr>
      </w:pPr>
      <w:r w:rsidRPr="00860724">
        <w:rPr>
          <w:kern w:val="28"/>
          <w:lang w:val="ro-RO"/>
        </w:rPr>
        <w:t>Din cele 2631907 lucrări de soluţionat, în cursul anului 2017 au fost soluţionate un număr de 1423225. Din totalul lucrărilor, numărul de dosare de soluţionat a fost de 1613212, dintre acestea fiind soluţionate 472954 de cauze.</w:t>
      </w:r>
    </w:p>
    <w:p w:rsidR="00D60C7C" w:rsidRPr="00860724" w:rsidRDefault="00D60C7C" w:rsidP="009A2435">
      <w:pPr>
        <w:spacing w:before="120" w:line="276" w:lineRule="auto"/>
        <w:ind w:firstLine="720"/>
        <w:jc w:val="both"/>
        <w:rPr>
          <w:kern w:val="28"/>
          <w:lang w:val="ro-RO"/>
        </w:rPr>
      </w:pPr>
      <w:r w:rsidRPr="00860724">
        <w:rPr>
          <w:kern w:val="28"/>
          <w:lang w:val="ro-RO"/>
        </w:rPr>
        <w:t>Procentual, operativitatea înregistrată a fost de 55,48 %</w:t>
      </w:r>
      <w:r w:rsidRPr="00860724">
        <w:rPr>
          <w:b/>
          <w:kern w:val="28"/>
          <w:lang w:val="ro-RO"/>
        </w:rPr>
        <w:t xml:space="preserve"> </w:t>
      </w:r>
      <w:r w:rsidRPr="00860724">
        <w:rPr>
          <w:kern w:val="28"/>
          <w:lang w:val="ro-RO"/>
        </w:rPr>
        <w:t>raportat la numărul de lucrări, respectiv 29,31% raportat la numărul de  dosare.</w:t>
      </w:r>
    </w:p>
    <w:p w:rsidR="00D60C7C" w:rsidRPr="00860724" w:rsidRDefault="00D60C7C" w:rsidP="009A2435">
      <w:pPr>
        <w:spacing w:before="120" w:line="276" w:lineRule="auto"/>
        <w:ind w:firstLine="720"/>
        <w:jc w:val="both"/>
        <w:rPr>
          <w:kern w:val="28"/>
          <w:lang w:val="ro-RO"/>
        </w:rPr>
      </w:pPr>
      <w:r w:rsidRPr="00860724">
        <w:rPr>
          <w:kern w:val="28"/>
          <w:lang w:val="ro-RO"/>
        </w:rPr>
        <w:t xml:space="preserve">Sub aspectul numărului de dosare soluţionate raportat la volumul de activitate, se remarcă având operativitatea cea mai mare </w:t>
      </w:r>
      <w:r w:rsidRPr="00860724">
        <w:rPr>
          <w:b/>
          <w:bCs/>
          <w:kern w:val="28"/>
          <w:lang w:val="ro-RO"/>
        </w:rPr>
        <w:t xml:space="preserve">Parchetul de pe lângă Judecătoria Podul Turcului </w:t>
      </w:r>
      <w:r w:rsidRPr="00860724">
        <w:rPr>
          <w:bCs/>
          <w:kern w:val="28"/>
          <w:lang w:val="ro-RO"/>
        </w:rPr>
        <w:t>cu 62,93%</w:t>
      </w:r>
      <w:r w:rsidRPr="00860724">
        <w:rPr>
          <w:kern w:val="28"/>
          <w:lang w:val="ro-RO"/>
        </w:rPr>
        <w:t xml:space="preserve"> şi </w:t>
      </w:r>
      <w:r w:rsidRPr="00860724">
        <w:rPr>
          <w:b/>
          <w:bCs/>
          <w:kern w:val="28"/>
          <w:lang w:val="ro-RO"/>
        </w:rPr>
        <w:t>Parchetul de pe lângă Judecătoria Întorsura Buzăului</w:t>
      </w:r>
      <w:r w:rsidRPr="00860724">
        <w:rPr>
          <w:kern w:val="28"/>
          <w:lang w:val="ro-RO"/>
        </w:rPr>
        <w:t xml:space="preserve"> cu 59,90% şi </w:t>
      </w:r>
      <w:r w:rsidRPr="00860724">
        <w:rPr>
          <w:b/>
          <w:bCs/>
          <w:kern w:val="28"/>
          <w:lang w:val="ro-RO"/>
        </w:rPr>
        <w:t>Parchetul de pe lângă Judecătoria Sinaia,</w:t>
      </w:r>
      <w:r w:rsidRPr="00860724">
        <w:rPr>
          <w:kern w:val="28"/>
          <w:lang w:val="ro-RO"/>
        </w:rPr>
        <w:t xml:space="preserve"> cu 59,61%. La polul opus se află Parchetul de pe lângă Judecătoria Babadag cu 0,83% (din 1924 de dosare de soluționat au fost înregistrate ca soluționate doar 16 dosare, explicabil prin faptul că în 2017 la acest parchet a lucrat un singur procuror prin delegație de la Parchetul de pe lângă Tribunalul Tulcea, activitatea acestuia fiind în consecință evidențiată statistic la parchetul care l-a delegat), Parchetul de pe lângă Judecătoria Feteşti cu 13,67% şi Parchetul de pe lângă judecătoria Sector 3 Bucureşti cu o operativitate de 15,39%.</w:t>
      </w:r>
    </w:p>
    <w:p w:rsidR="00D60C7C" w:rsidRPr="00860724" w:rsidRDefault="00D60C7C" w:rsidP="009A2435">
      <w:pPr>
        <w:spacing w:before="120" w:line="276" w:lineRule="auto"/>
        <w:ind w:firstLine="720"/>
        <w:jc w:val="both"/>
        <w:rPr>
          <w:b/>
          <w:i/>
          <w:kern w:val="28"/>
          <w:lang w:val="ro-RO"/>
        </w:rPr>
      </w:pPr>
      <w:r w:rsidRPr="00860724">
        <w:rPr>
          <w:kern w:val="28"/>
          <w:lang w:val="ro-RO"/>
        </w:rPr>
        <w:t xml:space="preserve">Media naţională înregistrată la nivelul parchetelor de pe lângă judecătorii şi referitoare la cauzele penale soluţionate pe procuror  a fost de </w:t>
      </w:r>
      <w:r w:rsidRPr="00860724">
        <w:rPr>
          <w:bCs/>
          <w:kern w:val="28"/>
          <w:lang w:val="ro-RO"/>
        </w:rPr>
        <w:t>457,85</w:t>
      </w:r>
      <w:r w:rsidRPr="00860724">
        <w:rPr>
          <w:b/>
          <w:bCs/>
          <w:kern w:val="28"/>
          <w:lang w:val="ro-RO"/>
        </w:rPr>
        <w:t xml:space="preserve"> </w:t>
      </w:r>
      <w:r w:rsidRPr="00860724">
        <w:rPr>
          <w:bCs/>
          <w:kern w:val="28"/>
          <w:lang w:val="ro-RO"/>
        </w:rPr>
        <w:t>de dosare</w:t>
      </w:r>
      <w:r w:rsidRPr="00860724">
        <w:rPr>
          <w:kern w:val="28"/>
          <w:lang w:val="ro-RO"/>
        </w:rPr>
        <w:t>.</w:t>
      </w:r>
    </w:p>
    <w:p w:rsidR="00D60C7C" w:rsidRPr="00860724" w:rsidRDefault="00D60C7C" w:rsidP="009A2435">
      <w:pPr>
        <w:spacing w:before="120" w:line="276" w:lineRule="auto"/>
        <w:ind w:firstLine="720"/>
        <w:jc w:val="both"/>
        <w:rPr>
          <w:kern w:val="28"/>
          <w:lang w:val="ro-RO"/>
        </w:rPr>
      </w:pPr>
      <w:r w:rsidRPr="00860724">
        <w:rPr>
          <w:kern w:val="28"/>
          <w:lang w:val="ro-RO"/>
        </w:rPr>
        <w:t>Operativitatea la nivelul Parchetelor Militare s-a ridicat în anul 2017 la 76,18% în ceea ce priveşte numărul de lucrări soluționate şi la 50,63 % în ceea ce priveşte numărul de dosare penale.</w:t>
      </w:r>
    </w:p>
    <w:p w:rsidR="00D60C7C" w:rsidRPr="00860724" w:rsidRDefault="00D60C7C" w:rsidP="009A2435">
      <w:pPr>
        <w:spacing w:before="120" w:line="276" w:lineRule="auto"/>
        <w:ind w:firstLine="720"/>
        <w:jc w:val="both"/>
        <w:rPr>
          <w:kern w:val="28"/>
          <w:lang w:val="ro-RO"/>
        </w:rPr>
      </w:pPr>
      <w:r w:rsidRPr="00860724">
        <w:rPr>
          <w:kern w:val="28"/>
          <w:lang w:val="ro-RO"/>
        </w:rPr>
        <w:t>O privire comparativă asupra operativităţii pe grade jurisicţionale la parchete se regăseşte în graficul de mai jos:</w:t>
      </w:r>
    </w:p>
    <w:p w:rsidR="00D60C7C" w:rsidRPr="00860724" w:rsidRDefault="00D60C7C" w:rsidP="00D60C7C">
      <w:pPr>
        <w:rPr>
          <w:lang w:val="ro-RO" w:eastAsia="x-none"/>
        </w:rPr>
      </w:pPr>
      <w:r w:rsidRPr="00860724">
        <w:rPr>
          <w:b/>
          <w:noProof/>
          <w:lang w:val="ro-RO" w:eastAsia="ro-RO"/>
        </w:rPr>
        <w:drawing>
          <wp:inline distT="0" distB="0" distL="0" distR="0" wp14:anchorId="702A2DF1" wp14:editId="1D316DC4">
            <wp:extent cx="6012180" cy="2369820"/>
            <wp:effectExtent l="0" t="0" r="7620" b="11430"/>
            <wp:docPr id="26" name="Char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625F9B" w:rsidRPr="00860724" w:rsidRDefault="00B452B9" w:rsidP="001B17AE">
      <w:pPr>
        <w:pStyle w:val="Titlu2"/>
      </w:pPr>
      <w:bookmarkStart w:id="65" w:name="_Toc504987131"/>
      <w:r w:rsidRPr="00860724">
        <w:t>I</w:t>
      </w:r>
      <w:r w:rsidR="006F2993" w:rsidRPr="00860724">
        <w:t xml:space="preserve">I.4. Ponderea cauzelor restituite de către instanţele de judecată în vederea </w:t>
      </w:r>
      <w:r w:rsidR="00616298" w:rsidRPr="00860724">
        <w:t>refacerii urmării penale din</w:t>
      </w:r>
      <w:r w:rsidR="006F2993" w:rsidRPr="00860724">
        <w:t xml:space="preserve"> totalul trimiterilor în judecată</w:t>
      </w:r>
      <w:bookmarkEnd w:id="65"/>
    </w:p>
    <w:p w:rsidR="00D60C7C" w:rsidRPr="00860724" w:rsidRDefault="00D60C7C" w:rsidP="001B17AE">
      <w:pPr>
        <w:spacing w:line="276" w:lineRule="auto"/>
        <w:ind w:firstLine="684"/>
        <w:jc w:val="both"/>
        <w:rPr>
          <w:lang w:val="ro-RO"/>
        </w:rPr>
      </w:pPr>
      <w:r w:rsidRPr="00860724">
        <w:rPr>
          <w:lang w:val="ro-RO"/>
        </w:rPr>
        <w:t xml:space="preserve">În ceea ce priveşte </w:t>
      </w:r>
      <w:r w:rsidRPr="00860724">
        <w:rPr>
          <w:bCs/>
          <w:lang w:val="ro-RO"/>
        </w:rPr>
        <w:t>ponderea cauzelor restituite de către instanţele de judecată în vederea refacerii urmăririi penale,</w:t>
      </w:r>
      <w:r w:rsidRPr="00860724">
        <w:rPr>
          <w:b/>
          <w:bCs/>
          <w:lang w:val="ro-RO"/>
        </w:rPr>
        <w:t xml:space="preserve"> </w:t>
      </w:r>
      <w:r w:rsidRPr="00860724">
        <w:rPr>
          <w:lang w:val="ro-RO"/>
        </w:rPr>
        <w:t>datele statistice se prezintă astfel:</w:t>
      </w:r>
    </w:p>
    <w:tbl>
      <w:tblPr>
        <w:tblW w:w="8653"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456"/>
        <w:gridCol w:w="1342"/>
        <w:gridCol w:w="2697"/>
        <w:gridCol w:w="3158"/>
      </w:tblGrid>
      <w:tr w:rsidR="00D60C7C" w:rsidRPr="00783E42" w:rsidTr="00D60C7C">
        <w:trPr>
          <w:trHeight w:val="891"/>
          <w:jc w:val="center"/>
        </w:trPr>
        <w:tc>
          <w:tcPr>
            <w:tcW w:w="1456" w:type="dxa"/>
            <w:vMerge w:val="restart"/>
            <w:tcBorders>
              <w:top w:val="threeDEmboss" w:sz="6" w:space="0" w:color="00B050"/>
              <w:left w:val="threeDEmboss" w:sz="6" w:space="0" w:color="00B050"/>
            </w:tcBorders>
            <w:shd w:val="clear" w:color="auto" w:fill="FCE0C8"/>
            <w:vAlign w:val="center"/>
          </w:tcPr>
          <w:p w:rsidR="00D60C7C" w:rsidRPr="00783E42" w:rsidRDefault="00D60C7C" w:rsidP="00783E42">
            <w:pPr>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ANUL</w:t>
            </w:r>
          </w:p>
        </w:tc>
        <w:tc>
          <w:tcPr>
            <w:tcW w:w="4039" w:type="dxa"/>
            <w:gridSpan w:val="2"/>
            <w:tcBorders>
              <w:top w:val="threeDEmboss" w:sz="6" w:space="0" w:color="00B050"/>
              <w:right w:val="single" w:sz="4" w:space="0" w:color="00B050"/>
            </w:tcBorders>
            <w:shd w:val="clear" w:color="auto" w:fill="FCE0C8"/>
          </w:tcPr>
          <w:p w:rsidR="00D60C7C" w:rsidRPr="00783E42" w:rsidRDefault="00D60C7C" w:rsidP="00783E42">
            <w:pPr>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 xml:space="preserve"> NR. CAUZELOR RESTITUITE DE JUDECĂTORUL DE CAMERĂ PRELIMINARĂ ȘI DE INSTANŢE*</w:t>
            </w:r>
          </w:p>
        </w:tc>
        <w:tc>
          <w:tcPr>
            <w:tcW w:w="3158" w:type="dxa"/>
            <w:vMerge w:val="restart"/>
            <w:tcBorders>
              <w:top w:val="threeDEmboss" w:sz="6" w:space="0" w:color="00B050"/>
              <w:left w:val="single" w:sz="4" w:space="0" w:color="00B050"/>
              <w:bottom w:val="threeDEmboss" w:sz="6" w:space="0" w:color="00B050"/>
              <w:right w:val="threeDEmboss" w:sz="6" w:space="0" w:color="00B050"/>
            </w:tcBorders>
            <w:shd w:val="clear" w:color="auto" w:fill="FCE0C8"/>
          </w:tcPr>
          <w:p w:rsidR="00D60C7C" w:rsidRPr="00783E42" w:rsidRDefault="00D60C7C" w:rsidP="00783E42">
            <w:pPr>
              <w:ind w:left="-25" w:firstLine="25"/>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NR. CAUZELOR  ÎN CARE S-A DISPUS INFIRMAREA</w:t>
            </w:r>
          </w:p>
          <w:p w:rsidR="00D60C7C" w:rsidRPr="00783E42" w:rsidRDefault="00D60C7C" w:rsidP="00783E42">
            <w:pPr>
              <w:tabs>
                <w:tab w:val="left" w:pos="377"/>
              </w:tabs>
              <w:ind w:left="175" w:hanging="175"/>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SAU REDESCHIDEREA</w:t>
            </w:r>
          </w:p>
          <w:p w:rsidR="00D60C7C" w:rsidRPr="00783E42" w:rsidRDefault="00D60C7C" w:rsidP="00783E42">
            <w:pPr>
              <w:ind w:left="-25" w:firstLine="25"/>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 xml:space="preserve">URMĂRIRII PENALE </w:t>
            </w:r>
          </w:p>
          <w:p w:rsidR="00D60C7C" w:rsidRPr="00783E42" w:rsidRDefault="00D60C7C" w:rsidP="00783E42">
            <w:pPr>
              <w:ind w:left="-25" w:firstLine="25"/>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 xml:space="preserve">(inclusiv cele desființate conform art. </w:t>
            </w:r>
            <w:smartTag w:uri="urn:schemas-microsoft-com:office:smarttags" w:element="metricconverter">
              <w:smartTagPr>
                <w:attr w:name="ProductID" w:val="341 C"/>
              </w:smartTagPr>
              <w:r w:rsidRPr="00783E42">
                <w:rPr>
                  <w:rFonts w:asciiTheme="minorHAnsi" w:hAnsiTheme="minorHAnsi" w:cstheme="minorHAnsi"/>
                  <w:b/>
                  <w:color w:val="7030A0"/>
                  <w:sz w:val="22"/>
                  <w:szCs w:val="22"/>
                  <w:lang w:val="ro-RO"/>
                </w:rPr>
                <w:t>341 C</w:t>
              </w:r>
            </w:smartTag>
            <w:r w:rsidRPr="00783E42">
              <w:rPr>
                <w:rFonts w:asciiTheme="minorHAnsi" w:hAnsiTheme="minorHAnsi" w:cstheme="minorHAnsi"/>
                <w:b/>
                <w:color w:val="7030A0"/>
                <w:sz w:val="22"/>
                <w:szCs w:val="22"/>
                <w:lang w:val="ro-RO"/>
              </w:rPr>
              <w:t>.p.p.)</w:t>
            </w:r>
          </w:p>
        </w:tc>
      </w:tr>
      <w:tr w:rsidR="00D60C7C" w:rsidRPr="00783E42" w:rsidTr="00D60C7C">
        <w:trPr>
          <w:trHeight w:val="407"/>
          <w:jc w:val="center"/>
        </w:trPr>
        <w:tc>
          <w:tcPr>
            <w:tcW w:w="1456" w:type="dxa"/>
            <w:vMerge/>
            <w:tcBorders>
              <w:left w:val="threeDEmboss" w:sz="6" w:space="0" w:color="00B050"/>
              <w:bottom w:val="threeDEmboss" w:sz="6" w:space="0" w:color="00B050"/>
            </w:tcBorders>
            <w:shd w:val="clear" w:color="auto" w:fill="FCE0C8"/>
          </w:tcPr>
          <w:p w:rsidR="00D60C7C" w:rsidRPr="00783E42" w:rsidRDefault="00D60C7C" w:rsidP="00783E42">
            <w:pPr>
              <w:jc w:val="center"/>
              <w:rPr>
                <w:rFonts w:asciiTheme="minorHAnsi" w:hAnsiTheme="minorHAnsi" w:cstheme="minorHAnsi"/>
                <w:b/>
                <w:color w:val="7030A0"/>
                <w:sz w:val="22"/>
                <w:szCs w:val="22"/>
                <w:lang w:val="ro-RO"/>
              </w:rPr>
            </w:pPr>
          </w:p>
        </w:tc>
        <w:tc>
          <w:tcPr>
            <w:tcW w:w="1342" w:type="dxa"/>
            <w:tcBorders>
              <w:bottom w:val="threeDEmboss" w:sz="6" w:space="0" w:color="00B050"/>
            </w:tcBorders>
            <w:shd w:val="clear" w:color="auto" w:fill="FCE0C8"/>
            <w:vAlign w:val="center"/>
          </w:tcPr>
          <w:p w:rsidR="00D60C7C" w:rsidRPr="00783E42" w:rsidRDefault="00D60C7C" w:rsidP="00783E42">
            <w:pPr>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TOTAL,</w:t>
            </w:r>
          </w:p>
          <w:p w:rsidR="00D60C7C" w:rsidRPr="00783E42" w:rsidRDefault="00D60C7C" w:rsidP="00783E42">
            <w:pPr>
              <w:jc w:val="center"/>
              <w:rPr>
                <w:rFonts w:asciiTheme="minorHAnsi" w:hAnsiTheme="minorHAnsi" w:cstheme="minorHAnsi"/>
                <w:color w:val="7030A0"/>
                <w:sz w:val="22"/>
                <w:szCs w:val="22"/>
                <w:lang w:val="ro-RO"/>
              </w:rPr>
            </w:pPr>
            <w:r w:rsidRPr="00783E42">
              <w:rPr>
                <w:rFonts w:asciiTheme="minorHAnsi" w:hAnsiTheme="minorHAnsi" w:cstheme="minorHAnsi"/>
                <w:b/>
                <w:color w:val="7030A0"/>
                <w:sz w:val="22"/>
                <w:szCs w:val="22"/>
                <w:lang w:val="ro-RO"/>
              </w:rPr>
              <w:t>din care:</w:t>
            </w:r>
          </w:p>
        </w:tc>
        <w:tc>
          <w:tcPr>
            <w:tcW w:w="2697" w:type="dxa"/>
            <w:tcBorders>
              <w:bottom w:val="threeDEmboss" w:sz="6" w:space="0" w:color="00B050"/>
              <w:right w:val="single" w:sz="4" w:space="0" w:color="00B050"/>
            </w:tcBorders>
            <w:shd w:val="clear" w:color="auto" w:fill="FCE0C8"/>
            <w:vAlign w:val="center"/>
          </w:tcPr>
          <w:p w:rsidR="00D60C7C" w:rsidRPr="00783E42" w:rsidRDefault="00D60C7C" w:rsidP="00783E42">
            <w:pPr>
              <w:jc w:val="center"/>
              <w:rPr>
                <w:rFonts w:asciiTheme="minorHAnsi" w:hAnsiTheme="minorHAnsi" w:cstheme="minorHAnsi"/>
                <w:color w:val="7030A0"/>
                <w:sz w:val="22"/>
                <w:szCs w:val="22"/>
                <w:lang w:val="ro-RO"/>
              </w:rPr>
            </w:pPr>
            <w:r w:rsidRPr="00783E42">
              <w:rPr>
                <w:rFonts w:asciiTheme="minorHAnsi" w:hAnsiTheme="minorHAnsi" w:cstheme="minorHAnsi"/>
                <w:color w:val="7030A0"/>
                <w:sz w:val="22"/>
                <w:szCs w:val="22"/>
                <w:lang w:val="ro-RO"/>
              </w:rPr>
              <w:t>pondere în total cauze soluţionate prin trimitere în judecată (prin rechizitoriu și acord de recunoaștere a vinovăției) %</w:t>
            </w:r>
          </w:p>
        </w:tc>
        <w:tc>
          <w:tcPr>
            <w:tcW w:w="3158" w:type="dxa"/>
            <w:vMerge/>
            <w:tcBorders>
              <w:left w:val="single" w:sz="4" w:space="0" w:color="00B050"/>
              <w:bottom w:val="threeDEmboss" w:sz="6" w:space="0" w:color="00B050"/>
              <w:right w:val="threeDEmboss" w:sz="6" w:space="0" w:color="00B050"/>
            </w:tcBorders>
            <w:shd w:val="clear" w:color="auto" w:fill="E6E6E6"/>
          </w:tcPr>
          <w:p w:rsidR="00D60C7C" w:rsidRPr="00783E42" w:rsidRDefault="00D60C7C" w:rsidP="00783E42">
            <w:pPr>
              <w:ind w:left="207"/>
              <w:jc w:val="center"/>
              <w:rPr>
                <w:rFonts w:asciiTheme="minorHAnsi" w:hAnsiTheme="minorHAnsi" w:cstheme="minorHAnsi"/>
                <w:color w:val="7030A0"/>
                <w:sz w:val="22"/>
                <w:szCs w:val="22"/>
                <w:lang w:val="ro-RO"/>
              </w:rPr>
            </w:pP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2008</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139</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0,41</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4.527</w:t>
            </w: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2009</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93</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0,24</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4.655</w:t>
            </w: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2010</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74</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0,18</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4.672</w:t>
            </w: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2011</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78</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0,18</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5.634</w:t>
            </w: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2012</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77</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0,18</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5.143</w:t>
            </w:r>
          </w:p>
        </w:tc>
      </w:tr>
      <w:tr w:rsidR="00D60C7C" w:rsidRPr="00783E42" w:rsidTr="00D60C7C">
        <w:trPr>
          <w:jc w:val="center"/>
        </w:trPr>
        <w:tc>
          <w:tcPr>
            <w:tcW w:w="1456" w:type="dxa"/>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2013</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49</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0,10</w:t>
            </w:r>
          </w:p>
        </w:tc>
        <w:tc>
          <w:tcPr>
            <w:tcW w:w="3158" w:type="dxa"/>
            <w:vAlign w:val="center"/>
          </w:tcPr>
          <w:p w:rsidR="00D60C7C" w:rsidRPr="00783E42" w:rsidRDefault="00D60C7C" w:rsidP="00783E42">
            <w:pPr>
              <w:jc w:val="center"/>
              <w:rPr>
                <w:rFonts w:asciiTheme="minorHAnsi" w:hAnsiTheme="minorHAnsi" w:cstheme="minorHAnsi"/>
                <w:color w:val="000000"/>
                <w:sz w:val="22"/>
                <w:szCs w:val="22"/>
                <w:lang w:val="ro-RO"/>
              </w:rPr>
            </w:pPr>
            <w:r w:rsidRPr="00783E42">
              <w:rPr>
                <w:rFonts w:asciiTheme="minorHAnsi" w:hAnsiTheme="minorHAnsi" w:cstheme="minorHAnsi"/>
                <w:color w:val="000000"/>
                <w:sz w:val="22"/>
                <w:szCs w:val="22"/>
                <w:lang w:val="ro-RO"/>
              </w:rPr>
              <w:t>5.577</w:t>
            </w:r>
          </w:p>
        </w:tc>
      </w:tr>
      <w:tr w:rsidR="00D60C7C" w:rsidRPr="00783E42" w:rsidTr="00D60C7C">
        <w:trPr>
          <w:jc w:val="center"/>
        </w:trPr>
        <w:tc>
          <w:tcPr>
            <w:tcW w:w="1456" w:type="dxa"/>
          </w:tcPr>
          <w:p w:rsidR="00D60C7C" w:rsidRPr="00783E42" w:rsidRDefault="00D60C7C" w:rsidP="00783E42">
            <w:pPr>
              <w:rPr>
                <w:rFonts w:asciiTheme="minorHAnsi" w:hAnsiTheme="minorHAnsi" w:cstheme="minorHAnsi"/>
                <w:sz w:val="22"/>
                <w:szCs w:val="22"/>
                <w:lang w:val="ro-RO"/>
              </w:rPr>
            </w:pPr>
            <w:r w:rsidRPr="00783E42">
              <w:rPr>
                <w:rFonts w:asciiTheme="minorHAnsi" w:hAnsiTheme="minorHAnsi" w:cstheme="minorHAnsi"/>
                <w:sz w:val="22"/>
                <w:szCs w:val="22"/>
                <w:lang w:val="ro-RO"/>
              </w:rPr>
              <w:t xml:space="preserve">        2014</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161</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0,44</w:t>
            </w:r>
          </w:p>
        </w:tc>
        <w:tc>
          <w:tcPr>
            <w:tcW w:w="3158" w:type="dxa"/>
            <w:vAlign w:val="center"/>
          </w:tcPr>
          <w:p w:rsidR="00D60C7C" w:rsidRPr="00783E42" w:rsidRDefault="00D60C7C" w:rsidP="00783E42">
            <w:pPr>
              <w:widowControl w:val="0"/>
              <w:autoSpaceDE w:val="0"/>
              <w:autoSpaceDN w:val="0"/>
              <w:adjustRightInd w:val="0"/>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4.319</w:t>
            </w:r>
          </w:p>
        </w:tc>
      </w:tr>
      <w:tr w:rsidR="00D60C7C" w:rsidRPr="00783E42" w:rsidTr="00D60C7C">
        <w:trPr>
          <w:jc w:val="center"/>
        </w:trPr>
        <w:tc>
          <w:tcPr>
            <w:tcW w:w="1456" w:type="dxa"/>
          </w:tcPr>
          <w:p w:rsidR="00D60C7C" w:rsidRPr="00783E42" w:rsidRDefault="00D60C7C" w:rsidP="00783E42">
            <w:pPr>
              <w:rPr>
                <w:rFonts w:asciiTheme="minorHAnsi" w:hAnsiTheme="minorHAnsi" w:cstheme="minorHAnsi"/>
                <w:sz w:val="22"/>
                <w:szCs w:val="22"/>
                <w:lang w:val="ro-RO"/>
              </w:rPr>
            </w:pPr>
            <w:r w:rsidRPr="00783E42">
              <w:rPr>
                <w:rFonts w:asciiTheme="minorHAnsi" w:hAnsiTheme="minorHAnsi" w:cstheme="minorHAnsi"/>
                <w:sz w:val="22"/>
                <w:szCs w:val="22"/>
                <w:lang w:val="ro-RO"/>
              </w:rPr>
              <w:t xml:space="preserve">        2015</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218</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0,51</w:t>
            </w:r>
          </w:p>
        </w:tc>
        <w:tc>
          <w:tcPr>
            <w:tcW w:w="3158" w:type="dxa"/>
            <w:vAlign w:val="center"/>
          </w:tcPr>
          <w:p w:rsidR="00D60C7C" w:rsidRPr="00783E42" w:rsidRDefault="00D60C7C" w:rsidP="00783E42">
            <w:pPr>
              <w:widowControl w:val="0"/>
              <w:autoSpaceDE w:val="0"/>
              <w:autoSpaceDN w:val="0"/>
              <w:adjustRightInd w:val="0"/>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4.211</w:t>
            </w:r>
          </w:p>
        </w:tc>
      </w:tr>
      <w:tr w:rsidR="00D60C7C" w:rsidRPr="00783E42" w:rsidTr="00D60C7C">
        <w:trPr>
          <w:jc w:val="center"/>
        </w:trPr>
        <w:tc>
          <w:tcPr>
            <w:tcW w:w="1456" w:type="dxa"/>
          </w:tcPr>
          <w:p w:rsidR="00D60C7C" w:rsidRPr="00783E42" w:rsidRDefault="00D60C7C" w:rsidP="00783E42">
            <w:pPr>
              <w:rPr>
                <w:rFonts w:asciiTheme="minorHAnsi" w:hAnsiTheme="minorHAnsi" w:cstheme="minorHAnsi"/>
                <w:sz w:val="22"/>
                <w:szCs w:val="22"/>
                <w:lang w:val="ro-RO"/>
              </w:rPr>
            </w:pPr>
            <w:r w:rsidRPr="00783E42">
              <w:rPr>
                <w:rFonts w:asciiTheme="minorHAnsi" w:hAnsiTheme="minorHAnsi" w:cstheme="minorHAnsi"/>
                <w:sz w:val="22"/>
                <w:szCs w:val="22"/>
                <w:lang w:val="ro-RO"/>
              </w:rPr>
              <w:t xml:space="preserve">        2016</w:t>
            </w:r>
          </w:p>
        </w:tc>
        <w:tc>
          <w:tcPr>
            <w:tcW w:w="1342"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219</w:t>
            </w:r>
          </w:p>
        </w:tc>
        <w:tc>
          <w:tcPr>
            <w:tcW w:w="2697" w:type="dxa"/>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0,46</w:t>
            </w:r>
          </w:p>
        </w:tc>
        <w:tc>
          <w:tcPr>
            <w:tcW w:w="3158" w:type="dxa"/>
            <w:vAlign w:val="center"/>
          </w:tcPr>
          <w:p w:rsidR="00D60C7C" w:rsidRPr="00783E42" w:rsidRDefault="00D60C7C" w:rsidP="00783E42">
            <w:pPr>
              <w:widowControl w:val="0"/>
              <w:autoSpaceDE w:val="0"/>
              <w:autoSpaceDN w:val="0"/>
              <w:adjustRightInd w:val="0"/>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5.050</w:t>
            </w:r>
          </w:p>
        </w:tc>
      </w:tr>
      <w:tr w:rsidR="00D60C7C" w:rsidRPr="00783E42" w:rsidTr="00D60C7C">
        <w:trPr>
          <w:jc w:val="center"/>
        </w:trPr>
        <w:tc>
          <w:tcPr>
            <w:tcW w:w="1456" w:type="dxa"/>
            <w:tcBorders>
              <w:bottom w:val="threeDEmboss" w:sz="6" w:space="0" w:color="00B050"/>
            </w:tcBorders>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2017</w:t>
            </w:r>
          </w:p>
        </w:tc>
        <w:tc>
          <w:tcPr>
            <w:tcW w:w="1342" w:type="dxa"/>
            <w:tcBorders>
              <w:bottom w:val="threeDEmboss" w:sz="6" w:space="0" w:color="00B050"/>
            </w:tcBorders>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215</w:t>
            </w:r>
          </w:p>
        </w:tc>
        <w:tc>
          <w:tcPr>
            <w:tcW w:w="2697" w:type="dxa"/>
            <w:tcBorders>
              <w:bottom w:val="threeDEmboss" w:sz="6" w:space="0" w:color="00B050"/>
            </w:tcBorders>
            <w:vAlign w:val="center"/>
          </w:tcPr>
          <w:p w:rsidR="00D60C7C" w:rsidRPr="00783E42" w:rsidRDefault="00D60C7C" w:rsidP="00783E42">
            <w:pPr>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0,47</w:t>
            </w:r>
          </w:p>
        </w:tc>
        <w:tc>
          <w:tcPr>
            <w:tcW w:w="3158" w:type="dxa"/>
            <w:tcBorders>
              <w:bottom w:val="threeDEmboss" w:sz="6" w:space="0" w:color="00B050"/>
            </w:tcBorders>
            <w:vAlign w:val="center"/>
          </w:tcPr>
          <w:p w:rsidR="00D60C7C" w:rsidRPr="00783E42" w:rsidRDefault="00D60C7C" w:rsidP="00783E42">
            <w:pPr>
              <w:widowControl w:val="0"/>
              <w:autoSpaceDE w:val="0"/>
              <w:autoSpaceDN w:val="0"/>
              <w:adjustRightInd w:val="0"/>
              <w:jc w:val="center"/>
              <w:rPr>
                <w:rFonts w:asciiTheme="minorHAnsi" w:hAnsiTheme="minorHAnsi" w:cstheme="minorHAnsi"/>
                <w:sz w:val="22"/>
                <w:szCs w:val="22"/>
                <w:lang w:val="ro-RO"/>
              </w:rPr>
            </w:pPr>
            <w:r w:rsidRPr="00783E42">
              <w:rPr>
                <w:rFonts w:asciiTheme="minorHAnsi" w:hAnsiTheme="minorHAnsi" w:cstheme="minorHAnsi"/>
                <w:sz w:val="22"/>
                <w:szCs w:val="22"/>
                <w:lang w:val="ro-RO"/>
              </w:rPr>
              <w:t>5.302</w:t>
            </w:r>
          </w:p>
        </w:tc>
      </w:tr>
      <w:tr w:rsidR="00D60C7C" w:rsidRPr="00783E42" w:rsidTr="00D60C7C">
        <w:trPr>
          <w:jc w:val="center"/>
        </w:trPr>
        <w:tc>
          <w:tcPr>
            <w:tcW w:w="1456" w:type="dxa"/>
            <w:tcBorders>
              <w:top w:val="threeDEmboss" w:sz="6" w:space="0" w:color="00B050"/>
              <w:left w:val="threeDEmboss" w:sz="6" w:space="0" w:color="00B050"/>
              <w:bottom w:val="threeDEmboss" w:sz="6" w:space="0" w:color="00B050"/>
            </w:tcBorders>
            <w:shd w:val="clear" w:color="auto" w:fill="FCE0C8"/>
          </w:tcPr>
          <w:p w:rsidR="00D60C7C" w:rsidRPr="00783E42" w:rsidRDefault="00D60C7C" w:rsidP="00783E42">
            <w:pPr>
              <w:rPr>
                <w:rFonts w:asciiTheme="minorHAnsi" w:hAnsiTheme="minorHAnsi" w:cstheme="minorHAnsi"/>
                <w:b/>
                <w:i/>
                <w:color w:val="7030A0"/>
                <w:sz w:val="22"/>
                <w:szCs w:val="22"/>
                <w:u w:val="single"/>
                <w:lang w:val="ro-RO"/>
              </w:rPr>
            </w:pPr>
            <w:r w:rsidRPr="00783E42">
              <w:rPr>
                <w:rFonts w:asciiTheme="minorHAnsi" w:hAnsiTheme="minorHAnsi" w:cstheme="minorHAnsi"/>
                <w:b/>
                <w:color w:val="7030A0"/>
                <w:sz w:val="22"/>
                <w:szCs w:val="22"/>
                <w:lang w:val="ro-RO"/>
              </w:rPr>
              <w:t xml:space="preserve">    </w:t>
            </w:r>
            <w:r w:rsidRPr="00783E42">
              <w:rPr>
                <w:rFonts w:asciiTheme="minorHAnsi" w:hAnsiTheme="minorHAnsi" w:cstheme="minorHAnsi"/>
                <w:b/>
                <w:i/>
                <w:color w:val="7030A0"/>
                <w:sz w:val="22"/>
                <w:szCs w:val="22"/>
                <w:lang w:val="ro-RO"/>
              </w:rPr>
              <w:t xml:space="preserve">% </w:t>
            </w:r>
            <w:r w:rsidRPr="00783E42">
              <w:rPr>
                <w:rFonts w:asciiTheme="minorHAnsi" w:hAnsiTheme="minorHAnsi" w:cstheme="minorHAnsi"/>
                <w:b/>
                <w:i/>
                <w:color w:val="7030A0"/>
                <w:sz w:val="22"/>
                <w:szCs w:val="22"/>
                <w:u w:val="single"/>
                <w:lang w:val="ro-RO"/>
              </w:rPr>
              <w:t>2017</w:t>
            </w:r>
          </w:p>
          <w:p w:rsidR="00D60C7C" w:rsidRPr="00783E42" w:rsidRDefault="00D60C7C" w:rsidP="00783E42">
            <w:pPr>
              <w:rPr>
                <w:rFonts w:asciiTheme="minorHAnsi" w:hAnsiTheme="minorHAnsi" w:cstheme="minorHAnsi"/>
                <w:b/>
                <w:color w:val="7030A0"/>
                <w:sz w:val="22"/>
                <w:szCs w:val="22"/>
                <w:u w:val="single"/>
                <w:lang w:val="ro-RO"/>
              </w:rPr>
            </w:pPr>
            <w:r w:rsidRPr="00783E42">
              <w:rPr>
                <w:rFonts w:asciiTheme="minorHAnsi" w:hAnsiTheme="minorHAnsi" w:cstheme="minorHAnsi"/>
                <w:b/>
                <w:i/>
                <w:color w:val="7030A0"/>
                <w:sz w:val="22"/>
                <w:szCs w:val="22"/>
                <w:lang w:val="ro-RO"/>
              </w:rPr>
              <w:t xml:space="preserve">   +/- 2016</w:t>
            </w:r>
          </w:p>
        </w:tc>
        <w:tc>
          <w:tcPr>
            <w:tcW w:w="1342" w:type="dxa"/>
            <w:tcBorders>
              <w:top w:val="threeDEmboss" w:sz="6" w:space="0" w:color="00B050"/>
              <w:bottom w:val="threeDEmboss" w:sz="6" w:space="0" w:color="00B050"/>
            </w:tcBorders>
            <w:shd w:val="clear" w:color="auto" w:fill="FCE0C8"/>
            <w:vAlign w:val="center"/>
          </w:tcPr>
          <w:p w:rsidR="00D60C7C" w:rsidRPr="00783E42" w:rsidRDefault="00D60C7C" w:rsidP="00783E42">
            <w:pPr>
              <w:widowControl w:val="0"/>
              <w:autoSpaceDE w:val="0"/>
              <w:autoSpaceDN w:val="0"/>
              <w:adjustRightInd w:val="0"/>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-1,8</w:t>
            </w:r>
          </w:p>
        </w:tc>
        <w:tc>
          <w:tcPr>
            <w:tcW w:w="2697" w:type="dxa"/>
            <w:tcBorders>
              <w:top w:val="threeDEmboss" w:sz="6" w:space="0" w:color="00B050"/>
              <w:bottom w:val="threeDEmboss" w:sz="6" w:space="0" w:color="00B050"/>
            </w:tcBorders>
            <w:shd w:val="clear" w:color="auto" w:fill="FCE0C8"/>
            <w:vAlign w:val="center"/>
          </w:tcPr>
          <w:p w:rsidR="00D60C7C" w:rsidRPr="00783E42" w:rsidRDefault="00D60C7C" w:rsidP="00783E42">
            <w:pPr>
              <w:widowControl w:val="0"/>
              <w:autoSpaceDE w:val="0"/>
              <w:autoSpaceDN w:val="0"/>
              <w:adjustRightInd w:val="0"/>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w:t>
            </w:r>
          </w:p>
        </w:tc>
        <w:tc>
          <w:tcPr>
            <w:tcW w:w="3158" w:type="dxa"/>
            <w:tcBorders>
              <w:top w:val="threeDEmboss" w:sz="6" w:space="0" w:color="00B050"/>
              <w:bottom w:val="threeDEmboss" w:sz="6" w:space="0" w:color="00B050"/>
              <w:right w:val="threeDEmboss" w:sz="6" w:space="0" w:color="00B050"/>
            </w:tcBorders>
            <w:shd w:val="clear" w:color="auto" w:fill="FCE0C8"/>
            <w:vAlign w:val="center"/>
          </w:tcPr>
          <w:p w:rsidR="00D60C7C" w:rsidRPr="00783E42" w:rsidRDefault="00D60C7C" w:rsidP="00783E42">
            <w:pPr>
              <w:widowControl w:val="0"/>
              <w:autoSpaceDE w:val="0"/>
              <w:autoSpaceDN w:val="0"/>
              <w:adjustRightInd w:val="0"/>
              <w:jc w:val="center"/>
              <w:rPr>
                <w:rFonts w:asciiTheme="minorHAnsi" w:hAnsiTheme="minorHAnsi" w:cstheme="minorHAnsi"/>
                <w:b/>
                <w:color w:val="7030A0"/>
                <w:sz w:val="22"/>
                <w:szCs w:val="22"/>
                <w:lang w:val="ro-RO"/>
              </w:rPr>
            </w:pPr>
            <w:r w:rsidRPr="00783E42">
              <w:rPr>
                <w:rFonts w:asciiTheme="minorHAnsi" w:hAnsiTheme="minorHAnsi" w:cstheme="minorHAnsi"/>
                <w:b/>
                <w:color w:val="7030A0"/>
                <w:sz w:val="22"/>
                <w:szCs w:val="22"/>
                <w:lang w:val="ro-RO"/>
              </w:rPr>
              <w:t>+5,0</w:t>
            </w:r>
          </w:p>
        </w:tc>
      </w:tr>
    </w:tbl>
    <w:p w:rsidR="00D60C7C" w:rsidRDefault="00D60C7C" w:rsidP="001B17AE">
      <w:pPr>
        <w:spacing w:line="276" w:lineRule="auto"/>
        <w:jc w:val="both"/>
        <w:rPr>
          <w:sz w:val="20"/>
          <w:lang w:val="ro-RO"/>
        </w:rPr>
      </w:pPr>
      <w:r w:rsidRPr="00860724">
        <w:rPr>
          <w:sz w:val="20"/>
          <w:lang w:val="ro-RO"/>
        </w:rPr>
        <w:t xml:space="preserve">      *</w:t>
      </w:r>
      <w:r w:rsidRPr="001B17AE">
        <w:rPr>
          <w:lang w:val="ro-RO"/>
        </w:rPr>
        <w:t xml:space="preserve">Datele din perioada 2008- 2013 se referă la cauzele restituite de instanţe pentru refacerea </w:t>
      </w:r>
      <w:r w:rsidR="001B17AE" w:rsidRPr="001B17AE">
        <w:rPr>
          <w:lang w:val="ro-RO"/>
        </w:rPr>
        <w:t xml:space="preserve"> </w:t>
      </w:r>
      <w:r w:rsidRPr="001B17AE">
        <w:rPr>
          <w:lang w:val="ro-RO"/>
        </w:rPr>
        <w:t>urm</w:t>
      </w:r>
      <w:r w:rsidRPr="001B17AE">
        <w:rPr>
          <w:rFonts w:cs="Franklin Gothic Book"/>
          <w:lang w:val="ro-RO"/>
        </w:rPr>
        <w:t>ă</w:t>
      </w:r>
      <w:r w:rsidRPr="001B17AE">
        <w:rPr>
          <w:lang w:val="ro-RO"/>
        </w:rPr>
        <w:t>ririi penale</w:t>
      </w:r>
    </w:p>
    <w:p w:rsidR="001B17AE" w:rsidRPr="00860724" w:rsidRDefault="001B17AE" w:rsidP="001B17AE">
      <w:pPr>
        <w:jc w:val="both"/>
        <w:rPr>
          <w:sz w:val="20"/>
          <w:lang w:val="ro-RO"/>
        </w:rPr>
      </w:pPr>
    </w:p>
    <w:p w:rsidR="00D60C7C" w:rsidRPr="00860724" w:rsidRDefault="00D60C7C" w:rsidP="00783E42">
      <w:pPr>
        <w:spacing w:line="276" w:lineRule="auto"/>
        <w:ind w:firstLine="684"/>
        <w:jc w:val="both"/>
        <w:rPr>
          <w:lang w:val="ro-RO"/>
        </w:rPr>
      </w:pPr>
      <w:r w:rsidRPr="00860724">
        <w:rPr>
          <w:lang w:val="ro-RO"/>
        </w:rPr>
        <w:t>Se poate observa că numărul cauzelor restituite de judecătorul de cameră preliminară şi de instanţele de judecată a rămas aproape la fel faţă de anul trecut (215 cauze în anul 2017 şi 219 cauze în anul 2016).</w:t>
      </w:r>
    </w:p>
    <w:p w:rsidR="00D60C7C" w:rsidRPr="00860724" w:rsidRDefault="00D60C7C" w:rsidP="008C4926">
      <w:pPr>
        <w:spacing w:line="276" w:lineRule="auto"/>
        <w:ind w:firstLine="684"/>
        <w:rPr>
          <w:lang w:val="ro-RO"/>
        </w:rPr>
      </w:pPr>
      <w:r w:rsidRPr="00860724">
        <w:rPr>
          <w:lang w:val="ro-RO"/>
        </w:rPr>
        <w:t xml:space="preserve">Numărul cauzelor în care s-a dispus infirmarea soluţiei sau redeschiderea urmăririi penale (inclusiv cele desfiinţate conform art. </w:t>
      </w:r>
      <w:smartTag w:uri="urn:schemas-microsoft-com:office:smarttags" w:element="metricconverter">
        <w:smartTagPr>
          <w:attr w:name="ProductID" w:val="341 C"/>
        </w:smartTagPr>
        <w:r w:rsidRPr="00860724">
          <w:rPr>
            <w:lang w:val="ro-RO"/>
          </w:rPr>
          <w:t>341 C</w:t>
        </w:r>
      </w:smartTag>
      <w:r w:rsidRPr="00860724">
        <w:rPr>
          <w:lang w:val="ro-RO"/>
        </w:rPr>
        <w:t>.p.p.) a crescut cu 5% (de la 5050 în anul 2016, la 5302 în anul 2017).</w:t>
      </w:r>
    </w:p>
    <w:p w:rsidR="00D65D5E" w:rsidRPr="00860724" w:rsidRDefault="00B452B9" w:rsidP="00783E42">
      <w:pPr>
        <w:pStyle w:val="Titlu2"/>
      </w:pPr>
      <w:bookmarkStart w:id="66" w:name="_Toc504987132"/>
      <w:r w:rsidRPr="00860724">
        <w:t>I</w:t>
      </w:r>
      <w:r w:rsidR="006F2993" w:rsidRPr="00860724">
        <w:t>I.5. Ponderea inculpaţilor achitaţi din totalul inculpaţilor trimişi în judecată</w:t>
      </w:r>
      <w:bookmarkEnd w:id="66"/>
    </w:p>
    <w:p w:rsidR="00D60C7C" w:rsidRPr="00860724" w:rsidRDefault="00D60C7C" w:rsidP="00783E42">
      <w:pPr>
        <w:spacing w:before="120" w:line="276" w:lineRule="auto"/>
        <w:ind w:firstLine="720"/>
        <w:jc w:val="both"/>
        <w:rPr>
          <w:kern w:val="28"/>
          <w:lang w:val="ro-RO"/>
        </w:rPr>
      </w:pPr>
      <w:r w:rsidRPr="00860724">
        <w:rPr>
          <w:kern w:val="28"/>
          <w:lang w:val="ro-RO"/>
        </w:rPr>
        <w:t xml:space="preserve">Numărul inculpaţilor trimişi în judecată în anul </w:t>
      </w:r>
      <w:smartTag w:uri="urn:schemas-microsoft-com:office:smarttags" w:element="metricconverter">
        <w:smartTagPr>
          <w:attr w:name="ProductID" w:val="2017 a"/>
        </w:smartTagPr>
        <w:r w:rsidRPr="00860724">
          <w:rPr>
            <w:kern w:val="28"/>
            <w:lang w:val="ro-RO"/>
          </w:rPr>
          <w:t>2017 a</w:t>
        </w:r>
      </w:smartTag>
      <w:r w:rsidRPr="00860724">
        <w:rPr>
          <w:kern w:val="28"/>
          <w:lang w:val="ro-RO"/>
        </w:rPr>
        <w:t xml:space="preserve"> fost de 59839  de persoane (63722  în anul 2016) înregistrându-se aşadar o scădere de 6,1% faţă de anul anterior. Dintre aceştia, numărul inculpaţilor arestaţi preventiv a fost de 6092 ( în scădere cu 10,3% faţă de cei 6791 inculpaţi arestaţi preventiv în anul 2016), cu o pondere în totalul inculpaţilor trimiţi în judecată de 10,2%. Au existat şi 165 inculpați arestaţi preventiv netrimişi în judecată (fa</w:t>
      </w:r>
      <w:r w:rsidRPr="00860724">
        <w:rPr>
          <w:rFonts w:cs="Tahoma"/>
          <w:kern w:val="28"/>
          <w:lang w:val="ro-RO"/>
        </w:rPr>
        <w:t>ţ</w:t>
      </w:r>
      <w:r w:rsidRPr="00860724">
        <w:rPr>
          <w:kern w:val="28"/>
          <w:lang w:val="ro-RO"/>
        </w:rPr>
        <w:t>ă de 148 în anul 2016).</w:t>
      </w:r>
    </w:p>
    <w:p w:rsidR="00D60C7C" w:rsidRPr="00860724" w:rsidRDefault="00D60C7C" w:rsidP="00783E42">
      <w:pPr>
        <w:spacing w:before="120" w:line="276" w:lineRule="auto"/>
        <w:ind w:firstLine="720"/>
        <w:jc w:val="both"/>
        <w:rPr>
          <w:kern w:val="28"/>
          <w:lang w:val="ro-RO"/>
        </w:rPr>
      </w:pPr>
      <w:r w:rsidRPr="00860724">
        <w:rPr>
          <w:kern w:val="28"/>
          <w:lang w:val="ro-RO"/>
        </w:rPr>
        <w:t>Dispoziţiile de renunţare la urmărirea penală au fost aplicate faţă de un număr de 30695 de învinuiţi şi inculpaţi (cu 6,6% mai puţin faţă de 2016 când numărul acestora a fost de 32876).</w:t>
      </w:r>
    </w:p>
    <w:p w:rsidR="00D60C7C" w:rsidRPr="00860724" w:rsidRDefault="00D60C7C" w:rsidP="00783E42">
      <w:pPr>
        <w:spacing w:before="120" w:line="276" w:lineRule="auto"/>
        <w:ind w:firstLine="720"/>
        <w:jc w:val="both"/>
        <w:rPr>
          <w:kern w:val="28"/>
          <w:lang w:val="ro-RO"/>
        </w:rPr>
      </w:pPr>
      <w:r w:rsidRPr="00860724">
        <w:rPr>
          <w:kern w:val="28"/>
          <w:lang w:val="ro-RO"/>
        </w:rPr>
        <w:t>Numărul inculpaţilor achitaţi definitiv a crescut cu 28,1% în anul 2017, la 1036, în comparaţie cu 809 achitaţi definitiv în anul 2016, indiferent de perioada trimiterii în judecată, cu menţiunea că s-a luat în calcul inclusiv numărul inculpaţilor persoane juridice.</w:t>
      </w:r>
    </w:p>
    <w:p w:rsidR="00D60C7C" w:rsidRPr="00860724" w:rsidRDefault="00D60C7C" w:rsidP="00783E42">
      <w:pPr>
        <w:spacing w:line="276" w:lineRule="auto"/>
        <w:ind w:firstLine="684"/>
        <w:jc w:val="both"/>
        <w:rPr>
          <w:lang w:val="ro-RO"/>
        </w:rPr>
      </w:pPr>
      <w:r w:rsidRPr="00860724">
        <w:rPr>
          <w:b/>
          <w:bCs/>
          <w:lang w:val="ro-RO"/>
        </w:rPr>
        <w:t xml:space="preserve"> Ponderea achitărilor din totalul trimiterilor în judecată </w:t>
      </w:r>
      <w:r w:rsidRPr="00860724">
        <w:rPr>
          <w:lang w:val="ro-RO"/>
        </w:rPr>
        <w:t>poate fi reprezentată astfel:</w:t>
      </w:r>
    </w:p>
    <w:tbl>
      <w:tblPr>
        <w:tblW w:w="9180"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clear" w:color="auto" w:fill="E0E0E0"/>
        <w:tblLayout w:type="fixed"/>
        <w:tblLook w:val="0000" w:firstRow="0" w:lastRow="0" w:firstColumn="0" w:lastColumn="0" w:noHBand="0" w:noVBand="0"/>
      </w:tblPr>
      <w:tblGrid>
        <w:gridCol w:w="1101"/>
        <w:gridCol w:w="1842"/>
        <w:gridCol w:w="2552"/>
        <w:gridCol w:w="1843"/>
        <w:gridCol w:w="1842"/>
      </w:tblGrid>
      <w:tr w:rsidR="00D60C7C" w:rsidRPr="00783E42" w:rsidTr="00D60C7C">
        <w:trPr>
          <w:trHeight w:val="411"/>
          <w:jc w:val="center"/>
        </w:trPr>
        <w:tc>
          <w:tcPr>
            <w:tcW w:w="1101" w:type="dxa"/>
            <w:vMerge w:val="restart"/>
            <w:tcBorders>
              <w:top w:val="threeDEmboss" w:sz="6" w:space="0" w:color="00B050"/>
              <w:left w:val="threeDEmboss" w:sz="6" w:space="0" w:color="00B050"/>
            </w:tcBorders>
            <w:shd w:val="clear" w:color="auto" w:fill="FCE0C8"/>
            <w:vAlign w:val="center"/>
          </w:tcPr>
          <w:p w:rsidR="00D60C7C" w:rsidRPr="00783E42" w:rsidRDefault="00D60C7C" w:rsidP="00D60C7C">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ANUL</w:t>
            </w:r>
          </w:p>
        </w:tc>
        <w:tc>
          <w:tcPr>
            <w:tcW w:w="8079" w:type="dxa"/>
            <w:gridSpan w:val="4"/>
            <w:tcBorders>
              <w:top w:val="threeDEmboss" w:sz="6" w:space="0" w:color="00B050"/>
              <w:right w:val="threeDEmboss" w:sz="6" w:space="0" w:color="00B050"/>
            </w:tcBorders>
            <w:shd w:val="clear" w:color="auto" w:fill="FCE0C8"/>
            <w:vAlign w:val="center"/>
          </w:tcPr>
          <w:p w:rsidR="00D60C7C" w:rsidRPr="00783E42" w:rsidRDefault="00D60C7C" w:rsidP="00D60C7C">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 xml:space="preserve"> NUMĂRUL INCULPAŢILOR PERSOANE FIZICE ȘI JURIDICE </w:t>
            </w:r>
          </w:p>
          <w:p w:rsidR="00D60C7C" w:rsidRPr="00783E42" w:rsidRDefault="00D60C7C" w:rsidP="00D60C7C">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ACHITAŢI DEFINITIV* INDIFERENT DE PERIOADA TRIMITERII ÎN JUDECATĂ</w:t>
            </w:r>
          </w:p>
        </w:tc>
      </w:tr>
      <w:tr w:rsidR="00D60C7C" w:rsidRPr="00783E42" w:rsidTr="00D60C7C">
        <w:trPr>
          <w:cantSplit/>
          <w:trHeight w:val="1064"/>
          <w:jc w:val="center"/>
        </w:trPr>
        <w:tc>
          <w:tcPr>
            <w:tcW w:w="1101" w:type="dxa"/>
            <w:vMerge/>
            <w:tcBorders>
              <w:left w:val="threeDEmboss" w:sz="6" w:space="0" w:color="00B050"/>
              <w:bottom w:val="threeDEmboss" w:sz="6" w:space="0" w:color="00B050"/>
            </w:tcBorders>
            <w:shd w:val="clear" w:color="auto" w:fill="FCE0C8"/>
          </w:tcPr>
          <w:p w:rsidR="00D60C7C" w:rsidRPr="00783E42" w:rsidRDefault="00D60C7C" w:rsidP="00D60C7C">
            <w:pPr>
              <w:jc w:val="center"/>
              <w:rPr>
                <w:rFonts w:asciiTheme="minorHAnsi" w:hAnsiTheme="minorHAnsi" w:cstheme="minorHAnsi"/>
                <w:b/>
                <w:color w:val="7030A0"/>
                <w:lang w:val="ro-RO"/>
              </w:rPr>
            </w:pPr>
          </w:p>
        </w:tc>
        <w:tc>
          <w:tcPr>
            <w:tcW w:w="1842" w:type="dxa"/>
            <w:tcBorders>
              <w:bottom w:val="threeDEmboss" w:sz="6" w:space="0" w:color="00B050"/>
            </w:tcBorders>
            <w:shd w:val="clear" w:color="auto" w:fill="FCE0C8"/>
          </w:tcPr>
          <w:p w:rsidR="00D60C7C" w:rsidRPr="00783E42" w:rsidRDefault="00D60C7C" w:rsidP="00D60C7C">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 xml:space="preserve">TOTAL, </w:t>
            </w:r>
          </w:p>
          <w:p w:rsidR="00D60C7C" w:rsidRPr="00783E42" w:rsidRDefault="00D60C7C" w:rsidP="00D60C7C">
            <w:pPr>
              <w:jc w:val="center"/>
              <w:rPr>
                <w:rFonts w:asciiTheme="minorHAnsi" w:hAnsiTheme="minorHAnsi" w:cstheme="minorHAnsi"/>
                <w:color w:val="7030A0"/>
                <w:lang w:val="ro-RO"/>
              </w:rPr>
            </w:pPr>
            <w:r w:rsidRPr="00783E42">
              <w:rPr>
                <w:rFonts w:asciiTheme="minorHAnsi" w:hAnsiTheme="minorHAnsi" w:cstheme="minorHAnsi"/>
                <w:b/>
                <w:color w:val="7030A0"/>
                <w:lang w:val="ro-RO"/>
              </w:rPr>
              <w:t>din care:</w:t>
            </w:r>
          </w:p>
        </w:tc>
        <w:tc>
          <w:tcPr>
            <w:tcW w:w="2552" w:type="dxa"/>
            <w:tcBorders>
              <w:bottom w:val="threeDEmboss" w:sz="6" w:space="0" w:color="00B050"/>
            </w:tcBorders>
            <w:shd w:val="clear" w:color="auto" w:fill="FCE0C8"/>
          </w:tcPr>
          <w:p w:rsidR="00D60C7C" w:rsidRPr="00783E42" w:rsidRDefault="00D60C7C" w:rsidP="00D60C7C">
            <w:pPr>
              <w:ind w:left="113" w:right="113"/>
              <w:jc w:val="center"/>
              <w:rPr>
                <w:rFonts w:asciiTheme="minorHAnsi" w:hAnsiTheme="minorHAnsi" w:cstheme="minorHAnsi"/>
                <w:color w:val="7030A0"/>
                <w:lang w:val="ro-RO"/>
              </w:rPr>
            </w:pPr>
            <w:r w:rsidRPr="00783E42">
              <w:rPr>
                <w:rFonts w:asciiTheme="minorHAnsi" w:hAnsiTheme="minorHAnsi" w:cstheme="minorHAnsi"/>
                <w:color w:val="7030A0"/>
                <w:lang w:val="ro-RO"/>
              </w:rPr>
              <w:t xml:space="preserve">ponderea în </w:t>
            </w:r>
          </w:p>
          <w:p w:rsidR="00D60C7C" w:rsidRPr="00783E42" w:rsidRDefault="00D60C7C" w:rsidP="00D60C7C">
            <w:pPr>
              <w:ind w:left="113" w:right="113"/>
              <w:jc w:val="center"/>
              <w:rPr>
                <w:rFonts w:asciiTheme="minorHAnsi" w:hAnsiTheme="minorHAnsi" w:cstheme="minorHAnsi"/>
                <w:color w:val="7030A0"/>
                <w:lang w:val="ro-RO"/>
              </w:rPr>
            </w:pPr>
            <w:r w:rsidRPr="00783E42">
              <w:rPr>
                <w:rFonts w:asciiTheme="minorHAnsi" w:hAnsiTheme="minorHAnsi" w:cstheme="minorHAnsi"/>
                <w:color w:val="7030A0"/>
                <w:lang w:val="ro-RO"/>
              </w:rPr>
              <w:t xml:space="preserve">total inculpați </w:t>
            </w:r>
          </w:p>
          <w:p w:rsidR="00D60C7C" w:rsidRPr="00783E42" w:rsidRDefault="00D60C7C" w:rsidP="00D60C7C">
            <w:pPr>
              <w:ind w:left="113" w:right="113"/>
              <w:jc w:val="center"/>
              <w:rPr>
                <w:rFonts w:asciiTheme="minorHAnsi" w:hAnsiTheme="minorHAnsi" w:cstheme="minorHAnsi"/>
                <w:color w:val="7030A0"/>
                <w:lang w:val="ro-RO"/>
              </w:rPr>
            </w:pPr>
            <w:r w:rsidRPr="00783E42">
              <w:rPr>
                <w:rFonts w:asciiTheme="minorHAnsi" w:hAnsiTheme="minorHAnsi" w:cstheme="minorHAnsi"/>
                <w:color w:val="7030A0"/>
                <w:lang w:val="ro-RO"/>
              </w:rPr>
              <w:t xml:space="preserve">trimişi în judecată </w:t>
            </w:r>
          </w:p>
          <w:p w:rsidR="00D60C7C" w:rsidRPr="00783E42" w:rsidRDefault="00D60C7C" w:rsidP="00D60C7C">
            <w:pPr>
              <w:ind w:left="113" w:right="113"/>
              <w:jc w:val="center"/>
              <w:rPr>
                <w:rFonts w:asciiTheme="minorHAnsi" w:hAnsiTheme="minorHAnsi" w:cstheme="minorHAnsi"/>
                <w:color w:val="7030A0"/>
                <w:lang w:val="ro-RO"/>
              </w:rPr>
            </w:pPr>
            <w:r w:rsidRPr="00783E42">
              <w:rPr>
                <w:rFonts w:asciiTheme="minorHAnsi" w:hAnsiTheme="minorHAnsi" w:cstheme="minorHAnsi"/>
                <w:color w:val="7030A0"/>
                <w:lang w:val="ro-RO"/>
              </w:rPr>
              <w:t>(%)</w:t>
            </w:r>
          </w:p>
        </w:tc>
        <w:tc>
          <w:tcPr>
            <w:tcW w:w="1843" w:type="dxa"/>
            <w:tcBorders>
              <w:bottom w:val="threeDEmboss" w:sz="6" w:space="0" w:color="00B050"/>
            </w:tcBorders>
            <w:shd w:val="clear" w:color="auto" w:fill="FCE0C8"/>
          </w:tcPr>
          <w:p w:rsidR="00D60C7C" w:rsidRPr="00783E42" w:rsidRDefault="00D60C7C" w:rsidP="00D60C7C">
            <w:pPr>
              <w:widowControl w:val="0"/>
              <w:autoSpaceDE w:val="0"/>
              <w:autoSpaceDN w:val="0"/>
              <w:adjustRightInd w:val="0"/>
              <w:jc w:val="center"/>
              <w:rPr>
                <w:rFonts w:asciiTheme="minorHAnsi" w:hAnsiTheme="minorHAnsi" w:cstheme="minorHAnsi"/>
                <w:color w:val="7030A0"/>
                <w:lang w:val="ro-RO"/>
              </w:rPr>
            </w:pPr>
            <w:r w:rsidRPr="00783E42">
              <w:rPr>
                <w:rFonts w:asciiTheme="minorHAnsi" w:hAnsiTheme="minorHAnsi" w:cstheme="minorHAnsi"/>
                <w:color w:val="7030A0"/>
                <w:lang w:val="ro-RO"/>
              </w:rPr>
              <w:t xml:space="preserve">Nr. achitaţi definitiv arestaţi </w:t>
            </w:r>
          </w:p>
          <w:p w:rsidR="00D60C7C" w:rsidRPr="00783E42" w:rsidRDefault="00D60C7C" w:rsidP="00D60C7C">
            <w:pPr>
              <w:widowControl w:val="0"/>
              <w:autoSpaceDE w:val="0"/>
              <w:autoSpaceDN w:val="0"/>
              <w:adjustRightInd w:val="0"/>
              <w:jc w:val="center"/>
              <w:rPr>
                <w:rFonts w:asciiTheme="minorHAnsi" w:hAnsiTheme="minorHAnsi" w:cstheme="minorHAnsi"/>
                <w:color w:val="7030A0"/>
                <w:lang w:val="ro-RO"/>
              </w:rPr>
            </w:pPr>
            <w:r w:rsidRPr="00783E42">
              <w:rPr>
                <w:rFonts w:asciiTheme="minorHAnsi" w:hAnsiTheme="minorHAnsi" w:cstheme="minorHAnsi"/>
                <w:color w:val="7030A0"/>
                <w:lang w:val="ro-RO"/>
              </w:rPr>
              <w:t>preventiv</w:t>
            </w:r>
          </w:p>
        </w:tc>
        <w:tc>
          <w:tcPr>
            <w:tcW w:w="1842" w:type="dxa"/>
            <w:tcBorders>
              <w:bottom w:val="threeDEmboss" w:sz="6" w:space="0" w:color="00B050"/>
              <w:right w:val="threeDEmboss" w:sz="6" w:space="0" w:color="00B050"/>
            </w:tcBorders>
            <w:shd w:val="clear" w:color="auto" w:fill="FCE0C8"/>
          </w:tcPr>
          <w:p w:rsidR="00D60C7C" w:rsidRPr="00783E42" w:rsidRDefault="00D60C7C" w:rsidP="00D60C7C">
            <w:pPr>
              <w:widowControl w:val="0"/>
              <w:autoSpaceDE w:val="0"/>
              <w:autoSpaceDN w:val="0"/>
              <w:adjustRightInd w:val="0"/>
              <w:jc w:val="center"/>
              <w:rPr>
                <w:rFonts w:asciiTheme="minorHAnsi" w:hAnsiTheme="minorHAnsi" w:cstheme="minorHAnsi"/>
                <w:color w:val="7030A0"/>
                <w:lang w:val="ro-RO"/>
              </w:rPr>
            </w:pPr>
            <w:r w:rsidRPr="00783E42">
              <w:rPr>
                <w:rFonts w:asciiTheme="minorHAnsi" w:hAnsiTheme="minorHAnsi" w:cstheme="minorHAnsi"/>
                <w:color w:val="7030A0"/>
                <w:lang w:val="ro-RO"/>
              </w:rPr>
              <w:t>Nr. inculpați minori achitaţi defintiv</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2008</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1.182</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2,6</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23</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15</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2009</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818</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1,6</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19</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8</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2010</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794</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1,4</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17</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2011</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1.105</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1,8</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38</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19</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2012</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975</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1,6</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39</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2013</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853</w:t>
            </w:r>
          </w:p>
        </w:tc>
        <w:tc>
          <w:tcPr>
            <w:tcW w:w="2552" w:type="dxa"/>
            <w:vAlign w:val="center"/>
          </w:tcPr>
          <w:p w:rsidR="00D60C7C" w:rsidRPr="00783E42" w:rsidRDefault="00D60C7C" w:rsidP="00D60C7C">
            <w:pPr>
              <w:jc w:val="center"/>
              <w:rPr>
                <w:rFonts w:asciiTheme="minorHAnsi" w:hAnsiTheme="minorHAnsi" w:cstheme="minorHAnsi"/>
                <w:color w:val="000000"/>
                <w:lang w:val="ro-RO"/>
              </w:rPr>
            </w:pPr>
            <w:r w:rsidRPr="00783E42">
              <w:rPr>
                <w:rFonts w:asciiTheme="minorHAnsi" w:hAnsiTheme="minorHAnsi" w:cstheme="minorHAnsi"/>
                <w:color w:val="000000"/>
                <w:lang w:val="ro-RO"/>
              </w:rPr>
              <w:t>1,3</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40</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9</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2014</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1.403</w:t>
            </w:r>
          </w:p>
        </w:tc>
        <w:tc>
          <w:tcPr>
            <w:tcW w:w="255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2,8</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63</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23</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2015</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1.193</w:t>
            </w:r>
          </w:p>
        </w:tc>
        <w:tc>
          <w:tcPr>
            <w:tcW w:w="255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2,0</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40</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7</w:t>
            </w:r>
          </w:p>
        </w:tc>
      </w:tr>
      <w:tr w:rsidR="00D60C7C" w:rsidRPr="00783E42" w:rsidTr="00D60C7C">
        <w:tblPrEx>
          <w:shd w:val="clear" w:color="auto" w:fill="auto"/>
        </w:tblPrEx>
        <w:trPr>
          <w:jc w:val="center"/>
        </w:trPr>
        <w:tc>
          <w:tcPr>
            <w:tcW w:w="1101"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2016</w:t>
            </w:r>
          </w:p>
        </w:tc>
        <w:tc>
          <w:tcPr>
            <w:tcW w:w="1842" w:type="dxa"/>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809</w:t>
            </w:r>
          </w:p>
        </w:tc>
        <w:tc>
          <w:tcPr>
            <w:tcW w:w="255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1,3</w:t>
            </w:r>
          </w:p>
        </w:tc>
        <w:tc>
          <w:tcPr>
            <w:tcW w:w="1843"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30</w:t>
            </w:r>
          </w:p>
        </w:tc>
        <w:tc>
          <w:tcPr>
            <w:tcW w:w="1842" w:type="dxa"/>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w:t>
            </w:r>
          </w:p>
        </w:tc>
      </w:tr>
      <w:tr w:rsidR="00D60C7C" w:rsidRPr="00783E42" w:rsidTr="00D60C7C">
        <w:tblPrEx>
          <w:shd w:val="clear" w:color="auto" w:fill="auto"/>
        </w:tblPrEx>
        <w:trPr>
          <w:jc w:val="center"/>
        </w:trPr>
        <w:tc>
          <w:tcPr>
            <w:tcW w:w="1101" w:type="dxa"/>
            <w:tcBorders>
              <w:bottom w:val="threeDEmboss" w:sz="6" w:space="0" w:color="00B050"/>
            </w:tcBorders>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2017</w:t>
            </w:r>
          </w:p>
        </w:tc>
        <w:tc>
          <w:tcPr>
            <w:tcW w:w="1842" w:type="dxa"/>
            <w:tcBorders>
              <w:bottom w:val="threeDEmboss" w:sz="6" w:space="0" w:color="00B050"/>
            </w:tcBorders>
          </w:tcPr>
          <w:p w:rsidR="00D60C7C" w:rsidRPr="00783E42" w:rsidRDefault="00D60C7C" w:rsidP="00D60C7C">
            <w:pPr>
              <w:jc w:val="center"/>
              <w:rPr>
                <w:rFonts w:asciiTheme="minorHAnsi" w:hAnsiTheme="minorHAnsi" w:cstheme="minorHAnsi"/>
                <w:lang w:val="ro-RO"/>
              </w:rPr>
            </w:pPr>
            <w:r w:rsidRPr="00783E42">
              <w:rPr>
                <w:rFonts w:asciiTheme="minorHAnsi" w:hAnsiTheme="minorHAnsi" w:cstheme="minorHAnsi"/>
                <w:lang w:val="ro-RO"/>
              </w:rPr>
              <w:t>1.036</w:t>
            </w:r>
          </w:p>
        </w:tc>
        <w:tc>
          <w:tcPr>
            <w:tcW w:w="2552" w:type="dxa"/>
            <w:tcBorders>
              <w:bottom w:val="threeDEmboss" w:sz="6" w:space="0" w:color="00B050"/>
            </w:tcBorders>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1,7</w:t>
            </w:r>
          </w:p>
        </w:tc>
        <w:tc>
          <w:tcPr>
            <w:tcW w:w="1843" w:type="dxa"/>
            <w:tcBorders>
              <w:bottom w:val="threeDEmboss" w:sz="6" w:space="0" w:color="00B050"/>
            </w:tcBorders>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63</w:t>
            </w:r>
          </w:p>
        </w:tc>
        <w:tc>
          <w:tcPr>
            <w:tcW w:w="1842" w:type="dxa"/>
            <w:tcBorders>
              <w:bottom w:val="threeDEmboss" w:sz="6" w:space="0" w:color="00B050"/>
            </w:tcBorders>
          </w:tcPr>
          <w:p w:rsidR="00D60C7C" w:rsidRPr="00783E42" w:rsidRDefault="00D60C7C" w:rsidP="00D60C7C">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12</w:t>
            </w:r>
          </w:p>
        </w:tc>
      </w:tr>
      <w:tr w:rsidR="00D60C7C" w:rsidRPr="00783E42" w:rsidTr="00D60C7C">
        <w:tblPrEx>
          <w:shd w:val="clear" w:color="auto" w:fill="auto"/>
        </w:tblPrEx>
        <w:trPr>
          <w:jc w:val="center"/>
        </w:trPr>
        <w:tc>
          <w:tcPr>
            <w:tcW w:w="1101" w:type="dxa"/>
            <w:tcBorders>
              <w:top w:val="threeDEmboss" w:sz="6" w:space="0" w:color="00B050"/>
              <w:left w:val="threeDEmboss" w:sz="6" w:space="0" w:color="00B050"/>
              <w:bottom w:val="threeDEmboss" w:sz="6" w:space="0" w:color="00B050"/>
            </w:tcBorders>
            <w:shd w:val="clear" w:color="auto" w:fill="FCE0C8"/>
          </w:tcPr>
          <w:p w:rsidR="00D60C7C" w:rsidRPr="00783E42" w:rsidRDefault="00D60C7C" w:rsidP="00D60C7C">
            <w:pPr>
              <w:rPr>
                <w:rFonts w:asciiTheme="minorHAnsi" w:hAnsiTheme="minorHAnsi" w:cstheme="minorHAnsi"/>
                <w:b/>
                <w:i/>
                <w:u w:val="single"/>
                <w:lang w:val="ro-RO"/>
              </w:rPr>
            </w:pPr>
            <w:r w:rsidRPr="00783E42">
              <w:rPr>
                <w:rFonts w:asciiTheme="minorHAnsi" w:hAnsiTheme="minorHAnsi" w:cstheme="minorHAnsi"/>
                <w:b/>
                <w:lang w:val="ro-RO"/>
              </w:rPr>
              <w:t xml:space="preserve"> </w:t>
            </w:r>
            <w:r w:rsidRPr="00783E42">
              <w:rPr>
                <w:rFonts w:asciiTheme="minorHAnsi" w:hAnsiTheme="minorHAnsi" w:cstheme="minorHAnsi"/>
                <w:b/>
                <w:i/>
                <w:lang w:val="ro-RO"/>
              </w:rPr>
              <w:t xml:space="preserve">% </w:t>
            </w:r>
            <w:r w:rsidRPr="00783E42">
              <w:rPr>
                <w:rFonts w:asciiTheme="minorHAnsi" w:hAnsiTheme="minorHAnsi" w:cstheme="minorHAnsi"/>
                <w:b/>
                <w:i/>
                <w:u w:val="single"/>
                <w:lang w:val="ro-RO"/>
              </w:rPr>
              <w:t>2017</w:t>
            </w:r>
          </w:p>
          <w:p w:rsidR="00D60C7C" w:rsidRPr="00783E42" w:rsidRDefault="00D60C7C" w:rsidP="00D60C7C">
            <w:pPr>
              <w:rPr>
                <w:rFonts w:asciiTheme="minorHAnsi" w:hAnsiTheme="minorHAnsi" w:cstheme="minorHAnsi"/>
                <w:b/>
                <w:lang w:val="ro-RO"/>
              </w:rPr>
            </w:pPr>
            <w:r w:rsidRPr="00783E42">
              <w:rPr>
                <w:rFonts w:asciiTheme="minorHAnsi" w:hAnsiTheme="minorHAnsi" w:cstheme="minorHAnsi"/>
                <w:b/>
                <w:i/>
                <w:lang w:val="ro-RO"/>
              </w:rPr>
              <w:t>+/- 2016</w:t>
            </w:r>
          </w:p>
        </w:tc>
        <w:tc>
          <w:tcPr>
            <w:tcW w:w="1842" w:type="dxa"/>
            <w:tcBorders>
              <w:top w:val="threeDEmboss" w:sz="6" w:space="0" w:color="00B050"/>
              <w:bottom w:val="threeDEmboss" w:sz="6" w:space="0" w:color="00B050"/>
            </w:tcBorders>
            <w:shd w:val="clear" w:color="auto" w:fill="FCE0C8"/>
            <w:vAlign w:val="center"/>
          </w:tcPr>
          <w:p w:rsidR="00D60C7C" w:rsidRPr="00783E42" w:rsidRDefault="00D60C7C" w:rsidP="00D60C7C">
            <w:pPr>
              <w:widowControl w:val="0"/>
              <w:tabs>
                <w:tab w:val="left" w:pos="252"/>
              </w:tabs>
              <w:autoSpaceDE w:val="0"/>
              <w:autoSpaceDN w:val="0"/>
              <w:adjustRightInd w:val="0"/>
              <w:ind w:left="-40"/>
              <w:jc w:val="center"/>
              <w:rPr>
                <w:rFonts w:asciiTheme="minorHAnsi" w:hAnsiTheme="minorHAnsi" w:cstheme="minorHAnsi"/>
                <w:b/>
                <w:lang w:val="ro-RO"/>
              </w:rPr>
            </w:pPr>
            <w:r w:rsidRPr="00783E42">
              <w:rPr>
                <w:rFonts w:asciiTheme="minorHAnsi" w:hAnsiTheme="minorHAnsi" w:cstheme="minorHAnsi"/>
                <w:b/>
                <w:lang w:val="ro-RO"/>
              </w:rPr>
              <w:t>+28,1</w:t>
            </w:r>
          </w:p>
        </w:tc>
        <w:tc>
          <w:tcPr>
            <w:tcW w:w="2552" w:type="dxa"/>
            <w:tcBorders>
              <w:top w:val="threeDEmboss" w:sz="6" w:space="0" w:color="00B050"/>
              <w:bottom w:val="threeDEmboss" w:sz="6" w:space="0" w:color="00B050"/>
            </w:tcBorders>
            <w:shd w:val="clear" w:color="auto" w:fill="FCE0C8"/>
            <w:vAlign w:val="center"/>
          </w:tcPr>
          <w:p w:rsidR="00D60C7C" w:rsidRPr="00783E42" w:rsidRDefault="00D60C7C" w:rsidP="00D60C7C">
            <w:pPr>
              <w:widowControl w:val="0"/>
              <w:autoSpaceDE w:val="0"/>
              <w:autoSpaceDN w:val="0"/>
              <w:adjustRightInd w:val="0"/>
              <w:jc w:val="center"/>
              <w:rPr>
                <w:rFonts w:asciiTheme="minorHAnsi" w:hAnsiTheme="minorHAnsi" w:cstheme="minorHAnsi"/>
                <w:b/>
                <w:lang w:val="ro-RO"/>
              </w:rPr>
            </w:pPr>
            <w:r w:rsidRPr="00783E42">
              <w:rPr>
                <w:rFonts w:asciiTheme="minorHAnsi" w:hAnsiTheme="minorHAnsi" w:cstheme="minorHAnsi"/>
                <w:b/>
                <w:lang w:val="ro-RO"/>
              </w:rPr>
              <w:t>-</w:t>
            </w:r>
          </w:p>
        </w:tc>
        <w:tc>
          <w:tcPr>
            <w:tcW w:w="1843" w:type="dxa"/>
            <w:tcBorders>
              <w:top w:val="threeDEmboss" w:sz="6" w:space="0" w:color="00B050"/>
              <w:bottom w:val="threeDEmboss" w:sz="6" w:space="0" w:color="00B050"/>
            </w:tcBorders>
            <w:shd w:val="clear" w:color="auto" w:fill="FCE0C8"/>
            <w:vAlign w:val="center"/>
          </w:tcPr>
          <w:p w:rsidR="00D60C7C" w:rsidRPr="00783E42" w:rsidRDefault="00D60C7C" w:rsidP="00D60C7C">
            <w:pPr>
              <w:widowControl w:val="0"/>
              <w:autoSpaceDE w:val="0"/>
              <w:autoSpaceDN w:val="0"/>
              <w:adjustRightInd w:val="0"/>
              <w:jc w:val="center"/>
              <w:rPr>
                <w:rFonts w:asciiTheme="minorHAnsi" w:hAnsiTheme="minorHAnsi" w:cstheme="minorHAnsi"/>
                <w:b/>
                <w:lang w:val="ro-RO"/>
              </w:rPr>
            </w:pPr>
            <w:r w:rsidRPr="00783E42">
              <w:rPr>
                <w:rFonts w:asciiTheme="minorHAnsi" w:hAnsiTheme="minorHAnsi" w:cstheme="minorHAnsi"/>
                <w:b/>
                <w:lang w:val="ro-RO"/>
              </w:rPr>
              <w:t>+110,0</w:t>
            </w:r>
          </w:p>
        </w:tc>
        <w:tc>
          <w:tcPr>
            <w:tcW w:w="1842" w:type="dxa"/>
            <w:tcBorders>
              <w:top w:val="threeDEmboss" w:sz="6" w:space="0" w:color="00B050"/>
              <w:bottom w:val="threeDEmboss" w:sz="6" w:space="0" w:color="00B050"/>
              <w:right w:val="threeDEmboss" w:sz="6" w:space="0" w:color="00B050"/>
            </w:tcBorders>
            <w:shd w:val="clear" w:color="auto" w:fill="FCE0C8"/>
            <w:vAlign w:val="center"/>
          </w:tcPr>
          <w:p w:rsidR="00D60C7C" w:rsidRPr="00783E42" w:rsidRDefault="00D60C7C" w:rsidP="00D60C7C">
            <w:pPr>
              <w:widowControl w:val="0"/>
              <w:autoSpaceDE w:val="0"/>
              <w:autoSpaceDN w:val="0"/>
              <w:adjustRightInd w:val="0"/>
              <w:jc w:val="center"/>
              <w:rPr>
                <w:rFonts w:asciiTheme="minorHAnsi" w:hAnsiTheme="minorHAnsi" w:cstheme="minorHAnsi"/>
                <w:b/>
                <w:lang w:val="ro-RO"/>
              </w:rPr>
            </w:pPr>
            <w:r w:rsidRPr="00783E42">
              <w:rPr>
                <w:rFonts w:asciiTheme="minorHAnsi" w:hAnsiTheme="minorHAnsi" w:cstheme="minorHAnsi"/>
                <w:b/>
                <w:lang w:val="ro-RO"/>
              </w:rPr>
              <w:t>+300,0</w:t>
            </w:r>
          </w:p>
        </w:tc>
      </w:tr>
    </w:tbl>
    <w:p w:rsidR="00D60C7C" w:rsidRDefault="00D60C7C" w:rsidP="00D60C7C">
      <w:pPr>
        <w:rPr>
          <w:lang w:val="ro-RO" w:eastAsia="x-none"/>
        </w:rPr>
      </w:pPr>
    </w:p>
    <w:p w:rsidR="005937C8" w:rsidRDefault="005937C8" w:rsidP="00D60C7C">
      <w:pPr>
        <w:rPr>
          <w:lang w:val="ro-RO" w:eastAsia="x-none"/>
        </w:rPr>
      </w:pPr>
    </w:p>
    <w:p w:rsidR="005937C8" w:rsidRDefault="005937C8" w:rsidP="00D60C7C">
      <w:pPr>
        <w:rPr>
          <w:lang w:val="ro-RO" w:eastAsia="x-none"/>
        </w:rPr>
      </w:pPr>
    </w:p>
    <w:p w:rsidR="008C4926" w:rsidRDefault="008C4926" w:rsidP="00D60C7C">
      <w:pPr>
        <w:rPr>
          <w:lang w:val="ro-RO" w:eastAsia="x-none"/>
        </w:rPr>
      </w:pPr>
    </w:p>
    <w:p w:rsidR="008C4926" w:rsidRDefault="008C4926" w:rsidP="00D60C7C">
      <w:pPr>
        <w:rPr>
          <w:lang w:val="ro-RO" w:eastAsia="x-none"/>
        </w:rPr>
      </w:pPr>
    </w:p>
    <w:p w:rsidR="008C4926" w:rsidRDefault="008C4926" w:rsidP="00D60C7C">
      <w:pPr>
        <w:rPr>
          <w:lang w:val="ro-RO" w:eastAsia="x-none"/>
        </w:rPr>
      </w:pPr>
    </w:p>
    <w:p w:rsidR="008C4926" w:rsidRPr="00860724" w:rsidRDefault="008C4926" w:rsidP="00D60C7C">
      <w:pPr>
        <w:rPr>
          <w:lang w:val="ro-RO" w:eastAsia="x-none"/>
        </w:rPr>
      </w:pPr>
    </w:p>
    <w:p w:rsidR="00BA02E2" w:rsidRPr="00860724" w:rsidRDefault="00BA02E2" w:rsidP="00783E42">
      <w:pPr>
        <w:pStyle w:val="Titlu2"/>
      </w:pPr>
      <w:bookmarkStart w:id="67" w:name="_Toc504987133"/>
      <w:r w:rsidRPr="00860724">
        <w:t>Plângerile împotriva măsurilor procurorului de netrimitere în judecată</w:t>
      </w:r>
    </w:p>
    <w:p w:rsidR="00BA02E2" w:rsidRPr="00860724" w:rsidRDefault="00BA02E2" w:rsidP="00783E42">
      <w:pPr>
        <w:spacing w:line="276" w:lineRule="auto"/>
        <w:ind w:firstLine="810"/>
        <w:jc w:val="both"/>
        <w:rPr>
          <w:lang w:val="ro-RO"/>
        </w:rPr>
      </w:pPr>
      <w:r w:rsidRPr="00860724">
        <w:rPr>
          <w:lang w:val="ro-RO"/>
        </w:rPr>
        <w:t>Situaţia cauzelor soluţionate la parchete prin soluţie de netrimitere în judecată apare în tabelul de mai jos:</w:t>
      </w:r>
    </w:p>
    <w:tbl>
      <w:tblPr>
        <w:tblW w:w="9464"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242"/>
        <w:gridCol w:w="36"/>
        <w:gridCol w:w="2091"/>
        <w:gridCol w:w="3118"/>
        <w:gridCol w:w="2977"/>
      </w:tblGrid>
      <w:tr w:rsidR="00BA02E2" w:rsidRPr="00783E42" w:rsidTr="00496D69">
        <w:trPr>
          <w:jc w:val="center"/>
        </w:trPr>
        <w:tc>
          <w:tcPr>
            <w:tcW w:w="1242" w:type="dxa"/>
            <w:tcBorders>
              <w:top w:val="threeDEmboss" w:sz="6" w:space="0" w:color="00B050"/>
              <w:left w:val="threeDEmboss" w:sz="6" w:space="0" w:color="00B050"/>
              <w:bottom w:val="single" w:sz="4" w:space="0" w:color="00B050"/>
              <w:right w:val="single" w:sz="4" w:space="0" w:color="00B050"/>
            </w:tcBorders>
            <w:shd w:val="clear" w:color="auto" w:fill="FCE0C8"/>
            <w:vAlign w:val="center"/>
          </w:tcPr>
          <w:p w:rsidR="00BA02E2" w:rsidRPr="00783E42" w:rsidRDefault="00BA02E2" w:rsidP="00496D69">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ANUL</w:t>
            </w:r>
          </w:p>
        </w:tc>
        <w:tc>
          <w:tcPr>
            <w:tcW w:w="8222" w:type="dxa"/>
            <w:gridSpan w:val="4"/>
            <w:tcBorders>
              <w:top w:val="threeDEmboss" w:sz="6" w:space="0" w:color="00B050"/>
              <w:left w:val="single" w:sz="4" w:space="0" w:color="00B050"/>
              <w:bottom w:val="single" w:sz="4" w:space="0" w:color="00B050"/>
              <w:right w:val="single" w:sz="4" w:space="0" w:color="00B050"/>
            </w:tcBorders>
            <w:shd w:val="clear" w:color="auto" w:fill="FCE0C8"/>
            <w:vAlign w:val="center"/>
          </w:tcPr>
          <w:p w:rsidR="00BA02E2" w:rsidRPr="00783E42" w:rsidRDefault="00BA02E2" w:rsidP="00496D69">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NUMĂRUL CAUZELOR SOLUŢIONATE PRIN NETRIMITERE ÎN JUDECATĂ</w:t>
            </w:r>
          </w:p>
        </w:tc>
      </w:tr>
      <w:tr w:rsidR="00BA02E2" w:rsidRPr="00783E42" w:rsidTr="00496D69">
        <w:trPr>
          <w:jc w:val="center"/>
        </w:trPr>
        <w:tc>
          <w:tcPr>
            <w:tcW w:w="1278" w:type="dxa"/>
            <w:gridSpan w:val="2"/>
            <w:tcBorders>
              <w:left w:val="threeDEmboss" w:sz="6" w:space="0" w:color="00B050"/>
              <w:bottom w:val="threeDEmboss" w:sz="6" w:space="0" w:color="00B050"/>
            </w:tcBorders>
            <w:shd w:val="clear" w:color="auto" w:fill="FCE0C8"/>
          </w:tcPr>
          <w:p w:rsidR="00BA02E2" w:rsidRPr="00783E42" w:rsidRDefault="00BA02E2" w:rsidP="00496D69">
            <w:pPr>
              <w:jc w:val="center"/>
              <w:rPr>
                <w:rFonts w:asciiTheme="minorHAnsi" w:hAnsiTheme="minorHAnsi" w:cstheme="minorHAnsi"/>
                <w:b/>
                <w:color w:val="7030A0"/>
                <w:lang w:val="ro-RO"/>
              </w:rPr>
            </w:pPr>
          </w:p>
        </w:tc>
        <w:tc>
          <w:tcPr>
            <w:tcW w:w="2091" w:type="dxa"/>
            <w:tcBorders>
              <w:bottom w:val="threeDEmboss" w:sz="6" w:space="0" w:color="00B050"/>
            </w:tcBorders>
            <w:shd w:val="clear" w:color="auto" w:fill="FCE0C8"/>
          </w:tcPr>
          <w:p w:rsidR="00BA02E2" w:rsidRPr="00783E42" w:rsidRDefault="00BA02E2" w:rsidP="00496D69">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 xml:space="preserve">TOTAL, </w:t>
            </w:r>
          </w:p>
          <w:p w:rsidR="00BA02E2" w:rsidRPr="00783E42" w:rsidRDefault="00BA02E2" w:rsidP="00496D69">
            <w:pPr>
              <w:jc w:val="center"/>
              <w:rPr>
                <w:rFonts w:asciiTheme="minorHAnsi" w:hAnsiTheme="minorHAnsi" w:cstheme="minorHAnsi"/>
                <w:color w:val="7030A0"/>
                <w:lang w:val="ro-RO"/>
              </w:rPr>
            </w:pPr>
            <w:r w:rsidRPr="00783E42">
              <w:rPr>
                <w:rFonts w:asciiTheme="minorHAnsi" w:hAnsiTheme="minorHAnsi" w:cstheme="minorHAnsi"/>
                <w:b/>
                <w:color w:val="7030A0"/>
                <w:lang w:val="ro-RO"/>
              </w:rPr>
              <w:t>din care:</w:t>
            </w:r>
          </w:p>
        </w:tc>
        <w:tc>
          <w:tcPr>
            <w:tcW w:w="3118" w:type="dxa"/>
            <w:tcBorders>
              <w:bottom w:val="threeDEmboss" w:sz="6" w:space="0" w:color="00B050"/>
            </w:tcBorders>
            <w:shd w:val="clear" w:color="auto" w:fill="FCE0C8"/>
          </w:tcPr>
          <w:p w:rsidR="00BA02E2" w:rsidRPr="00783E42" w:rsidRDefault="00BA02E2" w:rsidP="00496D69">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RENUNȚARE LA URMĂRIREA PENALĂ*</w:t>
            </w:r>
          </w:p>
        </w:tc>
        <w:tc>
          <w:tcPr>
            <w:tcW w:w="2977" w:type="dxa"/>
            <w:tcBorders>
              <w:bottom w:val="threeDEmboss" w:sz="12" w:space="0" w:color="00B050"/>
              <w:right w:val="single" w:sz="2" w:space="0" w:color="00B050"/>
            </w:tcBorders>
            <w:shd w:val="clear" w:color="auto" w:fill="FCE0C8"/>
          </w:tcPr>
          <w:p w:rsidR="00BA02E2" w:rsidRPr="00783E42" w:rsidRDefault="00BA02E2" w:rsidP="00496D69">
            <w:pPr>
              <w:jc w:val="center"/>
              <w:rPr>
                <w:rFonts w:asciiTheme="minorHAnsi" w:hAnsiTheme="minorHAnsi" w:cstheme="minorHAnsi"/>
                <w:b/>
                <w:color w:val="7030A0"/>
                <w:lang w:val="ro-RO"/>
              </w:rPr>
            </w:pPr>
            <w:r w:rsidRPr="00783E42">
              <w:rPr>
                <w:rFonts w:asciiTheme="minorHAnsi" w:hAnsiTheme="minorHAnsi" w:cstheme="minorHAnsi"/>
                <w:b/>
                <w:color w:val="7030A0"/>
                <w:lang w:val="ro-RO"/>
              </w:rPr>
              <w:t>CLASARE**</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2008</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458.238</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109.306</w:t>
            </w:r>
          </w:p>
        </w:tc>
        <w:tc>
          <w:tcPr>
            <w:tcW w:w="2977" w:type="dxa"/>
            <w:tcBorders>
              <w:top w:val="threeDEmboss" w:sz="12" w:space="0" w:color="00B050"/>
            </w:tcBorders>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348.932</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2009</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459.010</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106.051</w:t>
            </w:r>
          </w:p>
        </w:tc>
        <w:tc>
          <w:tcPr>
            <w:tcW w:w="2977"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352.959</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2010</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476.285</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101.972</w:t>
            </w:r>
          </w:p>
        </w:tc>
        <w:tc>
          <w:tcPr>
            <w:tcW w:w="2977"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374.313</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2011</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535.496</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128.148</w:t>
            </w:r>
          </w:p>
        </w:tc>
        <w:tc>
          <w:tcPr>
            <w:tcW w:w="2977"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407.348</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2012</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548.661</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142.332</w:t>
            </w:r>
          </w:p>
        </w:tc>
        <w:tc>
          <w:tcPr>
            <w:tcW w:w="2977"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406.329</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2013</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588.687</w:t>
            </w:r>
          </w:p>
        </w:tc>
        <w:tc>
          <w:tcPr>
            <w:tcW w:w="3118"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159.268</w:t>
            </w:r>
          </w:p>
        </w:tc>
        <w:tc>
          <w:tcPr>
            <w:tcW w:w="2977" w:type="dxa"/>
            <w:vAlign w:val="bottom"/>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429.419</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2014</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637.578</w:t>
            </w:r>
          </w:p>
        </w:tc>
        <w:tc>
          <w:tcPr>
            <w:tcW w:w="3118"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86.883</w:t>
            </w:r>
          </w:p>
        </w:tc>
        <w:tc>
          <w:tcPr>
            <w:tcW w:w="2977"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550.695</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2015</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601.642</w:t>
            </w:r>
          </w:p>
        </w:tc>
        <w:tc>
          <w:tcPr>
            <w:tcW w:w="3118"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134.436</w:t>
            </w:r>
          </w:p>
        </w:tc>
        <w:tc>
          <w:tcPr>
            <w:tcW w:w="2977"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467.206</w:t>
            </w:r>
          </w:p>
        </w:tc>
      </w:tr>
      <w:tr w:rsidR="00BA02E2" w:rsidRPr="00783E42" w:rsidTr="00496D69">
        <w:trPr>
          <w:jc w:val="center"/>
        </w:trPr>
        <w:tc>
          <w:tcPr>
            <w:tcW w:w="1278" w:type="dxa"/>
            <w:gridSpan w:val="2"/>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2016</w:t>
            </w:r>
          </w:p>
        </w:tc>
        <w:tc>
          <w:tcPr>
            <w:tcW w:w="2091"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521.991</w:t>
            </w:r>
          </w:p>
        </w:tc>
        <w:tc>
          <w:tcPr>
            <w:tcW w:w="3118"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89.725</w:t>
            </w:r>
          </w:p>
        </w:tc>
        <w:tc>
          <w:tcPr>
            <w:tcW w:w="2977" w:type="dxa"/>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432.266</w:t>
            </w:r>
          </w:p>
        </w:tc>
      </w:tr>
      <w:tr w:rsidR="00BA02E2" w:rsidRPr="00783E42" w:rsidTr="00496D69">
        <w:trPr>
          <w:jc w:val="center"/>
        </w:trPr>
        <w:tc>
          <w:tcPr>
            <w:tcW w:w="1278" w:type="dxa"/>
            <w:gridSpan w:val="2"/>
            <w:tcBorders>
              <w:bottom w:val="threeDEmboss" w:sz="6" w:space="0" w:color="00B050"/>
            </w:tcBorders>
          </w:tcPr>
          <w:p w:rsidR="00BA02E2" w:rsidRPr="00783E42" w:rsidRDefault="00BA02E2" w:rsidP="00496D69">
            <w:pPr>
              <w:jc w:val="center"/>
              <w:rPr>
                <w:rFonts w:asciiTheme="minorHAnsi" w:hAnsiTheme="minorHAnsi" w:cstheme="minorHAnsi"/>
                <w:lang w:val="ro-RO"/>
              </w:rPr>
            </w:pPr>
            <w:r w:rsidRPr="00783E42">
              <w:rPr>
                <w:rFonts w:asciiTheme="minorHAnsi" w:hAnsiTheme="minorHAnsi" w:cstheme="minorHAnsi"/>
                <w:lang w:val="ro-RO"/>
              </w:rPr>
              <w:t>2017</w:t>
            </w:r>
          </w:p>
        </w:tc>
        <w:tc>
          <w:tcPr>
            <w:tcW w:w="2091" w:type="dxa"/>
            <w:tcBorders>
              <w:bottom w:val="threeDEmboss" w:sz="6" w:space="0" w:color="00B050"/>
            </w:tcBorders>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487.109</w:t>
            </w:r>
          </w:p>
        </w:tc>
        <w:tc>
          <w:tcPr>
            <w:tcW w:w="3118" w:type="dxa"/>
            <w:tcBorders>
              <w:bottom w:val="threeDEmboss" w:sz="6" w:space="0" w:color="00B050"/>
            </w:tcBorders>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71.190</w:t>
            </w:r>
          </w:p>
        </w:tc>
        <w:tc>
          <w:tcPr>
            <w:tcW w:w="2977" w:type="dxa"/>
            <w:tcBorders>
              <w:bottom w:val="threeDEmboss" w:sz="6" w:space="0" w:color="00B050"/>
            </w:tcBorders>
          </w:tcPr>
          <w:p w:rsidR="00BA02E2" w:rsidRPr="00783E42" w:rsidRDefault="00BA02E2" w:rsidP="00496D69">
            <w:pPr>
              <w:widowControl w:val="0"/>
              <w:autoSpaceDE w:val="0"/>
              <w:autoSpaceDN w:val="0"/>
              <w:adjustRightInd w:val="0"/>
              <w:jc w:val="center"/>
              <w:rPr>
                <w:rFonts w:asciiTheme="minorHAnsi" w:hAnsiTheme="minorHAnsi" w:cstheme="minorHAnsi"/>
                <w:lang w:val="ro-RO"/>
              </w:rPr>
            </w:pPr>
            <w:r w:rsidRPr="00783E42">
              <w:rPr>
                <w:rFonts w:asciiTheme="minorHAnsi" w:hAnsiTheme="minorHAnsi" w:cstheme="minorHAnsi"/>
                <w:lang w:val="ro-RO"/>
              </w:rPr>
              <w:t>415.919</w:t>
            </w:r>
          </w:p>
        </w:tc>
      </w:tr>
      <w:tr w:rsidR="00BA02E2" w:rsidRPr="00783E42" w:rsidTr="00496D69">
        <w:trPr>
          <w:jc w:val="center"/>
        </w:trPr>
        <w:tc>
          <w:tcPr>
            <w:tcW w:w="1278" w:type="dxa"/>
            <w:gridSpan w:val="2"/>
            <w:tcBorders>
              <w:top w:val="threeDEmboss" w:sz="6" w:space="0" w:color="00B050"/>
              <w:left w:val="threeDEmboss" w:sz="6" w:space="0" w:color="00B050"/>
              <w:bottom w:val="threeDEmboss" w:sz="6" w:space="0" w:color="00B050"/>
            </w:tcBorders>
            <w:shd w:val="clear" w:color="auto" w:fill="FCE0C8"/>
          </w:tcPr>
          <w:p w:rsidR="00BA02E2" w:rsidRPr="00783E42" w:rsidRDefault="00BA02E2" w:rsidP="00496D69">
            <w:pPr>
              <w:ind w:left="-90"/>
              <w:rPr>
                <w:rFonts w:asciiTheme="minorHAnsi" w:hAnsiTheme="minorHAnsi" w:cstheme="minorHAnsi"/>
                <w:b/>
                <w:i/>
                <w:color w:val="7030A0"/>
                <w:u w:val="single"/>
                <w:lang w:val="ro-RO"/>
              </w:rPr>
            </w:pPr>
            <w:r w:rsidRPr="00783E42">
              <w:rPr>
                <w:rFonts w:asciiTheme="minorHAnsi" w:hAnsiTheme="minorHAnsi" w:cstheme="minorHAnsi"/>
                <w:b/>
                <w:i/>
                <w:color w:val="7030A0"/>
                <w:lang w:val="ro-RO"/>
              </w:rPr>
              <w:t xml:space="preserve">     % </w:t>
            </w:r>
            <w:r w:rsidRPr="00783E42">
              <w:rPr>
                <w:rFonts w:asciiTheme="minorHAnsi" w:hAnsiTheme="minorHAnsi" w:cstheme="minorHAnsi"/>
                <w:b/>
                <w:i/>
                <w:color w:val="7030A0"/>
                <w:u w:val="single"/>
                <w:lang w:val="ro-RO"/>
              </w:rPr>
              <w:t>2017</w:t>
            </w:r>
          </w:p>
          <w:p w:rsidR="00BA02E2" w:rsidRPr="00783E42" w:rsidRDefault="00BA02E2" w:rsidP="00496D69">
            <w:pPr>
              <w:ind w:left="-90"/>
              <w:rPr>
                <w:rFonts w:asciiTheme="minorHAnsi" w:hAnsiTheme="minorHAnsi" w:cstheme="minorHAnsi"/>
                <w:b/>
                <w:i/>
                <w:color w:val="7030A0"/>
                <w:u w:val="single"/>
                <w:lang w:val="ro-RO"/>
              </w:rPr>
            </w:pPr>
            <w:r w:rsidRPr="00783E42">
              <w:rPr>
                <w:rFonts w:asciiTheme="minorHAnsi" w:hAnsiTheme="minorHAnsi" w:cstheme="minorHAnsi"/>
                <w:b/>
                <w:i/>
                <w:color w:val="7030A0"/>
                <w:lang w:val="ro-RO"/>
              </w:rPr>
              <w:t xml:space="preserve">    +/- 2016</w:t>
            </w:r>
          </w:p>
        </w:tc>
        <w:tc>
          <w:tcPr>
            <w:tcW w:w="2091" w:type="dxa"/>
            <w:tcBorders>
              <w:top w:val="threeDEmboss" w:sz="6" w:space="0" w:color="00B050"/>
              <w:bottom w:val="threeDEmboss" w:sz="6" w:space="0" w:color="00B050"/>
            </w:tcBorders>
            <w:shd w:val="clear" w:color="auto" w:fill="FCE0C8"/>
            <w:vAlign w:val="center"/>
          </w:tcPr>
          <w:p w:rsidR="00BA02E2" w:rsidRPr="00783E42" w:rsidRDefault="00BA02E2" w:rsidP="00496D69">
            <w:pPr>
              <w:widowControl w:val="0"/>
              <w:autoSpaceDE w:val="0"/>
              <w:autoSpaceDN w:val="0"/>
              <w:adjustRightInd w:val="0"/>
              <w:jc w:val="center"/>
              <w:rPr>
                <w:rFonts w:asciiTheme="minorHAnsi" w:hAnsiTheme="minorHAnsi" w:cstheme="minorHAnsi"/>
                <w:b/>
                <w:color w:val="7030A0"/>
                <w:lang w:val="ro-RO"/>
              </w:rPr>
            </w:pPr>
            <w:r w:rsidRPr="00783E42">
              <w:rPr>
                <w:rFonts w:asciiTheme="minorHAnsi" w:hAnsiTheme="minorHAnsi" w:cstheme="minorHAnsi"/>
                <w:b/>
                <w:color w:val="7030A0"/>
                <w:lang w:val="ro-RO"/>
              </w:rPr>
              <w:t>-6,7</w:t>
            </w:r>
          </w:p>
        </w:tc>
        <w:tc>
          <w:tcPr>
            <w:tcW w:w="3118" w:type="dxa"/>
            <w:tcBorders>
              <w:top w:val="threeDEmboss" w:sz="6" w:space="0" w:color="00B050"/>
              <w:bottom w:val="threeDEmboss" w:sz="6" w:space="0" w:color="00B050"/>
            </w:tcBorders>
            <w:shd w:val="clear" w:color="auto" w:fill="FCE0C8"/>
            <w:vAlign w:val="center"/>
          </w:tcPr>
          <w:p w:rsidR="00BA02E2" w:rsidRPr="00783E42" w:rsidRDefault="00BA02E2" w:rsidP="00496D69">
            <w:pPr>
              <w:widowControl w:val="0"/>
              <w:autoSpaceDE w:val="0"/>
              <w:autoSpaceDN w:val="0"/>
              <w:adjustRightInd w:val="0"/>
              <w:jc w:val="center"/>
              <w:rPr>
                <w:rFonts w:asciiTheme="minorHAnsi" w:hAnsiTheme="minorHAnsi" w:cstheme="minorHAnsi"/>
                <w:b/>
                <w:color w:val="7030A0"/>
                <w:lang w:val="ro-RO"/>
              </w:rPr>
            </w:pPr>
            <w:r w:rsidRPr="00783E42">
              <w:rPr>
                <w:rFonts w:asciiTheme="minorHAnsi" w:hAnsiTheme="minorHAnsi" w:cstheme="minorHAnsi"/>
                <w:b/>
                <w:color w:val="7030A0"/>
                <w:lang w:val="ro-RO"/>
              </w:rPr>
              <w:t>-20,7</w:t>
            </w:r>
          </w:p>
        </w:tc>
        <w:tc>
          <w:tcPr>
            <w:tcW w:w="2977" w:type="dxa"/>
            <w:tcBorders>
              <w:top w:val="threeDEmboss" w:sz="6" w:space="0" w:color="00B050"/>
              <w:bottom w:val="threeDEmboss" w:sz="6" w:space="0" w:color="00B050"/>
            </w:tcBorders>
            <w:shd w:val="clear" w:color="auto" w:fill="FCE0C8"/>
            <w:vAlign w:val="center"/>
          </w:tcPr>
          <w:p w:rsidR="00BA02E2" w:rsidRPr="00783E42" w:rsidRDefault="00BA02E2" w:rsidP="00496D69">
            <w:pPr>
              <w:widowControl w:val="0"/>
              <w:autoSpaceDE w:val="0"/>
              <w:autoSpaceDN w:val="0"/>
              <w:adjustRightInd w:val="0"/>
              <w:jc w:val="center"/>
              <w:rPr>
                <w:rFonts w:asciiTheme="minorHAnsi" w:hAnsiTheme="minorHAnsi" w:cstheme="minorHAnsi"/>
                <w:b/>
                <w:color w:val="7030A0"/>
                <w:lang w:val="ro-RO"/>
              </w:rPr>
            </w:pPr>
            <w:r w:rsidRPr="00783E42">
              <w:rPr>
                <w:rFonts w:asciiTheme="minorHAnsi" w:hAnsiTheme="minorHAnsi" w:cstheme="minorHAnsi"/>
                <w:b/>
                <w:color w:val="7030A0"/>
                <w:lang w:val="ro-RO"/>
              </w:rPr>
              <w:t>-3,8</w:t>
            </w:r>
          </w:p>
        </w:tc>
      </w:tr>
    </w:tbl>
    <w:p w:rsidR="00BA02E2" w:rsidRPr="00860724" w:rsidRDefault="00BA02E2" w:rsidP="00BA02E2">
      <w:pPr>
        <w:jc w:val="both"/>
        <w:rPr>
          <w:sz w:val="20"/>
          <w:lang w:val="ro-RO"/>
        </w:rPr>
      </w:pPr>
    </w:p>
    <w:p w:rsidR="00BA02E2" w:rsidRPr="002A0E01" w:rsidRDefault="00BA02E2" w:rsidP="002A0E01">
      <w:pPr>
        <w:spacing w:line="276" w:lineRule="auto"/>
        <w:jc w:val="both"/>
        <w:rPr>
          <w:lang w:val="ro-RO"/>
        </w:rPr>
      </w:pPr>
      <w:r w:rsidRPr="002A0E01">
        <w:rPr>
          <w:lang w:val="ro-RO"/>
        </w:rPr>
        <w:t>*Datele din perioada 2008- 2013 se referă la cauzele soluționate în temeiul art. 18¹ din vechiul Cod penal.</w:t>
      </w:r>
    </w:p>
    <w:p w:rsidR="00BA02E2" w:rsidRPr="002A0E01" w:rsidRDefault="00BA02E2" w:rsidP="002A0E01">
      <w:pPr>
        <w:spacing w:line="276" w:lineRule="auto"/>
        <w:jc w:val="both"/>
        <w:rPr>
          <w:lang w:val="ro-RO"/>
        </w:rPr>
      </w:pPr>
      <w:r w:rsidRPr="002A0E01">
        <w:rPr>
          <w:lang w:val="ro-RO"/>
        </w:rPr>
        <w:t xml:space="preserve">** Datele din perioada 2008- 2013 se referă la cauzele soluționate prin alte soluții de netrimitere </w:t>
      </w:r>
      <w:r w:rsidRPr="002A0E01">
        <w:rPr>
          <w:rFonts w:cs="Franklin Gothic Book"/>
          <w:lang w:val="ro-RO"/>
        </w:rPr>
        <w:t>î</w:t>
      </w:r>
      <w:r w:rsidRPr="002A0E01">
        <w:rPr>
          <w:lang w:val="ro-RO"/>
        </w:rPr>
        <w:t>n judecat</w:t>
      </w:r>
      <w:r w:rsidRPr="002A0E01">
        <w:rPr>
          <w:rFonts w:cs="Franklin Gothic Book"/>
          <w:lang w:val="ro-RO"/>
        </w:rPr>
        <w:t>ă</w:t>
      </w:r>
      <w:r w:rsidRPr="002A0E01">
        <w:rPr>
          <w:lang w:val="ro-RO"/>
        </w:rPr>
        <w:t xml:space="preserve"> în afară de cele în temeiul art. 18¹ din vechiul Cod penal.</w:t>
      </w:r>
    </w:p>
    <w:p w:rsidR="00BA02E2" w:rsidRPr="00860724" w:rsidRDefault="00BA02E2" w:rsidP="002A0E01">
      <w:pPr>
        <w:spacing w:line="276" w:lineRule="auto"/>
        <w:rPr>
          <w:sz w:val="20"/>
          <w:lang w:val="ro-RO"/>
        </w:rPr>
      </w:pPr>
    </w:p>
    <w:p w:rsidR="00BA02E2" w:rsidRDefault="00BA02E2" w:rsidP="002A0E01">
      <w:pPr>
        <w:spacing w:line="276" w:lineRule="auto"/>
        <w:ind w:firstLine="810"/>
        <w:jc w:val="both"/>
        <w:rPr>
          <w:lang w:val="ro-RO"/>
        </w:rPr>
      </w:pPr>
      <w:r w:rsidRPr="00860724">
        <w:rPr>
          <w:lang w:val="ro-RO"/>
        </w:rPr>
        <w:t>Situaţia plângerilor împotriva măsurilor procurorului de netrimitere în judecată cu raportare la totalul cauzelor soluţionate la parchete prin soluţie de netrimitere în judecată se relevă conform tabelului:</w:t>
      </w:r>
    </w:p>
    <w:p w:rsidR="002A0E01" w:rsidRPr="00860724" w:rsidRDefault="002A0E01" w:rsidP="002A0E01">
      <w:pPr>
        <w:spacing w:line="276" w:lineRule="auto"/>
        <w:ind w:firstLine="810"/>
        <w:jc w:val="both"/>
        <w:rPr>
          <w:lang w:val="ro-RO"/>
        </w:rPr>
      </w:pPr>
    </w:p>
    <w:tbl>
      <w:tblPr>
        <w:tblW w:w="9332" w:type="dxa"/>
        <w:jc w:val="center"/>
        <w:tblLook w:val="04A0" w:firstRow="1" w:lastRow="0" w:firstColumn="1" w:lastColumn="0" w:noHBand="0" w:noVBand="1"/>
      </w:tblPr>
      <w:tblGrid>
        <w:gridCol w:w="960"/>
        <w:gridCol w:w="1711"/>
        <w:gridCol w:w="2036"/>
        <w:gridCol w:w="1389"/>
        <w:gridCol w:w="1800"/>
        <w:gridCol w:w="1436"/>
      </w:tblGrid>
      <w:tr w:rsidR="00BA02E2" w:rsidRPr="002A0E01" w:rsidTr="00496D69">
        <w:trPr>
          <w:trHeight w:val="1560"/>
          <w:jc w:val="center"/>
        </w:trPr>
        <w:tc>
          <w:tcPr>
            <w:tcW w:w="960" w:type="dxa"/>
            <w:tcBorders>
              <w:top w:val="single" w:sz="8" w:space="0" w:color="auto"/>
              <w:left w:val="single" w:sz="8" w:space="0" w:color="auto"/>
              <w:bottom w:val="single" w:sz="4" w:space="0" w:color="auto"/>
              <w:right w:val="single" w:sz="4" w:space="0" w:color="auto"/>
            </w:tcBorders>
            <w:shd w:val="clear" w:color="auto" w:fill="BFBFBF"/>
            <w:noWrap/>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Anul</w:t>
            </w:r>
          </w:p>
        </w:tc>
        <w:tc>
          <w:tcPr>
            <w:tcW w:w="1711" w:type="dxa"/>
            <w:tcBorders>
              <w:top w:val="single" w:sz="8" w:space="0" w:color="auto"/>
              <w:left w:val="nil"/>
              <w:bottom w:val="single" w:sz="4" w:space="0" w:color="auto"/>
              <w:right w:val="single" w:sz="4" w:space="0" w:color="auto"/>
            </w:tcBorders>
            <w:shd w:val="clear" w:color="auto" w:fill="BFBFBF"/>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Total nr. cauze solutionate prin netrimitere in judecata</w:t>
            </w:r>
          </w:p>
        </w:tc>
        <w:tc>
          <w:tcPr>
            <w:tcW w:w="2036" w:type="dxa"/>
            <w:tcBorders>
              <w:top w:val="single" w:sz="8" w:space="0" w:color="auto"/>
              <w:left w:val="nil"/>
              <w:bottom w:val="single" w:sz="4" w:space="0" w:color="auto"/>
              <w:right w:val="single" w:sz="4" w:space="0" w:color="auto"/>
            </w:tcBorders>
            <w:shd w:val="clear" w:color="auto" w:fill="BFBFBF"/>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Volum plângeri împotriva măsurilor procurorului de netrimitere in judecata art 340 NCpp*</w:t>
            </w:r>
          </w:p>
        </w:tc>
        <w:tc>
          <w:tcPr>
            <w:tcW w:w="1389" w:type="dxa"/>
            <w:tcBorders>
              <w:top w:val="single" w:sz="8" w:space="0" w:color="auto"/>
              <w:left w:val="nil"/>
              <w:bottom w:val="single" w:sz="4" w:space="0" w:color="auto"/>
              <w:right w:val="single" w:sz="4" w:space="0" w:color="auto"/>
            </w:tcBorders>
            <w:shd w:val="clear" w:color="auto" w:fill="BFBFBF"/>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Pondere</w:t>
            </w:r>
            <w:r w:rsidRPr="002A0E01">
              <w:rPr>
                <w:rFonts w:asciiTheme="minorHAnsi" w:hAnsiTheme="minorHAnsi" w:cstheme="minorHAnsi"/>
                <w:b/>
                <w:lang w:val="ro-RO"/>
              </w:rPr>
              <w:br/>
              <w:t xml:space="preserve"> volum</w:t>
            </w:r>
          </w:p>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plangeri în total cauze solutionate prin netrimitere in judecata</w:t>
            </w:r>
          </w:p>
        </w:tc>
        <w:tc>
          <w:tcPr>
            <w:tcW w:w="1800" w:type="dxa"/>
            <w:tcBorders>
              <w:top w:val="single" w:sz="8" w:space="0" w:color="auto"/>
              <w:left w:val="single" w:sz="4" w:space="0" w:color="auto"/>
              <w:bottom w:val="single" w:sz="4" w:space="0" w:color="auto"/>
              <w:right w:val="nil"/>
            </w:tcBorders>
            <w:shd w:val="clear" w:color="auto" w:fill="BFBFBF"/>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Total</w:t>
            </w:r>
            <w:r w:rsidRPr="002A0E01">
              <w:rPr>
                <w:rFonts w:asciiTheme="minorHAnsi" w:hAnsiTheme="minorHAnsi" w:cstheme="minorHAnsi"/>
                <w:b/>
                <w:lang w:val="ro-RO"/>
              </w:rPr>
              <w:br/>
              <w:t xml:space="preserve"> plangeri</w:t>
            </w:r>
          </w:p>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solutionate</w:t>
            </w:r>
          </w:p>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 xml:space="preserve">împotriva măsurilor procurorului de netrimitere in judecata art 340 NCpp* </w:t>
            </w:r>
          </w:p>
        </w:tc>
        <w:tc>
          <w:tcPr>
            <w:tcW w:w="1436" w:type="dxa"/>
            <w:tcBorders>
              <w:top w:val="single" w:sz="8" w:space="0" w:color="auto"/>
              <w:left w:val="single" w:sz="4" w:space="0" w:color="auto"/>
              <w:bottom w:val="single" w:sz="4" w:space="0" w:color="auto"/>
              <w:right w:val="single" w:sz="8" w:space="0" w:color="auto"/>
            </w:tcBorders>
            <w:shd w:val="clear" w:color="auto" w:fill="BFBFBF"/>
            <w:vAlign w:val="center"/>
          </w:tcPr>
          <w:p w:rsidR="00BA02E2" w:rsidRPr="002A0E01" w:rsidRDefault="00BA02E2" w:rsidP="00496D69">
            <w:pPr>
              <w:ind w:left="-18"/>
              <w:jc w:val="center"/>
              <w:rPr>
                <w:rFonts w:asciiTheme="minorHAnsi" w:hAnsiTheme="minorHAnsi" w:cstheme="minorHAnsi"/>
                <w:b/>
                <w:lang w:val="ro-RO"/>
              </w:rPr>
            </w:pPr>
            <w:r w:rsidRPr="002A0E01">
              <w:rPr>
                <w:rFonts w:asciiTheme="minorHAnsi" w:hAnsiTheme="minorHAnsi" w:cstheme="minorHAnsi"/>
                <w:b/>
                <w:lang w:val="ro-RO"/>
              </w:rPr>
              <w:t>Pondere plangeri</w:t>
            </w:r>
            <w:r w:rsidRPr="002A0E01">
              <w:rPr>
                <w:rFonts w:asciiTheme="minorHAnsi" w:hAnsiTheme="minorHAnsi" w:cstheme="minorHAnsi"/>
                <w:b/>
                <w:lang w:val="ro-RO"/>
              </w:rPr>
              <w:br/>
              <w:t xml:space="preserve"> solutionate</w:t>
            </w:r>
          </w:p>
        </w:tc>
      </w:tr>
      <w:tr w:rsidR="00BA02E2" w:rsidRPr="002A0E01" w:rsidTr="00496D69">
        <w:trPr>
          <w:trHeight w:val="40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1711" w:type="dxa"/>
            <w:tcBorders>
              <w:top w:val="nil"/>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458238</w:t>
            </w:r>
          </w:p>
        </w:tc>
        <w:tc>
          <w:tcPr>
            <w:tcW w:w="2036"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18437</w:t>
            </w:r>
          </w:p>
        </w:tc>
        <w:tc>
          <w:tcPr>
            <w:tcW w:w="1389"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15176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3.3%</w:t>
            </w:r>
          </w:p>
        </w:tc>
      </w:tr>
      <w:tr w:rsidR="00BA02E2" w:rsidRPr="002A0E01" w:rsidTr="00496D69">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1711" w:type="dxa"/>
            <w:tcBorders>
              <w:top w:val="nil"/>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459010</w:t>
            </w:r>
          </w:p>
        </w:tc>
        <w:tc>
          <w:tcPr>
            <w:tcW w:w="2036"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19417</w:t>
            </w:r>
          </w:p>
        </w:tc>
        <w:tc>
          <w:tcPr>
            <w:tcW w:w="1389"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4.2%</w:t>
            </w:r>
          </w:p>
        </w:tc>
        <w:tc>
          <w:tcPr>
            <w:tcW w:w="1800" w:type="dxa"/>
            <w:tcBorders>
              <w:top w:val="nil"/>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15116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3.3%</w:t>
            </w:r>
          </w:p>
        </w:tc>
      </w:tr>
      <w:tr w:rsidR="00BA02E2" w:rsidRPr="002A0E01" w:rsidTr="00496D69">
        <w:trPr>
          <w:trHeight w:val="25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1711"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476285</w:t>
            </w:r>
          </w:p>
        </w:tc>
        <w:tc>
          <w:tcPr>
            <w:tcW w:w="2036"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20652</w:t>
            </w:r>
          </w:p>
        </w:tc>
        <w:tc>
          <w:tcPr>
            <w:tcW w:w="1389"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4.3%</w:t>
            </w:r>
          </w:p>
        </w:tc>
        <w:tc>
          <w:tcPr>
            <w:tcW w:w="1800" w:type="dxa"/>
            <w:tcBorders>
              <w:top w:val="nil"/>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16593</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3.5%</w:t>
            </w:r>
          </w:p>
        </w:tc>
      </w:tr>
      <w:tr w:rsidR="00BA02E2" w:rsidRPr="002A0E01" w:rsidTr="00496D69">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1711" w:type="dxa"/>
            <w:tcBorders>
              <w:top w:val="nil"/>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535496</w:t>
            </w:r>
          </w:p>
        </w:tc>
        <w:tc>
          <w:tcPr>
            <w:tcW w:w="2036"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21345</w:t>
            </w:r>
          </w:p>
        </w:tc>
        <w:tc>
          <w:tcPr>
            <w:tcW w:w="1389" w:type="dxa"/>
            <w:tcBorders>
              <w:top w:val="nil"/>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17422</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3.3%</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548661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20436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3.7%</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16720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3.0%</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588687</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17982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3.0%</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16159</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2.7%</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637578</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15546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14940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2,3%</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lang w:val="ro-RO"/>
              </w:rPr>
            </w:pPr>
            <w:r w:rsidRPr="002A0E01">
              <w:rPr>
                <w:rFonts w:asciiTheme="minorHAnsi" w:eastAsia="Arial Narrow" w:hAnsiTheme="minorHAnsi" w:cstheme="minorHAnsi"/>
                <w:lang w:val="ro-RO"/>
              </w:rPr>
              <w:t>601642</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14402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2,3%</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13027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2,1%</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eastAsia="Arial Narrow" w:hAnsiTheme="minorHAnsi" w:cstheme="minorHAnsi"/>
                <w:lang w:val="ro-RO"/>
              </w:rPr>
            </w:pPr>
            <w:r w:rsidRPr="002A0E01">
              <w:rPr>
                <w:rFonts w:asciiTheme="minorHAnsi" w:hAnsiTheme="minorHAnsi" w:cstheme="minorHAnsi"/>
                <w:lang w:val="ro-RO"/>
              </w:rPr>
              <w:t>521991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13670</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2,6%</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12507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2,3%</w:t>
            </w:r>
          </w:p>
        </w:tc>
      </w:tr>
      <w:tr w:rsidR="00BA02E2" w:rsidRPr="002A0E01" w:rsidTr="00496D6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2017</w:t>
            </w:r>
          </w:p>
        </w:tc>
        <w:tc>
          <w:tcPr>
            <w:tcW w:w="1711" w:type="dxa"/>
            <w:tcBorders>
              <w:top w:val="single" w:sz="4" w:space="0" w:color="auto"/>
              <w:left w:val="nil"/>
              <w:bottom w:val="single" w:sz="4" w:space="0" w:color="auto"/>
              <w:right w:val="single" w:sz="4" w:space="0" w:color="auto"/>
            </w:tcBorders>
            <w:shd w:val="clear" w:color="auto" w:fill="auto"/>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487109</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11823</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2,4%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10984</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2,2%</w:t>
            </w:r>
          </w:p>
        </w:tc>
      </w:tr>
    </w:tbl>
    <w:p w:rsidR="00BA02E2" w:rsidRPr="00860724" w:rsidRDefault="00BA02E2" w:rsidP="00BA02E2">
      <w:pPr>
        <w:spacing w:before="120" w:line="360" w:lineRule="auto"/>
        <w:ind w:firstLine="684"/>
        <w:jc w:val="both"/>
        <w:rPr>
          <w:lang w:val="ro-RO"/>
        </w:rPr>
      </w:pPr>
      <w:r w:rsidRPr="00860724">
        <w:rPr>
          <w:b/>
          <w:lang w:val="ro-RO"/>
        </w:rPr>
        <w:t>*</w:t>
      </w:r>
      <w:r w:rsidRPr="00860724">
        <w:rPr>
          <w:lang w:val="ro-RO"/>
        </w:rPr>
        <w:t>Fostul articol 278</w:t>
      </w:r>
      <w:r w:rsidRPr="00860724">
        <w:rPr>
          <w:vertAlign w:val="superscript"/>
          <w:lang w:val="ro-RO"/>
        </w:rPr>
        <w:t>1</w:t>
      </w:r>
      <w:r w:rsidRPr="00860724">
        <w:rPr>
          <w:lang w:val="ro-RO"/>
        </w:rPr>
        <w:t xml:space="preserve"> vechiul</w:t>
      </w:r>
      <w:r w:rsidRPr="00860724">
        <w:rPr>
          <w:vertAlign w:val="superscript"/>
          <w:lang w:val="ro-RO"/>
        </w:rPr>
        <w:t xml:space="preserve">  </w:t>
      </w:r>
      <w:r w:rsidRPr="00860724">
        <w:rPr>
          <w:lang w:val="ro-RO"/>
        </w:rPr>
        <w:t>CPP</w:t>
      </w:r>
    </w:p>
    <w:p w:rsidR="00BA02E2" w:rsidRPr="00860724" w:rsidRDefault="00B20452" w:rsidP="002A0E01">
      <w:pPr>
        <w:pStyle w:val="Titlu2"/>
      </w:pPr>
      <w:r w:rsidRPr="00860724">
        <w:t>Alte d</w:t>
      </w:r>
      <w:r w:rsidR="00BA02E2" w:rsidRPr="00860724">
        <w:t xml:space="preserve">ate statistice relevante privind </w:t>
      </w:r>
      <w:r w:rsidRPr="00860724">
        <w:t>activitatea</w:t>
      </w:r>
      <w:r w:rsidR="00BA02E2" w:rsidRPr="00860724">
        <w:t xml:space="preserve"> Parchetelor</w:t>
      </w:r>
    </w:p>
    <w:p w:rsidR="00B20452" w:rsidRPr="00860724" w:rsidRDefault="00B20452" w:rsidP="002A0E01">
      <w:pPr>
        <w:spacing w:line="276" w:lineRule="auto"/>
        <w:rPr>
          <w:b/>
          <w:i/>
          <w:lang w:val="ro-RO" w:eastAsia="x-none"/>
        </w:rPr>
      </w:pPr>
      <w:r w:rsidRPr="00860724">
        <w:rPr>
          <w:lang w:val="ro-RO" w:eastAsia="x-none"/>
        </w:rPr>
        <w:tab/>
      </w:r>
      <w:r w:rsidRPr="00860724">
        <w:rPr>
          <w:b/>
          <w:i/>
          <w:lang w:val="ro-RO" w:eastAsia="x-none"/>
        </w:rPr>
        <w:t>Starea infracţională</w:t>
      </w:r>
    </w:p>
    <w:p w:rsidR="00BA02E2" w:rsidRPr="00860724" w:rsidRDefault="00BA02E2" w:rsidP="002A0E01">
      <w:pPr>
        <w:spacing w:line="276" w:lineRule="auto"/>
        <w:ind w:firstLine="686"/>
        <w:jc w:val="both"/>
        <w:rPr>
          <w:lang w:val="ro-RO"/>
        </w:rPr>
      </w:pPr>
      <w:r w:rsidRPr="00860724">
        <w:rPr>
          <w:lang w:val="ro-RO"/>
        </w:rPr>
        <w:t>În</w:t>
      </w:r>
      <w:r w:rsidRPr="00860724">
        <w:rPr>
          <w:sz w:val="28"/>
          <w:szCs w:val="28"/>
          <w:lang w:val="ro-RO"/>
        </w:rPr>
        <w:t xml:space="preserve"> </w:t>
      </w:r>
      <w:r w:rsidRPr="00860724">
        <w:rPr>
          <w:lang w:val="ro-RO"/>
        </w:rPr>
        <w:t>anul 2017 au fost trimişi în judecată de 63772 inculpaţi (persoane fizice), cu 6,1% mai puțin decât în anul 2016, ceea ce înseamnă o medie de 304,6 de inculpaţi (persoane fizice) trimişi în judecată la 100.000 locuitori.</w:t>
      </w:r>
    </w:p>
    <w:p w:rsidR="00BA02E2" w:rsidRPr="00860724" w:rsidRDefault="00BA02E2" w:rsidP="002A0E01">
      <w:pPr>
        <w:spacing w:line="276" w:lineRule="auto"/>
        <w:ind w:firstLine="686"/>
        <w:jc w:val="both"/>
        <w:rPr>
          <w:lang w:val="ro-RO"/>
        </w:rPr>
      </w:pPr>
      <w:r w:rsidRPr="00860724">
        <w:rPr>
          <w:lang w:val="ro-RO"/>
        </w:rPr>
        <w:t>Pe categorii de infracţiuni, tabelele de mai jos evidenţiază dinamicile anuale ale numărului de inculpaţi trimişi în judecată:</w:t>
      </w:r>
    </w:p>
    <w:p w:rsidR="00BA02E2" w:rsidRPr="00860724" w:rsidRDefault="00BA02E2" w:rsidP="002A0E01">
      <w:pPr>
        <w:spacing w:line="276" w:lineRule="auto"/>
        <w:rPr>
          <w:b/>
          <w:lang w:val="ro-RO"/>
        </w:rPr>
      </w:pPr>
      <w:r w:rsidRPr="00860724">
        <w:rPr>
          <w:b/>
          <w:lang w:val="ro-RO"/>
        </w:rPr>
        <w:t xml:space="preserve">1. INFRACŢIUNI CONTRA PERSOANEI (ART. 188 – </w:t>
      </w:r>
      <w:smartTag w:uri="urn:schemas-microsoft-com:office:smarttags" w:element="metricconverter">
        <w:smartTagPr>
          <w:attr w:name="ProductID" w:val="227 C"/>
        </w:smartTagPr>
        <w:r w:rsidRPr="00860724">
          <w:rPr>
            <w:b/>
            <w:lang w:val="ro-RO"/>
          </w:rPr>
          <w:t>227 C</w:t>
        </w:r>
      </w:smartTag>
      <w:r w:rsidRPr="00860724">
        <w:rPr>
          <w:b/>
          <w:lang w:val="ro-RO"/>
        </w:rPr>
        <w:t>.P.)</w:t>
      </w:r>
    </w:p>
    <w:p w:rsidR="00BA02E2" w:rsidRPr="00860724" w:rsidRDefault="00BA02E2" w:rsidP="00BA02E2">
      <w:pPr>
        <w:rPr>
          <w:b/>
          <w:lang w:val="ro-RO"/>
        </w:rPr>
      </w:pPr>
    </w:p>
    <w:tbl>
      <w:tblPr>
        <w:tblW w:w="1003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076"/>
        <w:gridCol w:w="1418"/>
        <w:gridCol w:w="1442"/>
        <w:gridCol w:w="1134"/>
        <w:gridCol w:w="6"/>
        <w:gridCol w:w="1269"/>
        <w:gridCol w:w="1985"/>
        <w:gridCol w:w="1701"/>
      </w:tblGrid>
      <w:tr w:rsidR="00BA02E2" w:rsidRPr="002A0E01" w:rsidTr="00496D69">
        <w:trPr>
          <w:trHeight w:val="333"/>
          <w:jc w:val="center"/>
        </w:trPr>
        <w:tc>
          <w:tcPr>
            <w:tcW w:w="1076" w:type="dxa"/>
            <w:vMerge w:val="restart"/>
            <w:tcBorders>
              <w:top w:val="threeDEmboss" w:sz="6" w:space="0" w:color="00B050"/>
              <w:left w:val="threeDEmboss" w:sz="6" w:space="0" w:color="00B050"/>
              <w:bottom w:val="threeDEmboss" w:sz="6" w:space="0" w:color="00B050"/>
              <w:right w:val="single" w:sz="4" w:space="0" w:color="00B050"/>
            </w:tcBorders>
            <w:shd w:val="clear" w:color="auto" w:fill="FCE0C8"/>
            <w:vAlign w:val="center"/>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ANUL</w:t>
            </w:r>
          </w:p>
        </w:tc>
        <w:tc>
          <w:tcPr>
            <w:tcW w:w="1418"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TOTAL</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TRIMIŞI ÎN</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JUDECATĂ</w:t>
            </w:r>
          </w:p>
        </w:tc>
        <w:tc>
          <w:tcPr>
            <w:tcW w:w="1442"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pondere în total general inculpați p.f.</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trimişi în judecată (%)</w:t>
            </w:r>
          </w:p>
        </w:tc>
        <w:tc>
          <w:tcPr>
            <w:tcW w:w="2409" w:type="dxa"/>
            <w:gridSpan w:val="3"/>
            <w:tcBorders>
              <w:top w:val="threeDEmboss" w:sz="6" w:space="0" w:color="00B050"/>
              <w:left w:val="single" w:sz="4" w:space="0" w:color="00B050"/>
              <w:bottom w:val="single" w:sz="2"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omor  </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188 – </w:t>
            </w:r>
            <w:smartTag w:uri="urn:schemas-microsoft-com:office:smarttags" w:element="metricconverter">
              <w:smartTagPr>
                <w:attr w:name="ProductID" w:val="189 C"/>
              </w:smartTagPr>
              <w:r w:rsidRPr="002A0E01">
                <w:rPr>
                  <w:rFonts w:asciiTheme="minorHAnsi" w:hAnsiTheme="minorHAnsi" w:cstheme="minorHAnsi"/>
                  <w:b/>
                  <w:color w:val="548DD4"/>
                  <w:lang w:val="ro-RO"/>
                </w:rPr>
                <w:t>189 C</w:t>
              </w:r>
            </w:smartTag>
            <w:r w:rsidRPr="002A0E01">
              <w:rPr>
                <w:rFonts w:asciiTheme="minorHAnsi" w:hAnsiTheme="minorHAnsi" w:cstheme="minorHAnsi"/>
                <w:b/>
                <w:color w:val="548DD4"/>
                <w:lang w:val="ro-RO"/>
              </w:rPr>
              <w:t>.p.)</w:t>
            </w:r>
          </w:p>
        </w:tc>
        <w:tc>
          <w:tcPr>
            <w:tcW w:w="1985" w:type="dxa"/>
            <w:vMerge w:val="restart"/>
            <w:tcBorders>
              <w:top w:val="threeDEmboss" w:sz="6" w:space="0" w:color="00B050"/>
              <w:bottom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accidente </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mortale </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de circulaţie  (art. </w:t>
            </w:r>
            <w:smartTag w:uri="urn:schemas-microsoft-com:office:smarttags" w:element="metricconverter">
              <w:smartTagPr>
                <w:attr w:name="ProductID" w:val="192 C"/>
              </w:smartTagPr>
              <w:r w:rsidRPr="002A0E01">
                <w:rPr>
                  <w:rFonts w:asciiTheme="minorHAnsi" w:hAnsiTheme="minorHAnsi" w:cstheme="minorHAnsi"/>
                  <w:b/>
                  <w:color w:val="548DD4"/>
                  <w:lang w:val="ro-RO"/>
                </w:rPr>
                <w:t>192 C</w:t>
              </w:r>
            </w:smartTag>
            <w:r w:rsidRPr="002A0E01">
              <w:rPr>
                <w:rFonts w:asciiTheme="minorHAnsi" w:hAnsiTheme="minorHAnsi" w:cstheme="minorHAnsi"/>
                <w:b/>
                <w:color w:val="548DD4"/>
                <w:lang w:val="ro-RO"/>
              </w:rPr>
              <w:t>.p.)</w:t>
            </w:r>
          </w:p>
        </w:tc>
        <w:tc>
          <w:tcPr>
            <w:tcW w:w="1701" w:type="dxa"/>
            <w:vMerge w:val="restart"/>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accidente mortale </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de muncă</w:t>
            </w:r>
          </w:p>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192 C"/>
              </w:smartTagPr>
              <w:r w:rsidRPr="002A0E01">
                <w:rPr>
                  <w:rFonts w:asciiTheme="minorHAnsi" w:hAnsiTheme="minorHAnsi" w:cstheme="minorHAnsi"/>
                  <w:b/>
                  <w:color w:val="548DD4"/>
                  <w:lang w:val="ro-RO"/>
                </w:rPr>
                <w:t>192 C</w:t>
              </w:r>
            </w:smartTag>
            <w:r w:rsidRPr="002A0E01">
              <w:rPr>
                <w:rFonts w:asciiTheme="minorHAnsi" w:hAnsiTheme="minorHAnsi" w:cstheme="minorHAnsi"/>
                <w:b/>
                <w:color w:val="548DD4"/>
                <w:lang w:val="ro-RO"/>
              </w:rPr>
              <w:t>.p.)</w:t>
            </w:r>
          </w:p>
        </w:tc>
      </w:tr>
      <w:tr w:rsidR="00BA02E2" w:rsidRPr="002A0E01" w:rsidTr="00496D69">
        <w:trPr>
          <w:trHeight w:val="615"/>
          <w:jc w:val="center"/>
        </w:trPr>
        <w:tc>
          <w:tcPr>
            <w:tcW w:w="1076" w:type="dxa"/>
            <w:vMerge/>
            <w:tcBorders>
              <w:top w:val="single" w:sz="4" w:space="0" w:color="00B050"/>
              <w:left w:val="threeDEmboss" w:sz="6" w:space="0" w:color="00B050"/>
              <w:bottom w:val="threeDEmboss" w:sz="6" w:space="0" w:color="00B050"/>
              <w:right w:val="single" w:sz="4"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tc>
        <w:tc>
          <w:tcPr>
            <w:tcW w:w="1418" w:type="dxa"/>
            <w:vMerge/>
            <w:tcBorders>
              <w:top w:val="single" w:sz="4" w:space="0" w:color="00B050"/>
              <w:left w:val="single" w:sz="4" w:space="0" w:color="00B050"/>
              <w:bottom w:val="threeDEmboss" w:sz="6" w:space="0" w:color="00B050"/>
              <w:right w:val="single" w:sz="4"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p>
        </w:tc>
        <w:tc>
          <w:tcPr>
            <w:tcW w:w="1442" w:type="dxa"/>
            <w:vMerge/>
            <w:tcBorders>
              <w:top w:val="single" w:sz="4" w:space="0" w:color="00B050"/>
              <w:left w:val="single" w:sz="4" w:space="0" w:color="00B050"/>
              <w:bottom w:val="threeDEmboss" w:sz="6" w:space="0" w:color="00B050"/>
              <w:right w:val="single" w:sz="4"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p>
        </w:tc>
        <w:tc>
          <w:tcPr>
            <w:tcW w:w="1140" w:type="dxa"/>
            <w:gridSpan w:val="2"/>
            <w:tcBorders>
              <w:top w:val="single" w:sz="2" w:space="0" w:color="00B050"/>
              <w:left w:val="single" w:sz="4" w:space="0" w:color="00B050"/>
              <w:bottom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TOTAL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din care:</w:t>
            </w:r>
          </w:p>
        </w:tc>
        <w:tc>
          <w:tcPr>
            <w:tcW w:w="1269" w:type="dxa"/>
            <w:tcBorders>
              <w:top w:val="single" w:sz="2" w:space="0" w:color="00B050"/>
              <w:bottom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r w:rsidRPr="002A0E01">
              <w:rPr>
                <w:rFonts w:asciiTheme="minorHAnsi" w:hAnsiTheme="minorHAnsi" w:cstheme="minorHAnsi"/>
                <w:b/>
                <w:color w:val="548DD4"/>
                <w:lang w:val="ro-RO"/>
              </w:rPr>
              <w:t>faptă consumată</w:t>
            </w:r>
          </w:p>
        </w:tc>
        <w:tc>
          <w:tcPr>
            <w:tcW w:w="1985" w:type="dxa"/>
            <w:vMerge/>
            <w:tcBorders>
              <w:top w:val="threeDEmboss" w:sz="6" w:space="0" w:color="00B050"/>
              <w:bottom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p>
        </w:tc>
        <w:tc>
          <w:tcPr>
            <w:tcW w:w="1701" w:type="dxa"/>
            <w:vMerge/>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jc w:val="center"/>
              <w:rPr>
                <w:rFonts w:asciiTheme="minorHAnsi" w:hAnsiTheme="minorHAnsi" w:cstheme="minorHAnsi"/>
                <w:b/>
                <w:color w:val="548DD4"/>
                <w:lang w:val="ro-RO"/>
              </w:rPr>
            </w:pP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9.516</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21,1</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986</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327</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606</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29</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9.980</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20,1</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943</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296</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654</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27</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10.624</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18,7</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1.008</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319</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747</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22</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10.262</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16,8</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977</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217</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761</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34</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9.781</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16,4</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1.014</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202</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683</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39</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10.730</w:t>
            </w:r>
          </w:p>
        </w:tc>
        <w:tc>
          <w:tcPr>
            <w:tcW w:w="14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16,3</w:t>
            </w:r>
          </w:p>
        </w:tc>
        <w:tc>
          <w:tcPr>
            <w:tcW w:w="113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1.093</w:t>
            </w:r>
          </w:p>
        </w:tc>
        <w:tc>
          <w:tcPr>
            <w:tcW w:w="1275" w:type="dxa"/>
            <w:gridSpan w:val="2"/>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241</w:t>
            </w:r>
          </w:p>
        </w:tc>
        <w:tc>
          <w:tcPr>
            <w:tcW w:w="1985"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760</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39</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9.462</w:t>
            </w:r>
          </w:p>
        </w:tc>
        <w:tc>
          <w:tcPr>
            <w:tcW w:w="14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18,8</w:t>
            </w:r>
          </w:p>
        </w:tc>
        <w:tc>
          <w:tcPr>
            <w:tcW w:w="113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1.004</w:t>
            </w:r>
          </w:p>
        </w:tc>
        <w:tc>
          <w:tcPr>
            <w:tcW w:w="1275" w:type="dxa"/>
            <w:gridSpan w:val="2"/>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380</w:t>
            </w:r>
          </w:p>
        </w:tc>
        <w:tc>
          <w:tcPr>
            <w:tcW w:w="1985"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445</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49</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11.539</w:t>
            </w:r>
          </w:p>
        </w:tc>
        <w:tc>
          <w:tcPr>
            <w:tcW w:w="14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19,6</w:t>
            </w:r>
          </w:p>
        </w:tc>
        <w:tc>
          <w:tcPr>
            <w:tcW w:w="113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1.051</w:t>
            </w:r>
          </w:p>
        </w:tc>
        <w:tc>
          <w:tcPr>
            <w:tcW w:w="1275" w:type="dxa"/>
            <w:gridSpan w:val="2"/>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395</w:t>
            </w:r>
          </w:p>
        </w:tc>
        <w:tc>
          <w:tcPr>
            <w:tcW w:w="1985"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529</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62</w:t>
            </w:r>
          </w:p>
        </w:tc>
      </w:tr>
      <w:tr w:rsidR="00BA02E2" w:rsidRPr="002A0E01" w:rsidTr="00496D69">
        <w:trPr>
          <w:jc w:val="center"/>
        </w:trPr>
        <w:tc>
          <w:tcPr>
            <w:tcW w:w="1076"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12.694</w:t>
            </w:r>
          </w:p>
        </w:tc>
        <w:tc>
          <w:tcPr>
            <w:tcW w:w="14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19,9</w:t>
            </w:r>
          </w:p>
        </w:tc>
        <w:tc>
          <w:tcPr>
            <w:tcW w:w="113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919</w:t>
            </w:r>
          </w:p>
        </w:tc>
        <w:tc>
          <w:tcPr>
            <w:tcW w:w="1275" w:type="dxa"/>
            <w:gridSpan w:val="2"/>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371</w:t>
            </w:r>
          </w:p>
        </w:tc>
        <w:tc>
          <w:tcPr>
            <w:tcW w:w="1985"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418</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67</w:t>
            </w:r>
          </w:p>
        </w:tc>
      </w:tr>
      <w:tr w:rsidR="00BA02E2" w:rsidRPr="002A0E01" w:rsidTr="00496D69">
        <w:trPr>
          <w:jc w:val="center"/>
        </w:trPr>
        <w:tc>
          <w:tcPr>
            <w:tcW w:w="1076" w:type="dxa"/>
            <w:tcBorders>
              <w:bottom w:val="threeDEmboss"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2017</w:t>
            </w:r>
          </w:p>
        </w:tc>
        <w:tc>
          <w:tcPr>
            <w:tcW w:w="1418"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11.868</w:t>
            </w:r>
          </w:p>
        </w:tc>
        <w:tc>
          <w:tcPr>
            <w:tcW w:w="1442"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19,8</w:t>
            </w:r>
          </w:p>
        </w:tc>
        <w:tc>
          <w:tcPr>
            <w:tcW w:w="1134"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820</w:t>
            </w:r>
          </w:p>
        </w:tc>
        <w:tc>
          <w:tcPr>
            <w:tcW w:w="1275" w:type="dxa"/>
            <w:gridSpan w:val="2"/>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297</w:t>
            </w:r>
          </w:p>
        </w:tc>
        <w:tc>
          <w:tcPr>
            <w:tcW w:w="1985"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350</w:t>
            </w:r>
          </w:p>
        </w:tc>
        <w:tc>
          <w:tcPr>
            <w:tcW w:w="170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88</w:t>
            </w:r>
          </w:p>
        </w:tc>
      </w:tr>
      <w:tr w:rsidR="00BA02E2" w:rsidRPr="002A0E01" w:rsidTr="00496D69">
        <w:trPr>
          <w:jc w:val="center"/>
        </w:trPr>
        <w:tc>
          <w:tcPr>
            <w:tcW w:w="1076"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rPr>
                <w:rFonts w:asciiTheme="minorHAnsi" w:hAnsiTheme="minorHAnsi" w:cstheme="minorHAnsi"/>
                <w:b/>
                <w:i/>
                <w:color w:val="548DD4"/>
                <w:u w:val="single"/>
                <w:lang w:val="ro-RO"/>
              </w:rPr>
            </w:pPr>
            <w:r w:rsidRPr="002A0E01">
              <w:rPr>
                <w:rFonts w:asciiTheme="minorHAnsi" w:hAnsiTheme="minorHAnsi" w:cstheme="minorHAnsi"/>
                <w:i/>
                <w:color w:val="548DD4"/>
                <w:lang w:val="ro-RO"/>
              </w:rPr>
              <w:t xml:space="preserve">% </w:t>
            </w:r>
            <w:r w:rsidRPr="002A0E01">
              <w:rPr>
                <w:rFonts w:asciiTheme="minorHAnsi" w:hAnsiTheme="minorHAnsi" w:cstheme="minorHAnsi"/>
                <w:b/>
                <w:i/>
                <w:color w:val="548DD4"/>
                <w:u w:val="single"/>
                <w:lang w:val="ro-RO"/>
              </w:rPr>
              <w:t>2017</w:t>
            </w:r>
          </w:p>
          <w:p w:rsidR="00BA02E2" w:rsidRPr="002A0E01" w:rsidRDefault="00BA02E2" w:rsidP="00496D69">
            <w:pPr>
              <w:ind w:left="-90"/>
              <w:rPr>
                <w:rFonts w:asciiTheme="minorHAnsi" w:hAnsiTheme="minorHAnsi" w:cstheme="minorHAnsi"/>
                <w:b/>
                <w:color w:val="548DD4"/>
                <w:lang w:val="ro-RO"/>
              </w:rPr>
            </w:pPr>
            <w:r w:rsidRPr="002A0E01">
              <w:rPr>
                <w:rFonts w:asciiTheme="minorHAnsi" w:hAnsiTheme="minorHAnsi" w:cstheme="minorHAnsi"/>
                <w:i/>
                <w:color w:val="548DD4"/>
                <w:lang w:val="ro-RO"/>
              </w:rPr>
              <w:t xml:space="preserve"> +/- </w:t>
            </w:r>
            <w:r w:rsidRPr="002A0E01">
              <w:rPr>
                <w:rFonts w:asciiTheme="minorHAnsi" w:hAnsiTheme="minorHAnsi" w:cstheme="minorHAnsi"/>
                <w:b/>
                <w:i/>
                <w:color w:val="548DD4"/>
                <w:lang w:val="ro-RO"/>
              </w:rPr>
              <w:t>2016</w:t>
            </w:r>
          </w:p>
        </w:tc>
        <w:tc>
          <w:tcPr>
            <w:tcW w:w="1418" w:type="dxa"/>
            <w:tcBorders>
              <w:top w:val="threeDEmboss" w:sz="6" w:space="0" w:color="00B050"/>
              <w:bottom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-6,5</w:t>
            </w:r>
          </w:p>
        </w:tc>
        <w:tc>
          <w:tcPr>
            <w:tcW w:w="1442" w:type="dxa"/>
            <w:tcBorders>
              <w:top w:val="threeDEmboss" w:sz="6" w:space="0" w:color="00B050"/>
              <w:bottom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w:t>
            </w:r>
          </w:p>
        </w:tc>
        <w:tc>
          <w:tcPr>
            <w:tcW w:w="1134" w:type="dxa"/>
            <w:tcBorders>
              <w:top w:val="threeDEmboss" w:sz="6" w:space="0" w:color="00B050"/>
              <w:bottom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-10,8</w:t>
            </w:r>
          </w:p>
        </w:tc>
        <w:tc>
          <w:tcPr>
            <w:tcW w:w="1275" w:type="dxa"/>
            <w:gridSpan w:val="2"/>
            <w:tcBorders>
              <w:top w:val="threeDEmboss" w:sz="6" w:space="0" w:color="00B050"/>
              <w:bottom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-19,9</w:t>
            </w:r>
          </w:p>
        </w:tc>
        <w:tc>
          <w:tcPr>
            <w:tcW w:w="1985" w:type="dxa"/>
            <w:tcBorders>
              <w:top w:val="threeDEmboss" w:sz="6" w:space="0" w:color="00B050"/>
              <w:bottom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-16,3</w:t>
            </w:r>
          </w:p>
        </w:tc>
        <w:tc>
          <w:tcPr>
            <w:tcW w:w="1701" w:type="dxa"/>
            <w:tcBorders>
              <w:top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widowControl w:val="0"/>
              <w:jc w:val="center"/>
              <w:rPr>
                <w:rFonts w:asciiTheme="minorHAnsi" w:hAnsiTheme="minorHAnsi" w:cstheme="minorHAnsi"/>
                <w:b/>
                <w:color w:val="548DD4"/>
                <w:lang w:val="ro-RO"/>
              </w:rPr>
            </w:pPr>
            <w:r w:rsidRPr="002A0E01">
              <w:rPr>
                <w:rFonts w:asciiTheme="minorHAnsi" w:hAnsiTheme="minorHAnsi" w:cstheme="minorHAnsi"/>
                <w:b/>
                <w:color w:val="548DD4"/>
                <w:lang w:val="ro-RO"/>
              </w:rPr>
              <w:t>+31,3</w:t>
            </w:r>
          </w:p>
        </w:tc>
      </w:tr>
    </w:tbl>
    <w:p w:rsidR="00BA02E2" w:rsidRPr="00860724" w:rsidRDefault="00BA02E2" w:rsidP="00BA02E2">
      <w:pPr>
        <w:widowControl w:val="0"/>
        <w:rPr>
          <w:sz w:val="20"/>
          <w:lang w:val="ro-RO"/>
        </w:rPr>
      </w:pPr>
    </w:p>
    <w:p w:rsidR="00BA02E2" w:rsidRPr="00860724" w:rsidRDefault="00BA02E2" w:rsidP="00BA02E2">
      <w:pPr>
        <w:widowControl w:val="0"/>
        <w:rPr>
          <w:sz w:val="20"/>
          <w:lang w:val="ro-RO"/>
        </w:rPr>
      </w:pPr>
    </w:p>
    <w:p w:rsidR="00BA02E2" w:rsidRPr="00860724" w:rsidRDefault="00BA02E2" w:rsidP="00BA02E2">
      <w:pPr>
        <w:widowControl w:val="0"/>
        <w:rPr>
          <w:sz w:val="20"/>
          <w:lang w:val="ro-RO"/>
        </w:rPr>
      </w:pPr>
    </w:p>
    <w:p w:rsidR="00BA02E2" w:rsidRPr="00860724" w:rsidRDefault="00BA02E2" w:rsidP="00BA02E2">
      <w:pPr>
        <w:widowControl w:val="0"/>
        <w:rPr>
          <w:sz w:val="20"/>
          <w:lang w:val="ro-RO"/>
        </w:rPr>
      </w:pPr>
    </w:p>
    <w:tbl>
      <w:tblPr>
        <w:tblW w:w="1003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242"/>
        <w:gridCol w:w="1701"/>
        <w:gridCol w:w="1701"/>
        <w:gridCol w:w="1701"/>
        <w:gridCol w:w="1844"/>
        <w:gridCol w:w="1842"/>
      </w:tblGrid>
      <w:tr w:rsidR="00BA02E2" w:rsidRPr="002A0E01" w:rsidTr="00496D69">
        <w:trPr>
          <w:cantSplit/>
          <w:trHeight w:val="1397"/>
          <w:jc w:val="center"/>
        </w:trPr>
        <w:tc>
          <w:tcPr>
            <w:tcW w:w="1242" w:type="dxa"/>
            <w:tcBorders>
              <w:top w:val="threeDEmboss" w:sz="6" w:space="0" w:color="00B050"/>
              <w:left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ANUL</w:t>
            </w:r>
          </w:p>
        </w:tc>
        <w:tc>
          <w:tcPr>
            <w:tcW w:w="170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loviri sau vătămări cauzatoare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de moarte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195 C"/>
              </w:smartTagPr>
              <w:r w:rsidRPr="002A0E01">
                <w:rPr>
                  <w:rFonts w:asciiTheme="minorHAnsi" w:hAnsiTheme="minorHAnsi" w:cstheme="minorHAnsi"/>
                  <w:b/>
                  <w:color w:val="548DD4"/>
                  <w:lang w:val="ro-RO"/>
                </w:rPr>
                <w:t>195 C</w:t>
              </w:r>
            </w:smartTag>
            <w:r w:rsidRPr="002A0E01">
              <w:rPr>
                <w:rFonts w:asciiTheme="minorHAnsi" w:hAnsiTheme="minorHAnsi" w:cstheme="minorHAnsi"/>
                <w:b/>
                <w:color w:val="548DD4"/>
                <w:lang w:val="ro-RO"/>
              </w:rPr>
              <w:t>.p.)</w:t>
            </w:r>
          </w:p>
        </w:tc>
        <w:tc>
          <w:tcPr>
            <w:tcW w:w="170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trafic de persoane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10 C"/>
              </w:smartTagPr>
              <w:r w:rsidRPr="002A0E01">
                <w:rPr>
                  <w:rFonts w:asciiTheme="minorHAnsi" w:hAnsiTheme="minorHAnsi" w:cstheme="minorHAnsi"/>
                  <w:b/>
                  <w:color w:val="548DD4"/>
                  <w:lang w:val="ro-RO"/>
                </w:rPr>
                <w:t>210 C</w:t>
              </w:r>
            </w:smartTag>
            <w:r w:rsidRPr="002A0E01">
              <w:rPr>
                <w:rFonts w:asciiTheme="minorHAnsi" w:hAnsiTheme="minorHAnsi" w:cstheme="minorHAnsi"/>
                <w:b/>
                <w:color w:val="548DD4"/>
                <w:lang w:val="ro-RO"/>
              </w:rPr>
              <w:t>.p.)</w:t>
            </w:r>
          </w:p>
        </w:tc>
        <w:tc>
          <w:tcPr>
            <w:tcW w:w="170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trafic de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minori</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11 C"/>
              </w:smartTagPr>
              <w:r w:rsidRPr="002A0E01">
                <w:rPr>
                  <w:rFonts w:asciiTheme="minorHAnsi" w:hAnsiTheme="minorHAnsi" w:cstheme="minorHAnsi"/>
                  <w:b/>
                  <w:color w:val="548DD4"/>
                  <w:lang w:val="ro-RO"/>
                </w:rPr>
                <w:t>211 C</w:t>
              </w:r>
            </w:smartTag>
            <w:r w:rsidRPr="002A0E01">
              <w:rPr>
                <w:rFonts w:asciiTheme="minorHAnsi" w:hAnsiTheme="minorHAnsi" w:cstheme="minorHAnsi"/>
                <w:b/>
                <w:color w:val="548DD4"/>
                <w:lang w:val="ro-RO"/>
              </w:rPr>
              <w:t>.p.)</w:t>
            </w:r>
          </w:p>
        </w:tc>
        <w:tc>
          <w:tcPr>
            <w:tcW w:w="1844"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proxenetism</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13 C"/>
              </w:smartTagPr>
              <w:r w:rsidRPr="002A0E01">
                <w:rPr>
                  <w:rFonts w:asciiTheme="minorHAnsi" w:hAnsiTheme="minorHAnsi" w:cstheme="minorHAnsi"/>
                  <w:b/>
                  <w:color w:val="548DD4"/>
                  <w:lang w:val="ro-RO"/>
                </w:rPr>
                <w:t>213 C</w:t>
              </w:r>
            </w:smartTag>
            <w:r w:rsidRPr="002A0E01">
              <w:rPr>
                <w:rFonts w:asciiTheme="minorHAnsi" w:hAnsiTheme="minorHAnsi" w:cstheme="minorHAnsi"/>
                <w:b/>
                <w:color w:val="548DD4"/>
                <w:lang w:val="ro-RO"/>
              </w:rPr>
              <w:t>.p.)</w:t>
            </w:r>
          </w:p>
        </w:tc>
        <w:tc>
          <w:tcPr>
            <w:tcW w:w="1842" w:type="dxa"/>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viol</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18 C"/>
              </w:smartTagPr>
              <w:r w:rsidRPr="002A0E01">
                <w:rPr>
                  <w:rFonts w:asciiTheme="minorHAnsi" w:hAnsiTheme="minorHAnsi" w:cstheme="minorHAnsi"/>
                  <w:b/>
                  <w:color w:val="548DD4"/>
                  <w:lang w:val="ro-RO"/>
                </w:rPr>
                <w:t>218 C</w:t>
              </w:r>
            </w:smartTag>
            <w:r w:rsidRPr="002A0E01">
              <w:rPr>
                <w:rFonts w:asciiTheme="minorHAnsi" w:hAnsiTheme="minorHAnsi" w:cstheme="minorHAnsi"/>
                <w:b/>
                <w:color w:val="548DD4"/>
                <w:lang w:val="ro-RO"/>
              </w:rPr>
              <w:t>.p.)</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81</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333</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98</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46</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532</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98</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262</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87</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46</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540</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100</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415</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191</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43</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507</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83</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480</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241</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73</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486</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84</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536</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276</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76</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440</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84</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552</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282</w:t>
            </w:r>
          </w:p>
        </w:tc>
        <w:tc>
          <w:tcPr>
            <w:tcW w:w="1844"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80</w:t>
            </w:r>
          </w:p>
        </w:tc>
        <w:tc>
          <w:tcPr>
            <w:tcW w:w="1842"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466</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78</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183</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350</w:t>
            </w:r>
          </w:p>
        </w:tc>
        <w:tc>
          <w:tcPr>
            <w:tcW w:w="184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137</w:t>
            </w:r>
          </w:p>
        </w:tc>
        <w:tc>
          <w:tcPr>
            <w:tcW w:w="18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469</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58</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107</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292</w:t>
            </w:r>
          </w:p>
        </w:tc>
        <w:tc>
          <w:tcPr>
            <w:tcW w:w="184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295</w:t>
            </w:r>
          </w:p>
        </w:tc>
        <w:tc>
          <w:tcPr>
            <w:tcW w:w="18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517</w:t>
            </w:r>
          </w:p>
        </w:tc>
      </w:tr>
      <w:tr w:rsidR="00BA02E2" w:rsidRPr="002A0E01" w:rsidTr="00496D69">
        <w:tblPrEx>
          <w:tblLook w:val="0000" w:firstRow="0" w:lastRow="0" w:firstColumn="0" w:lastColumn="0" w:noHBand="0" w:noVBand="0"/>
        </w:tblPrEx>
        <w:trPr>
          <w:jc w:val="center"/>
        </w:trPr>
        <w:tc>
          <w:tcPr>
            <w:tcW w:w="1242"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72</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119</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195</w:t>
            </w:r>
          </w:p>
        </w:tc>
        <w:tc>
          <w:tcPr>
            <w:tcW w:w="1844"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178</w:t>
            </w:r>
          </w:p>
        </w:tc>
        <w:tc>
          <w:tcPr>
            <w:tcW w:w="1842"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561</w:t>
            </w:r>
          </w:p>
        </w:tc>
      </w:tr>
      <w:tr w:rsidR="00BA02E2" w:rsidRPr="002A0E01" w:rsidTr="00496D69">
        <w:tblPrEx>
          <w:tblLook w:val="0000" w:firstRow="0" w:lastRow="0" w:firstColumn="0" w:lastColumn="0" w:noHBand="0" w:noVBand="0"/>
        </w:tblPrEx>
        <w:trPr>
          <w:jc w:val="center"/>
        </w:trPr>
        <w:tc>
          <w:tcPr>
            <w:tcW w:w="1242" w:type="dxa"/>
            <w:tcBorders>
              <w:bottom w:val="threeDEmboss"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2017</w:t>
            </w:r>
          </w:p>
        </w:tc>
        <w:tc>
          <w:tcPr>
            <w:tcW w:w="170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76</w:t>
            </w:r>
          </w:p>
        </w:tc>
        <w:tc>
          <w:tcPr>
            <w:tcW w:w="170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151</w:t>
            </w:r>
          </w:p>
        </w:tc>
        <w:tc>
          <w:tcPr>
            <w:tcW w:w="170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211</w:t>
            </w:r>
          </w:p>
        </w:tc>
        <w:tc>
          <w:tcPr>
            <w:tcW w:w="1844"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176</w:t>
            </w:r>
          </w:p>
        </w:tc>
        <w:tc>
          <w:tcPr>
            <w:tcW w:w="1842"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421</w:t>
            </w:r>
          </w:p>
        </w:tc>
      </w:tr>
      <w:tr w:rsidR="00BA02E2" w:rsidRPr="002A0E01" w:rsidTr="00496D69">
        <w:tblPrEx>
          <w:tblLook w:val="0000" w:firstRow="0" w:lastRow="0" w:firstColumn="0" w:lastColumn="0" w:noHBand="0" w:noVBand="0"/>
        </w:tblPrEx>
        <w:trPr>
          <w:jc w:val="center"/>
        </w:trPr>
        <w:tc>
          <w:tcPr>
            <w:tcW w:w="1242"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 2017</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+/- 2016</w:t>
            </w:r>
          </w:p>
        </w:tc>
        <w:tc>
          <w:tcPr>
            <w:tcW w:w="1701"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+5,6</w:t>
            </w:r>
          </w:p>
        </w:tc>
        <w:tc>
          <w:tcPr>
            <w:tcW w:w="1701"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+26,9</w:t>
            </w:r>
          </w:p>
        </w:tc>
        <w:tc>
          <w:tcPr>
            <w:tcW w:w="1701"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+8,2</w:t>
            </w:r>
          </w:p>
        </w:tc>
        <w:tc>
          <w:tcPr>
            <w:tcW w:w="1844"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-1,1</w:t>
            </w:r>
          </w:p>
        </w:tc>
        <w:tc>
          <w:tcPr>
            <w:tcW w:w="1842" w:type="dxa"/>
            <w:tcBorders>
              <w:top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-25,0</w:t>
            </w:r>
          </w:p>
        </w:tc>
      </w:tr>
    </w:tbl>
    <w:p w:rsidR="00BA02E2" w:rsidRPr="00860724" w:rsidRDefault="00BA02E2" w:rsidP="00BA02E2">
      <w:pPr>
        <w:rPr>
          <w:b/>
          <w:lang w:val="ro-RO"/>
        </w:rPr>
      </w:pPr>
    </w:p>
    <w:p w:rsidR="00BA02E2" w:rsidRPr="00860724" w:rsidRDefault="00BA02E2" w:rsidP="00BA02E2">
      <w:pPr>
        <w:rPr>
          <w:b/>
          <w:lang w:val="ro-RO"/>
        </w:rPr>
      </w:pPr>
    </w:p>
    <w:p w:rsidR="00BA02E2" w:rsidRPr="00860724" w:rsidRDefault="00BA02E2" w:rsidP="00BA02E2">
      <w:pPr>
        <w:rPr>
          <w:b/>
          <w:lang w:val="ro-RO"/>
        </w:rPr>
      </w:pPr>
      <w:r w:rsidRPr="00860724">
        <w:rPr>
          <w:b/>
          <w:lang w:val="ro-RO"/>
        </w:rPr>
        <w:t xml:space="preserve">2. INFRACŢIUNI CONTRA PATRIMONIULUI (ART. 228 – </w:t>
      </w:r>
      <w:smartTag w:uri="urn:schemas-microsoft-com:office:smarttags" w:element="metricconverter">
        <w:smartTagPr>
          <w:attr w:name="ProductID" w:val="256 C"/>
        </w:smartTagPr>
        <w:r w:rsidRPr="00860724">
          <w:rPr>
            <w:b/>
            <w:lang w:val="ro-RO"/>
          </w:rPr>
          <w:t>256 C</w:t>
        </w:r>
      </w:smartTag>
      <w:r w:rsidRPr="00860724">
        <w:rPr>
          <w:b/>
          <w:lang w:val="ro-RO"/>
        </w:rPr>
        <w:t>.P.)</w:t>
      </w:r>
    </w:p>
    <w:p w:rsidR="00BA02E2" w:rsidRPr="00860724" w:rsidRDefault="00BA02E2" w:rsidP="00BA02E2">
      <w:pPr>
        <w:rPr>
          <w:b/>
          <w:lang w:val="ro-RO"/>
        </w:rPr>
      </w:pPr>
    </w:p>
    <w:tbl>
      <w:tblPr>
        <w:tblW w:w="976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4"/>
        <w:gridCol w:w="837"/>
        <w:gridCol w:w="1417"/>
        <w:gridCol w:w="1418"/>
        <w:gridCol w:w="1276"/>
        <w:gridCol w:w="1276"/>
        <w:gridCol w:w="1161"/>
        <w:gridCol w:w="1197"/>
        <w:gridCol w:w="1173"/>
      </w:tblGrid>
      <w:tr w:rsidR="00BA02E2" w:rsidRPr="002A0E01" w:rsidTr="00496D69">
        <w:trPr>
          <w:cantSplit/>
          <w:trHeight w:val="1272"/>
          <w:jc w:val="center"/>
        </w:trPr>
        <w:tc>
          <w:tcPr>
            <w:tcW w:w="851" w:type="dxa"/>
            <w:gridSpan w:val="2"/>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ANUL</w:t>
            </w:r>
          </w:p>
        </w:tc>
        <w:tc>
          <w:tcPr>
            <w:tcW w:w="1417"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TOTAL TRIMIŞI ÎN JUDECATĂ,</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din care:</w:t>
            </w:r>
          </w:p>
        </w:tc>
        <w:tc>
          <w:tcPr>
            <w:tcW w:w="1418"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pondere în total general inculpați p.f.</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trimişi în judecată (%)</w:t>
            </w:r>
          </w:p>
        </w:tc>
        <w:tc>
          <w:tcPr>
            <w:tcW w:w="1276"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furt</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228 </w:t>
            </w:r>
            <w:smartTag w:uri="urn:schemas-microsoft-com:office:smarttags" w:element="metricconverter">
              <w:smartTagPr>
                <w:attr w:name="ProductID" w:val="-232 C"/>
              </w:smartTagPr>
              <w:r w:rsidRPr="002A0E01">
                <w:rPr>
                  <w:rFonts w:asciiTheme="minorHAnsi" w:hAnsiTheme="minorHAnsi" w:cstheme="minorHAnsi"/>
                  <w:b/>
                  <w:color w:val="548DD4"/>
                  <w:lang w:val="ro-RO"/>
                </w:rPr>
                <w:t>-232 C</w:t>
              </w:r>
            </w:smartTag>
            <w:r w:rsidRPr="002A0E01">
              <w:rPr>
                <w:rFonts w:asciiTheme="minorHAnsi" w:hAnsiTheme="minorHAnsi" w:cstheme="minorHAnsi"/>
                <w:b/>
                <w:color w:val="548DD4"/>
                <w:lang w:val="ro-RO"/>
              </w:rPr>
              <w:t>.p.)</w:t>
            </w:r>
          </w:p>
        </w:tc>
        <w:tc>
          <w:tcPr>
            <w:tcW w:w="1276"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tâlhărie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233 -234  și </w:t>
            </w:r>
            <w:smartTag w:uri="urn:schemas-microsoft-com:office:smarttags" w:element="metricconverter">
              <w:smartTagPr>
                <w:attr w:name="ProductID" w:val="236 C"/>
              </w:smartTagPr>
              <w:r w:rsidRPr="002A0E01">
                <w:rPr>
                  <w:rFonts w:asciiTheme="minorHAnsi" w:hAnsiTheme="minorHAnsi" w:cstheme="minorHAnsi"/>
                  <w:b/>
                  <w:color w:val="548DD4"/>
                  <w:lang w:val="ro-RO"/>
                </w:rPr>
                <w:t>236 C</w:t>
              </w:r>
            </w:smartTag>
            <w:r w:rsidRPr="002A0E01">
              <w:rPr>
                <w:rFonts w:asciiTheme="minorHAnsi" w:hAnsiTheme="minorHAnsi" w:cstheme="minorHAnsi"/>
                <w:b/>
                <w:color w:val="548DD4"/>
                <w:lang w:val="ro-RO"/>
              </w:rPr>
              <w:t>.p.)</w:t>
            </w:r>
          </w:p>
        </w:tc>
        <w:tc>
          <w:tcPr>
            <w:tcW w:w="116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bancrută</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240 </w:t>
            </w:r>
            <w:smartTag w:uri="urn:schemas-microsoft-com:office:smarttags" w:element="metricconverter">
              <w:smartTagPr>
                <w:attr w:name="ProductID" w:val="-241 C"/>
              </w:smartTagPr>
              <w:r w:rsidRPr="002A0E01">
                <w:rPr>
                  <w:rFonts w:asciiTheme="minorHAnsi" w:hAnsiTheme="minorHAnsi" w:cstheme="minorHAnsi"/>
                  <w:b/>
                  <w:color w:val="548DD4"/>
                  <w:lang w:val="ro-RO"/>
                </w:rPr>
                <w:t>-241 C</w:t>
              </w:r>
            </w:smartTag>
            <w:r w:rsidRPr="002A0E01">
              <w:rPr>
                <w:rFonts w:asciiTheme="minorHAnsi" w:hAnsiTheme="minorHAnsi" w:cstheme="minorHAnsi"/>
                <w:b/>
                <w:color w:val="548DD4"/>
                <w:lang w:val="ro-RO"/>
              </w:rPr>
              <w:t>.p.)</w:t>
            </w:r>
          </w:p>
        </w:tc>
        <w:tc>
          <w:tcPr>
            <w:tcW w:w="1197"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înşelăciune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244 </w:t>
            </w:r>
            <w:smartTag w:uri="urn:schemas-microsoft-com:office:smarttags" w:element="metricconverter">
              <w:smartTagPr>
                <w:attr w:name="ProductID" w:val="-245 C"/>
              </w:smartTagPr>
              <w:r w:rsidRPr="002A0E01">
                <w:rPr>
                  <w:rFonts w:asciiTheme="minorHAnsi" w:hAnsiTheme="minorHAnsi" w:cstheme="minorHAnsi"/>
                  <w:b/>
                  <w:color w:val="548DD4"/>
                  <w:lang w:val="ro-RO"/>
                </w:rPr>
                <w:t>-245 C</w:t>
              </w:r>
            </w:smartTag>
            <w:r w:rsidRPr="002A0E01">
              <w:rPr>
                <w:rFonts w:asciiTheme="minorHAnsi" w:hAnsiTheme="minorHAnsi" w:cstheme="minorHAnsi"/>
                <w:b/>
                <w:color w:val="548DD4"/>
                <w:lang w:val="ro-RO"/>
              </w:rPr>
              <w:t>.p.)</w:t>
            </w:r>
          </w:p>
        </w:tc>
        <w:tc>
          <w:tcPr>
            <w:tcW w:w="1173" w:type="dxa"/>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distrugere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253 </w:t>
            </w:r>
            <w:smartTag w:uri="urn:schemas-microsoft-com:office:smarttags" w:element="metricconverter">
              <w:smartTagPr>
                <w:attr w:name="ProductID" w:val="-255 C"/>
              </w:smartTagPr>
              <w:r w:rsidRPr="002A0E01">
                <w:rPr>
                  <w:rFonts w:asciiTheme="minorHAnsi" w:hAnsiTheme="minorHAnsi" w:cstheme="minorHAnsi"/>
                  <w:b/>
                  <w:color w:val="548DD4"/>
                  <w:lang w:val="ro-RO"/>
                </w:rPr>
                <w:t>-255 C</w:t>
              </w:r>
            </w:smartTag>
            <w:r w:rsidRPr="002A0E01">
              <w:rPr>
                <w:rFonts w:asciiTheme="minorHAnsi" w:hAnsiTheme="minorHAnsi" w:cstheme="minorHAnsi"/>
                <w:b/>
                <w:color w:val="548DD4"/>
                <w:lang w:val="ro-RO"/>
              </w:rPr>
              <w:t>.p.)</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16.447</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36,5</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11.302</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2.379</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1.755</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506</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17.245</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34,7</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11.655</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2.761</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1.605</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608</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20.030</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35,2</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13.856</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2.731</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2.155</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635</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22.454</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36,8</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16.528</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2.644</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2.070</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568</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22.157</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37,1</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15.458</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2.963</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2.479</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539</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141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24.264</w:t>
            </w:r>
          </w:p>
        </w:tc>
        <w:tc>
          <w:tcPr>
            <w:tcW w:w="1418"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36,9</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17.010</w:t>
            </w:r>
          </w:p>
        </w:tc>
        <w:tc>
          <w:tcPr>
            <w:tcW w:w="1276"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2.847</w:t>
            </w:r>
          </w:p>
        </w:tc>
        <w:tc>
          <w:tcPr>
            <w:tcW w:w="116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w:t>
            </w:r>
          </w:p>
        </w:tc>
        <w:tc>
          <w:tcPr>
            <w:tcW w:w="1197"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2.933</w:t>
            </w:r>
          </w:p>
        </w:tc>
        <w:tc>
          <w:tcPr>
            <w:tcW w:w="117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617</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141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14.320</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28,4</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9.069</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2.369</w:t>
            </w:r>
          </w:p>
        </w:tc>
        <w:tc>
          <w:tcPr>
            <w:tcW w:w="116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w:t>
            </w:r>
          </w:p>
        </w:tc>
        <w:tc>
          <w:tcPr>
            <w:tcW w:w="119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2.109</w:t>
            </w:r>
          </w:p>
        </w:tc>
        <w:tc>
          <w:tcPr>
            <w:tcW w:w="117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537</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141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16.083</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27,3</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9.996</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2.499</w:t>
            </w:r>
          </w:p>
        </w:tc>
        <w:tc>
          <w:tcPr>
            <w:tcW w:w="116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w:t>
            </w:r>
          </w:p>
        </w:tc>
        <w:tc>
          <w:tcPr>
            <w:tcW w:w="119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2.436</w:t>
            </w:r>
          </w:p>
        </w:tc>
        <w:tc>
          <w:tcPr>
            <w:tcW w:w="117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771</w:t>
            </w:r>
          </w:p>
        </w:tc>
      </w:tr>
      <w:tr w:rsidR="00BA02E2" w:rsidRPr="002A0E01" w:rsidTr="00496D69">
        <w:tblPrEx>
          <w:tblLook w:val="0000" w:firstRow="0" w:lastRow="0" w:firstColumn="0" w:lastColumn="0" w:noHBand="0" w:noVBand="0"/>
        </w:tblPrEx>
        <w:trPr>
          <w:gridBefore w:val="1"/>
          <w:wBefore w:w="14" w:type="dxa"/>
          <w:jc w:val="center"/>
        </w:trPr>
        <w:tc>
          <w:tcPr>
            <w:tcW w:w="837"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141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15.419</w:t>
            </w:r>
          </w:p>
        </w:tc>
        <w:tc>
          <w:tcPr>
            <w:tcW w:w="1418"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24,2</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9.696</w:t>
            </w:r>
          </w:p>
        </w:tc>
        <w:tc>
          <w:tcPr>
            <w:tcW w:w="1276"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2.516</w:t>
            </w:r>
          </w:p>
        </w:tc>
        <w:tc>
          <w:tcPr>
            <w:tcW w:w="116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w:t>
            </w:r>
          </w:p>
        </w:tc>
        <w:tc>
          <w:tcPr>
            <w:tcW w:w="1197"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1.952</w:t>
            </w:r>
          </w:p>
        </w:tc>
        <w:tc>
          <w:tcPr>
            <w:tcW w:w="117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922</w:t>
            </w:r>
          </w:p>
        </w:tc>
      </w:tr>
      <w:tr w:rsidR="00BA02E2" w:rsidRPr="002A0E01" w:rsidTr="00496D69">
        <w:tblPrEx>
          <w:tblLook w:val="0000" w:firstRow="0" w:lastRow="0" w:firstColumn="0" w:lastColumn="0" w:noHBand="0" w:noVBand="0"/>
        </w:tblPrEx>
        <w:trPr>
          <w:gridBefore w:val="1"/>
          <w:wBefore w:w="14" w:type="dxa"/>
          <w:jc w:val="center"/>
        </w:trPr>
        <w:tc>
          <w:tcPr>
            <w:tcW w:w="837" w:type="dxa"/>
            <w:tcBorders>
              <w:bottom w:val="threeDEmboss"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2017</w:t>
            </w:r>
          </w:p>
        </w:tc>
        <w:tc>
          <w:tcPr>
            <w:tcW w:w="1417"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13.916</w:t>
            </w:r>
          </w:p>
        </w:tc>
        <w:tc>
          <w:tcPr>
            <w:tcW w:w="1418"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23,3</w:t>
            </w:r>
          </w:p>
        </w:tc>
        <w:tc>
          <w:tcPr>
            <w:tcW w:w="1276"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8.439</w:t>
            </w:r>
          </w:p>
        </w:tc>
        <w:tc>
          <w:tcPr>
            <w:tcW w:w="1276"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2.207</w:t>
            </w:r>
          </w:p>
        </w:tc>
        <w:tc>
          <w:tcPr>
            <w:tcW w:w="116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w:t>
            </w:r>
          </w:p>
        </w:tc>
        <w:tc>
          <w:tcPr>
            <w:tcW w:w="1197"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1.875</w:t>
            </w:r>
          </w:p>
        </w:tc>
        <w:tc>
          <w:tcPr>
            <w:tcW w:w="1173"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1.010</w:t>
            </w:r>
          </w:p>
        </w:tc>
      </w:tr>
      <w:tr w:rsidR="00BA02E2" w:rsidRPr="002A0E01" w:rsidTr="00496D69">
        <w:tblPrEx>
          <w:tblLook w:val="0000" w:firstRow="0" w:lastRow="0" w:firstColumn="0" w:lastColumn="0" w:noHBand="0" w:noVBand="0"/>
        </w:tblPrEx>
        <w:trPr>
          <w:gridBefore w:val="1"/>
          <w:wBefore w:w="14" w:type="dxa"/>
          <w:jc w:val="center"/>
        </w:trPr>
        <w:tc>
          <w:tcPr>
            <w:tcW w:w="837"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%2017</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+/-2016</w:t>
            </w:r>
          </w:p>
        </w:tc>
        <w:tc>
          <w:tcPr>
            <w:tcW w:w="1417"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-9,7</w:t>
            </w:r>
          </w:p>
        </w:tc>
        <w:tc>
          <w:tcPr>
            <w:tcW w:w="1418"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w:t>
            </w:r>
          </w:p>
        </w:tc>
        <w:tc>
          <w:tcPr>
            <w:tcW w:w="1276"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-13,0</w:t>
            </w:r>
          </w:p>
        </w:tc>
        <w:tc>
          <w:tcPr>
            <w:tcW w:w="1276"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-12,3</w:t>
            </w:r>
          </w:p>
        </w:tc>
        <w:tc>
          <w:tcPr>
            <w:tcW w:w="1161"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+50,0</w:t>
            </w:r>
          </w:p>
        </w:tc>
        <w:tc>
          <w:tcPr>
            <w:tcW w:w="1197"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-3,9</w:t>
            </w:r>
          </w:p>
        </w:tc>
        <w:tc>
          <w:tcPr>
            <w:tcW w:w="1173" w:type="dxa"/>
            <w:tcBorders>
              <w:top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+9,5</w:t>
            </w:r>
          </w:p>
        </w:tc>
      </w:tr>
    </w:tbl>
    <w:p w:rsidR="00BA02E2" w:rsidRPr="00860724" w:rsidRDefault="00BA02E2" w:rsidP="00BA02E2">
      <w:pPr>
        <w:rPr>
          <w:lang w:val="ro-RO"/>
        </w:rPr>
      </w:pPr>
    </w:p>
    <w:p w:rsidR="00BA02E2" w:rsidRPr="00860724" w:rsidRDefault="00BA02E2" w:rsidP="00BA02E2">
      <w:pPr>
        <w:rPr>
          <w:lang w:val="ro-RO"/>
        </w:rPr>
      </w:pPr>
    </w:p>
    <w:p w:rsidR="00BA02E2" w:rsidRPr="00860724" w:rsidRDefault="00BA02E2" w:rsidP="00BA02E2">
      <w:pPr>
        <w:rPr>
          <w:b/>
          <w:lang w:val="ro-RO"/>
        </w:rPr>
      </w:pPr>
      <w:r w:rsidRPr="00860724">
        <w:rPr>
          <w:b/>
          <w:lang w:val="ro-RO"/>
        </w:rPr>
        <w:t xml:space="preserve">3. INFRACŢIUNI PRIVIND AUTORITATEA ȘI FRONTIERA DE STAT (ART. 257 – </w:t>
      </w:r>
      <w:smartTag w:uri="urn:schemas-microsoft-com:office:smarttags" w:element="metricconverter">
        <w:smartTagPr>
          <w:attr w:name="ProductID" w:val="265 C"/>
        </w:smartTagPr>
        <w:r w:rsidRPr="00860724">
          <w:rPr>
            <w:b/>
            <w:lang w:val="ro-RO"/>
          </w:rPr>
          <w:t>265 C</w:t>
        </w:r>
      </w:smartTag>
      <w:r w:rsidRPr="00860724">
        <w:rPr>
          <w:b/>
          <w:lang w:val="ro-RO"/>
        </w:rPr>
        <w:t>.P.)</w:t>
      </w:r>
    </w:p>
    <w:p w:rsidR="00BA02E2" w:rsidRPr="00860724" w:rsidRDefault="00BA02E2" w:rsidP="00BA02E2">
      <w:pPr>
        <w:rPr>
          <w:lang w:val="ro-RO"/>
        </w:rPr>
      </w:pPr>
    </w:p>
    <w:tbl>
      <w:tblPr>
        <w:tblW w:w="988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48"/>
        <w:gridCol w:w="1679"/>
        <w:gridCol w:w="1843"/>
        <w:gridCol w:w="1559"/>
        <w:gridCol w:w="1701"/>
        <w:gridCol w:w="1559"/>
      </w:tblGrid>
      <w:tr w:rsidR="00BA02E2" w:rsidRPr="002A0E01" w:rsidTr="00496D69">
        <w:trPr>
          <w:jc w:val="center"/>
        </w:trPr>
        <w:tc>
          <w:tcPr>
            <w:tcW w:w="1548"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ANUL</w:t>
            </w:r>
          </w:p>
          <w:p w:rsidR="00BA02E2" w:rsidRPr="002A0E01" w:rsidRDefault="00BA02E2" w:rsidP="00496D69">
            <w:pPr>
              <w:ind w:left="-18"/>
              <w:jc w:val="center"/>
              <w:rPr>
                <w:rFonts w:asciiTheme="minorHAnsi" w:hAnsiTheme="minorHAnsi" w:cstheme="minorHAnsi"/>
                <w:b/>
                <w:color w:val="548DD4"/>
                <w:lang w:val="ro-RO"/>
              </w:rPr>
            </w:pPr>
          </w:p>
        </w:tc>
        <w:tc>
          <w:tcPr>
            <w:tcW w:w="1679"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TOTAL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TRIMIŞI ÎN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JUDECATĂ,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din care:*</w:t>
            </w:r>
          </w:p>
        </w:tc>
        <w:tc>
          <w:tcPr>
            <w:tcW w:w="1843"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pondere în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total general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inculpați p.f.</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trimişi în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judecată (%)</w:t>
            </w:r>
          </w:p>
        </w:tc>
        <w:tc>
          <w:tcPr>
            <w:tcW w:w="1559"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ultraj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57 C"/>
              </w:smartTagPr>
              <w:r w:rsidRPr="002A0E01">
                <w:rPr>
                  <w:rFonts w:asciiTheme="minorHAnsi" w:hAnsiTheme="minorHAnsi" w:cstheme="minorHAnsi"/>
                  <w:b/>
                  <w:color w:val="548DD4"/>
                  <w:lang w:val="ro-RO"/>
                </w:rPr>
                <w:t>257 C</w:t>
              </w:r>
            </w:smartTag>
            <w:r w:rsidRPr="002A0E01">
              <w:rPr>
                <w:rFonts w:asciiTheme="minorHAnsi" w:hAnsiTheme="minorHAnsi" w:cstheme="minorHAnsi"/>
                <w:b/>
                <w:color w:val="548DD4"/>
                <w:lang w:val="ro-RO"/>
              </w:rPr>
              <w:t>.p.)</w:t>
            </w:r>
          </w:p>
        </w:tc>
        <w:tc>
          <w:tcPr>
            <w:tcW w:w="170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trecerea frauduloasă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 frontierei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de stat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62 C"/>
              </w:smartTagPr>
              <w:r w:rsidRPr="002A0E01">
                <w:rPr>
                  <w:rFonts w:asciiTheme="minorHAnsi" w:hAnsiTheme="minorHAnsi" w:cstheme="minorHAnsi"/>
                  <w:b/>
                  <w:color w:val="548DD4"/>
                  <w:lang w:val="ro-RO"/>
                </w:rPr>
                <w:t>262 C</w:t>
              </w:r>
            </w:smartTag>
            <w:r w:rsidRPr="002A0E01">
              <w:rPr>
                <w:rFonts w:asciiTheme="minorHAnsi" w:hAnsiTheme="minorHAnsi" w:cstheme="minorHAnsi"/>
                <w:b/>
                <w:color w:val="548DD4"/>
                <w:lang w:val="ro-RO"/>
              </w:rPr>
              <w:t>.p.)</w:t>
            </w:r>
          </w:p>
        </w:tc>
        <w:tc>
          <w:tcPr>
            <w:tcW w:w="1559" w:type="dxa"/>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trafic de migranți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(art. </w:t>
            </w:r>
            <w:smartTag w:uri="urn:schemas-microsoft-com:office:smarttags" w:element="metricconverter">
              <w:smartTagPr>
                <w:attr w:name="ProductID" w:val="263 C"/>
              </w:smartTagPr>
              <w:r w:rsidRPr="002A0E01">
                <w:rPr>
                  <w:rFonts w:asciiTheme="minorHAnsi" w:hAnsiTheme="minorHAnsi" w:cstheme="minorHAnsi"/>
                  <w:b/>
                  <w:color w:val="548DD4"/>
                  <w:lang w:val="ro-RO"/>
                </w:rPr>
                <w:t>263 C</w:t>
              </w:r>
            </w:smartTag>
            <w:r w:rsidRPr="002A0E01">
              <w:rPr>
                <w:rFonts w:asciiTheme="minorHAnsi" w:hAnsiTheme="minorHAnsi" w:cstheme="minorHAnsi"/>
                <w:b/>
                <w:color w:val="548DD4"/>
                <w:lang w:val="ro-RO"/>
              </w:rPr>
              <w:t>.p.)</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278</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0,6</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269</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581</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433</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0,9</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407</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417</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499</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0,9</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492</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435</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401</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0,7</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392</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365</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427</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0,7</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417</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281</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167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439</w:t>
            </w:r>
          </w:p>
        </w:tc>
        <w:tc>
          <w:tcPr>
            <w:tcW w:w="1843"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0,7</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424</w:t>
            </w:r>
          </w:p>
        </w:tc>
        <w:tc>
          <w:tcPr>
            <w:tcW w:w="1701"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196</w:t>
            </w:r>
          </w:p>
        </w:tc>
        <w:tc>
          <w:tcPr>
            <w:tcW w:w="1559" w:type="dxa"/>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0</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167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593</w:t>
            </w:r>
          </w:p>
        </w:tc>
        <w:tc>
          <w:tcPr>
            <w:tcW w:w="184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1,2</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425</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49</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105</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167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648</w:t>
            </w:r>
          </w:p>
        </w:tc>
        <w:tc>
          <w:tcPr>
            <w:tcW w:w="184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446</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31</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154</w:t>
            </w:r>
          </w:p>
        </w:tc>
      </w:tr>
      <w:tr w:rsidR="00BA02E2" w:rsidRPr="002A0E01" w:rsidTr="00496D69">
        <w:trPr>
          <w:jc w:val="center"/>
        </w:trPr>
        <w:tc>
          <w:tcPr>
            <w:tcW w:w="1548" w:type="dxa"/>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167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709</w:t>
            </w:r>
          </w:p>
        </w:tc>
        <w:tc>
          <w:tcPr>
            <w:tcW w:w="1843"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533</w:t>
            </w:r>
          </w:p>
        </w:tc>
        <w:tc>
          <w:tcPr>
            <w:tcW w:w="1701"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111</w:t>
            </w:r>
          </w:p>
        </w:tc>
        <w:tc>
          <w:tcPr>
            <w:tcW w:w="1559" w:type="dxa"/>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47</w:t>
            </w:r>
          </w:p>
        </w:tc>
      </w:tr>
      <w:tr w:rsidR="00BA02E2" w:rsidRPr="002A0E01" w:rsidTr="00496D69">
        <w:trPr>
          <w:jc w:val="center"/>
        </w:trPr>
        <w:tc>
          <w:tcPr>
            <w:tcW w:w="1548" w:type="dxa"/>
            <w:tcBorders>
              <w:bottom w:val="threeDEmboss"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2017</w:t>
            </w:r>
          </w:p>
        </w:tc>
        <w:tc>
          <w:tcPr>
            <w:tcW w:w="1679"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811</w:t>
            </w:r>
          </w:p>
        </w:tc>
        <w:tc>
          <w:tcPr>
            <w:tcW w:w="1843"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1,4</w:t>
            </w:r>
          </w:p>
        </w:tc>
        <w:tc>
          <w:tcPr>
            <w:tcW w:w="1559"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502</w:t>
            </w:r>
          </w:p>
        </w:tc>
        <w:tc>
          <w:tcPr>
            <w:tcW w:w="1701"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135</w:t>
            </w:r>
          </w:p>
        </w:tc>
        <w:tc>
          <w:tcPr>
            <w:tcW w:w="1559" w:type="dxa"/>
            <w:tcBorders>
              <w:bottom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145</w:t>
            </w:r>
          </w:p>
        </w:tc>
      </w:tr>
      <w:tr w:rsidR="00BA02E2" w:rsidRPr="002A0E01" w:rsidTr="00496D69">
        <w:trPr>
          <w:jc w:val="center"/>
        </w:trPr>
        <w:tc>
          <w:tcPr>
            <w:tcW w:w="1548"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%2017</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+/-2016</w:t>
            </w:r>
          </w:p>
        </w:tc>
        <w:tc>
          <w:tcPr>
            <w:tcW w:w="1679"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+14,4</w:t>
            </w:r>
          </w:p>
        </w:tc>
        <w:tc>
          <w:tcPr>
            <w:tcW w:w="1843"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w:t>
            </w:r>
          </w:p>
        </w:tc>
        <w:tc>
          <w:tcPr>
            <w:tcW w:w="1559"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-5,8</w:t>
            </w:r>
          </w:p>
        </w:tc>
        <w:tc>
          <w:tcPr>
            <w:tcW w:w="1701" w:type="dxa"/>
            <w:tcBorders>
              <w:top w:val="threeDEmboss" w:sz="6" w:space="0" w:color="00B050"/>
              <w:bottom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+21,6</w:t>
            </w:r>
          </w:p>
        </w:tc>
        <w:tc>
          <w:tcPr>
            <w:tcW w:w="1559" w:type="dxa"/>
            <w:tcBorders>
              <w:top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+208,5</w:t>
            </w:r>
          </w:p>
        </w:tc>
      </w:tr>
    </w:tbl>
    <w:p w:rsidR="00BA02E2" w:rsidRPr="00860724" w:rsidRDefault="00BA02E2" w:rsidP="00BA02E2">
      <w:pPr>
        <w:jc w:val="both"/>
        <w:rPr>
          <w:sz w:val="16"/>
          <w:szCs w:val="16"/>
          <w:lang w:val="ro-RO"/>
        </w:rPr>
      </w:pPr>
    </w:p>
    <w:p w:rsidR="00BA02E2" w:rsidRPr="002A0E01" w:rsidRDefault="00BA02E2" w:rsidP="00BA02E2">
      <w:pPr>
        <w:jc w:val="both"/>
        <w:rPr>
          <w:lang w:val="ro-RO"/>
        </w:rPr>
      </w:pPr>
      <w:r w:rsidRPr="002A0E01">
        <w:rPr>
          <w:lang w:val="ro-RO"/>
        </w:rPr>
        <w:t xml:space="preserve">*Datele din perioada 2007 – 2013 se referă la inculpații persoane fizice trimiși </w:t>
      </w:r>
      <w:r w:rsidRPr="002A0E01">
        <w:rPr>
          <w:rFonts w:cs="Franklin Gothic Book"/>
          <w:lang w:val="ro-RO"/>
        </w:rPr>
        <w:t>î</w:t>
      </w:r>
      <w:r w:rsidRPr="002A0E01">
        <w:rPr>
          <w:lang w:val="ro-RO"/>
        </w:rPr>
        <w:t>n judecată pentru infracțiuni contra autorit</w:t>
      </w:r>
      <w:r w:rsidRPr="002A0E01">
        <w:rPr>
          <w:rFonts w:cs="Franklin Gothic Book"/>
          <w:lang w:val="ro-RO"/>
        </w:rPr>
        <w:t>ă</w:t>
      </w:r>
      <w:r w:rsidRPr="002A0E01">
        <w:rPr>
          <w:lang w:val="ro-RO"/>
        </w:rPr>
        <w:t>ții (art. 236 -244 din vechiul Cod penal).</w:t>
      </w:r>
    </w:p>
    <w:p w:rsidR="00BA02E2" w:rsidRPr="00860724" w:rsidRDefault="00BA02E2" w:rsidP="00BA02E2">
      <w:pPr>
        <w:rPr>
          <w:b/>
          <w:lang w:val="ro-RO"/>
        </w:rPr>
      </w:pPr>
    </w:p>
    <w:p w:rsidR="00BA02E2" w:rsidRPr="00860724" w:rsidRDefault="00BA02E2" w:rsidP="00BA02E2">
      <w:pPr>
        <w:rPr>
          <w:b/>
          <w:sz w:val="20"/>
          <w:lang w:val="ro-RO"/>
        </w:rPr>
      </w:pPr>
      <w:r w:rsidRPr="00860724">
        <w:rPr>
          <w:b/>
          <w:lang w:val="ro-RO"/>
        </w:rPr>
        <w:t xml:space="preserve">4. INFRACŢIUNI CONTRA ÎNFĂPTUIRII JUSTIȚIEI (ART. 266 – </w:t>
      </w:r>
      <w:smartTag w:uri="urn:schemas-microsoft-com:office:smarttags" w:element="metricconverter">
        <w:smartTagPr>
          <w:attr w:name="ProductID" w:val="288 C"/>
        </w:smartTagPr>
        <w:r w:rsidRPr="00860724">
          <w:rPr>
            <w:b/>
            <w:lang w:val="ro-RO"/>
          </w:rPr>
          <w:t>288 C</w:t>
        </w:r>
      </w:smartTag>
      <w:r w:rsidRPr="00860724">
        <w:rPr>
          <w:b/>
          <w:lang w:val="ro-RO"/>
        </w:rPr>
        <w:t>.P.)</w:t>
      </w:r>
    </w:p>
    <w:p w:rsidR="00BA02E2" w:rsidRPr="00860724" w:rsidRDefault="00BA02E2" w:rsidP="00BA02E2">
      <w:pPr>
        <w:rPr>
          <w:b/>
          <w:sz w:val="20"/>
          <w:lang w:val="ro-RO"/>
        </w:rPr>
      </w:pPr>
    </w:p>
    <w:tbl>
      <w:tblPr>
        <w:tblW w:w="5441"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26"/>
        <w:gridCol w:w="1701"/>
        <w:gridCol w:w="2214"/>
      </w:tblGrid>
      <w:tr w:rsidR="00BA02E2" w:rsidRPr="002A0E01" w:rsidTr="00496D69">
        <w:trPr>
          <w:trHeight w:val="782"/>
          <w:jc w:val="center"/>
        </w:trPr>
        <w:tc>
          <w:tcPr>
            <w:tcW w:w="1526" w:type="dxa"/>
            <w:tcBorders>
              <w:top w:val="threeDEmboss" w:sz="6" w:space="0" w:color="00B050"/>
              <w:left w:val="threeDEmboss" w:sz="6" w:space="0" w:color="00B050"/>
              <w:bottom w:val="threeDEmboss" w:sz="6" w:space="0" w:color="00B050"/>
            </w:tcBorders>
            <w:shd w:val="clear" w:color="auto" w:fill="FCE0C8"/>
          </w:tcPr>
          <w:p w:rsidR="00BA02E2" w:rsidRPr="002A0E01" w:rsidRDefault="00BA02E2" w:rsidP="00496D69">
            <w:pPr>
              <w:ind w:left="-18"/>
              <w:jc w:val="center"/>
              <w:rPr>
                <w:b/>
                <w:color w:val="548DD4"/>
                <w:lang w:val="ro-RO"/>
              </w:rPr>
            </w:pPr>
          </w:p>
          <w:p w:rsidR="00BA02E2" w:rsidRPr="002A0E01" w:rsidRDefault="00BA02E2" w:rsidP="00496D69">
            <w:pPr>
              <w:ind w:left="-18"/>
              <w:jc w:val="center"/>
              <w:rPr>
                <w:b/>
                <w:color w:val="548DD4"/>
                <w:lang w:val="ro-RO"/>
              </w:rPr>
            </w:pPr>
          </w:p>
          <w:p w:rsidR="00BA02E2" w:rsidRPr="002A0E01" w:rsidRDefault="00BA02E2" w:rsidP="00496D69">
            <w:pPr>
              <w:ind w:left="-18"/>
              <w:jc w:val="center"/>
              <w:rPr>
                <w:b/>
                <w:color w:val="548DD4"/>
                <w:lang w:val="ro-RO"/>
              </w:rPr>
            </w:pPr>
            <w:r w:rsidRPr="002A0E01">
              <w:rPr>
                <w:b/>
                <w:color w:val="548DD4"/>
                <w:lang w:val="ro-RO"/>
              </w:rPr>
              <w:t>ANUL</w:t>
            </w:r>
          </w:p>
        </w:tc>
        <w:tc>
          <w:tcPr>
            <w:tcW w:w="1701" w:type="dxa"/>
            <w:tcBorders>
              <w:top w:val="threeDEmboss" w:sz="6" w:space="0" w:color="00B050"/>
              <w:bottom w:val="threeDEmboss" w:sz="6" w:space="0" w:color="00B050"/>
            </w:tcBorders>
            <w:shd w:val="clear" w:color="auto" w:fill="FCE0C8"/>
          </w:tcPr>
          <w:p w:rsidR="00BA02E2" w:rsidRPr="002A0E01" w:rsidRDefault="00BA02E2" w:rsidP="00496D69">
            <w:pPr>
              <w:ind w:left="-18"/>
              <w:jc w:val="center"/>
              <w:rPr>
                <w:b/>
                <w:color w:val="548DD4"/>
                <w:lang w:val="ro-RO"/>
              </w:rPr>
            </w:pPr>
            <w:r w:rsidRPr="002A0E01">
              <w:rPr>
                <w:b/>
                <w:color w:val="548DD4"/>
                <w:lang w:val="ro-RO"/>
              </w:rPr>
              <w:t xml:space="preserve">TOTAL TRIMIŞI ÎN </w:t>
            </w:r>
          </w:p>
          <w:p w:rsidR="00BA02E2" w:rsidRPr="002A0E01" w:rsidRDefault="00BA02E2" w:rsidP="00496D69">
            <w:pPr>
              <w:ind w:left="-18"/>
              <w:jc w:val="center"/>
              <w:rPr>
                <w:b/>
                <w:color w:val="548DD4"/>
                <w:lang w:val="ro-RO"/>
              </w:rPr>
            </w:pPr>
            <w:r w:rsidRPr="002A0E01">
              <w:rPr>
                <w:b/>
                <w:color w:val="548DD4"/>
                <w:lang w:val="ro-RO"/>
              </w:rPr>
              <w:t xml:space="preserve">JUDECATĂ, </w:t>
            </w:r>
          </w:p>
          <w:p w:rsidR="00BA02E2" w:rsidRPr="002A0E01" w:rsidRDefault="00BA02E2" w:rsidP="00496D69">
            <w:pPr>
              <w:ind w:left="-18"/>
              <w:jc w:val="center"/>
              <w:rPr>
                <w:b/>
                <w:color w:val="548DD4"/>
                <w:lang w:val="ro-RO"/>
              </w:rPr>
            </w:pPr>
            <w:r w:rsidRPr="002A0E01">
              <w:rPr>
                <w:b/>
                <w:color w:val="548DD4"/>
                <w:lang w:val="ro-RO"/>
              </w:rPr>
              <w:t>din care:</w:t>
            </w:r>
          </w:p>
        </w:tc>
        <w:tc>
          <w:tcPr>
            <w:tcW w:w="2214" w:type="dxa"/>
            <w:tcBorders>
              <w:top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b/>
                <w:color w:val="548DD4"/>
                <w:lang w:val="ro-RO"/>
              </w:rPr>
            </w:pPr>
            <w:r w:rsidRPr="002A0E01">
              <w:rPr>
                <w:b/>
                <w:color w:val="548DD4"/>
                <w:lang w:val="ro-RO"/>
              </w:rPr>
              <w:t xml:space="preserve">pondere în total general </w:t>
            </w:r>
          </w:p>
          <w:p w:rsidR="00BA02E2" w:rsidRPr="002A0E01" w:rsidRDefault="00BA02E2" w:rsidP="00496D69">
            <w:pPr>
              <w:ind w:left="-18"/>
              <w:jc w:val="center"/>
              <w:rPr>
                <w:b/>
                <w:color w:val="548DD4"/>
                <w:lang w:val="ro-RO"/>
              </w:rPr>
            </w:pPr>
            <w:r w:rsidRPr="002A0E01">
              <w:rPr>
                <w:b/>
                <w:color w:val="548DD4"/>
                <w:lang w:val="ro-RO"/>
              </w:rPr>
              <w:t>inculpați p.f. trimişi în judecată (%)</w:t>
            </w:r>
          </w:p>
        </w:tc>
      </w:tr>
      <w:tr w:rsidR="00BA02E2" w:rsidRPr="002A0E01"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jc w:val="center"/>
              <w:rPr>
                <w:lang w:val="ro-RO"/>
              </w:rPr>
            </w:pPr>
            <w:r w:rsidRPr="002A0E01">
              <w:rPr>
                <w:lang w:val="ro-RO"/>
              </w:rPr>
              <w:t>2014</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611</w:t>
            </w:r>
          </w:p>
        </w:tc>
        <w:tc>
          <w:tcPr>
            <w:tcW w:w="2214"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1,2</w:t>
            </w:r>
          </w:p>
        </w:tc>
      </w:tr>
      <w:tr w:rsidR="00BA02E2" w:rsidRPr="002A0E01"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jc w:val="center"/>
              <w:rPr>
                <w:lang w:val="ro-RO"/>
              </w:rPr>
            </w:pPr>
            <w:r w:rsidRPr="002A0E01">
              <w:rPr>
                <w:lang w:val="ro-RO"/>
              </w:rPr>
              <w:t>2015</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800</w:t>
            </w:r>
          </w:p>
        </w:tc>
        <w:tc>
          <w:tcPr>
            <w:tcW w:w="2214"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1,4</w:t>
            </w:r>
          </w:p>
        </w:tc>
      </w:tr>
      <w:tr w:rsidR="00BA02E2" w:rsidRPr="002A0E01"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jc w:val="center"/>
              <w:rPr>
                <w:lang w:val="ro-RO"/>
              </w:rPr>
            </w:pPr>
            <w:r w:rsidRPr="002A0E01">
              <w:rPr>
                <w:lang w:val="ro-RO"/>
              </w:rPr>
              <w:t>2016</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1.078</w:t>
            </w:r>
          </w:p>
        </w:tc>
        <w:tc>
          <w:tcPr>
            <w:tcW w:w="2214"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1,7</w:t>
            </w:r>
          </w:p>
        </w:tc>
      </w:tr>
      <w:tr w:rsidR="00BA02E2" w:rsidRPr="002A0E01"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jc w:val="center"/>
              <w:rPr>
                <w:lang w:val="ro-RO"/>
              </w:rPr>
            </w:pPr>
            <w:r w:rsidRPr="002A0E01">
              <w:rPr>
                <w:lang w:val="ro-RO"/>
              </w:rPr>
              <w:t>2017</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1.090</w:t>
            </w:r>
          </w:p>
        </w:tc>
        <w:tc>
          <w:tcPr>
            <w:tcW w:w="2214"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lang w:val="ro-RO"/>
              </w:rPr>
            </w:pPr>
            <w:r w:rsidRPr="002A0E01">
              <w:rPr>
                <w:lang w:val="ro-RO"/>
              </w:rPr>
              <w:t>1,8</w:t>
            </w:r>
          </w:p>
        </w:tc>
      </w:tr>
      <w:tr w:rsidR="00BA02E2" w:rsidRPr="002A0E01"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shd w:val="clear" w:color="auto" w:fill="FBD4B4"/>
          </w:tcPr>
          <w:p w:rsidR="00BA02E2" w:rsidRPr="002A0E01" w:rsidRDefault="00BA02E2" w:rsidP="00496D69">
            <w:pPr>
              <w:ind w:left="-18"/>
              <w:jc w:val="center"/>
              <w:rPr>
                <w:b/>
                <w:color w:val="548DD4"/>
                <w:lang w:val="ro-RO"/>
              </w:rPr>
            </w:pPr>
            <w:r w:rsidRPr="002A0E01">
              <w:rPr>
                <w:b/>
                <w:color w:val="548DD4"/>
                <w:lang w:val="ro-RO"/>
              </w:rPr>
              <w:t xml:space="preserve">       %2017</w:t>
            </w:r>
          </w:p>
          <w:p w:rsidR="00BA02E2" w:rsidRPr="002A0E01" w:rsidRDefault="00BA02E2" w:rsidP="00496D69">
            <w:pPr>
              <w:ind w:left="-18"/>
              <w:jc w:val="center"/>
              <w:rPr>
                <w:b/>
                <w:color w:val="548DD4"/>
                <w:lang w:val="ro-RO"/>
              </w:rPr>
            </w:pPr>
            <w:r w:rsidRPr="002A0E01">
              <w:rPr>
                <w:b/>
                <w:color w:val="548DD4"/>
                <w:lang w:val="ro-RO"/>
              </w:rPr>
              <w:t xml:space="preserve">      +/-2016</w:t>
            </w:r>
          </w:p>
        </w:tc>
        <w:tc>
          <w:tcPr>
            <w:tcW w:w="1701"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A0E01" w:rsidRDefault="00BA02E2" w:rsidP="00496D69">
            <w:pPr>
              <w:ind w:left="-18"/>
              <w:jc w:val="center"/>
              <w:rPr>
                <w:b/>
                <w:color w:val="548DD4"/>
                <w:lang w:val="ro-RO"/>
              </w:rPr>
            </w:pPr>
            <w:r w:rsidRPr="002A0E01">
              <w:rPr>
                <w:b/>
                <w:color w:val="548DD4"/>
                <w:lang w:val="ro-RO"/>
              </w:rPr>
              <w:t>+1,1</w:t>
            </w:r>
          </w:p>
        </w:tc>
        <w:tc>
          <w:tcPr>
            <w:tcW w:w="2214"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A0E01" w:rsidRDefault="00BA02E2" w:rsidP="00496D69">
            <w:pPr>
              <w:ind w:left="-18"/>
              <w:jc w:val="center"/>
              <w:rPr>
                <w:b/>
                <w:color w:val="548DD4"/>
                <w:lang w:val="ro-RO"/>
              </w:rPr>
            </w:pPr>
            <w:r w:rsidRPr="002A0E01">
              <w:rPr>
                <w:b/>
                <w:color w:val="548DD4"/>
                <w:lang w:val="ro-RO"/>
              </w:rPr>
              <w:t>-</w:t>
            </w:r>
          </w:p>
        </w:tc>
      </w:tr>
    </w:tbl>
    <w:p w:rsidR="00BA02E2" w:rsidRPr="00860724" w:rsidRDefault="00BA02E2" w:rsidP="00BA02E2">
      <w:pPr>
        <w:ind w:left="270" w:hanging="270"/>
        <w:rPr>
          <w:b/>
          <w:lang w:val="ro-RO"/>
        </w:rPr>
      </w:pPr>
    </w:p>
    <w:p w:rsidR="00BA02E2" w:rsidRPr="00860724" w:rsidRDefault="00BA02E2" w:rsidP="00BA02E2">
      <w:pPr>
        <w:ind w:left="270" w:hanging="270"/>
        <w:rPr>
          <w:b/>
          <w:lang w:val="ro-RO"/>
        </w:rPr>
      </w:pPr>
    </w:p>
    <w:p w:rsidR="00BA02E2" w:rsidRPr="00860724" w:rsidRDefault="00BA02E2" w:rsidP="00BA02E2">
      <w:pPr>
        <w:ind w:left="270" w:hanging="270"/>
        <w:rPr>
          <w:b/>
          <w:lang w:val="ro-RO"/>
        </w:rPr>
      </w:pPr>
      <w:r w:rsidRPr="00860724">
        <w:rPr>
          <w:b/>
          <w:lang w:val="ro-RO"/>
        </w:rPr>
        <w:t xml:space="preserve">5. INFRACŢIUNI DE CORUPȚIE ȘI DE SERVICIU (ART. 289 – </w:t>
      </w:r>
      <w:smartTag w:uri="urn:schemas-microsoft-com:office:smarttags" w:element="metricconverter">
        <w:smartTagPr>
          <w:attr w:name="ProductID" w:val="309 C"/>
        </w:smartTagPr>
        <w:r w:rsidRPr="00860724">
          <w:rPr>
            <w:b/>
            <w:lang w:val="ro-RO"/>
          </w:rPr>
          <w:t>309 C</w:t>
        </w:r>
      </w:smartTag>
      <w:r w:rsidRPr="00860724">
        <w:rPr>
          <w:b/>
          <w:lang w:val="ro-RO"/>
        </w:rPr>
        <w:t>.P.)</w:t>
      </w:r>
    </w:p>
    <w:p w:rsidR="00BA02E2" w:rsidRPr="00860724" w:rsidRDefault="00BA02E2" w:rsidP="00BA02E2">
      <w:pPr>
        <w:rPr>
          <w:lang w:val="ro-RO"/>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43"/>
        <w:gridCol w:w="1080"/>
        <w:gridCol w:w="961"/>
        <w:gridCol w:w="992"/>
        <w:gridCol w:w="993"/>
        <w:gridCol w:w="1219"/>
        <w:gridCol w:w="1276"/>
        <w:gridCol w:w="1275"/>
      </w:tblGrid>
      <w:tr w:rsidR="00BA02E2" w:rsidRPr="002A0E01" w:rsidTr="00496D69">
        <w:trPr>
          <w:cantSplit/>
          <w:trHeight w:val="675"/>
          <w:jc w:val="center"/>
        </w:trPr>
        <w:tc>
          <w:tcPr>
            <w:tcW w:w="1008" w:type="dxa"/>
            <w:vMerge w:val="restart"/>
            <w:tcBorders>
              <w:top w:val="threeDEmboss" w:sz="6" w:space="0" w:color="00B050"/>
              <w:left w:val="threeDEmboss" w:sz="6" w:space="0" w:color="00B050"/>
              <w:bottom w:val="single" w:sz="6" w:space="0" w:color="00B050"/>
              <w:right w:val="single"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ANUL</w:t>
            </w:r>
          </w:p>
        </w:tc>
        <w:tc>
          <w:tcPr>
            <w:tcW w:w="943"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TOTAL TRIMIŞI ÎN JUDECATĂ,</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din care:*</w:t>
            </w:r>
          </w:p>
        </w:tc>
        <w:tc>
          <w:tcPr>
            <w:tcW w:w="1080"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pondere în total general </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inculpați p.f.</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trimişi în judecată (%)</w:t>
            </w:r>
          </w:p>
        </w:tc>
        <w:tc>
          <w:tcPr>
            <w:tcW w:w="4165" w:type="dxa"/>
            <w:gridSpan w:val="4"/>
            <w:tcBorders>
              <w:top w:val="threeDEmboss" w:sz="6" w:space="0" w:color="00B050"/>
              <w:left w:val="single" w:sz="6" w:space="0" w:color="00B050"/>
              <w:bottom w:val="single"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Infracțiuni de corupție prevăzute de Codul penal</w:t>
            </w:r>
          </w:p>
        </w:tc>
        <w:tc>
          <w:tcPr>
            <w:tcW w:w="1276"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Legea 78/2000</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-fapte de corupţie,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din care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activitatea DNA</w:t>
            </w:r>
          </w:p>
        </w:tc>
        <w:tc>
          <w:tcPr>
            <w:tcW w:w="1275"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Total infracțiuni de corupţie,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xml:space="preserve"> din care</w:t>
            </w:r>
          </w:p>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activitatea DNA</w:t>
            </w:r>
          </w:p>
          <w:p w:rsidR="00BA02E2" w:rsidRPr="002A0E01" w:rsidRDefault="00BA02E2" w:rsidP="00496D69">
            <w:pPr>
              <w:rPr>
                <w:rFonts w:asciiTheme="minorHAnsi" w:hAnsiTheme="minorHAnsi" w:cstheme="minorHAnsi"/>
                <w:b/>
                <w:color w:val="548DD4"/>
                <w:lang w:val="ro-RO"/>
              </w:rPr>
            </w:pPr>
          </w:p>
        </w:tc>
      </w:tr>
      <w:tr w:rsidR="00BA02E2" w:rsidRPr="002A0E01" w:rsidTr="00496D69">
        <w:trPr>
          <w:cantSplit/>
          <w:trHeight w:val="1338"/>
          <w:jc w:val="center"/>
        </w:trPr>
        <w:tc>
          <w:tcPr>
            <w:tcW w:w="1008" w:type="dxa"/>
            <w:vMerge/>
            <w:tcBorders>
              <w:top w:val="single" w:sz="6" w:space="0" w:color="00B050"/>
              <w:left w:val="threeDEmboss" w:sz="6" w:space="0" w:color="00B050"/>
              <w:bottom w:val="threeDEmboss" w:sz="6" w:space="0" w:color="00B050"/>
              <w:right w:val="single" w:sz="6" w:space="0" w:color="00B050"/>
            </w:tcBorders>
          </w:tcPr>
          <w:p w:rsidR="00BA02E2" w:rsidRPr="002A0E01" w:rsidRDefault="00BA02E2" w:rsidP="00496D69">
            <w:pPr>
              <w:rPr>
                <w:rFonts w:asciiTheme="minorHAnsi" w:hAnsiTheme="minorHAnsi" w:cstheme="minorHAnsi"/>
                <w:b/>
                <w:lang w:val="ro-RO"/>
              </w:rPr>
            </w:pPr>
          </w:p>
        </w:tc>
        <w:tc>
          <w:tcPr>
            <w:tcW w:w="943" w:type="dxa"/>
            <w:vMerge/>
            <w:tcBorders>
              <w:top w:val="single" w:sz="6" w:space="0" w:color="00B050"/>
              <w:left w:val="single" w:sz="6" w:space="0" w:color="00B050"/>
              <w:bottom w:val="threeDEmboss" w:sz="6" w:space="0" w:color="00B050"/>
              <w:right w:val="single" w:sz="6" w:space="0" w:color="00B050"/>
            </w:tcBorders>
            <w:textDirection w:val="btLr"/>
          </w:tcPr>
          <w:p w:rsidR="00BA02E2" w:rsidRPr="002A0E01" w:rsidRDefault="00BA02E2" w:rsidP="00496D69">
            <w:pPr>
              <w:ind w:left="113" w:right="113"/>
              <w:rPr>
                <w:rFonts w:asciiTheme="minorHAnsi" w:hAnsiTheme="minorHAnsi" w:cstheme="minorHAnsi"/>
                <w:b/>
                <w:lang w:val="ro-RO"/>
              </w:rPr>
            </w:pPr>
          </w:p>
        </w:tc>
        <w:tc>
          <w:tcPr>
            <w:tcW w:w="1080" w:type="dxa"/>
            <w:vMerge/>
            <w:tcBorders>
              <w:top w:val="single" w:sz="6" w:space="0" w:color="00B050"/>
              <w:left w:val="single" w:sz="6" w:space="0" w:color="00B050"/>
              <w:bottom w:val="threeDEmboss" w:sz="6" w:space="0" w:color="00B050"/>
              <w:right w:val="single" w:sz="6" w:space="0" w:color="00B050"/>
            </w:tcBorders>
            <w:textDirection w:val="btLr"/>
          </w:tcPr>
          <w:p w:rsidR="00BA02E2" w:rsidRPr="002A0E01" w:rsidRDefault="00BA02E2" w:rsidP="00496D69">
            <w:pPr>
              <w:ind w:left="113" w:right="113"/>
              <w:rPr>
                <w:rFonts w:asciiTheme="minorHAnsi" w:hAnsiTheme="minorHAnsi" w:cstheme="minorHAnsi"/>
                <w:lang w:val="ro-RO"/>
              </w:rPr>
            </w:pPr>
          </w:p>
        </w:tc>
        <w:tc>
          <w:tcPr>
            <w:tcW w:w="961" w:type="dxa"/>
            <w:tcBorders>
              <w:top w:val="single" w:sz="6" w:space="0" w:color="00B050"/>
              <w:left w:val="single" w:sz="6" w:space="0" w:color="00B050"/>
              <w:bottom w:val="threeDEmboss" w:sz="6" w:space="0" w:color="00B050"/>
              <w:right w:val="single" w:sz="6" w:space="0" w:color="00B050"/>
            </w:tcBorders>
            <w:shd w:val="clear" w:color="auto" w:fill="FCE0C8"/>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luare de mită</w:t>
            </w:r>
          </w:p>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 xml:space="preserve">(art. </w:t>
            </w:r>
            <w:smartTag w:uri="urn:schemas-microsoft-com:office:smarttags" w:element="metricconverter">
              <w:smartTagPr>
                <w:attr w:name="ProductID" w:val="289 C"/>
              </w:smartTagPr>
              <w:r w:rsidRPr="002A0E01">
                <w:rPr>
                  <w:rFonts w:asciiTheme="minorHAnsi" w:hAnsiTheme="minorHAnsi" w:cstheme="minorHAnsi"/>
                  <w:b/>
                  <w:lang w:val="ro-RO"/>
                </w:rPr>
                <w:t>289 C</w:t>
              </w:r>
            </w:smartTag>
            <w:r w:rsidRPr="002A0E01">
              <w:rPr>
                <w:rFonts w:asciiTheme="minorHAnsi" w:hAnsiTheme="minorHAnsi" w:cstheme="minorHAnsi"/>
                <w:b/>
                <w:lang w:val="ro-RO"/>
              </w:rPr>
              <w:t>.p.)</w:t>
            </w:r>
          </w:p>
        </w:tc>
        <w:tc>
          <w:tcPr>
            <w:tcW w:w="992" w:type="dxa"/>
            <w:tcBorders>
              <w:top w:val="single" w:sz="6" w:space="0" w:color="00B050"/>
              <w:left w:val="single" w:sz="6" w:space="0" w:color="00B050"/>
              <w:bottom w:val="threeDEmboss" w:sz="6" w:space="0" w:color="00B050"/>
              <w:right w:val="single" w:sz="6" w:space="0" w:color="00B050"/>
            </w:tcBorders>
            <w:shd w:val="clear" w:color="auto" w:fill="FCE0C8"/>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dare de mită</w:t>
            </w:r>
          </w:p>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 xml:space="preserve">(art. </w:t>
            </w:r>
            <w:smartTag w:uri="urn:schemas-microsoft-com:office:smarttags" w:element="metricconverter">
              <w:smartTagPr>
                <w:attr w:name="ProductID" w:val="290 C"/>
              </w:smartTagPr>
              <w:r w:rsidRPr="002A0E01">
                <w:rPr>
                  <w:rFonts w:asciiTheme="minorHAnsi" w:hAnsiTheme="minorHAnsi" w:cstheme="minorHAnsi"/>
                  <w:b/>
                  <w:lang w:val="ro-RO"/>
                </w:rPr>
                <w:t>290 C</w:t>
              </w:r>
            </w:smartTag>
            <w:r w:rsidRPr="002A0E01">
              <w:rPr>
                <w:rFonts w:asciiTheme="minorHAnsi" w:hAnsiTheme="minorHAnsi" w:cstheme="minorHAnsi"/>
                <w:b/>
                <w:lang w:val="ro-RO"/>
              </w:rPr>
              <w:t>.p.)</w:t>
            </w:r>
          </w:p>
        </w:tc>
        <w:tc>
          <w:tcPr>
            <w:tcW w:w="993" w:type="dxa"/>
            <w:tcBorders>
              <w:top w:val="single" w:sz="6" w:space="0" w:color="00B050"/>
              <w:left w:val="single" w:sz="6" w:space="0" w:color="00B050"/>
              <w:bottom w:val="threeDEmboss" w:sz="6" w:space="0" w:color="00B050"/>
              <w:right w:val="single" w:sz="6" w:space="0" w:color="00B050"/>
            </w:tcBorders>
            <w:shd w:val="clear" w:color="auto" w:fill="FCE0C8"/>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trafic de influenţă</w:t>
            </w:r>
          </w:p>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 xml:space="preserve">(art. </w:t>
            </w:r>
            <w:smartTag w:uri="urn:schemas-microsoft-com:office:smarttags" w:element="metricconverter">
              <w:smartTagPr>
                <w:attr w:name="ProductID" w:val="291 C"/>
              </w:smartTagPr>
              <w:r w:rsidRPr="002A0E01">
                <w:rPr>
                  <w:rFonts w:asciiTheme="minorHAnsi" w:hAnsiTheme="minorHAnsi" w:cstheme="minorHAnsi"/>
                  <w:b/>
                  <w:lang w:val="ro-RO"/>
                </w:rPr>
                <w:t>291 C</w:t>
              </w:r>
            </w:smartTag>
            <w:r w:rsidRPr="002A0E01">
              <w:rPr>
                <w:rFonts w:asciiTheme="minorHAnsi" w:hAnsiTheme="minorHAnsi" w:cstheme="minorHAnsi"/>
                <w:b/>
                <w:lang w:val="ro-RO"/>
              </w:rPr>
              <w:t>.p.)</w:t>
            </w:r>
          </w:p>
        </w:tc>
        <w:tc>
          <w:tcPr>
            <w:tcW w:w="1219" w:type="dxa"/>
            <w:tcBorders>
              <w:top w:val="single" w:sz="6" w:space="0" w:color="00B050"/>
              <w:left w:val="single" w:sz="6" w:space="0" w:color="00B050"/>
              <w:bottom w:val="threeDEmboss" w:sz="6" w:space="0" w:color="00B050"/>
              <w:right w:val="threeDEmboss" w:sz="6" w:space="0" w:color="00B050"/>
            </w:tcBorders>
            <w:shd w:val="clear" w:color="auto" w:fill="FCE0C8"/>
          </w:tcPr>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cumpărare de influență</w:t>
            </w:r>
          </w:p>
          <w:p w:rsidR="00BA02E2" w:rsidRPr="002A0E01" w:rsidRDefault="00BA02E2" w:rsidP="00496D69">
            <w:pPr>
              <w:jc w:val="center"/>
              <w:rPr>
                <w:rFonts w:asciiTheme="minorHAnsi" w:hAnsiTheme="minorHAnsi" w:cstheme="minorHAnsi"/>
                <w:b/>
                <w:lang w:val="ro-RO"/>
              </w:rPr>
            </w:pPr>
            <w:r w:rsidRPr="002A0E01">
              <w:rPr>
                <w:rFonts w:asciiTheme="minorHAnsi" w:hAnsiTheme="minorHAnsi" w:cstheme="minorHAnsi"/>
                <w:b/>
                <w:lang w:val="ro-RO"/>
              </w:rPr>
              <w:t xml:space="preserve">(art. </w:t>
            </w:r>
            <w:smartTag w:uri="urn:schemas-microsoft-com:office:smarttags" w:element="metricconverter">
              <w:smartTagPr>
                <w:attr w:name="ProductID" w:val="292 C"/>
              </w:smartTagPr>
              <w:r w:rsidRPr="002A0E01">
                <w:rPr>
                  <w:rFonts w:asciiTheme="minorHAnsi" w:hAnsiTheme="minorHAnsi" w:cstheme="minorHAnsi"/>
                  <w:b/>
                  <w:lang w:val="ro-RO"/>
                </w:rPr>
                <w:t>292 C</w:t>
              </w:r>
            </w:smartTag>
            <w:r w:rsidRPr="002A0E01">
              <w:rPr>
                <w:rFonts w:asciiTheme="minorHAnsi" w:hAnsiTheme="minorHAnsi" w:cstheme="minorHAnsi"/>
                <w:b/>
                <w:lang w:val="ro-RO"/>
              </w:rPr>
              <w:t>.p.)</w:t>
            </w:r>
          </w:p>
        </w:tc>
        <w:tc>
          <w:tcPr>
            <w:tcW w:w="1276" w:type="dxa"/>
            <w:vMerge/>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rPr>
                <w:rFonts w:asciiTheme="minorHAnsi" w:hAnsiTheme="minorHAnsi" w:cstheme="minorHAnsi"/>
                <w:lang w:val="ro-RO"/>
              </w:rPr>
            </w:pPr>
          </w:p>
        </w:tc>
        <w:tc>
          <w:tcPr>
            <w:tcW w:w="1275" w:type="dxa"/>
            <w:vMerge/>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rPr>
                <w:rFonts w:asciiTheme="minorHAnsi" w:hAnsiTheme="minorHAnsi" w:cstheme="minorHAnsi"/>
                <w:lang w:val="ro-RO"/>
              </w:rPr>
            </w:pP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2008</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685</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37</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62</w:t>
            </w:r>
          </w:p>
        </w:tc>
        <w:tc>
          <w:tcPr>
            <w:tcW w:w="993" w:type="dxa"/>
            <w:tcBorders>
              <w:top w:val="single" w:sz="4" w:space="0" w:color="auto"/>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54</w:t>
            </w:r>
          </w:p>
        </w:tc>
        <w:tc>
          <w:tcPr>
            <w:tcW w:w="1219" w:type="dxa"/>
            <w:vMerge w:val="restart"/>
            <w:tcBorders>
              <w:top w:val="single" w:sz="4" w:space="0" w:color="auto"/>
              <w:left w:val="single" w:sz="6" w:space="0" w:color="00B050"/>
              <w:bottom w:val="single" w:sz="6" w:space="0" w:color="00B050"/>
              <w:right w:val="threeDEmboss" w:sz="6" w:space="0" w:color="00B050"/>
            </w:tcBorders>
            <w:vAlign w:val="center"/>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NU</w:t>
            </w:r>
          </w:p>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EXISTĂ DATE</w:t>
            </w: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543/518</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698/518</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2009</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771</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70</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67</w:t>
            </w:r>
          </w:p>
        </w:tc>
        <w:tc>
          <w:tcPr>
            <w:tcW w:w="99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58</w:t>
            </w:r>
          </w:p>
        </w:tc>
        <w:tc>
          <w:tcPr>
            <w:tcW w:w="1219" w:type="dxa"/>
            <w:vMerge/>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467/383</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662/383</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2010</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1.084</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68</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78</w:t>
            </w:r>
          </w:p>
        </w:tc>
        <w:tc>
          <w:tcPr>
            <w:tcW w:w="99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62</w:t>
            </w:r>
          </w:p>
        </w:tc>
        <w:tc>
          <w:tcPr>
            <w:tcW w:w="1219" w:type="dxa"/>
            <w:vMerge/>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726/600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934/600</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2011</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1.021</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99</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58</w:t>
            </w:r>
          </w:p>
        </w:tc>
        <w:tc>
          <w:tcPr>
            <w:tcW w:w="99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92</w:t>
            </w:r>
          </w:p>
        </w:tc>
        <w:tc>
          <w:tcPr>
            <w:tcW w:w="1219" w:type="dxa"/>
            <w:vMerge/>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870/740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1.119/740</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2012</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1.043</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141</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76</w:t>
            </w:r>
          </w:p>
        </w:tc>
        <w:tc>
          <w:tcPr>
            <w:tcW w:w="99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84</w:t>
            </w:r>
          </w:p>
        </w:tc>
        <w:tc>
          <w:tcPr>
            <w:tcW w:w="1219" w:type="dxa"/>
            <w:vMerge/>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625/451</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926/451</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2013</w:t>
            </w:r>
          </w:p>
        </w:tc>
        <w:tc>
          <w:tcPr>
            <w:tcW w:w="94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1.221</w:t>
            </w:r>
          </w:p>
        </w:tc>
        <w:tc>
          <w:tcPr>
            <w:tcW w:w="1080"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140</w:t>
            </w:r>
          </w:p>
        </w:tc>
        <w:tc>
          <w:tcPr>
            <w:tcW w:w="992"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124</w:t>
            </w:r>
          </w:p>
        </w:tc>
        <w:tc>
          <w:tcPr>
            <w:tcW w:w="993" w:type="dxa"/>
            <w:tcBorders>
              <w:top w:val="single" w:sz="6" w:space="0" w:color="00B050"/>
              <w:left w:val="single" w:sz="6" w:space="0" w:color="00B050"/>
              <w:bottom w:val="single" w:sz="6" w:space="0" w:color="00B050"/>
              <w:right w:val="single"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109</w:t>
            </w:r>
          </w:p>
        </w:tc>
        <w:tc>
          <w:tcPr>
            <w:tcW w:w="1219" w:type="dxa"/>
            <w:vMerge/>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811/635</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BA02E2" w:rsidRPr="002A0E01" w:rsidRDefault="00BA02E2" w:rsidP="00496D69">
            <w:pPr>
              <w:jc w:val="center"/>
              <w:rPr>
                <w:rFonts w:asciiTheme="minorHAnsi" w:hAnsiTheme="minorHAnsi" w:cstheme="minorHAnsi"/>
                <w:color w:val="000000"/>
                <w:lang w:val="ro-RO"/>
              </w:rPr>
            </w:pPr>
            <w:r w:rsidRPr="002A0E01">
              <w:rPr>
                <w:rFonts w:asciiTheme="minorHAnsi" w:hAnsiTheme="minorHAnsi" w:cstheme="minorHAnsi"/>
                <w:color w:val="000000"/>
                <w:lang w:val="ro-RO"/>
              </w:rPr>
              <w:t>1.184/635</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2014</w:t>
            </w:r>
          </w:p>
        </w:tc>
        <w:tc>
          <w:tcPr>
            <w:tcW w:w="94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1.414</w:t>
            </w:r>
          </w:p>
        </w:tc>
        <w:tc>
          <w:tcPr>
            <w:tcW w:w="1080"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2,8</w:t>
            </w:r>
          </w:p>
        </w:tc>
        <w:tc>
          <w:tcPr>
            <w:tcW w:w="961"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291</w:t>
            </w:r>
          </w:p>
        </w:tc>
        <w:tc>
          <w:tcPr>
            <w:tcW w:w="992"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127</w:t>
            </w:r>
          </w:p>
        </w:tc>
        <w:tc>
          <w:tcPr>
            <w:tcW w:w="99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65</w:t>
            </w:r>
          </w:p>
        </w:tc>
        <w:tc>
          <w:tcPr>
            <w:tcW w:w="1219" w:type="dxa"/>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37</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844/708</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1.364/708</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2015</w:t>
            </w:r>
          </w:p>
        </w:tc>
        <w:tc>
          <w:tcPr>
            <w:tcW w:w="94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1.786</w:t>
            </w:r>
          </w:p>
        </w:tc>
        <w:tc>
          <w:tcPr>
            <w:tcW w:w="1080"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3,0</w:t>
            </w:r>
          </w:p>
        </w:tc>
        <w:tc>
          <w:tcPr>
            <w:tcW w:w="961"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235</w:t>
            </w:r>
          </w:p>
        </w:tc>
        <w:tc>
          <w:tcPr>
            <w:tcW w:w="992"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218</w:t>
            </w:r>
          </w:p>
        </w:tc>
        <w:tc>
          <w:tcPr>
            <w:tcW w:w="99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106</w:t>
            </w:r>
          </w:p>
        </w:tc>
        <w:tc>
          <w:tcPr>
            <w:tcW w:w="1219" w:type="dxa"/>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168</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1.183/992</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1.910/992</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2016</w:t>
            </w:r>
          </w:p>
        </w:tc>
        <w:tc>
          <w:tcPr>
            <w:tcW w:w="94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1.795</w:t>
            </w:r>
          </w:p>
        </w:tc>
        <w:tc>
          <w:tcPr>
            <w:tcW w:w="1080"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2,8</w:t>
            </w:r>
          </w:p>
        </w:tc>
        <w:tc>
          <w:tcPr>
            <w:tcW w:w="961"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183</w:t>
            </w:r>
          </w:p>
        </w:tc>
        <w:tc>
          <w:tcPr>
            <w:tcW w:w="992"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212</w:t>
            </w:r>
          </w:p>
        </w:tc>
        <w:tc>
          <w:tcPr>
            <w:tcW w:w="993" w:type="dxa"/>
            <w:tcBorders>
              <w:top w:val="single" w:sz="6" w:space="0" w:color="00B050"/>
              <w:left w:val="single" w:sz="6" w:space="0" w:color="00B050"/>
              <w:bottom w:val="single"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84</w:t>
            </w:r>
          </w:p>
        </w:tc>
        <w:tc>
          <w:tcPr>
            <w:tcW w:w="1219" w:type="dxa"/>
            <w:tcBorders>
              <w:top w:val="single" w:sz="6" w:space="0" w:color="00B050"/>
              <w:left w:val="single" w:sz="6" w:space="0" w:color="00B050"/>
              <w:bottom w:val="single"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64</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1.109/925</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1.652/925</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jc w:val="center"/>
              <w:rPr>
                <w:rFonts w:asciiTheme="minorHAnsi" w:hAnsiTheme="minorHAnsi" w:cstheme="minorHAnsi"/>
                <w:lang w:val="ro-RO"/>
              </w:rPr>
            </w:pPr>
            <w:r w:rsidRPr="002A0E01">
              <w:rPr>
                <w:rFonts w:asciiTheme="minorHAnsi" w:hAnsiTheme="minorHAnsi" w:cstheme="minorHAnsi"/>
                <w:lang w:val="ro-RO"/>
              </w:rPr>
              <w:t>2017</w:t>
            </w:r>
          </w:p>
        </w:tc>
        <w:tc>
          <w:tcPr>
            <w:tcW w:w="943"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1.366</w:t>
            </w:r>
          </w:p>
        </w:tc>
        <w:tc>
          <w:tcPr>
            <w:tcW w:w="1080"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2,3</w:t>
            </w:r>
          </w:p>
        </w:tc>
        <w:tc>
          <w:tcPr>
            <w:tcW w:w="961"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127</w:t>
            </w:r>
          </w:p>
        </w:tc>
        <w:tc>
          <w:tcPr>
            <w:tcW w:w="992"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158</w:t>
            </w:r>
          </w:p>
        </w:tc>
        <w:tc>
          <w:tcPr>
            <w:tcW w:w="993" w:type="dxa"/>
            <w:tcBorders>
              <w:top w:val="single" w:sz="6" w:space="0" w:color="00B050"/>
              <w:left w:val="single" w:sz="6" w:space="0" w:color="00B050"/>
              <w:bottom w:val="threeDEmboss" w:sz="6" w:space="0" w:color="00B050"/>
              <w:right w:val="single"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80</w:t>
            </w:r>
          </w:p>
        </w:tc>
        <w:tc>
          <w:tcPr>
            <w:tcW w:w="1219" w:type="dxa"/>
            <w:tcBorders>
              <w:top w:val="single" w:sz="6" w:space="0" w:color="00B050"/>
              <w:left w:val="single"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96</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820/724</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BA02E2" w:rsidRPr="002A0E01" w:rsidRDefault="00BA02E2" w:rsidP="00496D69">
            <w:pPr>
              <w:widowControl w:val="0"/>
              <w:jc w:val="center"/>
              <w:rPr>
                <w:rFonts w:asciiTheme="minorHAnsi" w:hAnsiTheme="minorHAnsi" w:cstheme="minorHAnsi"/>
                <w:lang w:val="ro-RO"/>
              </w:rPr>
            </w:pPr>
            <w:r w:rsidRPr="002A0E01">
              <w:rPr>
                <w:rFonts w:asciiTheme="minorHAnsi" w:hAnsiTheme="minorHAnsi" w:cstheme="minorHAnsi"/>
                <w:lang w:val="ro-RO"/>
              </w:rPr>
              <w:t>1.281/724</w:t>
            </w:r>
          </w:p>
        </w:tc>
      </w:tr>
      <w:tr w:rsidR="00BA02E2" w:rsidRPr="002A0E01" w:rsidTr="0049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1008" w:type="dxa"/>
            <w:tcBorders>
              <w:top w:val="threeDEmboss" w:sz="6" w:space="0" w:color="00B050"/>
              <w:left w:val="threeDEmboss" w:sz="6" w:space="0" w:color="00B050"/>
              <w:bottom w:val="threeDEmboss" w:sz="6" w:space="0" w:color="00B050"/>
              <w:right w:val="single" w:sz="6" w:space="0" w:color="00B050"/>
            </w:tcBorders>
            <w:shd w:val="clear" w:color="auto" w:fill="FCE0C8"/>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 2017               +/-2016</w:t>
            </w:r>
          </w:p>
        </w:tc>
        <w:tc>
          <w:tcPr>
            <w:tcW w:w="94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-23,9</w:t>
            </w:r>
          </w:p>
        </w:tc>
        <w:tc>
          <w:tcPr>
            <w:tcW w:w="1080"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w:t>
            </w:r>
          </w:p>
        </w:tc>
        <w:tc>
          <w:tcPr>
            <w:tcW w:w="961"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-30,6</w:t>
            </w:r>
          </w:p>
        </w:tc>
        <w:tc>
          <w:tcPr>
            <w:tcW w:w="992"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-25,5</w:t>
            </w:r>
          </w:p>
        </w:tc>
        <w:tc>
          <w:tcPr>
            <w:tcW w:w="99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-4,8</w:t>
            </w:r>
          </w:p>
        </w:tc>
        <w:tc>
          <w:tcPr>
            <w:tcW w:w="1219" w:type="dxa"/>
            <w:tcBorders>
              <w:top w:val="threeDEmboss" w:sz="6" w:space="0" w:color="00B050"/>
              <w:left w:val="single"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+50,0</w:t>
            </w:r>
          </w:p>
        </w:tc>
        <w:tc>
          <w:tcPr>
            <w:tcW w:w="1276"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-26,1</w:t>
            </w:r>
          </w:p>
        </w:tc>
        <w:tc>
          <w:tcPr>
            <w:tcW w:w="1275"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BA02E2" w:rsidRPr="002A0E01" w:rsidRDefault="00BA02E2" w:rsidP="00496D69">
            <w:pPr>
              <w:ind w:left="-18"/>
              <w:jc w:val="center"/>
              <w:rPr>
                <w:rFonts w:asciiTheme="minorHAnsi" w:hAnsiTheme="minorHAnsi" w:cstheme="minorHAnsi"/>
                <w:b/>
                <w:color w:val="548DD4"/>
                <w:lang w:val="ro-RO"/>
              </w:rPr>
            </w:pPr>
            <w:r w:rsidRPr="002A0E01">
              <w:rPr>
                <w:rFonts w:asciiTheme="minorHAnsi" w:hAnsiTheme="minorHAnsi" w:cstheme="minorHAnsi"/>
                <w:b/>
                <w:color w:val="548DD4"/>
                <w:lang w:val="ro-RO"/>
              </w:rPr>
              <w:t>-22,5</w:t>
            </w:r>
          </w:p>
        </w:tc>
      </w:tr>
    </w:tbl>
    <w:p w:rsidR="00BA02E2" w:rsidRPr="00860724" w:rsidRDefault="00BA02E2" w:rsidP="00BA02E2">
      <w:pPr>
        <w:jc w:val="both"/>
        <w:rPr>
          <w:sz w:val="12"/>
          <w:szCs w:val="12"/>
          <w:lang w:val="ro-RO"/>
        </w:rPr>
      </w:pPr>
    </w:p>
    <w:p w:rsidR="00BA02E2" w:rsidRPr="002A0E01" w:rsidRDefault="00BA02E2" w:rsidP="00BA02E2">
      <w:pPr>
        <w:jc w:val="both"/>
        <w:rPr>
          <w:lang w:val="ro-RO"/>
        </w:rPr>
      </w:pPr>
      <w:r w:rsidRPr="002A0E01">
        <w:rPr>
          <w:lang w:val="ro-RO"/>
        </w:rPr>
        <w:t xml:space="preserve">*Datele din perioada 2007 – 2013 se referă la inculpații persoane fizice trimiși </w:t>
      </w:r>
      <w:r w:rsidRPr="002A0E01">
        <w:rPr>
          <w:rFonts w:cs="Franklin Gothic Book"/>
          <w:lang w:val="ro-RO"/>
        </w:rPr>
        <w:t>î</w:t>
      </w:r>
      <w:r w:rsidRPr="002A0E01">
        <w:rPr>
          <w:lang w:val="ro-RO"/>
        </w:rPr>
        <w:t>n judecată pentru infracțiuni care aduc atingere unor activități de interes public reglementate de lege (art. 246 -281 din vechiul Cod penal).</w:t>
      </w:r>
    </w:p>
    <w:p w:rsidR="00BA02E2" w:rsidRDefault="00BA02E2" w:rsidP="00BA02E2">
      <w:pPr>
        <w:jc w:val="both"/>
        <w:rPr>
          <w:b/>
          <w:lang w:val="ro-RO"/>
        </w:rPr>
      </w:pPr>
    </w:p>
    <w:p w:rsidR="008C4926" w:rsidRPr="00860724" w:rsidRDefault="008C4926" w:rsidP="00BA02E2">
      <w:pPr>
        <w:jc w:val="both"/>
        <w:rPr>
          <w:b/>
          <w:lang w:val="ro-RO"/>
        </w:rPr>
      </w:pPr>
    </w:p>
    <w:p w:rsidR="00BA02E2" w:rsidRPr="00860724" w:rsidRDefault="00BA02E2" w:rsidP="00BA02E2">
      <w:pPr>
        <w:jc w:val="both"/>
        <w:rPr>
          <w:b/>
          <w:lang w:val="ro-RO"/>
        </w:rPr>
      </w:pPr>
    </w:p>
    <w:p w:rsidR="00BA02E2" w:rsidRPr="00860724" w:rsidRDefault="00B20452" w:rsidP="00BA02E2">
      <w:pPr>
        <w:jc w:val="both"/>
        <w:rPr>
          <w:b/>
          <w:lang w:val="ro-RO"/>
        </w:rPr>
      </w:pPr>
      <w:r w:rsidRPr="00860724">
        <w:rPr>
          <w:b/>
          <w:lang w:val="ro-RO"/>
        </w:rPr>
        <w:t xml:space="preserve">6. </w:t>
      </w:r>
      <w:r w:rsidR="00BA02E2" w:rsidRPr="00860724">
        <w:rPr>
          <w:b/>
          <w:lang w:val="ro-RO"/>
        </w:rPr>
        <w:t xml:space="preserve">INFRACŢIUNI DE CORUPȚIE ȘI DE SERVICIU (ART. 289 – </w:t>
      </w:r>
      <w:smartTag w:uri="urn:schemas-microsoft-com:office:smarttags" w:element="metricconverter">
        <w:smartTagPr>
          <w:attr w:name="ProductID" w:val="309 C"/>
        </w:smartTagPr>
        <w:r w:rsidR="00BA02E2" w:rsidRPr="00860724">
          <w:rPr>
            <w:b/>
            <w:lang w:val="ro-RO"/>
          </w:rPr>
          <w:t>309 C</w:t>
        </w:r>
      </w:smartTag>
      <w:r w:rsidR="00BA02E2" w:rsidRPr="00860724">
        <w:rPr>
          <w:b/>
          <w:lang w:val="ro-RO"/>
        </w:rPr>
        <w:t>.P.) - CONTINUARE</w:t>
      </w:r>
    </w:p>
    <w:p w:rsidR="00BA02E2" w:rsidRPr="00860724" w:rsidRDefault="00BA02E2" w:rsidP="00BA02E2">
      <w:pPr>
        <w:jc w:val="both"/>
        <w:rPr>
          <w:b/>
          <w:lang w:val="ro-RO"/>
        </w:rPr>
      </w:pPr>
    </w:p>
    <w:tbl>
      <w:tblPr>
        <w:tblW w:w="9606"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2"/>
        <w:gridCol w:w="1843"/>
        <w:gridCol w:w="1985"/>
        <w:gridCol w:w="2268"/>
        <w:gridCol w:w="2268"/>
      </w:tblGrid>
      <w:tr w:rsidR="00BA02E2" w:rsidRPr="00286EF8" w:rsidTr="00496D69">
        <w:trPr>
          <w:cantSplit/>
          <w:trHeight w:val="732"/>
          <w:jc w:val="center"/>
        </w:trPr>
        <w:tc>
          <w:tcPr>
            <w:tcW w:w="1242" w:type="dxa"/>
            <w:tcBorders>
              <w:top w:val="threeDEmboss" w:sz="6" w:space="0" w:color="00B050"/>
              <w:left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ANUL</w:t>
            </w:r>
          </w:p>
        </w:tc>
        <w:tc>
          <w:tcPr>
            <w:tcW w:w="184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delapidare</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295 C"/>
              </w:smartTagPr>
              <w:r w:rsidRPr="00286EF8">
                <w:rPr>
                  <w:rFonts w:asciiTheme="minorHAnsi" w:hAnsiTheme="minorHAnsi" w:cstheme="minorHAnsi"/>
                  <w:b/>
                  <w:color w:val="548DD4"/>
                  <w:lang w:val="ro-RO"/>
                </w:rPr>
                <w:t>295 C</w:t>
              </w:r>
            </w:smartTag>
            <w:r w:rsidRPr="00286EF8">
              <w:rPr>
                <w:rFonts w:asciiTheme="minorHAnsi" w:hAnsiTheme="minorHAnsi" w:cstheme="minorHAnsi"/>
                <w:b/>
                <w:color w:val="548DD4"/>
                <w:lang w:val="ro-RO"/>
              </w:rPr>
              <w:t>.p.)</w:t>
            </w:r>
          </w:p>
        </w:tc>
        <w:tc>
          <w:tcPr>
            <w:tcW w:w="1985"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abuz în serviciu</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297 C"/>
              </w:smartTagPr>
              <w:r w:rsidRPr="00286EF8">
                <w:rPr>
                  <w:rFonts w:asciiTheme="minorHAnsi" w:hAnsiTheme="minorHAnsi" w:cstheme="minorHAnsi"/>
                  <w:b/>
                  <w:color w:val="548DD4"/>
                  <w:lang w:val="ro-RO"/>
                </w:rPr>
                <w:t>297 C</w:t>
              </w:r>
            </w:smartTag>
            <w:r w:rsidRPr="00286EF8">
              <w:rPr>
                <w:rFonts w:asciiTheme="minorHAnsi" w:hAnsiTheme="minorHAnsi" w:cstheme="minorHAnsi"/>
                <w:b/>
                <w:color w:val="548DD4"/>
                <w:lang w:val="ro-RO"/>
              </w:rPr>
              <w:t>.p.)</w:t>
            </w:r>
          </w:p>
        </w:tc>
        <w:tc>
          <w:tcPr>
            <w:tcW w:w="2268"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neglijenţă în serviciu</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298 C"/>
              </w:smartTagPr>
              <w:r w:rsidRPr="00286EF8">
                <w:rPr>
                  <w:rFonts w:asciiTheme="minorHAnsi" w:hAnsiTheme="minorHAnsi" w:cstheme="minorHAnsi"/>
                  <w:b/>
                  <w:color w:val="548DD4"/>
                  <w:lang w:val="ro-RO"/>
                </w:rPr>
                <w:t>298 C</w:t>
              </w:r>
            </w:smartTag>
            <w:r w:rsidRPr="00286EF8">
              <w:rPr>
                <w:rFonts w:asciiTheme="minorHAnsi" w:hAnsiTheme="minorHAnsi" w:cstheme="minorHAnsi"/>
                <w:b/>
                <w:color w:val="548DD4"/>
                <w:lang w:val="ro-RO"/>
              </w:rPr>
              <w:t>.p.)</w:t>
            </w:r>
          </w:p>
        </w:tc>
        <w:tc>
          <w:tcPr>
            <w:tcW w:w="2268"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conflict de interese</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01 C"/>
              </w:smartTagPr>
              <w:r w:rsidRPr="00286EF8">
                <w:rPr>
                  <w:rFonts w:asciiTheme="minorHAnsi" w:hAnsiTheme="minorHAnsi" w:cstheme="minorHAnsi"/>
                  <w:b/>
                  <w:color w:val="548DD4"/>
                  <w:lang w:val="ro-RO"/>
                </w:rPr>
                <w:t>301 C</w:t>
              </w:r>
            </w:smartTag>
            <w:r w:rsidRPr="00286EF8">
              <w:rPr>
                <w:rFonts w:asciiTheme="minorHAnsi" w:hAnsiTheme="minorHAnsi" w:cstheme="minorHAnsi"/>
                <w:b/>
                <w:color w:val="548DD4"/>
                <w:lang w:val="ro-RO"/>
              </w:rPr>
              <w:t>.p.)</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2008</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354</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102</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35</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2009</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416</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81</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24</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2010</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456</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258</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37</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2011</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414</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74</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43</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2012</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450</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120</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31</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13</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2013</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565</w:t>
            </w:r>
          </w:p>
        </w:tc>
        <w:tc>
          <w:tcPr>
            <w:tcW w:w="19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108</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55</w:t>
            </w:r>
          </w:p>
        </w:tc>
        <w:tc>
          <w:tcPr>
            <w:tcW w:w="226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51</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2014</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513</w:t>
            </w:r>
          </w:p>
        </w:tc>
        <w:tc>
          <w:tcPr>
            <w:tcW w:w="19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222</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30</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56</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2015</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577</w:t>
            </w:r>
          </w:p>
        </w:tc>
        <w:tc>
          <w:tcPr>
            <w:tcW w:w="19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259</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66</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58</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2016</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647</w:t>
            </w:r>
          </w:p>
        </w:tc>
        <w:tc>
          <w:tcPr>
            <w:tcW w:w="19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295</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101</w:t>
            </w:r>
          </w:p>
        </w:tc>
        <w:tc>
          <w:tcPr>
            <w:tcW w:w="226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58</w:t>
            </w:r>
          </w:p>
        </w:tc>
      </w:tr>
      <w:tr w:rsidR="00BA02E2" w:rsidRPr="00286EF8" w:rsidTr="00496D69">
        <w:trPr>
          <w:jc w:val="center"/>
        </w:trPr>
        <w:tc>
          <w:tcPr>
            <w:tcW w:w="1242" w:type="dxa"/>
            <w:tcBorders>
              <w:bottom w:val="threeDEmboss" w:sz="6" w:space="0" w:color="00B050"/>
            </w:tcBorders>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2017</w:t>
            </w:r>
          </w:p>
        </w:tc>
        <w:tc>
          <w:tcPr>
            <w:tcW w:w="1843"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592</w:t>
            </w:r>
          </w:p>
        </w:tc>
        <w:tc>
          <w:tcPr>
            <w:tcW w:w="1985"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145</w:t>
            </w:r>
          </w:p>
        </w:tc>
        <w:tc>
          <w:tcPr>
            <w:tcW w:w="2268"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31</w:t>
            </w:r>
          </w:p>
        </w:tc>
        <w:tc>
          <w:tcPr>
            <w:tcW w:w="2268"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49</w:t>
            </w:r>
          </w:p>
        </w:tc>
      </w:tr>
      <w:tr w:rsidR="00BA02E2" w:rsidRPr="00286EF8" w:rsidTr="00496D69">
        <w:trPr>
          <w:jc w:val="center"/>
        </w:trPr>
        <w:tc>
          <w:tcPr>
            <w:tcW w:w="1242"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2017</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+/-2016</w:t>
            </w:r>
          </w:p>
        </w:tc>
        <w:tc>
          <w:tcPr>
            <w:tcW w:w="1843"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-8,5</w:t>
            </w:r>
          </w:p>
        </w:tc>
        <w:tc>
          <w:tcPr>
            <w:tcW w:w="1985"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-50,8</w:t>
            </w:r>
          </w:p>
        </w:tc>
        <w:tc>
          <w:tcPr>
            <w:tcW w:w="2268"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-69,3</w:t>
            </w:r>
          </w:p>
        </w:tc>
        <w:tc>
          <w:tcPr>
            <w:tcW w:w="2268" w:type="dxa"/>
            <w:tcBorders>
              <w:top w:val="threeDEmboss" w:sz="6" w:space="0" w:color="00B050"/>
              <w:bottom w:val="threeDEmboss" w:sz="6" w:space="0" w:color="00B050"/>
              <w:right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-15,5</w:t>
            </w:r>
          </w:p>
        </w:tc>
      </w:tr>
    </w:tbl>
    <w:p w:rsidR="00BA02E2" w:rsidRPr="00860724" w:rsidRDefault="00BA02E2" w:rsidP="00BA02E2">
      <w:pPr>
        <w:rPr>
          <w:b/>
          <w:sz w:val="20"/>
          <w:lang w:val="ro-RO"/>
        </w:rPr>
      </w:pPr>
    </w:p>
    <w:p w:rsidR="00BA02E2" w:rsidRPr="00860724" w:rsidRDefault="00BA02E2" w:rsidP="00BA02E2">
      <w:pPr>
        <w:rPr>
          <w:b/>
          <w:sz w:val="20"/>
          <w:lang w:val="ro-RO"/>
        </w:rPr>
      </w:pPr>
    </w:p>
    <w:p w:rsidR="00BA02E2" w:rsidRPr="00860724" w:rsidRDefault="008C4926" w:rsidP="00BA02E2">
      <w:pPr>
        <w:rPr>
          <w:b/>
          <w:lang w:val="ro-RO"/>
        </w:rPr>
      </w:pPr>
      <w:r>
        <w:rPr>
          <w:b/>
          <w:lang w:val="ro-RO"/>
        </w:rPr>
        <w:t>7</w:t>
      </w:r>
      <w:r w:rsidR="00BA02E2" w:rsidRPr="00860724">
        <w:rPr>
          <w:b/>
          <w:lang w:val="ro-RO"/>
        </w:rPr>
        <w:t xml:space="preserve">. INFRACŢIUNI DE FALS (ART. 310 – </w:t>
      </w:r>
      <w:smartTag w:uri="urn:schemas-microsoft-com:office:smarttags" w:element="metricconverter">
        <w:smartTagPr>
          <w:attr w:name="ProductID" w:val="328 C"/>
        </w:smartTagPr>
        <w:r w:rsidR="00BA02E2" w:rsidRPr="00860724">
          <w:rPr>
            <w:b/>
            <w:lang w:val="ro-RO"/>
          </w:rPr>
          <w:t>328 C</w:t>
        </w:r>
      </w:smartTag>
      <w:r w:rsidR="00BA02E2" w:rsidRPr="00860724">
        <w:rPr>
          <w:b/>
          <w:lang w:val="ro-RO"/>
        </w:rPr>
        <w:t>.P.)</w:t>
      </w:r>
    </w:p>
    <w:p w:rsidR="00BA02E2" w:rsidRPr="00860724" w:rsidRDefault="00BA02E2" w:rsidP="00BA02E2">
      <w:pPr>
        <w:rPr>
          <w:lang w:val="ro-RO"/>
        </w:rPr>
      </w:pPr>
    </w:p>
    <w:tbl>
      <w:tblPr>
        <w:tblW w:w="5270"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2"/>
        <w:gridCol w:w="1843"/>
        <w:gridCol w:w="2185"/>
      </w:tblGrid>
      <w:tr w:rsidR="00BA02E2" w:rsidRPr="00286EF8" w:rsidTr="00496D69">
        <w:trPr>
          <w:trHeight w:val="418"/>
          <w:jc w:val="center"/>
        </w:trPr>
        <w:tc>
          <w:tcPr>
            <w:tcW w:w="1242" w:type="dxa"/>
            <w:tcBorders>
              <w:top w:val="threeDEmboss" w:sz="6" w:space="0" w:color="00B050"/>
              <w:left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ANUL</w:t>
            </w:r>
          </w:p>
        </w:tc>
        <w:tc>
          <w:tcPr>
            <w:tcW w:w="184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TOTAL TRIMIŞI ÎN JUDECATĂ, din care:</w:t>
            </w:r>
          </w:p>
        </w:tc>
        <w:tc>
          <w:tcPr>
            <w:tcW w:w="2185"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pondere în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total general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inculpați p.f. trimişi în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judecată (%)</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2008</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639</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1,4</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2009</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511</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2010</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487</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0,9</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2011</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486</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0,8</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2012</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481</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0,8</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2013</w:t>
            </w:r>
          </w:p>
        </w:tc>
        <w:tc>
          <w:tcPr>
            <w:tcW w:w="184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440</w:t>
            </w:r>
          </w:p>
        </w:tc>
        <w:tc>
          <w:tcPr>
            <w:tcW w:w="2185"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0,7</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2014</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434</w:t>
            </w:r>
          </w:p>
        </w:tc>
        <w:tc>
          <w:tcPr>
            <w:tcW w:w="21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0,9</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2015</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613</w:t>
            </w:r>
          </w:p>
        </w:tc>
        <w:tc>
          <w:tcPr>
            <w:tcW w:w="21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w:t>
            </w:r>
          </w:p>
        </w:tc>
      </w:tr>
      <w:tr w:rsidR="00BA02E2" w:rsidRPr="00286EF8" w:rsidTr="00496D69">
        <w:trPr>
          <w:jc w:val="center"/>
        </w:trPr>
        <w:tc>
          <w:tcPr>
            <w:tcW w:w="1242"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2016</w:t>
            </w:r>
          </w:p>
        </w:tc>
        <w:tc>
          <w:tcPr>
            <w:tcW w:w="184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678</w:t>
            </w:r>
          </w:p>
        </w:tc>
        <w:tc>
          <w:tcPr>
            <w:tcW w:w="2185"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1,1</w:t>
            </w:r>
          </w:p>
        </w:tc>
      </w:tr>
      <w:tr w:rsidR="00BA02E2" w:rsidRPr="00286EF8" w:rsidTr="00496D69">
        <w:trPr>
          <w:jc w:val="center"/>
        </w:trPr>
        <w:tc>
          <w:tcPr>
            <w:tcW w:w="1242" w:type="dxa"/>
            <w:tcBorders>
              <w:bottom w:val="threeDEmboss" w:sz="6" w:space="0" w:color="00B050"/>
            </w:tcBorders>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2017</w:t>
            </w:r>
          </w:p>
        </w:tc>
        <w:tc>
          <w:tcPr>
            <w:tcW w:w="1843"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576</w:t>
            </w:r>
          </w:p>
        </w:tc>
        <w:tc>
          <w:tcPr>
            <w:tcW w:w="2185"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w:t>
            </w:r>
          </w:p>
        </w:tc>
      </w:tr>
      <w:tr w:rsidR="00BA02E2" w:rsidRPr="00286EF8" w:rsidTr="00496D69">
        <w:trPr>
          <w:jc w:val="center"/>
        </w:trPr>
        <w:tc>
          <w:tcPr>
            <w:tcW w:w="1242"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2017</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+/-2016</w:t>
            </w:r>
          </w:p>
        </w:tc>
        <w:tc>
          <w:tcPr>
            <w:tcW w:w="1843"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-15,0</w:t>
            </w:r>
          </w:p>
        </w:tc>
        <w:tc>
          <w:tcPr>
            <w:tcW w:w="2185" w:type="dxa"/>
            <w:tcBorders>
              <w:top w:val="threeDEmboss" w:sz="6" w:space="0" w:color="00B050"/>
              <w:bottom w:val="threeDEmboss" w:sz="6" w:space="0" w:color="00B050"/>
              <w:right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w:t>
            </w:r>
          </w:p>
        </w:tc>
      </w:tr>
    </w:tbl>
    <w:p w:rsidR="00BA02E2" w:rsidRPr="00860724" w:rsidRDefault="00BA02E2" w:rsidP="00BA02E2">
      <w:pPr>
        <w:rPr>
          <w:b/>
          <w:sz w:val="20"/>
          <w:lang w:val="ro-RO"/>
        </w:rPr>
      </w:pPr>
    </w:p>
    <w:p w:rsidR="00BA02E2" w:rsidRPr="00860724" w:rsidRDefault="00BA02E2" w:rsidP="00BA02E2">
      <w:pPr>
        <w:rPr>
          <w:b/>
          <w:sz w:val="20"/>
          <w:lang w:val="ro-RO"/>
        </w:rPr>
      </w:pPr>
    </w:p>
    <w:p w:rsidR="00BA02E2" w:rsidRDefault="00BA02E2"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8C4926" w:rsidRDefault="008C4926" w:rsidP="00BA02E2">
      <w:pPr>
        <w:rPr>
          <w:b/>
          <w:sz w:val="20"/>
          <w:lang w:val="ro-RO"/>
        </w:rPr>
      </w:pPr>
    </w:p>
    <w:p w:rsidR="008C4926" w:rsidRDefault="008C4926" w:rsidP="00BA02E2">
      <w:pPr>
        <w:rPr>
          <w:b/>
          <w:sz w:val="20"/>
          <w:lang w:val="ro-RO"/>
        </w:rPr>
      </w:pPr>
    </w:p>
    <w:p w:rsidR="008C4926" w:rsidRDefault="008C4926"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286EF8" w:rsidRDefault="00286EF8" w:rsidP="00BA02E2">
      <w:pPr>
        <w:rPr>
          <w:b/>
          <w:sz w:val="20"/>
          <w:lang w:val="ro-RO"/>
        </w:rPr>
      </w:pPr>
    </w:p>
    <w:p w:rsidR="00286EF8" w:rsidRPr="00860724" w:rsidRDefault="00286EF8" w:rsidP="00BA02E2">
      <w:pPr>
        <w:rPr>
          <w:b/>
          <w:sz w:val="20"/>
          <w:lang w:val="ro-RO"/>
        </w:rPr>
      </w:pPr>
    </w:p>
    <w:p w:rsidR="00BA02E2" w:rsidRDefault="008C4926" w:rsidP="00BA02E2">
      <w:pPr>
        <w:rPr>
          <w:b/>
          <w:lang w:val="ro-RO"/>
        </w:rPr>
      </w:pPr>
      <w:r>
        <w:rPr>
          <w:b/>
          <w:lang w:val="ro-RO"/>
        </w:rPr>
        <w:t>8</w:t>
      </w:r>
      <w:r w:rsidR="00BA02E2" w:rsidRPr="00860724">
        <w:rPr>
          <w:b/>
          <w:lang w:val="ro-RO"/>
        </w:rPr>
        <w:t xml:space="preserve">. INFRACŢIUNI CONTRA SIGURANȚEI PUBLICE (ART. 329 – </w:t>
      </w:r>
      <w:smartTag w:uri="urn:schemas-microsoft-com:office:smarttags" w:element="metricconverter">
        <w:smartTagPr>
          <w:attr w:name="ProductID" w:val="366 C"/>
        </w:smartTagPr>
        <w:r w:rsidR="00BA02E2" w:rsidRPr="00860724">
          <w:rPr>
            <w:b/>
            <w:lang w:val="ro-RO"/>
          </w:rPr>
          <w:t>366 C</w:t>
        </w:r>
      </w:smartTag>
      <w:r w:rsidR="00BA02E2" w:rsidRPr="00860724">
        <w:rPr>
          <w:b/>
          <w:lang w:val="ro-RO"/>
        </w:rPr>
        <w:t>.P.)</w:t>
      </w:r>
    </w:p>
    <w:p w:rsidR="00286EF8" w:rsidRPr="00860724" w:rsidRDefault="00286EF8" w:rsidP="00BA02E2">
      <w:pPr>
        <w:rPr>
          <w:b/>
          <w:lang w:val="ro-RO"/>
        </w:rPr>
      </w:pPr>
    </w:p>
    <w:tbl>
      <w:tblPr>
        <w:tblW w:w="903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1"/>
        <w:gridCol w:w="1842"/>
        <w:gridCol w:w="1983"/>
        <w:gridCol w:w="1986"/>
        <w:gridCol w:w="1987"/>
      </w:tblGrid>
      <w:tr w:rsidR="00BA02E2" w:rsidRPr="00286EF8" w:rsidTr="00496D69">
        <w:trPr>
          <w:trHeight w:val="418"/>
          <w:jc w:val="center"/>
        </w:trPr>
        <w:tc>
          <w:tcPr>
            <w:tcW w:w="1241"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ANUL</w:t>
            </w:r>
          </w:p>
        </w:tc>
        <w:tc>
          <w:tcPr>
            <w:tcW w:w="1842"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TOTAL TRIMIŞI ÎN JUDECATĂ, din care:</w:t>
            </w:r>
          </w:p>
        </w:tc>
        <w:tc>
          <w:tcPr>
            <w:tcW w:w="198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pondere în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total general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inculpați p.f. trimişi în judecată (%)</w:t>
            </w:r>
          </w:p>
        </w:tc>
        <w:tc>
          <w:tcPr>
            <w:tcW w:w="1986"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infracțiuni contra siguranței circulației pe drumurile publice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334 – </w:t>
            </w:r>
            <w:smartTag w:uri="urn:schemas-microsoft-com:office:smarttags" w:element="metricconverter">
              <w:smartTagPr>
                <w:attr w:name="ProductID" w:val="341 C"/>
              </w:smartTagPr>
              <w:r w:rsidRPr="00286EF8">
                <w:rPr>
                  <w:rFonts w:asciiTheme="minorHAnsi" w:hAnsiTheme="minorHAnsi" w:cstheme="minorHAnsi"/>
                  <w:b/>
                  <w:color w:val="548DD4"/>
                  <w:lang w:val="ro-RO"/>
                </w:rPr>
                <w:t>341 C</w:t>
              </w:r>
            </w:smartTag>
            <w:r w:rsidRPr="00286EF8">
              <w:rPr>
                <w:rFonts w:asciiTheme="minorHAnsi" w:hAnsiTheme="minorHAnsi" w:cstheme="minorHAnsi"/>
                <w:b/>
                <w:color w:val="548DD4"/>
                <w:lang w:val="ro-RO"/>
              </w:rPr>
              <w:t>.p.)</w:t>
            </w:r>
          </w:p>
        </w:tc>
        <w:tc>
          <w:tcPr>
            <w:tcW w:w="1987"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infracțiuni la regimul protecției muncii</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349 – </w:t>
            </w:r>
            <w:smartTag w:uri="urn:schemas-microsoft-com:office:smarttags" w:element="metricconverter">
              <w:smartTagPr>
                <w:attr w:name="ProductID" w:val="350 C"/>
              </w:smartTagPr>
              <w:r w:rsidRPr="00286EF8">
                <w:rPr>
                  <w:rFonts w:asciiTheme="minorHAnsi" w:hAnsiTheme="minorHAnsi" w:cstheme="minorHAnsi"/>
                  <w:b/>
                  <w:color w:val="548DD4"/>
                  <w:lang w:val="ro-RO"/>
                </w:rPr>
                <w:t>350 C</w:t>
              </w:r>
            </w:smartTag>
            <w:r w:rsidRPr="00286EF8">
              <w:rPr>
                <w:rFonts w:asciiTheme="minorHAnsi" w:hAnsiTheme="minorHAnsi" w:cstheme="minorHAnsi"/>
                <w:b/>
                <w:color w:val="548DD4"/>
                <w:lang w:val="ro-RO"/>
              </w:rPr>
              <w:t>.p.)</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2008</w:t>
            </w:r>
          </w:p>
        </w:tc>
        <w:tc>
          <w:tcPr>
            <w:tcW w:w="1842" w:type="dxa"/>
            <w:vMerge w:val="restart"/>
            <w:vAlign w:val="center"/>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 xml:space="preserve">NU </w:t>
            </w:r>
          </w:p>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 xml:space="preserve">EXISTĂ </w:t>
            </w:r>
          </w:p>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DATE</w:t>
            </w:r>
          </w:p>
        </w:tc>
        <w:tc>
          <w:tcPr>
            <w:tcW w:w="1983" w:type="dxa"/>
            <w:vMerge w:val="restart"/>
            <w:vAlign w:val="center"/>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 xml:space="preserve">NU </w:t>
            </w:r>
          </w:p>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 xml:space="preserve">EXISTĂ </w:t>
            </w:r>
          </w:p>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DATE</w:t>
            </w: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10.896</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22</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2009</w:t>
            </w:r>
          </w:p>
        </w:tc>
        <w:tc>
          <w:tcPr>
            <w:tcW w:w="1842" w:type="dxa"/>
            <w:vMerge/>
          </w:tcPr>
          <w:p w:rsidR="00BA02E2" w:rsidRPr="00286EF8" w:rsidRDefault="00BA02E2" w:rsidP="00496D69">
            <w:pPr>
              <w:widowControl w:val="0"/>
              <w:jc w:val="center"/>
              <w:rPr>
                <w:rFonts w:asciiTheme="minorHAnsi" w:hAnsiTheme="minorHAnsi" w:cstheme="minorHAnsi"/>
                <w:lang w:val="ro-RO"/>
              </w:rPr>
            </w:pPr>
          </w:p>
        </w:tc>
        <w:tc>
          <w:tcPr>
            <w:tcW w:w="1983" w:type="dxa"/>
            <w:vMerge/>
          </w:tcPr>
          <w:p w:rsidR="00BA02E2" w:rsidRPr="00286EF8" w:rsidRDefault="00BA02E2" w:rsidP="00496D69">
            <w:pPr>
              <w:widowControl w:val="0"/>
              <w:jc w:val="center"/>
              <w:rPr>
                <w:rFonts w:asciiTheme="minorHAnsi" w:hAnsiTheme="minorHAnsi" w:cstheme="minorHAnsi"/>
                <w:lang w:val="ro-RO"/>
              </w:rPr>
            </w:pP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13.365</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44</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2010</w:t>
            </w:r>
          </w:p>
        </w:tc>
        <w:tc>
          <w:tcPr>
            <w:tcW w:w="1842" w:type="dxa"/>
            <w:vMerge/>
          </w:tcPr>
          <w:p w:rsidR="00BA02E2" w:rsidRPr="00286EF8" w:rsidRDefault="00BA02E2" w:rsidP="00496D69">
            <w:pPr>
              <w:widowControl w:val="0"/>
              <w:jc w:val="center"/>
              <w:rPr>
                <w:rFonts w:asciiTheme="minorHAnsi" w:hAnsiTheme="minorHAnsi" w:cstheme="minorHAnsi"/>
                <w:lang w:val="ro-RO"/>
              </w:rPr>
            </w:pPr>
          </w:p>
        </w:tc>
        <w:tc>
          <w:tcPr>
            <w:tcW w:w="1983" w:type="dxa"/>
            <w:vMerge/>
          </w:tcPr>
          <w:p w:rsidR="00BA02E2" w:rsidRPr="00286EF8" w:rsidRDefault="00BA02E2" w:rsidP="00496D69">
            <w:pPr>
              <w:widowControl w:val="0"/>
              <w:jc w:val="center"/>
              <w:rPr>
                <w:rFonts w:asciiTheme="minorHAnsi" w:hAnsiTheme="minorHAnsi" w:cstheme="minorHAnsi"/>
                <w:lang w:val="ro-RO"/>
              </w:rPr>
            </w:pP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14.525</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35</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2011</w:t>
            </w:r>
          </w:p>
        </w:tc>
        <w:tc>
          <w:tcPr>
            <w:tcW w:w="1842" w:type="dxa"/>
            <w:vMerge/>
          </w:tcPr>
          <w:p w:rsidR="00BA02E2" w:rsidRPr="00286EF8" w:rsidRDefault="00BA02E2" w:rsidP="00496D69">
            <w:pPr>
              <w:widowControl w:val="0"/>
              <w:jc w:val="center"/>
              <w:rPr>
                <w:rFonts w:asciiTheme="minorHAnsi" w:hAnsiTheme="minorHAnsi" w:cstheme="minorHAnsi"/>
                <w:lang w:val="ro-RO"/>
              </w:rPr>
            </w:pPr>
          </w:p>
        </w:tc>
        <w:tc>
          <w:tcPr>
            <w:tcW w:w="1983" w:type="dxa"/>
            <w:vMerge/>
          </w:tcPr>
          <w:p w:rsidR="00BA02E2" w:rsidRPr="00286EF8" w:rsidRDefault="00BA02E2" w:rsidP="00496D69">
            <w:pPr>
              <w:widowControl w:val="0"/>
              <w:jc w:val="center"/>
              <w:rPr>
                <w:rFonts w:asciiTheme="minorHAnsi" w:hAnsiTheme="minorHAnsi" w:cstheme="minorHAnsi"/>
                <w:lang w:val="ro-RO"/>
              </w:rPr>
            </w:pP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15.188</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17</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2012</w:t>
            </w:r>
          </w:p>
        </w:tc>
        <w:tc>
          <w:tcPr>
            <w:tcW w:w="1842" w:type="dxa"/>
            <w:vMerge/>
          </w:tcPr>
          <w:p w:rsidR="00BA02E2" w:rsidRPr="00286EF8" w:rsidRDefault="00BA02E2" w:rsidP="00496D69">
            <w:pPr>
              <w:widowControl w:val="0"/>
              <w:jc w:val="center"/>
              <w:rPr>
                <w:rFonts w:asciiTheme="minorHAnsi" w:hAnsiTheme="minorHAnsi" w:cstheme="minorHAnsi"/>
                <w:lang w:val="ro-RO"/>
              </w:rPr>
            </w:pPr>
          </w:p>
        </w:tc>
        <w:tc>
          <w:tcPr>
            <w:tcW w:w="1983" w:type="dxa"/>
            <w:vMerge/>
          </w:tcPr>
          <w:p w:rsidR="00BA02E2" w:rsidRPr="00286EF8" w:rsidRDefault="00BA02E2" w:rsidP="00496D69">
            <w:pPr>
              <w:widowControl w:val="0"/>
              <w:jc w:val="center"/>
              <w:rPr>
                <w:rFonts w:asciiTheme="minorHAnsi" w:hAnsiTheme="minorHAnsi" w:cstheme="minorHAnsi"/>
                <w:lang w:val="ro-RO"/>
              </w:rPr>
            </w:pP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14.328</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19</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2013</w:t>
            </w:r>
          </w:p>
        </w:tc>
        <w:tc>
          <w:tcPr>
            <w:tcW w:w="1842" w:type="dxa"/>
            <w:vMerge/>
          </w:tcPr>
          <w:p w:rsidR="00BA02E2" w:rsidRPr="00286EF8" w:rsidRDefault="00BA02E2" w:rsidP="00496D69">
            <w:pPr>
              <w:widowControl w:val="0"/>
              <w:jc w:val="center"/>
              <w:rPr>
                <w:rFonts w:asciiTheme="minorHAnsi" w:hAnsiTheme="minorHAnsi" w:cstheme="minorHAnsi"/>
                <w:lang w:val="ro-RO"/>
              </w:rPr>
            </w:pPr>
          </w:p>
        </w:tc>
        <w:tc>
          <w:tcPr>
            <w:tcW w:w="1983" w:type="dxa"/>
            <w:vMerge/>
          </w:tcPr>
          <w:p w:rsidR="00BA02E2" w:rsidRPr="00286EF8" w:rsidRDefault="00BA02E2" w:rsidP="00496D69">
            <w:pPr>
              <w:widowControl w:val="0"/>
              <w:jc w:val="center"/>
              <w:rPr>
                <w:rFonts w:asciiTheme="minorHAnsi" w:hAnsiTheme="minorHAnsi" w:cstheme="minorHAnsi"/>
                <w:lang w:val="ro-RO"/>
              </w:rPr>
            </w:pPr>
          </w:p>
        </w:tc>
        <w:tc>
          <w:tcPr>
            <w:tcW w:w="198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15.907</w:t>
            </w:r>
          </w:p>
        </w:tc>
        <w:tc>
          <w:tcPr>
            <w:tcW w:w="198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2014</w:t>
            </w:r>
          </w:p>
        </w:tc>
        <w:tc>
          <w:tcPr>
            <w:tcW w:w="1842"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14.844</w:t>
            </w:r>
          </w:p>
        </w:tc>
        <w:tc>
          <w:tcPr>
            <w:tcW w:w="198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29,5</w:t>
            </w:r>
          </w:p>
        </w:tc>
        <w:tc>
          <w:tcPr>
            <w:tcW w:w="1986"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14.560</w:t>
            </w:r>
          </w:p>
        </w:tc>
        <w:tc>
          <w:tcPr>
            <w:tcW w:w="1987"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16</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2015</w:t>
            </w:r>
          </w:p>
        </w:tc>
        <w:tc>
          <w:tcPr>
            <w:tcW w:w="1842"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17.492</w:t>
            </w:r>
          </w:p>
        </w:tc>
        <w:tc>
          <w:tcPr>
            <w:tcW w:w="198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29,7</w:t>
            </w:r>
          </w:p>
        </w:tc>
        <w:tc>
          <w:tcPr>
            <w:tcW w:w="1986"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17.120</w:t>
            </w:r>
          </w:p>
        </w:tc>
        <w:tc>
          <w:tcPr>
            <w:tcW w:w="1987"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27</w:t>
            </w:r>
          </w:p>
        </w:tc>
      </w:tr>
      <w:tr w:rsidR="00BA02E2" w:rsidRPr="00286EF8" w:rsidTr="00496D69">
        <w:trPr>
          <w:jc w:val="center"/>
        </w:trPr>
        <w:tc>
          <w:tcPr>
            <w:tcW w:w="124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2016</w:t>
            </w:r>
          </w:p>
        </w:tc>
        <w:tc>
          <w:tcPr>
            <w:tcW w:w="1842"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20.602</w:t>
            </w:r>
          </w:p>
        </w:tc>
        <w:tc>
          <w:tcPr>
            <w:tcW w:w="198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32,3</w:t>
            </w:r>
          </w:p>
        </w:tc>
        <w:tc>
          <w:tcPr>
            <w:tcW w:w="1986"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20.124</w:t>
            </w:r>
          </w:p>
        </w:tc>
        <w:tc>
          <w:tcPr>
            <w:tcW w:w="1987"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28</w:t>
            </w:r>
          </w:p>
        </w:tc>
      </w:tr>
      <w:tr w:rsidR="00BA02E2" w:rsidRPr="00286EF8" w:rsidTr="00496D69">
        <w:trPr>
          <w:jc w:val="center"/>
        </w:trPr>
        <w:tc>
          <w:tcPr>
            <w:tcW w:w="1241" w:type="dxa"/>
            <w:tcBorders>
              <w:bottom w:val="threeDEmboss" w:sz="6" w:space="0" w:color="00B050"/>
            </w:tcBorders>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2017</w:t>
            </w:r>
          </w:p>
        </w:tc>
        <w:tc>
          <w:tcPr>
            <w:tcW w:w="1842"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20.767</w:t>
            </w:r>
          </w:p>
        </w:tc>
        <w:tc>
          <w:tcPr>
            <w:tcW w:w="1983"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34,7</w:t>
            </w:r>
          </w:p>
        </w:tc>
        <w:tc>
          <w:tcPr>
            <w:tcW w:w="1986"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20.380</w:t>
            </w:r>
          </w:p>
        </w:tc>
        <w:tc>
          <w:tcPr>
            <w:tcW w:w="1987"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30</w:t>
            </w:r>
          </w:p>
        </w:tc>
      </w:tr>
      <w:tr w:rsidR="00BA02E2" w:rsidRPr="00286EF8" w:rsidTr="00496D69">
        <w:trPr>
          <w:jc w:val="center"/>
        </w:trPr>
        <w:tc>
          <w:tcPr>
            <w:tcW w:w="1241" w:type="dxa"/>
            <w:tcBorders>
              <w:top w:val="threeDEmboss" w:sz="6" w:space="0" w:color="00B050"/>
              <w:left w:val="threeDEmboss" w:sz="6" w:space="0" w:color="00B050"/>
              <w:bottom w:val="threeDEmboss" w:sz="6" w:space="0" w:color="00B050"/>
            </w:tcBorders>
            <w:shd w:val="clear" w:color="auto" w:fill="FBD4B4"/>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2017</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+/-2016</w:t>
            </w:r>
          </w:p>
        </w:tc>
        <w:tc>
          <w:tcPr>
            <w:tcW w:w="1842" w:type="dxa"/>
            <w:tcBorders>
              <w:top w:val="threeDEmboss" w:sz="6" w:space="0" w:color="00B050"/>
              <w:bottom w:val="threeDEmboss" w:sz="6" w:space="0" w:color="00B050"/>
            </w:tcBorders>
            <w:shd w:val="clear" w:color="auto" w:fill="FBD4B4"/>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+0,8</w:t>
            </w:r>
          </w:p>
        </w:tc>
        <w:tc>
          <w:tcPr>
            <w:tcW w:w="1983" w:type="dxa"/>
            <w:tcBorders>
              <w:top w:val="threeDEmboss" w:sz="6" w:space="0" w:color="00B050"/>
              <w:bottom w:val="threeDEmboss" w:sz="6" w:space="0" w:color="00B050"/>
            </w:tcBorders>
            <w:shd w:val="clear" w:color="auto" w:fill="FBD4B4"/>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w:t>
            </w:r>
          </w:p>
        </w:tc>
        <w:tc>
          <w:tcPr>
            <w:tcW w:w="1986" w:type="dxa"/>
            <w:tcBorders>
              <w:top w:val="threeDEmboss" w:sz="6" w:space="0" w:color="00B050"/>
              <w:bottom w:val="threeDEmboss" w:sz="6" w:space="0" w:color="00B050"/>
            </w:tcBorders>
            <w:shd w:val="clear" w:color="auto" w:fill="FBD4B4"/>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+1,3</w:t>
            </w:r>
          </w:p>
        </w:tc>
        <w:tc>
          <w:tcPr>
            <w:tcW w:w="1987" w:type="dxa"/>
            <w:tcBorders>
              <w:top w:val="threeDEmboss" w:sz="6" w:space="0" w:color="00B050"/>
              <w:bottom w:val="threeDEmboss" w:sz="6" w:space="0" w:color="00B050"/>
              <w:right w:val="threeDEmboss" w:sz="6" w:space="0" w:color="00B050"/>
            </w:tcBorders>
            <w:shd w:val="clear" w:color="auto" w:fill="FBD4B4"/>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+7,1</w:t>
            </w:r>
          </w:p>
        </w:tc>
      </w:tr>
    </w:tbl>
    <w:p w:rsidR="00BA02E2" w:rsidRPr="00860724" w:rsidRDefault="00BA02E2" w:rsidP="00BA02E2">
      <w:pPr>
        <w:rPr>
          <w:b/>
          <w:sz w:val="20"/>
          <w:lang w:val="ro-RO"/>
        </w:rPr>
      </w:pPr>
    </w:p>
    <w:p w:rsidR="00BA02E2" w:rsidRPr="00860724" w:rsidRDefault="00BA02E2" w:rsidP="00BA02E2">
      <w:pPr>
        <w:rPr>
          <w:b/>
          <w:sz w:val="20"/>
          <w:lang w:val="ro-RO"/>
        </w:rPr>
      </w:pPr>
    </w:p>
    <w:p w:rsidR="00BA02E2" w:rsidRPr="00860724" w:rsidRDefault="008C4926" w:rsidP="00BA02E2">
      <w:pPr>
        <w:rPr>
          <w:b/>
          <w:lang w:val="ro-RO"/>
        </w:rPr>
      </w:pPr>
      <w:r>
        <w:rPr>
          <w:b/>
          <w:lang w:val="ro-RO"/>
        </w:rPr>
        <w:t>9</w:t>
      </w:r>
      <w:r w:rsidR="00BA02E2" w:rsidRPr="00860724">
        <w:rPr>
          <w:b/>
          <w:lang w:val="ro-RO"/>
        </w:rPr>
        <w:t xml:space="preserve">. INFRACŢUNI CARE ADUC ATINGERE UNOR RELAŢII PRIVIND CONVIEŢUIREA SOCIALĂ </w:t>
      </w:r>
    </w:p>
    <w:p w:rsidR="00BA02E2" w:rsidRDefault="00BA02E2" w:rsidP="00BA02E2">
      <w:pPr>
        <w:rPr>
          <w:b/>
          <w:lang w:val="ro-RO"/>
        </w:rPr>
      </w:pPr>
      <w:r w:rsidRPr="00860724">
        <w:rPr>
          <w:b/>
          <w:lang w:val="ro-RO"/>
        </w:rPr>
        <w:t xml:space="preserve">(ART. 367 – </w:t>
      </w:r>
      <w:smartTag w:uri="urn:schemas-microsoft-com:office:smarttags" w:element="metricconverter">
        <w:smartTagPr>
          <w:attr w:name="ProductID" w:val="384 C"/>
        </w:smartTagPr>
        <w:r w:rsidRPr="00860724">
          <w:rPr>
            <w:b/>
            <w:lang w:val="ro-RO"/>
          </w:rPr>
          <w:t>384 C</w:t>
        </w:r>
      </w:smartTag>
      <w:r w:rsidRPr="00860724">
        <w:rPr>
          <w:b/>
          <w:lang w:val="ro-RO"/>
        </w:rPr>
        <w:t>.P.)</w:t>
      </w:r>
    </w:p>
    <w:p w:rsidR="00286EF8" w:rsidRPr="00860724" w:rsidRDefault="00286EF8" w:rsidP="00BA02E2">
      <w:pPr>
        <w:rPr>
          <w:b/>
          <w:lang w:val="ro-RO"/>
        </w:rPr>
      </w:pPr>
    </w:p>
    <w:tbl>
      <w:tblPr>
        <w:tblW w:w="903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101"/>
        <w:gridCol w:w="1204"/>
        <w:gridCol w:w="10"/>
        <w:gridCol w:w="1288"/>
        <w:gridCol w:w="1467"/>
        <w:gridCol w:w="1276"/>
        <w:gridCol w:w="1276"/>
        <w:gridCol w:w="1417"/>
      </w:tblGrid>
      <w:tr w:rsidR="00BA02E2" w:rsidRPr="00286EF8" w:rsidTr="00496D69">
        <w:trPr>
          <w:cantSplit/>
          <w:trHeight w:val="600"/>
          <w:jc w:val="center"/>
        </w:trPr>
        <w:tc>
          <w:tcPr>
            <w:tcW w:w="1101" w:type="dxa"/>
            <w:vMerge w:val="restart"/>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ANUL</w:t>
            </w:r>
          </w:p>
        </w:tc>
        <w:tc>
          <w:tcPr>
            <w:tcW w:w="1214" w:type="dxa"/>
            <w:gridSpan w:val="2"/>
            <w:vMerge w:val="restart"/>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TOTAL TRIMIŞI ÎN JUDECATĂ din care:</w:t>
            </w:r>
          </w:p>
        </w:tc>
        <w:tc>
          <w:tcPr>
            <w:tcW w:w="1288" w:type="dxa"/>
            <w:vMerge w:val="restart"/>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pondere în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total general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inculpați p.f.</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trimişi în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judecată (%)</w:t>
            </w:r>
          </w:p>
        </w:tc>
        <w:tc>
          <w:tcPr>
            <w:tcW w:w="1467" w:type="dxa"/>
            <w:vMerge w:val="restart"/>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constituirea unui grup infracțional organizat</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67 C"/>
              </w:smartTagPr>
              <w:r w:rsidRPr="00286EF8">
                <w:rPr>
                  <w:rFonts w:asciiTheme="minorHAnsi" w:hAnsiTheme="minorHAnsi" w:cstheme="minorHAnsi"/>
                  <w:b/>
                  <w:color w:val="548DD4"/>
                  <w:lang w:val="ro-RO"/>
                </w:rPr>
                <w:t>367 C</w:t>
              </w:r>
            </w:smartTag>
            <w:r w:rsidRPr="00286EF8">
              <w:rPr>
                <w:rFonts w:asciiTheme="minorHAnsi" w:hAnsiTheme="minorHAnsi" w:cstheme="minorHAnsi"/>
                <w:b/>
                <w:color w:val="548DD4"/>
                <w:lang w:val="ro-RO"/>
              </w:rPr>
              <w:t>.p.)</w:t>
            </w:r>
          </w:p>
        </w:tc>
        <w:tc>
          <w:tcPr>
            <w:tcW w:w="1276" w:type="dxa"/>
            <w:vMerge w:val="restart"/>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pornografie infantilă</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74 C"/>
              </w:smartTagPr>
              <w:r w:rsidRPr="00286EF8">
                <w:rPr>
                  <w:rFonts w:asciiTheme="minorHAnsi" w:hAnsiTheme="minorHAnsi" w:cstheme="minorHAnsi"/>
                  <w:b/>
                  <w:color w:val="548DD4"/>
                  <w:lang w:val="ro-RO"/>
                </w:rPr>
                <w:t>374 C</w:t>
              </w:r>
            </w:smartTag>
            <w:r w:rsidRPr="00286EF8">
              <w:rPr>
                <w:rFonts w:asciiTheme="minorHAnsi" w:hAnsiTheme="minorHAnsi" w:cstheme="minorHAnsi"/>
                <w:b/>
                <w:color w:val="548DD4"/>
                <w:lang w:val="ro-RO"/>
              </w:rPr>
              <w:t>.p.)</w:t>
            </w:r>
          </w:p>
        </w:tc>
        <w:tc>
          <w:tcPr>
            <w:tcW w:w="1276" w:type="dxa"/>
            <w:vMerge w:val="restart"/>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abandon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de familie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78 C"/>
              </w:smartTagPr>
              <w:r w:rsidRPr="00286EF8">
                <w:rPr>
                  <w:rFonts w:asciiTheme="minorHAnsi" w:hAnsiTheme="minorHAnsi" w:cstheme="minorHAnsi"/>
                  <w:b/>
                  <w:color w:val="548DD4"/>
                  <w:lang w:val="ro-RO"/>
                </w:rPr>
                <w:t>378 C</w:t>
              </w:r>
            </w:smartTag>
            <w:r w:rsidRPr="00286EF8">
              <w:rPr>
                <w:rFonts w:asciiTheme="minorHAnsi" w:hAnsiTheme="minorHAnsi" w:cstheme="minorHAnsi"/>
                <w:b/>
                <w:color w:val="548DD4"/>
                <w:lang w:val="ro-RO"/>
              </w:rPr>
              <w:t>.p.)</w:t>
            </w:r>
          </w:p>
        </w:tc>
        <w:tc>
          <w:tcPr>
            <w:tcW w:w="1417" w:type="dxa"/>
            <w:vMerge w:val="restart"/>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nerespectarea măsurilor privind încredințarea minorului</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79 C"/>
              </w:smartTagPr>
              <w:r w:rsidRPr="00286EF8">
                <w:rPr>
                  <w:rFonts w:asciiTheme="minorHAnsi" w:hAnsiTheme="minorHAnsi" w:cstheme="minorHAnsi"/>
                  <w:b/>
                  <w:color w:val="548DD4"/>
                  <w:lang w:val="ro-RO"/>
                </w:rPr>
                <w:t>379 C</w:t>
              </w:r>
            </w:smartTag>
            <w:r w:rsidRPr="00286EF8">
              <w:rPr>
                <w:rFonts w:asciiTheme="minorHAnsi" w:hAnsiTheme="minorHAnsi" w:cstheme="minorHAnsi"/>
                <w:b/>
                <w:color w:val="548DD4"/>
                <w:lang w:val="ro-RO"/>
              </w:rPr>
              <w:t>.p.)</w:t>
            </w:r>
          </w:p>
        </w:tc>
      </w:tr>
      <w:tr w:rsidR="00BA02E2" w:rsidRPr="00286EF8" w:rsidTr="00496D69">
        <w:trPr>
          <w:cantSplit/>
          <w:trHeight w:val="797"/>
          <w:jc w:val="center"/>
        </w:trPr>
        <w:tc>
          <w:tcPr>
            <w:tcW w:w="1101" w:type="dxa"/>
            <w:vMerge/>
            <w:tcBorders>
              <w:left w:val="threeDEmboss" w:sz="6" w:space="0" w:color="00B050"/>
              <w:bottom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c>
          <w:tcPr>
            <w:tcW w:w="1214" w:type="dxa"/>
            <w:gridSpan w:val="2"/>
            <w:vMerge/>
            <w:tcBorders>
              <w:bottom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c>
          <w:tcPr>
            <w:tcW w:w="1288" w:type="dxa"/>
            <w:vMerge/>
            <w:tcBorders>
              <w:bottom w:val="threeDEmboss" w:sz="6" w:space="0" w:color="00B050"/>
            </w:tcBorders>
            <w:textDirection w:val="btLr"/>
          </w:tcPr>
          <w:p w:rsidR="00BA02E2" w:rsidRPr="00286EF8" w:rsidRDefault="00BA02E2" w:rsidP="00496D69">
            <w:pPr>
              <w:ind w:left="-18"/>
              <w:jc w:val="center"/>
              <w:rPr>
                <w:rFonts w:asciiTheme="minorHAnsi" w:hAnsiTheme="minorHAnsi" w:cstheme="minorHAnsi"/>
                <w:b/>
                <w:color w:val="548DD4"/>
                <w:lang w:val="ro-RO"/>
              </w:rPr>
            </w:pPr>
          </w:p>
        </w:tc>
        <w:tc>
          <w:tcPr>
            <w:tcW w:w="1467" w:type="dxa"/>
            <w:vMerge/>
            <w:tcBorders>
              <w:bottom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c>
          <w:tcPr>
            <w:tcW w:w="1276" w:type="dxa"/>
            <w:vMerge/>
            <w:tcBorders>
              <w:bottom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c>
          <w:tcPr>
            <w:tcW w:w="1276" w:type="dxa"/>
            <w:vMerge/>
            <w:tcBorders>
              <w:bottom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c>
          <w:tcPr>
            <w:tcW w:w="1417" w:type="dxa"/>
            <w:vMerge/>
            <w:tcBorders>
              <w:bottom w:val="threeDEmboss" w:sz="6" w:space="0" w:color="00B050"/>
              <w:right w:val="threeDEmboss" w:sz="6" w:space="0" w:color="00B050"/>
            </w:tcBorders>
          </w:tcPr>
          <w:p w:rsidR="00BA02E2" w:rsidRPr="00286EF8" w:rsidRDefault="00BA02E2" w:rsidP="00496D69">
            <w:pPr>
              <w:ind w:left="-18"/>
              <w:jc w:val="center"/>
              <w:rPr>
                <w:rFonts w:asciiTheme="minorHAnsi" w:hAnsiTheme="minorHAnsi" w:cstheme="minorHAnsi"/>
                <w:b/>
                <w:color w:val="548DD4"/>
                <w:lang w:val="ro-RO"/>
              </w:rPr>
            </w:pP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2008</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1.718</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3,8</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693</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926</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20</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2009</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1.883</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3,8</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643</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929</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2010</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2.220</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3,9</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774</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1.047</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16</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2011</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2.464</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4,0</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1.033</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1.229</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2012</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2.582</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4,3</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1.071</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1.006</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12</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2013</w:t>
            </w:r>
          </w:p>
        </w:tc>
        <w:tc>
          <w:tcPr>
            <w:tcW w:w="1204"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2.903</w:t>
            </w:r>
          </w:p>
        </w:tc>
        <w:tc>
          <w:tcPr>
            <w:tcW w:w="1298" w:type="dxa"/>
            <w:gridSpan w:val="2"/>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4,4</w:t>
            </w:r>
          </w:p>
        </w:tc>
        <w:tc>
          <w:tcPr>
            <w:tcW w:w="146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976</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w:t>
            </w:r>
          </w:p>
        </w:tc>
        <w:tc>
          <w:tcPr>
            <w:tcW w:w="1276"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1.149</w:t>
            </w:r>
          </w:p>
        </w:tc>
        <w:tc>
          <w:tcPr>
            <w:tcW w:w="1417"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13</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2014</w:t>
            </w:r>
          </w:p>
        </w:tc>
        <w:tc>
          <w:tcPr>
            <w:tcW w:w="1204"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2.043</w:t>
            </w:r>
          </w:p>
        </w:tc>
        <w:tc>
          <w:tcPr>
            <w:tcW w:w="1298" w:type="dxa"/>
            <w:gridSpan w:val="2"/>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4,1</w:t>
            </w:r>
          </w:p>
        </w:tc>
        <w:tc>
          <w:tcPr>
            <w:tcW w:w="146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648</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84</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738</w:t>
            </w:r>
          </w:p>
        </w:tc>
        <w:tc>
          <w:tcPr>
            <w:tcW w:w="141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10</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2015</w:t>
            </w:r>
          </w:p>
        </w:tc>
        <w:tc>
          <w:tcPr>
            <w:tcW w:w="1204"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2.381</w:t>
            </w:r>
          </w:p>
        </w:tc>
        <w:tc>
          <w:tcPr>
            <w:tcW w:w="1298" w:type="dxa"/>
            <w:gridSpan w:val="2"/>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4,0</w:t>
            </w:r>
          </w:p>
        </w:tc>
        <w:tc>
          <w:tcPr>
            <w:tcW w:w="146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800</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65</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865</w:t>
            </w:r>
          </w:p>
        </w:tc>
        <w:tc>
          <w:tcPr>
            <w:tcW w:w="141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15</w:t>
            </w:r>
          </w:p>
        </w:tc>
      </w:tr>
      <w:tr w:rsidR="00BA02E2" w:rsidRPr="00286EF8" w:rsidTr="00496D69">
        <w:trPr>
          <w:jc w:val="center"/>
        </w:trPr>
        <w:tc>
          <w:tcPr>
            <w:tcW w:w="1101"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2016</w:t>
            </w:r>
          </w:p>
        </w:tc>
        <w:tc>
          <w:tcPr>
            <w:tcW w:w="1204"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2.303</w:t>
            </w:r>
          </w:p>
        </w:tc>
        <w:tc>
          <w:tcPr>
            <w:tcW w:w="1298" w:type="dxa"/>
            <w:gridSpan w:val="2"/>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3,6</w:t>
            </w:r>
          </w:p>
        </w:tc>
        <w:tc>
          <w:tcPr>
            <w:tcW w:w="146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712</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96</w:t>
            </w:r>
          </w:p>
        </w:tc>
        <w:tc>
          <w:tcPr>
            <w:tcW w:w="1276"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778</w:t>
            </w:r>
          </w:p>
        </w:tc>
        <w:tc>
          <w:tcPr>
            <w:tcW w:w="1417" w:type="dxa"/>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19</w:t>
            </w:r>
          </w:p>
        </w:tc>
      </w:tr>
      <w:tr w:rsidR="00BA02E2" w:rsidRPr="00286EF8" w:rsidTr="00496D69">
        <w:trPr>
          <w:jc w:val="center"/>
        </w:trPr>
        <w:tc>
          <w:tcPr>
            <w:tcW w:w="1101" w:type="dxa"/>
            <w:tcBorders>
              <w:bottom w:val="threeDEmboss" w:sz="6" w:space="0" w:color="00B050"/>
            </w:tcBorders>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2017</w:t>
            </w:r>
          </w:p>
        </w:tc>
        <w:tc>
          <w:tcPr>
            <w:tcW w:w="1204" w:type="dxa"/>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2.072</w:t>
            </w:r>
          </w:p>
        </w:tc>
        <w:tc>
          <w:tcPr>
            <w:tcW w:w="1298" w:type="dxa"/>
            <w:gridSpan w:val="2"/>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3,5</w:t>
            </w:r>
          </w:p>
        </w:tc>
        <w:tc>
          <w:tcPr>
            <w:tcW w:w="1467" w:type="dxa"/>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408</w:t>
            </w:r>
          </w:p>
        </w:tc>
        <w:tc>
          <w:tcPr>
            <w:tcW w:w="1276" w:type="dxa"/>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163</w:t>
            </w:r>
          </w:p>
        </w:tc>
        <w:tc>
          <w:tcPr>
            <w:tcW w:w="1276" w:type="dxa"/>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651</w:t>
            </w:r>
          </w:p>
        </w:tc>
        <w:tc>
          <w:tcPr>
            <w:tcW w:w="1417" w:type="dxa"/>
            <w:tcBorders>
              <w:bottom w:val="threeDEmboss" w:sz="6" w:space="0" w:color="00B050"/>
            </w:tcBorders>
          </w:tcPr>
          <w:p w:rsidR="00BA02E2" w:rsidRPr="00286EF8" w:rsidRDefault="00BA02E2" w:rsidP="00496D69">
            <w:pPr>
              <w:widowControl w:val="0"/>
              <w:ind w:left="-107" w:firstLine="107"/>
              <w:jc w:val="center"/>
              <w:rPr>
                <w:rFonts w:asciiTheme="minorHAnsi" w:hAnsiTheme="minorHAnsi" w:cstheme="minorHAnsi"/>
                <w:lang w:val="ro-RO"/>
              </w:rPr>
            </w:pPr>
            <w:r w:rsidRPr="00286EF8">
              <w:rPr>
                <w:rFonts w:asciiTheme="minorHAnsi" w:hAnsiTheme="minorHAnsi" w:cstheme="minorHAnsi"/>
                <w:lang w:val="ro-RO"/>
              </w:rPr>
              <w:t>29</w:t>
            </w:r>
          </w:p>
        </w:tc>
      </w:tr>
      <w:tr w:rsidR="00BA02E2" w:rsidRPr="00286EF8" w:rsidTr="00496D69">
        <w:trPr>
          <w:jc w:val="center"/>
        </w:trPr>
        <w:tc>
          <w:tcPr>
            <w:tcW w:w="1101"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2017</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+/- 2016</w:t>
            </w:r>
          </w:p>
        </w:tc>
        <w:tc>
          <w:tcPr>
            <w:tcW w:w="1204"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-10,0</w:t>
            </w:r>
          </w:p>
        </w:tc>
        <w:tc>
          <w:tcPr>
            <w:tcW w:w="1298" w:type="dxa"/>
            <w:gridSpan w:val="2"/>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w:t>
            </w:r>
          </w:p>
        </w:tc>
        <w:tc>
          <w:tcPr>
            <w:tcW w:w="1467"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-42,7</w:t>
            </w:r>
          </w:p>
        </w:tc>
        <w:tc>
          <w:tcPr>
            <w:tcW w:w="1276"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+69,8</w:t>
            </w:r>
          </w:p>
        </w:tc>
        <w:tc>
          <w:tcPr>
            <w:tcW w:w="1276"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-16,3</w:t>
            </w:r>
          </w:p>
        </w:tc>
        <w:tc>
          <w:tcPr>
            <w:tcW w:w="1417" w:type="dxa"/>
            <w:tcBorders>
              <w:top w:val="threeDEmboss" w:sz="6" w:space="0" w:color="00B050"/>
              <w:bottom w:val="threeDEmboss" w:sz="6" w:space="0" w:color="00B050"/>
              <w:right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+52,6</w:t>
            </w:r>
          </w:p>
        </w:tc>
      </w:tr>
    </w:tbl>
    <w:p w:rsidR="00BA02E2" w:rsidRDefault="00BA02E2" w:rsidP="00BA02E2">
      <w:pPr>
        <w:rPr>
          <w:b/>
          <w:sz w:val="20"/>
          <w:lang w:val="ro-RO"/>
        </w:rPr>
      </w:pPr>
    </w:p>
    <w:p w:rsidR="00286EF8" w:rsidRDefault="00286EF8" w:rsidP="00BA02E2">
      <w:pPr>
        <w:rPr>
          <w:b/>
          <w:sz w:val="20"/>
          <w:lang w:val="ro-RO"/>
        </w:rPr>
      </w:pPr>
    </w:p>
    <w:p w:rsidR="00286EF8" w:rsidRPr="00860724" w:rsidRDefault="00286EF8" w:rsidP="00BA02E2">
      <w:pPr>
        <w:rPr>
          <w:b/>
          <w:sz w:val="20"/>
          <w:lang w:val="ro-RO"/>
        </w:rPr>
      </w:pPr>
    </w:p>
    <w:p w:rsidR="00BA02E2" w:rsidRPr="00860724" w:rsidRDefault="00BA02E2" w:rsidP="00BA02E2">
      <w:pPr>
        <w:rPr>
          <w:b/>
          <w:sz w:val="20"/>
          <w:lang w:val="ro-RO"/>
        </w:rPr>
      </w:pPr>
    </w:p>
    <w:p w:rsidR="00BA02E2" w:rsidRDefault="008C4926" w:rsidP="00BA02E2">
      <w:pPr>
        <w:rPr>
          <w:b/>
          <w:lang w:val="ro-RO"/>
        </w:rPr>
      </w:pPr>
      <w:r>
        <w:rPr>
          <w:b/>
          <w:lang w:val="ro-RO"/>
        </w:rPr>
        <w:t>10</w:t>
      </w:r>
      <w:r w:rsidR="00BA02E2" w:rsidRPr="00860724">
        <w:rPr>
          <w:b/>
          <w:lang w:val="ro-RO"/>
        </w:rPr>
        <w:t xml:space="preserve">. INFRACŢIUNI ELECTORALE (ART. 385 – </w:t>
      </w:r>
      <w:smartTag w:uri="urn:schemas-microsoft-com:office:smarttags" w:element="metricconverter">
        <w:smartTagPr>
          <w:attr w:name="ProductID" w:val="393 C"/>
        </w:smartTagPr>
        <w:r w:rsidR="00BA02E2" w:rsidRPr="00860724">
          <w:rPr>
            <w:b/>
            <w:lang w:val="ro-RO"/>
          </w:rPr>
          <w:t>393 C</w:t>
        </w:r>
      </w:smartTag>
      <w:r w:rsidR="00BA02E2" w:rsidRPr="00860724">
        <w:rPr>
          <w:b/>
          <w:lang w:val="ro-RO"/>
        </w:rPr>
        <w:t>.P.)</w:t>
      </w:r>
    </w:p>
    <w:p w:rsidR="00286EF8" w:rsidRPr="00860724" w:rsidRDefault="00286EF8" w:rsidP="00BA02E2">
      <w:pPr>
        <w:rPr>
          <w:b/>
          <w:sz w:val="20"/>
          <w:lang w:val="ro-RO"/>
        </w:rPr>
      </w:pPr>
    </w:p>
    <w:tbl>
      <w:tblPr>
        <w:tblW w:w="8756"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26"/>
        <w:gridCol w:w="1701"/>
        <w:gridCol w:w="1843"/>
        <w:gridCol w:w="1843"/>
        <w:gridCol w:w="1843"/>
      </w:tblGrid>
      <w:tr w:rsidR="00BA02E2" w:rsidRPr="00286EF8" w:rsidTr="00496D69">
        <w:trPr>
          <w:jc w:val="center"/>
        </w:trPr>
        <w:tc>
          <w:tcPr>
            <w:tcW w:w="1526"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p>
          <w:p w:rsidR="00BA02E2" w:rsidRPr="00286EF8" w:rsidRDefault="00BA02E2" w:rsidP="00496D69">
            <w:pPr>
              <w:ind w:left="-18"/>
              <w:jc w:val="center"/>
              <w:rPr>
                <w:b/>
                <w:color w:val="548DD4"/>
                <w:lang w:val="ro-RO"/>
              </w:rPr>
            </w:pPr>
          </w:p>
          <w:p w:rsidR="00BA02E2" w:rsidRPr="00286EF8" w:rsidRDefault="00BA02E2" w:rsidP="00496D69">
            <w:pPr>
              <w:ind w:left="-18"/>
              <w:jc w:val="center"/>
              <w:rPr>
                <w:b/>
                <w:color w:val="548DD4"/>
                <w:lang w:val="ro-RO"/>
              </w:rPr>
            </w:pPr>
            <w:r w:rsidRPr="00286EF8">
              <w:rPr>
                <w:b/>
                <w:color w:val="548DD4"/>
                <w:lang w:val="ro-RO"/>
              </w:rPr>
              <w:t>ANUL</w:t>
            </w:r>
          </w:p>
          <w:p w:rsidR="00BA02E2" w:rsidRPr="00286EF8" w:rsidRDefault="00BA02E2" w:rsidP="00496D69">
            <w:pPr>
              <w:ind w:left="-18"/>
              <w:jc w:val="center"/>
              <w:rPr>
                <w:b/>
                <w:color w:val="548DD4"/>
                <w:lang w:val="ro-RO"/>
              </w:rPr>
            </w:pPr>
          </w:p>
        </w:tc>
        <w:tc>
          <w:tcPr>
            <w:tcW w:w="1701"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TOTAL </w:t>
            </w:r>
          </w:p>
          <w:p w:rsidR="00BA02E2" w:rsidRPr="00286EF8" w:rsidRDefault="00BA02E2" w:rsidP="00496D69">
            <w:pPr>
              <w:ind w:left="-18"/>
              <w:jc w:val="center"/>
              <w:rPr>
                <w:b/>
                <w:color w:val="548DD4"/>
                <w:lang w:val="ro-RO"/>
              </w:rPr>
            </w:pPr>
            <w:r w:rsidRPr="00286EF8">
              <w:rPr>
                <w:b/>
                <w:color w:val="548DD4"/>
                <w:lang w:val="ro-RO"/>
              </w:rPr>
              <w:t xml:space="preserve">TRIMIŞI ÎN </w:t>
            </w:r>
          </w:p>
          <w:p w:rsidR="00BA02E2" w:rsidRPr="00286EF8" w:rsidRDefault="00BA02E2" w:rsidP="00496D69">
            <w:pPr>
              <w:ind w:left="-18"/>
              <w:jc w:val="center"/>
              <w:rPr>
                <w:b/>
                <w:color w:val="548DD4"/>
                <w:lang w:val="ro-RO"/>
              </w:rPr>
            </w:pPr>
            <w:r w:rsidRPr="00286EF8">
              <w:rPr>
                <w:b/>
                <w:color w:val="548DD4"/>
                <w:lang w:val="ro-RO"/>
              </w:rPr>
              <w:t xml:space="preserve">JUDECATĂ, </w:t>
            </w:r>
          </w:p>
          <w:p w:rsidR="00BA02E2" w:rsidRPr="00286EF8" w:rsidRDefault="00BA02E2" w:rsidP="00496D69">
            <w:pPr>
              <w:ind w:left="-18"/>
              <w:jc w:val="center"/>
              <w:rPr>
                <w:b/>
                <w:color w:val="548DD4"/>
                <w:lang w:val="ro-RO"/>
              </w:rPr>
            </w:pPr>
            <w:r w:rsidRPr="00286EF8">
              <w:rPr>
                <w:b/>
                <w:color w:val="548DD4"/>
                <w:lang w:val="ro-RO"/>
              </w:rPr>
              <w:t>din care:</w:t>
            </w:r>
          </w:p>
        </w:tc>
        <w:tc>
          <w:tcPr>
            <w:tcW w:w="184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pondere în </w:t>
            </w:r>
          </w:p>
          <w:p w:rsidR="00BA02E2" w:rsidRPr="00286EF8" w:rsidRDefault="00BA02E2" w:rsidP="00496D69">
            <w:pPr>
              <w:ind w:left="-18"/>
              <w:jc w:val="center"/>
              <w:rPr>
                <w:b/>
                <w:color w:val="548DD4"/>
                <w:lang w:val="ro-RO"/>
              </w:rPr>
            </w:pPr>
            <w:r w:rsidRPr="00286EF8">
              <w:rPr>
                <w:b/>
                <w:color w:val="548DD4"/>
                <w:lang w:val="ro-RO"/>
              </w:rPr>
              <w:t xml:space="preserve">total general </w:t>
            </w:r>
          </w:p>
          <w:p w:rsidR="00BA02E2" w:rsidRPr="00286EF8" w:rsidRDefault="00BA02E2" w:rsidP="00496D69">
            <w:pPr>
              <w:ind w:left="-18"/>
              <w:jc w:val="center"/>
              <w:rPr>
                <w:b/>
                <w:color w:val="548DD4"/>
                <w:lang w:val="ro-RO"/>
              </w:rPr>
            </w:pPr>
            <w:r w:rsidRPr="00286EF8">
              <w:rPr>
                <w:b/>
                <w:color w:val="548DD4"/>
                <w:lang w:val="ro-RO"/>
              </w:rPr>
              <w:t>inculpați p.f. trimişi în judecată (%)</w:t>
            </w:r>
          </w:p>
        </w:tc>
        <w:tc>
          <w:tcPr>
            <w:tcW w:w="184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coruperea alegătorilor</w:t>
            </w:r>
          </w:p>
          <w:p w:rsidR="00BA02E2" w:rsidRPr="00286EF8" w:rsidRDefault="00BA02E2" w:rsidP="00496D69">
            <w:pPr>
              <w:ind w:left="-18"/>
              <w:jc w:val="center"/>
              <w:rPr>
                <w:b/>
                <w:color w:val="548DD4"/>
                <w:lang w:val="ro-RO"/>
              </w:rPr>
            </w:pPr>
            <w:r w:rsidRPr="00286EF8">
              <w:rPr>
                <w:b/>
                <w:color w:val="548DD4"/>
                <w:lang w:val="ro-RO"/>
              </w:rPr>
              <w:t xml:space="preserve">(art. </w:t>
            </w:r>
            <w:smartTag w:uri="urn:schemas-microsoft-com:office:smarttags" w:element="metricconverter">
              <w:smartTagPr>
                <w:attr w:name="ProductID" w:val="386 C"/>
              </w:smartTagPr>
              <w:r w:rsidRPr="00286EF8">
                <w:rPr>
                  <w:b/>
                  <w:color w:val="548DD4"/>
                  <w:lang w:val="ro-RO"/>
                </w:rPr>
                <w:t>386 C</w:t>
              </w:r>
            </w:smartTag>
            <w:r w:rsidRPr="00286EF8">
              <w:rPr>
                <w:b/>
                <w:color w:val="548DD4"/>
                <w:lang w:val="ro-RO"/>
              </w:rPr>
              <w:t>.p.)</w:t>
            </w:r>
          </w:p>
        </w:tc>
        <w:tc>
          <w:tcPr>
            <w:tcW w:w="1843"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frauda la vot</w:t>
            </w:r>
          </w:p>
          <w:p w:rsidR="00BA02E2" w:rsidRPr="00286EF8" w:rsidRDefault="00BA02E2" w:rsidP="00496D69">
            <w:pPr>
              <w:ind w:left="-18"/>
              <w:jc w:val="center"/>
              <w:rPr>
                <w:b/>
                <w:color w:val="548DD4"/>
                <w:lang w:val="ro-RO"/>
              </w:rPr>
            </w:pPr>
            <w:r w:rsidRPr="00286EF8">
              <w:rPr>
                <w:b/>
                <w:color w:val="548DD4"/>
                <w:lang w:val="ro-RO"/>
              </w:rPr>
              <w:t xml:space="preserve">(art. </w:t>
            </w:r>
            <w:smartTag w:uri="urn:schemas-microsoft-com:office:smarttags" w:element="metricconverter">
              <w:smartTagPr>
                <w:attr w:name="ProductID" w:val="387 C"/>
              </w:smartTagPr>
              <w:r w:rsidRPr="00286EF8">
                <w:rPr>
                  <w:b/>
                  <w:color w:val="548DD4"/>
                  <w:lang w:val="ro-RO"/>
                </w:rPr>
                <w:t>387 C</w:t>
              </w:r>
            </w:smartTag>
            <w:r w:rsidRPr="00286EF8">
              <w:rPr>
                <w:b/>
                <w:color w:val="548DD4"/>
                <w:lang w:val="ro-RO"/>
              </w:rPr>
              <w:t>.p.)</w:t>
            </w:r>
          </w:p>
        </w:tc>
      </w:tr>
      <w:tr w:rsidR="00BA02E2" w:rsidRPr="00286EF8"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jc w:val="center"/>
              <w:rPr>
                <w:lang w:val="ro-RO"/>
              </w:rPr>
            </w:pPr>
            <w:r w:rsidRPr="00286EF8">
              <w:rPr>
                <w:lang w:val="ro-RO"/>
              </w:rPr>
              <w:t>2014</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53</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9</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42</w:t>
            </w:r>
          </w:p>
        </w:tc>
      </w:tr>
      <w:tr w:rsidR="00BA02E2" w:rsidRPr="00286EF8"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jc w:val="center"/>
              <w:rPr>
                <w:lang w:val="ro-RO"/>
              </w:rPr>
            </w:pPr>
            <w:r w:rsidRPr="00286EF8">
              <w:rPr>
                <w:lang w:val="ro-RO"/>
              </w:rPr>
              <w:t>2015</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57</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15</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17</w:t>
            </w:r>
          </w:p>
        </w:tc>
      </w:tr>
      <w:tr w:rsidR="00BA02E2" w:rsidRPr="00286EF8"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jc w:val="center"/>
              <w:rPr>
                <w:lang w:val="ro-RO"/>
              </w:rPr>
            </w:pPr>
            <w:r w:rsidRPr="00286EF8">
              <w:rPr>
                <w:lang w:val="ro-RO"/>
              </w:rPr>
              <w:t>2016</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32</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3</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16</w:t>
            </w:r>
          </w:p>
        </w:tc>
      </w:tr>
      <w:tr w:rsidR="00BA02E2" w:rsidRPr="00286EF8"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jc w:val="center"/>
              <w:rPr>
                <w:lang w:val="ro-RO"/>
              </w:rPr>
            </w:pPr>
            <w:r w:rsidRPr="00286EF8">
              <w:rPr>
                <w:lang w:val="ro-RO"/>
              </w:rPr>
              <w:t>2017</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41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3</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BA02E2" w:rsidRPr="00286EF8" w:rsidRDefault="00BA02E2" w:rsidP="00496D69">
            <w:pPr>
              <w:widowControl w:val="0"/>
              <w:jc w:val="center"/>
              <w:rPr>
                <w:lang w:val="ro-RO"/>
              </w:rPr>
            </w:pPr>
            <w:r w:rsidRPr="00286EF8">
              <w:rPr>
                <w:lang w:val="ro-RO"/>
              </w:rPr>
              <w:t>20</w:t>
            </w:r>
          </w:p>
        </w:tc>
      </w:tr>
      <w:tr w:rsidR="00BA02E2" w:rsidRPr="00286EF8" w:rsidTr="00496D69">
        <w:trPr>
          <w:jc w:val="center"/>
        </w:trPr>
        <w:tc>
          <w:tcPr>
            <w:tcW w:w="1526" w:type="dxa"/>
            <w:tcBorders>
              <w:top w:val="threeDEmboss" w:sz="6" w:space="0" w:color="00B050"/>
              <w:left w:val="threeDEmboss" w:sz="6" w:space="0" w:color="00B050"/>
              <w:bottom w:val="threeDEmboss" w:sz="6" w:space="0" w:color="00B050"/>
              <w:right w:val="threeDEmboss" w:sz="6" w:space="0" w:color="00B050"/>
            </w:tcBorders>
            <w:shd w:val="clear" w:color="auto" w:fill="FBD4B4"/>
          </w:tcPr>
          <w:p w:rsidR="00BA02E2" w:rsidRPr="00286EF8" w:rsidRDefault="00BA02E2" w:rsidP="00496D69">
            <w:pPr>
              <w:ind w:left="-18"/>
              <w:jc w:val="center"/>
              <w:rPr>
                <w:b/>
                <w:color w:val="548DD4"/>
                <w:lang w:val="ro-RO"/>
              </w:rPr>
            </w:pPr>
            <w:r w:rsidRPr="00286EF8">
              <w:rPr>
                <w:b/>
                <w:color w:val="548DD4"/>
                <w:lang w:val="ro-RO"/>
              </w:rPr>
              <w:t xml:space="preserve">   % 2017</w:t>
            </w:r>
          </w:p>
          <w:p w:rsidR="00BA02E2" w:rsidRPr="00286EF8" w:rsidRDefault="00BA02E2" w:rsidP="00496D69">
            <w:pPr>
              <w:ind w:left="-18"/>
              <w:jc w:val="center"/>
              <w:rPr>
                <w:b/>
                <w:color w:val="548DD4"/>
                <w:lang w:val="ro-RO"/>
              </w:rPr>
            </w:pPr>
            <w:r w:rsidRPr="00286EF8">
              <w:rPr>
                <w:b/>
                <w:color w:val="548DD4"/>
                <w:lang w:val="ro-RO"/>
              </w:rPr>
              <w:t xml:space="preserve">  +/- 2016</w:t>
            </w:r>
          </w:p>
        </w:tc>
        <w:tc>
          <w:tcPr>
            <w:tcW w:w="1701"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86EF8" w:rsidRDefault="00BA02E2" w:rsidP="00496D69">
            <w:pPr>
              <w:ind w:left="-18"/>
              <w:jc w:val="center"/>
              <w:rPr>
                <w:b/>
                <w:color w:val="548DD4"/>
                <w:lang w:val="ro-RO"/>
              </w:rPr>
            </w:pPr>
            <w:r w:rsidRPr="00286EF8">
              <w:rPr>
                <w:b/>
                <w:color w:val="548DD4"/>
                <w:lang w:val="ro-RO"/>
              </w:rPr>
              <w:t>+28,1</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86EF8" w:rsidRDefault="00BA02E2" w:rsidP="00496D69">
            <w:pPr>
              <w:ind w:left="-18"/>
              <w:jc w:val="center"/>
              <w:rPr>
                <w:b/>
                <w:color w:val="548DD4"/>
                <w:lang w:val="ro-RO"/>
              </w:rPr>
            </w:pPr>
            <w:r w:rsidRPr="00286EF8">
              <w:rPr>
                <w:b/>
                <w:color w:val="548DD4"/>
                <w:lang w:val="ro-RO"/>
              </w:rPr>
              <w:t>-</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86EF8" w:rsidRDefault="00BA02E2" w:rsidP="00496D69">
            <w:pPr>
              <w:ind w:left="-18"/>
              <w:jc w:val="center"/>
              <w:rPr>
                <w:b/>
                <w:color w:val="548DD4"/>
                <w:lang w:val="ro-RO"/>
              </w:rPr>
            </w:pPr>
            <w:r w:rsidRPr="00286EF8">
              <w:rPr>
                <w:b/>
                <w:color w:val="548DD4"/>
                <w:lang w:val="ro-RO"/>
              </w:rPr>
              <w:t>-</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BA02E2" w:rsidRPr="00286EF8" w:rsidRDefault="00BA02E2" w:rsidP="00496D69">
            <w:pPr>
              <w:ind w:left="-18"/>
              <w:jc w:val="center"/>
              <w:rPr>
                <w:b/>
                <w:color w:val="548DD4"/>
                <w:lang w:val="ro-RO"/>
              </w:rPr>
            </w:pPr>
            <w:r w:rsidRPr="00286EF8">
              <w:rPr>
                <w:b/>
                <w:color w:val="548DD4"/>
                <w:lang w:val="ro-RO"/>
              </w:rPr>
              <w:t>+25,0</w:t>
            </w:r>
          </w:p>
        </w:tc>
      </w:tr>
    </w:tbl>
    <w:p w:rsidR="00BA02E2" w:rsidRPr="00860724" w:rsidRDefault="00BA02E2" w:rsidP="00BA02E2">
      <w:pPr>
        <w:rPr>
          <w:b/>
          <w:sz w:val="20"/>
          <w:lang w:val="ro-RO"/>
        </w:rPr>
      </w:pPr>
    </w:p>
    <w:p w:rsidR="00BA02E2" w:rsidRPr="00860724" w:rsidRDefault="008C4926" w:rsidP="00BA02E2">
      <w:pPr>
        <w:rPr>
          <w:b/>
          <w:lang w:val="ro-RO"/>
        </w:rPr>
      </w:pPr>
      <w:r>
        <w:rPr>
          <w:b/>
          <w:lang w:val="ro-RO"/>
        </w:rPr>
        <w:t>11</w:t>
      </w:r>
      <w:r w:rsidR="00BA02E2" w:rsidRPr="00860724">
        <w:rPr>
          <w:b/>
          <w:lang w:val="ro-RO"/>
        </w:rPr>
        <w:t xml:space="preserve">. INFRACŢIUNI PREVĂZUTE DE LEGILE SPECIALE </w:t>
      </w:r>
    </w:p>
    <w:p w:rsidR="00BA02E2" w:rsidRPr="00860724" w:rsidRDefault="00BA02E2" w:rsidP="00BA02E2">
      <w:pPr>
        <w:rPr>
          <w:b/>
          <w:sz w:val="20"/>
          <w:lang w:val="ro-RO"/>
        </w:rPr>
      </w:pPr>
    </w:p>
    <w:tbl>
      <w:tblPr>
        <w:tblW w:w="0" w:type="auto"/>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76"/>
        <w:gridCol w:w="1361"/>
        <w:gridCol w:w="1462"/>
        <w:gridCol w:w="1701"/>
        <w:gridCol w:w="3131"/>
      </w:tblGrid>
      <w:tr w:rsidR="00BA02E2" w:rsidRPr="00286EF8" w:rsidTr="00496D69">
        <w:trPr>
          <w:cantSplit/>
          <w:trHeight w:val="1213"/>
          <w:jc w:val="center"/>
        </w:trPr>
        <w:tc>
          <w:tcPr>
            <w:tcW w:w="1276" w:type="dxa"/>
            <w:tcBorders>
              <w:top w:val="threeDEmboss" w:sz="6" w:space="0" w:color="00B050"/>
              <w:left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b/>
                <w:color w:val="548DD4"/>
                <w:lang w:val="ro-RO"/>
              </w:rPr>
            </w:pPr>
          </w:p>
          <w:p w:rsidR="00BA02E2" w:rsidRPr="00286EF8" w:rsidRDefault="00BA02E2" w:rsidP="00496D69">
            <w:pPr>
              <w:ind w:left="-18"/>
              <w:jc w:val="center"/>
              <w:rPr>
                <w:b/>
                <w:color w:val="548DD4"/>
                <w:lang w:val="ro-RO"/>
              </w:rPr>
            </w:pPr>
            <w:r w:rsidRPr="00286EF8">
              <w:rPr>
                <w:b/>
                <w:color w:val="548DD4"/>
                <w:lang w:val="ro-RO"/>
              </w:rPr>
              <w:t>ANUL</w:t>
            </w:r>
          </w:p>
          <w:p w:rsidR="00BA02E2" w:rsidRPr="00286EF8" w:rsidRDefault="00BA02E2" w:rsidP="00496D69">
            <w:pPr>
              <w:jc w:val="center"/>
              <w:rPr>
                <w:b/>
                <w:color w:val="548DD4"/>
                <w:lang w:val="ro-RO"/>
              </w:rPr>
            </w:pPr>
          </w:p>
        </w:tc>
        <w:tc>
          <w:tcPr>
            <w:tcW w:w="1361"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TOTAL TRIMIŞI ÎN JUDECATĂ,</w:t>
            </w:r>
          </w:p>
          <w:p w:rsidR="00BA02E2" w:rsidRPr="00286EF8" w:rsidRDefault="00BA02E2" w:rsidP="00496D69">
            <w:pPr>
              <w:ind w:left="-18"/>
              <w:jc w:val="center"/>
              <w:rPr>
                <w:b/>
                <w:color w:val="548DD4"/>
                <w:lang w:val="ro-RO"/>
              </w:rPr>
            </w:pPr>
            <w:r w:rsidRPr="00286EF8">
              <w:rPr>
                <w:b/>
                <w:color w:val="548DD4"/>
                <w:lang w:val="ro-RO"/>
              </w:rPr>
              <w:t>din care:</w:t>
            </w:r>
          </w:p>
        </w:tc>
        <w:tc>
          <w:tcPr>
            <w:tcW w:w="1462"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pondere în</w:t>
            </w:r>
          </w:p>
          <w:p w:rsidR="00BA02E2" w:rsidRPr="00286EF8" w:rsidRDefault="00BA02E2" w:rsidP="00496D69">
            <w:pPr>
              <w:ind w:left="-18"/>
              <w:jc w:val="center"/>
              <w:rPr>
                <w:b/>
                <w:color w:val="548DD4"/>
                <w:lang w:val="ro-RO"/>
              </w:rPr>
            </w:pPr>
            <w:r w:rsidRPr="00286EF8">
              <w:rPr>
                <w:b/>
                <w:color w:val="548DD4"/>
                <w:lang w:val="ro-RO"/>
              </w:rPr>
              <w:t>total general</w:t>
            </w:r>
          </w:p>
          <w:p w:rsidR="00BA02E2" w:rsidRPr="00286EF8" w:rsidRDefault="00BA02E2" w:rsidP="00496D69">
            <w:pPr>
              <w:ind w:left="-18"/>
              <w:jc w:val="center"/>
              <w:rPr>
                <w:b/>
                <w:color w:val="548DD4"/>
                <w:lang w:val="ro-RO"/>
              </w:rPr>
            </w:pPr>
            <w:r w:rsidRPr="00286EF8">
              <w:rPr>
                <w:b/>
                <w:color w:val="548DD4"/>
                <w:lang w:val="ro-RO"/>
              </w:rPr>
              <w:t>inculpați p.f.</w:t>
            </w:r>
          </w:p>
          <w:p w:rsidR="00BA02E2" w:rsidRPr="00286EF8" w:rsidRDefault="00BA02E2" w:rsidP="00496D69">
            <w:pPr>
              <w:ind w:left="-18"/>
              <w:jc w:val="center"/>
              <w:rPr>
                <w:b/>
                <w:color w:val="548DD4"/>
                <w:lang w:val="ro-RO"/>
              </w:rPr>
            </w:pPr>
            <w:r w:rsidRPr="00286EF8">
              <w:rPr>
                <w:b/>
                <w:color w:val="548DD4"/>
                <w:lang w:val="ro-RO"/>
              </w:rPr>
              <w:t>trimişi în</w:t>
            </w:r>
          </w:p>
          <w:p w:rsidR="00BA02E2" w:rsidRPr="00286EF8" w:rsidRDefault="00BA02E2" w:rsidP="00496D69">
            <w:pPr>
              <w:ind w:left="-18"/>
              <w:jc w:val="center"/>
              <w:rPr>
                <w:b/>
                <w:color w:val="548DD4"/>
                <w:lang w:val="ro-RO"/>
              </w:rPr>
            </w:pPr>
            <w:r w:rsidRPr="00286EF8">
              <w:rPr>
                <w:b/>
                <w:color w:val="548DD4"/>
                <w:lang w:val="ro-RO"/>
              </w:rPr>
              <w:t>judecată (%)</w:t>
            </w:r>
          </w:p>
        </w:tc>
        <w:tc>
          <w:tcPr>
            <w:tcW w:w="1701"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infracțiuni privind societățile comerciale</w:t>
            </w:r>
          </w:p>
          <w:p w:rsidR="00BA02E2" w:rsidRPr="00286EF8" w:rsidRDefault="00BA02E2" w:rsidP="00496D69">
            <w:pPr>
              <w:ind w:left="-18"/>
              <w:jc w:val="center"/>
              <w:rPr>
                <w:b/>
                <w:color w:val="548DD4"/>
                <w:lang w:val="ro-RO"/>
              </w:rPr>
            </w:pPr>
            <w:r w:rsidRPr="00286EF8">
              <w:rPr>
                <w:b/>
                <w:color w:val="548DD4"/>
                <w:lang w:val="ro-RO"/>
              </w:rPr>
              <w:t>(Lg. nr. 31/1990)</w:t>
            </w:r>
          </w:p>
        </w:tc>
        <w:tc>
          <w:tcPr>
            <w:tcW w:w="3131"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infracțiuni privind </w:t>
            </w:r>
          </w:p>
          <w:p w:rsidR="00BA02E2" w:rsidRPr="00286EF8" w:rsidRDefault="00BA02E2" w:rsidP="00496D69">
            <w:pPr>
              <w:ind w:left="-18"/>
              <w:jc w:val="center"/>
              <w:rPr>
                <w:b/>
                <w:color w:val="548DD4"/>
                <w:lang w:val="ro-RO"/>
              </w:rPr>
            </w:pPr>
            <w:r w:rsidRPr="00286EF8">
              <w:rPr>
                <w:b/>
                <w:color w:val="548DD4"/>
                <w:lang w:val="ro-RO"/>
              </w:rPr>
              <w:t xml:space="preserve">traficul și consumul ilicit de droguri precum și la regimul juridic al precursorilor (Lg. nr. 143/2000 și </w:t>
            </w:r>
          </w:p>
          <w:p w:rsidR="00BA02E2" w:rsidRPr="00286EF8" w:rsidRDefault="00BA02E2" w:rsidP="00496D69">
            <w:pPr>
              <w:ind w:left="-18"/>
              <w:jc w:val="center"/>
              <w:rPr>
                <w:b/>
                <w:color w:val="548DD4"/>
                <w:lang w:val="ro-RO"/>
              </w:rPr>
            </w:pPr>
            <w:r w:rsidRPr="00286EF8">
              <w:rPr>
                <w:b/>
                <w:color w:val="548DD4"/>
                <w:lang w:val="ro-RO"/>
              </w:rPr>
              <w:t>O.U.G. nr. 121/2006)</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2008</w:t>
            </w:r>
          </w:p>
        </w:tc>
        <w:tc>
          <w:tcPr>
            <w:tcW w:w="1361" w:type="dxa"/>
            <w:vAlign w:val="bottom"/>
          </w:tcPr>
          <w:p w:rsidR="00BA02E2" w:rsidRPr="00286EF8" w:rsidRDefault="00BA02E2" w:rsidP="00496D69">
            <w:pPr>
              <w:jc w:val="center"/>
              <w:rPr>
                <w:color w:val="000000"/>
                <w:lang w:val="ro-RO"/>
              </w:rPr>
            </w:pPr>
            <w:r w:rsidRPr="00286EF8">
              <w:rPr>
                <w:color w:val="000000"/>
                <w:lang w:val="ro-RO"/>
              </w:rPr>
              <w:t>15.767</w:t>
            </w:r>
          </w:p>
        </w:tc>
        <w:tc>
          <w:tcPr>
            <w:tcW w:w="1462" w:type="dxa"/>
            <w:vAlign w:val="bottom"/>
          </w:tcPr>
          <w:p w:rsidR="00BA02E2" w:rsidRPr="00286EF8" w:rsidRDefault="00BA02E2" w:rsidP="00496D69">
            <w:pPr>
              <w:jc w:val="center"/>
              <w:rPr>
                <w:color w:val="000000"/>
                <w:lang w:val="ro-RO"/>
              </w:rPr>
            </w:pPr>
            <w:r w:rsidRPr="00286EF8">
              <w:rPr>
                <w:color w:val="000000"/>
                <w:lang w:val="ro-RO"/>
              </w:rPr>
              <w:t>35,0</w:t>
            </w:r>
          </w:p>
        </w:tc>
        <w:tc>
          <w:tcPr>
            <w:tcW w:w="1701" w:type="dxa"/>
            <w:vAlign w:val="bottom"/>
          </w:tcPr>
          <w:p w:rsidR="00BA02E2" w:rsidRPr="00286EF8" w:rsidRDefault="00BA02E2" w:rsidP="00496D69">
            <w:pPr>
              <w:jc w:val="center"/>
              <w:rPr>
                <w:color w:val="000000"/>
                <w:lang w:val="ro-RO"/>
              </w:rPr>
            </w:pPr>
            <w:r w:rsidRPr="00286EF8">
              <w:rPr>
                <w:color w:val="000000"/>
                <w:lang w:val="ro-RO"/>
              </w:rPr>
              <w:t>16</w:t>
            </w:r>
          </w:p>
        </w:tc>
        <w:tc>
          <w:tcPr>
            <w:tcW w:w="3131" w:type="dxa"/>
            <w:vAlign w:val="bottom"/>
          </w:tcPr>
          <w:p w:rsidR="00BA02E2" w:rsidRPr="00286EF8" w:rsidRDefault="00BA02E2" w:rsidP="00496D69">
            <w:pPr>
              <w:jc w:val="center"/>
              <w:rPr>
                <w:color w:val="000000"/>
                <w:lang w:val="ro-RO"/>
              </w:rPr>
            </w:pPr>
            <w:r w:rsidRPr="00286EF8">
              <w:rPr>
                <w:color w:val="000000"/>
                <w:lang w:val="ro-RO"/>
              </w:rPr>
              <w:t>895</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2009</w:t>
            </w:r>
          </w:p>
        </w:tc>
        <w:tc>
          <w:tcPr>
            <w:tcW w:w="1361" w:type="dxa"/>
            <w:vAlign w:val="bottom"/>
          </w:tcPr>
          <w:p w:rsidR="00BA02E2" w:rsidRPr="00286EF8" w:rsidRDefault="00BA02E2" w:rsidP="00496D69">
            <w:pPr>
              <w:jc w:val="center"/>
              <w:rPr>
                <w:color w:val="000000"/>
                <w:lang w:val="ro-RO"/>
              </w:rPr>
            </w:pPr>
            <w:r w:rsidRPr="00286EF8">
              <w:rPr>
                <w:color w:val="000000"/>
                <w:lang w:val="ro-RO"/>
              </w:rPr>
              <w:t>18.895</w:t>
            </w:r>
          </w:p>
        </w:tc>
        <w:tc>
          <w:tcPr>
            <w:tcW w:w="1462" w:type="dxa"/>
            <w:vAlign w:val="bottom"/>
          </w:tcPr>
          <w:p w:rsidR="00BA02E2" w:rsidRPr="00286EF8" w:rsidRDefault="00BA02E2" w:rsidP="00496D69">
            <w:pPr>
              <w:jc w:val="center"/>
              <w:rPr>
                <w:color w:val="000000"/>
                <w:lang w:val="ro-RO"/>
              </w:rPr>
            </w:pPr>
            <w:r w:rsidRPr="00286EF8">
              <w:rPr>
                <w:color w:val="000000"/>
                <w:lang w:val="ro-RO"/>
              </w:rPr>
              <w:t>38,0</w:t>
            </w:r>
          </w:p>
        </w:tc>
        <w:tc>
          <w:tcPr>
            <w:tcW w:w="1701" w:type="dxa"/>
            <w:vAlign w:val="bottom"/>
          </w:tcPr>
          <w:p w:rsidR="00BA02E2" w:rsidRPr="00286EF8" w:rsidRDefault="00BA02E2" w:rsidP="00496D69">
            <w:pPr>
              <w:jc w:val="center"/>
              <w:rPr>
                <w:color w:val="000000"/>
                <w:lang w:val="ro-RO"/>
              </w:rPr>
            </w:pPr>
            <w:r w:rsidRPr="00286EF8">
              <w:rPr>
                <w:color w:val="000000"/>
                <w:lang w:val="ro-RO"/>
              </w:rPr>
              <w:t>12</w:t>
            </w:r>
          </w:p>
        </w:tc>
        <w:tc>
          <w:tcPr>
            <w:tcW w:w="3131" w:type="dxa"/>
            <w:vAlign w:val="bottom"/>
          </w:tcPr>
          <w:p w:rsidR="00BA02E2" w:rsidRPr="00286EF8" w:rsidRDefault="00BA02E2" w:rsidP="00496D69">
            <w:pPr>
              <w:jc w:val="center"/>
              <w:rPr>
                <w:color w:val="000000"/>
                <w:lang w:val="ro-RO"/>
              </w:rPr>
            </w:pPr>
            <w:r w:rsidRPr="00286EF8">
              <w:rPr>
                <w:color w:val="000000"/>
                <w:lang w:val="ro-RO"/>
              </w:rPr>
              <w:t>979</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2010</w:t>
            </w:r>
          </w:p>
        </w:tc>
        <w:tc>
          <w:tcPr>
            <w:tcW w:w="1361" w:type="dxa"/>
            <w:vAlign w:val="bottom"/>
          </w:tcPr>
          <w:p w:rsidR="00BA02E2" w:rsidRPr="00286EF8" w:rsidRDefault="00BA02E2" w:rsidP="00496D69">
            <w:pPr>
              <w:jc w:val="center"/>
              <w:rPr>
                <w:color w:val="000000"/>
                <w:lang w:val="ro-RO"/>
              </w:rPr>
            </w:pPr>
            <w:r w:rsidRPr="00286EF8">
              <w:rPr>
                <w:color w:val="000000"/>
                <w:lang w:val="ro-RO"/>
              </w:rPr>
              <w:t>22.001</w:t>
            </w:r>
          </w:p>
        </w:tc>
        <w:tc>
          <w:tcPr>
            <w:tcW w:w="1462" w:type="dxa"/>
            <w:vAlign w:val="bottom"/>
          </w:tcPr>
          <w:p w:rsidR="00BA02E2" w:rsidRPr="00286EF8" w:rsidRDefault="00BA02E2" w:rsidP="00496D69">
            <w:pPr>
              <w:jc w:val="center"/>
              <w:rPr>
                <w:color w:val="000000"/>
                <w:lang w:val="ro-RO"/>
              </w:rPr>
            </w:pPr>
            <w:r w:rsidRPr="00286EF8">
              <w:rPr>
                <w:color w:val="000000"/>
                <w:lang w:val="ro-RO"/>
              </w:rPr>
              <w:t>38,6</w:t>
            </w:r>
          </w:p>
        </w:tc>
        <w:tc>
          <w:tcPr>
            <w:tcW w:w="1701" w:type="dxa"/>
            <w:vAlign w:val="bottom"/>
          </w:tcPr>
          <w:p w:rsidR="00BA02E2" w:rsidRPr="00286EF8" w:rsidRDefault="00BA02E2" w:rsidP="00496D69">
            <w:pPr>
              <w:jc w:val="center"/>
              <w:rPr>
                <w:color w:val="000000"/>
                <w:lang w:val="ro-RO"/>
              </w:rPr>
            </w:pPr>
            <w:r w:rsidRPr="00286EF8">
              <w:rPr>
                <w:color w:val="000000"/>
                <w:lang w:val="ro-RO"/>
              </w:rPr>
              <w:t>16</w:t>
            </w:r>
          </w:p>
        </w:tc>
        <w:tc>
          <w:tcPr>
            <w:tcW w:w="3131" w:type="dxa"/>
            <w:vAlign w:val="bottom"/>
          </w:tcPr>
          <w:p w:rsidR="00BA02E2" w:rsidRPr="00286EF8" w:rsidRDefault="00BA02E2" w:rsidP="00496D69">
            <w:pPr>
              <w:jc w:val="center"/>
              <w:rPr>
                <w:color w:val="000000"/>
                <w:lang w:val="ro-RO"/>
              </w:rPr>
            </w:pPr>
            <w:r w:rsidRPr="00286EF8">
              <w:rPr>
                <w:color w:val="000000"/>
                <w:lang w:val="ro-RO"/>
              </w:rPr>
              <w:t>1.110</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2011</w:t>
            </w:r>
          </w:p>
        </w:tc>
        <w:tc>
          <w:tcPr>
            <w:tcW w:w="1361" w:type="dxa"/>
            <w:vAlign w:val="bottom"/>
          </w:tcPr>
          <w:p w:rsidR="00BA02E2" w:rsidRPr="00286EF8" w:rsidRDefault="00BA02E2" w:rsidP="00496D69">
            <w:pPr>
              <w:jc w:val="center"/>
              <w:rPr>
                <w:color w:val="000000"/>
                <w:lang w:val="ro-RO"/>
              </w:rPr>
            </w:pPr>
            <w:r w:rsidRPr="00286EF8">
              <w:rPr>
                <w:color w:val="000000"/>
                <w:lang w:val="ro-RO"/>
              </w:rPr>
              <w:t>23.874</w:t>
            </w:r>
          </w:p>
        </w:tc>
        <w:tc>
          <w:tcPr>
            <w:tcW w:w="1462" w:type="dxa"/>
            <w:vAlign w:val="bottom"/>
          </w:tcPr>
          <w:p w:rsidR="00BA02E2" w:rsidRPr="00286EF8" w:rsidRDefault="00BA02E2" w:rsidP="00496D69">
            <w:pPr>
              <w:jc w:val="center"/>
              <w:rPr>
                <w:color w:val="000000"/>
                <w:lang w:val="ro-RO"/>
              </w:rPr>
            </w:pPr>
            <w:r w:rsidRPr="00286EF8">
              <w:rPr>
                <w:color w:val="000000"/>
                <w:lang w:val="ro-RO"/>
              </w:rPr>
              <w:t>39,2</w:t>
            </w:r>
          </w:p>
        </w:tc>
        <w:tc>
          <w:tcPr>
            <w:tcW w:w="1701" w:type="dxa"/>
            <w:vAlign w:val="bottom"/>
          </w:tcPr>
          <w:p w:rsidR="00BA02E2" w:rsidRPr="00286EF8" w:rsidRDefault="00BA02E2" w:rsidP="00496D69">
            <w:pPr>
              <w:jc w:val="center"/>
              <w:rPr>
                <w:color w:val="000000"/>
                <w:lang w:val="ro-RO"/>
              </w:rPr>
            </w:pPr>
            <w:r w:rsidRPr="00286EF8">
              <w:rPr>
                <w:color w:val="000000"/>
                <w:lang w:val="ro-RO"/>
              </w:rPr>
              <w:t>21</w:t>
            </w:r>
          </w:p>
        </w:tc>
        <w:tc>
          <w:tcPr>
            <w:tcW w:w="3131" w:type="dxa"/>
            <w:vAlign w:val="bottom"/>
          </w:tcPr>
          <w:p w:rsidR="00BA02E2" w:rsidRPr="00286EF8" w:rsidRDefault="00BA02E2" w:rsidP="00496D69">
            <w:pPr>
              <w:jc w:val="center"/>
              <w:rPr>
                <w:color w:val="000000"/>
                <w:lang w:val="ro-RO"/>
              </w:rPr>
            </w:pPr>
            <w:r w:rsidRPr="00286EF8">
              <w:rPr>
                <w:color w:val="000000"/>
                <w:lang w:val="ro-RO"/>
              </w:rPr>
              <w:t>1.063</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2012</w:t>
            </w:r>
          </w:p>
        </w:tc>
        <w:tc>
          <w:tcPr>
            <w:tcW w:w="1361" w:type="dxa"/>
            <w:vAlign w:val="bottom"/>
          </w:tcPr>
          <w:p w:rsidR="00BA02E2" w:rsidRPr="00286EF8" w:rsidRDefault="00BA02E2" w:rsidP="00496D69">
            <w:pPr>
              <w:jc w:val="center"/>
              <w:rPr>
                <w:color w:val="000000"/>
                <w:lang w:val="ro-RO"/>
              </w:rPr>
            </w:pPr>
            <w:r w:rsidRPr="00286EF8">
              <w:rPr>
                <w:color w:val="000000"/>
                <w:lang w:val="ro-RO"/>
              </w:rPr>
              <w:t>23.260</w:t>
            </w:r>
          </w:p>
        </w:tc>
        <w:tc>
          <w:tcPr>
            <w:tcW w:w="1462" w:type="dxa"/>
            <w:vAlign w:val="bottom"/>
          </w:tcPr>
          <w:p w:rsidR="00BA02E2" w:rsidRPr="00286EF8" w:rsidRDefault="00BA02E2" w:rsidP="00496D69">
            <w:pPr>
              <w:jc w:val="center"/>
              <w:rPr>
                <w:color w:val="000000"/>
                <w:lang w:val="ro-RO"/>
              </w:rPr>
            </w:pPr>
            <w:r w:rsidRPr="00286EF8">
              <w:rPr>
                <w:color w:val="000000"/>
                <w:lang w:val="ro-RO"/>
              </w:rPr>
              <w:t>38,9</w:t>
            </w:r>
          </w:p>
        </w:tc>
        <w:tc>
          <w:tcPr>
            <w:tcW w:w="1701" w:type="dxa"/>
            <w:vAlign w:val="bottom"/>
          </w:tcPr>
          <w:p w:rsidR="00BA02E2" w:rsidRPr="00286EF8" w:rsidRDefault="00BA02E2" w:rsidP="00496D69">
            <w:pPr>
              <w:jc w:val="center"/>
              <w:rPr>
                <w:color w:val="000000"/>
                <w:lang w:val="ro-RO"/>
              </w:rPr>
            </w:pPr>
            <w:r w:rsidRPr="00286EF8">
              <w:rPr>
                <w:color w:val="000000"/>
                <w:lang w:val="ro-RO"/>
              </w:rPr>
              <w:t>27</w:t>
            </w:r>
          </w:p>
        </w:tc>
        <w:tc>
          <w:tcPr>
            <w:tcW w:w="3131" w:type="dxa"/>
            <w:vAlign w:val="bottom"/>
          </w:tcPr>
          <w:p w:rsidR="00BA02E2" w:rsidRPr="00286EF8" w:rsidRDefault="00BA02E2" w:rsidP="00496D69">
            <w:pPr>
              <w:jc w:val="center"/>
              <w:rPr>
                <w:color w:val="000000"/>
                <w:lang w:val="ro-RO"/>
              </w:rPr>
            </w:pPr>
            <w:r w:rsidRPr="00286EF8">
              <w:rPr>
                <w:color w:val="000000"/>
                <w:lang w:val="ro-RO"/>
              </w:rPr>
              <w:t>1.140</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2013</w:t>
            </w:r>
          </w:p>
        </w:tc>
        <w:tc>
          <w:tcPr>
            <w:tcW w:w="1361" w:type="dxa"/>
            <w:vAlign w:val="bottom"/>
          </w:tcPr>
          <w:p w:rsidR="00BA02E2" w:rsidRPr="00286EF8" w:rsidRDefault="00BA02E2" w:rsidP="00496D69">
            <w:pPr>
              <w:jc w:val="center"/>
              <w:rPr>
                <w:color w:val="000000"/>
                <w:lang w:val="ro-RO"/>
              </w:rPr>
            </w:pPr>
            <w:r w:rsidRPr="00286EF8">
              <w:rPr>
                <w:color w:val="000000"/>
                <w:lang w:val="ro-RO"/>
              </w:rPr>
              <w:t>25.704</w:t>
            </w:r>
          </w:p>
        </w:tc>
        <w:tc>
          <w:tcPr>
            <w:tcW w:w="1462" w:type="dxa"/>
            <w:vAlign w:val="bottom"/>
          </w:tcPr>
          <w:p w:rsidR="00BA02E2" w:rsidRPr="00286EF8" w:rsidRDefault="00BA02E2" w:rsidP="00496D69">
            <w:pPr>
              <w:jc w:val="center"/>
              <w:rPr>
                <w:color w:val="000000"/>
                <w:lang w:val="ro-RO"/>
              </w:rPr>
            </w:pPr>
            <w:r w:rsidRPr="00286EF8">
              <w:rPr>
                <w:color w:val="000000"/>
                <w:lang w:val="ro-RO"/>
              </w:rPr>
              <w:t>39,1</w:t>
            </w:r>
          </w:p>
        </w:tc>
        <w:tc>
          <w:tcPr>
            <w:tcW w:w="1701" w:type="dxa"/>
            <w:vAlign w:val="bottom"/>
          </w:tcPr>
          <w:p w:rsidR="00BA02E2" w:rsidRPr="00286EF8" w:rsidRDefault="00BA02E2" w:rsidP="00496D69">
            <w:pPr>
              <w:jc w:val="center"/>
              <w:rPr>
                <w:color w:val="000000"/>
                <w:lang w:val="ro-RO"/>
              </w:rPr>
            </w:pPr>
            <w:r w:rsidRPr="00286EF8">
              <w:rPr>
                <w:color w:val="000000"/>
                <w:lang w:val="ro-RO"/>
              </w:rPr>
              <w:t>27</w:t>
            </w:r>
          </w:p>
        </w:tc>
        <w:tc>
          <w:tcPr>
            <w:tcW w:w="3131" w:type="dxa"/>
            <w:vAlign w:val="bottom"/>
          </w:tcPr>
          <w:p w:rsidR="00BA02E2" w:rsidRPr="00286EF8" w:rsidRDefault="00BA02E2" w:rsidP="00496D69">
            <w:pPr>
              <w:jc w:val="center"/>
              <w:rPr>
                <w:color w:val="000000"/>
                <w:lang w:val="ro-RO"/>
              </w:rPr>
            </w:pPr>
            <w:r w:rsidRPr="00286EF8">
              <w:rPr>
                <w:color w:val="000000"/>
                <w:lang w:val="ro-RO"/>
              </w:rPr>
              <w:t>1.173</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2014</w:t>
            </w:r>
          </w:p>
        </w:tc>
        <w:tc>
          <w:tcPr>
            <w:tcW w:w="1361" w:type="dxa"/>
          </w:tcPr>
          <w:p w:rsidR="00BA02E2" w:rsidRPr="00286EF8" w:rsidRDefault="00BA02E2" w:rsidP="00496D69">
            <w:pPr>
              <w:widowControl w:val="0"/>
              <w:jc w:val="center"/>
              <w:rPr>
                <w:lang w:val="ro-RO"/>
              </w:rPr>
            </w:pPr>
            <w:r w:rsidRPr="00286EF8">
              <w:rPr>
                <w:lang w:val="ro-RO"/>
              </w:rPr>
              <w:t>6.555</w:t>
            </w:r>
          </w:p>
        </w:tc>
        <w:tc>
          <w:tcPr>
            <w:tcW w:w="1462" w:type="dxa"/>
          </w:tcPr>
          <w:p w:rsidR="00BA02E2" w:rsidRPr="00286EF8" w:rsidRDefault="00BA02E2" w:rsidP="00496D69">
            <w:pPr>
              <w:widowControl w:val="0"/>
              <w:jc w:val="center"/>
              <w:rPr>
                <w:lang w:val="ro-RO"/>
              </w:rPr>
            </w:pPr>
            <w:r w:rsidRPr="00286EF8">
              <w:rPr>
                <w:lang w:val="ro-RO"/>
              </w:rPr>
              <w:t>13,0</w:t>
            </w:r>
          </w:p>
        </w:tc>
        <w:tc>
          <w:tcPr>
            <w:tcW w:w="1701" w:type="dxa"/>
          </w:tcPr>
          <w:p w:rsidR="00BA02E2" w:rsidRPr="00286EF8" w:rsidRDefault="00BA02E2" w:rsidP="00496D69">
            <w:pPr>
              <w:widowControl w:val="0"/>
              <w:jc w:val="center"/>
              <w:rPr>
                <w:lang w:val="ro-RO"/>
              </w:rPr>
            </w:pPr>
            <w:r w:rsidRPr="00286EF8">
              <w:rPr>
                <w:lang w:val="ro-RO"/>
              </w:rPr>
              <w:t>18</w:t>
            </w:r>
          </w:p>
        </w:tc>
        <w:tc>
          <w:tcPr>
            <w:tcW w:w="3131" w:type="dxa"/>
          </w:tcPr>
          <w:p w:rsidR="00BA02E2" w:rsidRPr="00286EF8" w:rsidRDefault="00BA02E2" w:rsidP="00496D69">
            <w:pPr>
              <w:widowControl w:val="0"/>
              <w:jc w:val="center"/>
              <w:rPr>
                <w:lang w:val="ro-RO"/>
              </w:rPr>
            </w:pPr>
            <w:r w:rsidRPr="00286EF8">
              <w:rPr>
                <w:lang w:val="ro-RO"/>
              </w:rPr>
              <w:t>1.241</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2015</w:t>
            </w:r>
          </w:p>
        </w:tc>
        <w:tc>
          <w:tcPr>
            <w:tcW w:w="1361" w:type="dxa"/>
          </w:tcPr>
          <w:p w:rsidR="00BA02E2" w:rsidRPr="00286EF8" w:rsidRDefault="00BA02E2" w:rsidP="00496D69">
            <w:pPr>
              <w:widowControl w:val="0"/>
              <w:jc w:val="center"/>
              <w:rPr>
                <w:lang w:val="ro-RO"/>
              </w:rPr>
            </w:pPr>
            <w:r w:rsidRPr="00286EF8">
              <w:rPr>
                <w:lang w:val="ro-RO"/>
              </w:rPr>
              <w:t>7.501</w:t>
            </w:r>
          </w:p>
        </w:tc>
        <w:tc>
          <w:tcPr>
            <w:tcW w:w="1462" w:type="dxa"/>
          </w:tcPr>
          <w:p w:rsidR="00BA02E2" w:rsidRPr="00286EF8" w:rsidRDefault="00BA02E2" w:rsidP="00496D69">
            <w:pPr>
              <w:widowControl w:val="0"/>
              <w:jc w:val="center"/>
              <w:rPr>
                <w:lang w:val="ro-RO"/>
              </w:rPr>
            </w:pPr>
            <w:r w:rsidRPr="00286EF8">
              <w:rPr>
                <w:lang w:val="ro-RO"/>
              </w:rPr>
              <w:t>12,8</w:t>
            </w:r>
          </w:p>
        </w:tc>
        <w:tc>
          <w:tcPr>
            <w:tcW w:w="1701" w:type="dxa"/>
          </w:tcPr>
          <w:p w:rsidR="00BA02E2" w:rsidRPr="00286EF8" w:rsidRDefault="00BA02E2" w:rsidP="00496D69">
            <w:pPr>
              <w:widowControl w:val="0"/>
              <w:jc w:val="center"/>
              <w:rPr>
                <w:lang w:val="ro-RO"/>
              </w:rPr>
            </w:pPr>
            <w:r w:rsidRPr="00286EF8">
              <w:rPr>
                <w:lang w:val="ro-RO"/>
              </w:rPr>
              <w:t>26</w:t>
            </w:r>
          </w:p>
        </w:tc>
        <w:tc>
          <w:tcPr>
            <w:tcW w:w="3131" w:type="dxa"/>
          </w:tcPr>
          <w:p w:rsidR="00BA02E2" w:rsidRPr="00286EF8" w:rsidRDefault="00BA02E2" w:rsidP="00496D69">
            <w:pPr>
              <w:widowControl w:val="0"/>
              <w:jc w:val="center"/>
              <w:rPr>
                <w:lang w:val="ro-RO"/>
              </w:rPr>
            </w:pPr>
            <w:r w:rsidRPr="00286EF8">
              <w:rPr>
                <w:lang w:val="ro-RO"/>
              </w:rPr>
              <w:t>1.331</w:t>
            </w:r>
          </w:p>
        </w:tc>
      </w:tr>
      <w:tr w:rsidR="00BA02E2" w:rsidRPr="00286EF8" w:rsidTr="00496D69">
        <w:trPr>
          <w:jc w:val="center"/>
        </w:trPr>
        <w:tc>
          <w:tcPr>
            <w:tcW w:w="1276" w:type="dxa"/>
            <w:vAlign w:val="center"/>
          </w:tcPr>
          <w:p w:rsidR="00BA02E2" w:rsidRPr="00286EF8" w:rsidRDefault="00BA02E2" w:rsidP="00496D69">
            <w:pPr>
              <w:jc w:val="center"/>
              <w:rPr>
                <w:lang w:val="ro-RO"/>
              </w:rPr>
            </w:pPr>
            <w:r w:rsidRPr="00286EF8">
              <w:rPr>
                <w:lang w:val="ro-RO"/>
              </w:rPr>
              <w:t>2016</w:t>
            </w:r>
          </w:p>
        </w:tc>
        <w:tc>
          <w:tcPr>
            <w:tcW w:w="1361" w:type="dxa"/>
          </w:tcPr>
          <w:p w:rsidR="00BA02E2" w:rsidRPr="00286EF8" w:rsidRDefault="00BA02E2" w:rsidP="00496D69">
            <w:pPr>
              <w:widowControl w:val="0"/>
              <w:jc w:val="center"/>
              <w:rPr>
                <w:lang w:val="ro-RO"/>
              </w:rPr>
            </w:pPr>
            <w:r w:rsidRPr="00286EF8">
              <w:rPr>
                <w:lang w:val="ro-RO"/>
              </w:rPr>
              <w:t>8.396</w:t>
            </w:r>
          </w:p>
        </w:tc>
        <w:tc>
          <w:tcPr>
            <w:tcW w:w="1462" w:type="dxa"/>
          </w:tcPr>
          <w:p w:rsidR="00BA02E2" w:rsidRPr="00286EF8" w:rsidRDefault="00BA02E2" w:rsidP="00496D69">
            <w:pPr>
              <w:widowControl w:val="0"/>
              <w:jc w:val="center"/>
              <w:rPr>
                <w:lang w:val="ro-RO"/>
              </w:rPr>
            </w:pPr>
            <w:r w:rsidRPr="00286EF8">
              <w:rPr>
                <w:lang w:val="ro-RO"/>
              </w:rPr>
              <w:t>13,2</w:t>
            </w:r>
          </w:p>
        </w:tc>
        <w:tc>
          <w:tcPr>
            <w:tcW w:w="1701" w:type="dxa"/>
          </w:tcPr>
          <w:p w:rsidR="00BA02E2" w:rsidRPr="00286EF8" w:rsidRDefault="00BA02E2" w:rsidP="00496D69">
            <w:pPr>
              <w:widowControl w:val="0"/>
              <w:jc w:val="center"/>
              <w:rPr>
                <w:lang w:val="ro-RO"/>
              </w:rPr>
            </w:pPr>
            <w:r w:rsidRPr="00286EF8">
              <w:rPr>
                <w:lang w:val="ro-RO"/>
              </w:rPr>
              <w:t>26</w:t>
            </w:r>
          </w:p>
        </w:tc>
        <w:tc>
          <w:tcPr>
            <w:tcW w:w="3131" w:type="dxa"/>
          </w:tcPr>
          <w:p w:rsidR="00BA02E2" w:rsidRPr="00286EF8" w:rsidRDefault="00BA02E2" w:rsidP="00496D69">
            <w:pPr>
              <w:widowControl w:val="0"/>
              <w:jc w:val="center"/>
              <w:rPr>
                <w:lang w:val="ro-RO"/>
              </w:rPr>
            </w:pPr>
            <w:r w:rsidRPr="00286EF8">
              <w:rPr>
                <w:lang w:val="ro-RO"/>
              </w:rPr>
              <w:t>1.747</w:t>
            </w:r>
          </w:p>
        </w:tc>
      </w:tr>
      <w:tr w:rsidR="00BA02E2" w:rsidRPr="00286EF8" w:rsidTr="00496D69">
        <w:trPr>
          <w:jc w:val="center"/>
        </w:trPr>
        <w:tc>
          <w:tcPr>
            <w:tcW w:w="1276" w:type="dxa"/>
            <w:tcBorders>
              <w:bottom w:val="threeDEmboss" w:sz="6" w:space="0" w:color="00B050"/>
            </w:tcBorders>
            <w:vAlign w:val="center"/>
          </w:tcPr>
          <w:p w:rsidR="00BA02E2" w:rsidRPr="00286EF8" w:rsidRDefault="00BA02E2" w:rsidP="00496D69">
            <w:pPr>
              <w:jc w:val="center"/>
              <w:rPr>
                <w:lang w:val="ro-RO"/>
              </w:rPr>
            </w:pPr>
            <w:r w:rsidRPr="00286EF8">
              <w:rPr>
                <w:lang w:val="ro-RO"/>
              </w:rPr>
              <w:t>2017</w:t>
            </w:r>
          </w:p>
        </w:tc>
        <w:tc>
          <w:tcPr>
            <w:tcW w:w="1361" w:type="dxa"/>
            <w:tcBorders>
              <w:bottom w:val="threeDEmboss" w:sz="6" w:space="0" w:color="00B050"/>
            </w:tcBorders>
          </w:tcPr>
          <w:p w:rsidR="00BA02E2" w:rsidRPr="00286EF8" w:rsidRDefault="00BA02E2" w:rsidP="00496D69">
            <w:pPr>
              <w:widowControl w:val="0"/>
              <w:jc w:val="center"/>
              <w:rPr>
                <w:lang w:val="ro-RO"/>
              </w:rPr>
            </w:pPr>
            <w:r w:rsidRPr="00286EF8">
              <w:rPr>
                <w:lang w:val="ro-RO"/>
              </w:rPr>
              <w:t>7.312</w:t>
            </w:r>
          </w:p>
        </w:tc>
        <w:tc>
          <w:tcPr>
            <w:tcW w:w="1462" w:type="dxa"/>
            <w:tcBorders>
              <w:bottom w:val="threeDEmboss" w:sz="6" w:space="0" w:color="00B050"/>
            </w:tcBorders>
          </w:tcPr>
          <w:p w:rsidR="00BA02E2" w:rsidRPr="00286EF8" w:rsidRDefault="00BA02E2" w:rsidP="00496D69">
            <w:pPr>
              <w:widowControl w:val="0"/>
              <w:jc w:val="center"/>
              <w:rPr>
                <w:lang w:val="ro-RO"/>
              </w:rPr>
            </w:pPr>
            <w:r w:rsidRPr="00286EF8">
              <w:rPr>
                <w:lang w:val="ro-RO"/>
              </w:rPr>
              <w:t>12,2</w:t>
            </w:r>
          </w:p>
        </w:tc>
        <w:tc>
          <w:tcPr>
            <w:tcW w:w="1701" w:type="dxa"/>
            <w:tcBorders>
              <w:bottom w:val="threeDEmboss" w:sz="6" w:space="0" w:color="00B050"/>
            </w:tcBorders>
          </w:tcPr>
          <w:p w:rsidR="00BA02E2" w:rsidRPr="00286EF8" w:rsidRDefault="00BA02E2" w:rsidP="00496D69">
            <w:pPr>
              <w:widowControl w:val="0"/>
              <w:jc w:val="center"/>
              <w:rPr>
                <w:lang w:val="ro-RO"/>
              </w:rPr>
            </w:pPr>
            <w:r w:rsidRPr="00286EF8">
              <w:rPr>
                <w:lang w:val="ro-RO"/>
              </w:rPr>
              <w:t>19</w:t>
            </w:r>
          </w:p>
        </w:tc>
        <w:tc>
          <w:tcPr>
            <w:tcW w:w="3131" w:type="dxa"/>
            <w:tcBorders>
              <w:bottom w:val="threeDEmboss" w:sz="6" w:space="0" w:color="00B050"/>
            </w:tcBorders>
          </w:tcPr>
          <w:p w:rsidR="00BA02E2" w:rsidRPr="00286EF8" w:rsidRDefault="00BA02E2" w:rsidP="00496D69">
            <w:pPr>
              <w:widowControl w:val="0"/>
              <w:jc w:val="center"/>
              <w:rPr>
                <w:lang w:val="ro-RO"/>
              </w:rPr>
            </w:pPr>
            <w:r w:rsidRPr="00286EF8">
              <w:rPr>
                <w:lang w:val="ro-RO"/>
              </w:rPr>
              <w:t>1.757</w:t>
            </w:r>
          </w:p>
        </w:tc>
      </w:tr>
      <w:tr w:rsidR="00BA02E2" w:rsidRPr="00286EF8" w:rsidTr="00496D69">
        <w:trPr>
          <w:jc w:val="center"/>
        </w:trPr>
        <w:tc>
          <w:tcPr>
            <w:tcW w:w="1276"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  % 2017</w:t>
            </w:r>
          </w:p>
          <w:p w:rsidR="00BA02E2" w:rsidRPr="00286EF8" w:rsidRDefault="00BA02E2" w:rsidP="00496D69">
            <w:pPr>
              <w:ind w:left="-18"/>
              <w:jc w:val="center"/>
              <w:rPr>
                <w:b/>
                <w:color w:val="548DD4"/>
                <w:lang w:val="ro-RO"/>
              </w:rPr>
            </w:pPr>
            <w:r w:rsidRPr="00286EF8">
              <w:rPr>
                <w:b/>
                <w:color w:val="548DD4"/>
                <w:lang w:val="ro-RO"/>
              </w:rPr>
              <w:t xml:space="preserve"> +/- 2016</w:t>
            </w:r>
          </w:p>
        </w:tc>
        <w:tc>
          <w:tcPr>
            <w:tcW w:w="1361"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b/>
                <w:color w:val="548DD4"/>
                <w:lang w:val="ro-RO"/>
              </w:rPr>
            </w:pPr>
            <w:r w:rsidRPr="00286EF8">
              <w:rPr>
                <w:b/>
                <w:color w:val="548DD4"/>
                <w:lang w:val="ro-RO"/>
              </w:rPr>
              <w:t>-12,9</w:t>
            </w:r>
          </w:p>
        </w:tc>
        <w:tc>
          <w:tcPr>
            <w:tcW w:w="1462"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b/>
                <w:color w:val="548DD4"/>
                <w:lang w:val="ro-RO"/>
              </w:rPr>
            </w:pPr>
            <w:r w:rsidRPr="00286EF8">
              <w:rPr>
                <w:b/>
                <w:color w:val="548DD4"/>
                <w:lang w:val="ro-RO"/>
              </w:rPr>
              <w:t>-</w:t>
            </w:r>
          </w:p>
        </w:tc>
        <w:tc>
          <w:tcPr>
            <w:tcW w:w="1701"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b/>
                <w:color w:val="548DD4"/>
                <w:lang w:val="ro-RO"/>
              </w:rPr>
            </w:pPr>
            <w:r w:rsidRPr="00286EF8">
              <w:rPr>
                <w:b/>
                <w:color w:val="548DD4"/>
                <w:lang w:val="ro-RO"/>
              </w:rPr>
              <w:t>-26,9</w:t>
            </w:r>
          </w:p>
        </w:tc>
        <w:tc>
          <w:tcPr>
            <w:tcW w:w="3131" w:type="dxa"/>
            <w:tcBorders>
              <w:top w:val="threeDEmboss" w:sz="6" w:space="0" w:color="00B050"/>
              <w:bottom w:val="threeDEmboss" w:sz="6" w:space="0" w:color="00B050"/>
              <w:right w:val="threeDEmboss" w:sz="6" w:space="0" w:color="00B050"/>
            </w:tcBorders>
            <w:shd w:val="clear" w:color="auto" w:fill="FCE0C8"/>
            <w:vAlign w:val="center"/>
          </w:tcPr>
          <w:p w:rsidR="00BA02E2" w:rsidRPr="00286EF8" w:rsidRDefault="00BA02E2" w:rsidP="00496D69">
            <w:pPr>
              <w:ind w:left="-18"/>
              <w:jc w:val="center"/>
              <w:rPr>
                <w:b/>
                <w:color w:val="548DD4"/>
                <w:lang w:val="ro-RO"/>
              </w:rPr>
            </w:pPr>
            <w:r w:rsidRPr="00286EF8">
              <w:rPr>
                <w:b/>
                <w:color w:val="548DD4"/>
                <w:lang w:val="ro-RO"/>
              </w:rPr>
              <w:t>+0,6</w:t>
            </w:r>
          </w:p>
        </w:tc>
      </w:tr>
    </w:tbl>
    <w:p w:rsidR="00BA02E2" w:rsidRPr="00860724" w:rsidRDefault="00BA02E2" w:rsidP="00BA02E2">
      <w:pPr>
        <w:rPr>
          <w:sz w:val="20"/>
          <w:lang w:val="ro-RO"/>
        </w:rPr>
      </w:pPr>
    </w:p>
    <w:p w:rsidR="00BA02E2" w:rsidRPr="00860724" w:rsidRDefault="008C4926" w:rsidP="00BA02E2">
      <w:pPr>
        <w:rPr>
          <w:b/>
          <w:lang w:val="ro-RO"/>
        </w:rPr>
      </w:pPr>
      <w:r>
        <w:rPr>
          <w:b/>
          <w:lang w:val="ro-RO"/>
        </w:rPr>
        <w:t>12</w:t>
      </w:r>
      <w:r w:rsidR="00B20452" w:rsidRPr="00860724">
        <w:rPr>
          <w:b/>
          <w:lang w:val="ro-RO"/>
        </w:rPr>
        <w:t xml:space="preserve">. </w:t>
      </w:r>
      <w:r w:rsidR="00BA02E2" w:rsidRPr="00860724">
        <w:rPr>
          <w:b/>
          <w:lang w:val="ro-RO"/>
        </w:rPr>
        <w:t>INFRACŢIUNI PREVĂZUTE DE LEGILE SPECIALE- CONTINUARE</w:t>
      </w:r>
    </w:p>
    <w:p w:rsidR="00BA02E2" w:rsidRPr="00860724" w:rsidRDefault="00BA02E2" w:rsidP="00BA02E2">
      <w:pPr>
        <w:rPr>
          <w:sz w:val="20"/>
          <w:lang w:val="ro-RO"/>
        </w:rPr>
      </w:pPr>
    </w:p>
    <w:tbl>
      <w:tblPr>
        <w:tblW w:w="9934"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86"/>
        <w:gridCol w:w="1559"/>
        <w:gridCol w:w="1559"/>
        <w:gridCol w:w="1843"/>
        <w:gridCol w:w="1831"/>
        <w:gridCol w:w="1856"/>
      </w:tblGrid>
      <w:tr w:rsidR="00BA02E2" w:rsidRPr="00286EF8" w:rsidTr="00286EF8">
        <w:trPr>
          <w:jc w:val="center"/>
        </w:trPr>
        <w:tc>
          <w:tcPr>
            <w:tcW w:w="1286"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p>
          <w:p w:rsidR="00BA02E2" w:rsidRPr="00286EF8" w:rsidRDefault="00BA02E2" w:rsidP="00496D69">
            <w:pPr>
              <w:ind w:left="-18"/>
              <w:jc w:val="center"/>
              <w:rPr>
                <w:b/>
                <w:color w:val="548DD4"/>
                <w:lang w:val="ro-RO"/>
              </w:rPr>
            </w:pPr>
          </w:p>
          <w:p w:rsidR="00BA02E2" w:rsidRPr="00286EF8" w:rsidRDefault="00BA02E2" w:rsidP="00496D69">
            <w:pPr>
              <w:ind w:left="-18"/>
              <w:jc w:val="center"/>
              <w:rPr>
                <w:b/>
                <w:color w:val="548DD4"/>
                <w:lang w:val="ro-RO"/>
              </w:rPr>
            </w:pPr>
            <w:r w:rsidRPr="00286EF8">
              <w:rPr>
                <w:b/>
                <w:color w:val="548DD4"/>
                <w:lang w:val="ro-RO"/>
              </w:rPr>
              <w:t>ANUL</w:t>
            </w:r>
          </w:p>
          <w:p w:rsidR="00BA02E2" w:rsidRPr="00286EF8" w:rsidRDefault="00BA02E2" w:rsidP="00496D69">
            <w:pPr>
              <w:ind w:left="-18"/>
              <w:jc w:val="center"/>
              <w:rPr>
                <w:b/>
                <w:color w:val="548DD4"/>
                <w:lang w:val="ro-RO"/>
              </w:rPr>
            </w:pPr>
          </w:p>
        </w:tc>
        <w:tc>
          <w:tcPr>
            <w:tcW w:w="1559"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infracțiuni de spălare de bani </w:t>
            </w:r>
          </w:p>
          <w:p w:rsidR="00BA02E2" w:rsidRPr="00286EF8" w:rsidRDefault="00BA02E2" w:rsidP="00496D69">
            <w:pPr>
              <w:ind w:left="-18"/>
              <w:rPr>
                <w:b/>
                <w:color w:val="548DD4"/>
                <w:lang w:val="ro-RO"/>
              </w:rPr>
            </w:pPr>
            <w:r w:rsidRPr="00286EF8">
              <w:rPr>
                <w:b/>
                <w:color w:val="548DD4"/>
                <w:lang w:val="ro-RO"/>
              </w:rPr>
              <w:t>(Lg. nr. 656/2002)</w:t>
            </w:r>
          </w:p>
        </w:tc>
        <w:tc>
          <w:tcPr>
            <w:tcW w:w="1559"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 xml:space="preserve">infracțiuni prevăzute de O.U.G. </w:t>
            </w:r>
          </w:p>
          <w:p w:rsidR="00BA02E2" w:rsidRPr="00286EF8" w:rsidRDefault="00BA02E2" w:rsidP="00496D69">
            <w:pPr>
              <w:ind w:left="-18"/>
              <w:jc w:val="center"/>
              <w:rPr>
                <w:b/>
                <w:color w:val="548DD4"/>
                <w:lang w:val="ro-RO"/>
              </w:rPr>
            </w:pPr>
            <w:r w:rsidRPr="00286EF8">
              <w:rPr>
                <w:b/>
                <w:color w:val="548DD4"/>
                <w:lang w:val="ro-RO"/>
              </w:rPr>
              <w:t>nr. 31/2002</w:t>
            </w:r>
          </w:p>
        </w:tc>
        <w:tc>
          <w:tcPr>
            <w:tcW w:w="1843"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infracțiuni prevăzute de Codul muncii</w:t>
            </w:r>
          </w:p>
          <w:p w:rsidR="00BA02E2" w:rsidRPr="00286EF8" w:rsidRDefault="00BA02E2" w:rsidP="00496D69">
            <w:pPr>
              <w:ind w:left="-18"/>
              <w:jc w:val="center"/>
              <w:rPr>
                <w:b/>
                <w:color w:val="548DD4"/>
                <w:lang w:val="ro-RO"/>
              </w:rPr>
            </w:pPr>
            <w:r w:rsidRPr="00286EF8">
              <w:rPr>
                <w:b/>
                <w:color w:val="548DD4"/>
                <w:lang w:val="ro-RO"/>
              </w:rPr>
              <w:t>(Lg. nr. 53/2003)</w:t>
            </w:r>
          </w:p>
        </w:tc>
        <w:tc>
          <w:tcPr>
            <w:tcW w:w="1831"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infracțiuni de evaziune fiscală</w:t>
            </w:r>
          </w:p>
          <w:p w:rsidR="00BA02E2" w:rsidRPr="00286EF8" w:rsidRDefault="00BA02E2" w:rsidP="00496D69">
            <w:pPr>
              <w:ind w:left="-18"/>
              <w:jc w:val="center"/>
              <w:rPr>
                <w:b/>
                <w:color w:val="548DD4"/>
                <w:lang w:val="ro-RO"/>
              </w:rPr>
            </w:pPr>
            <w:r w:rsidRPr="00286EF8">
              <w:rPr>
                <w:b/>
                <w:color w:val="548DD4"/>
                <w:lang w:val="ro-RO"/>
              </w:rPr>
              <w:t>(Lg. nr. 241/2005)</w:t>
            </w:r>
          </w:p>
        </w:tc>
        <w:tc>
          <w:tcPr>
            <w:tcW w:w="1856"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b/>
                <w:color w:val="548DD4"/>
                <w:lang w:val="ro-RO"/>
              </w:rPr>
            </w:pPr>
            <w:r w:rsidRPr="00286EF8">
              <w:rPr>
                <w:b/>
                <w:color w:val="548DD4"/>
                <w:lang w:val="ro-RO"/>
              </w:rPr>
              <w:t>infracțiuni privind mediul înconjurător (O.U.G. nr 195/2005 și alte legi speciale)</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2008</w:t>
            </w:r>
          </w:p>
        </w:tc>
        <w:tc>
          <w:tcPr>
            <w:tcW w:w="1559" w:type="dxa"/>
            <w:vAlign w:val="bottom"/>
          </w:tcPr>
          <w:p w:rsidR="00BA02E2" w:rsidRPr="00286EF8" w:rsidRDefault="00BA02E2" w:rsidP="00496D69">
            <w:pPr>
              <w:jc w:val="center"/>
              <w:rPr>
                <w:color w:val="000000"/>
                <w:lang w:val="ro-RO"/>
              </w:rPr>
            </w:pPr>
            <w:r w:rsidRPr="00286EF8">
              <w:rPr>
                <w:color w:val="000000"/>
                <w:lang w:val="ro-RO"/>
              </w:rPr>
              <w:t>42</w:t>
            </w:r>
          </w:p>
        </w:tc>
        <w:tc>
          <w:tcPr>
            <w:tcW w:w="1559" w:type="dxa"/>
            <w:vAlign w:val="bottom"/>
          </w:tcPr>
          <w:p w:rsidR="00BA02E2" w:rsidRPr="00286EF8" w:rsidRDefault="00BA02E2" w:rsidP="00496D69">
            <w:pPr>
              <w:jc w:val="center"/>
              <w:rPr>
                <w:color w:val="000000"/>
                <w:lang w:val="ro-RO"/>
              </w:rPr>
            </w:pPr>
            <w:r w:rsidRPr="00286EF8">
              <w:rPr>
                <w:color w:val="000000"/>
                <w:lang w:val="ro-RO"/>
              </w:rPr>
              <w:t>2</w:t>
            </w:r>
          </w:p>
        </w:tc>
        <w:tc>
          <w:tcPr>
            <w:tcW w:w="1843" w:type="dxa"/>
            <w:vAlign w:val="bottom"/>
          </w:tcPr>
          <w:p w:rsidR="00BA02E2" w:rsidRPr="00286EF8" w:rsidRDefault="00BA02E2" w:rsidP="00496D69">
            <w:pPr>
              <w:jc w:val="center"/>
              <w:rPr>
                <w:color w:val="000000"/>
                <w:lang w:val="ro-RO"/>
              </w:rPr>
            </w:pPr>
            <w:r w:rsidRPr="00286EF8">
              <w:rPr>
                <w:color w:val="000000"/>
                <w:lang w:val="ro-RO"/>
              </w:rPr>
              <w:t>2</w:t>
            </w:r>
          </w:p>
        </w:tc>
        <w:tc>
          <w:tcPr>
            <w:tcW w:w="1831" w:type="dxa"/>
            <w:vAlign w:val="bottom"/>
          </w:tcPr>
          <w:p w:rsidR="00BA02E2" w:rsidRPr="00286EF8" w:rsidRDefault="00BA02E2" w:rsidP="00496D69">
            <w:pPr>
              <w:jc w:val="center"/>
              <w:rPr>
                <w:color w:val="000000"/>
                <w:lang w:val="ro-RO"/>
              </w:rPr>
            </w:pPr>
            <w:r w:rsidRPr="00286EF8">
              <w:rPr>
                <w:color w:val="000000"/>
                <w:lang w:val="ro-RO"/>
              </w:rPr>
              <w:t>361</w:t>
            </w:r>
          </w:p>
        </w:tc>
        <w:tc>
          <w:tcPr>
            <w:tcW w:w="1856" w:type="dxa"/>
            <w:vAlign w:val="bottom"/>
          </w:tcPr>
          <w:p w:rsidR="00BA02E2" w:rsidRPr="00286EF8" w:rsidRDefault="00BA02E2" w:rsidP="00496D69">
            <w:pPr>
              <w:jc w:val="center"/>
              <w:rPr>
                <w:color w:val="000000"/>
                <w:lang w:val="ro-RO"/>
              </w:rPr>
            </w:pPr>
            <w:r w:rsidRPr="00286EF8">
              <w:rPr>
                <w:color w:val="000000"/>
                <w:lang w:val="ro-RO"/>
              </w:rPr>
              <w:t>0</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2009</w:t>
            </w:r>
          </w:p>
        </w:tc>
        <w:tc>
          <w:tcPr>
            <w:tcW w:w="1559" w:type="dxa"/>
            <w:vAlign w:val="bottom"/>
          </w:tcPr>
          <w:p w:rsidR="00BA02E2" w:rsidRPr="00286EF8" w:rsidRDefault="00BA02E2" w:rsidP="00496D69">
            <w:pPr>
              <w:jc w:val="center"/>
              <w:rPr>
                <w:color w:val="000000"/>
                <w:lang w:val="ro-RO"/>
              </w:rPr>
            </w:pPr>
            <w:r w:rsidRPr="00286EF8">
              <w:rPr>
                <w:color w:val="000000"/>
                <w:lang w:val="ro-RO"/>
              </w:rPr>
              <w:t>38</w:t>
            </w:r>
          </w:p>
        </w:tc>
        <w:tc>
          <w:tcPr>
            <w:tcW w:w="1559" w:type="dxa"/>
            <w:vAlign w:val="bottom"/>
          </w:tcPr>
          <w:p w:rsidR="00BA02E2" w:rsidRPr="00286EF8" w:rsidRDefault="00BA02E2" w:rsidP="00496D69">
            <w:pPr>
              <w:jc w:val="center"/>
              <w:rPr>
                <w:color w:val="000000"/>
                <w:lang w:val="ro-RO"/>
              </w:rPr>
            </w:pPr>
            <w:r w:rsidRPr="00286EF8">
              <w:rPr>
                <w:color w:val="000000"/>
                <w:lang w:val="ro-RO"/>
              </w:rPr>
              <w:t>0</w:t>
            </w:r>
          </w:p>
        </w:tc>
        <w:tc>
          <w:tcPr>
            <w:tcW w:w="1843" w:type="dxa"/>
            <w:vAlign w:val="bottom"/>
          </w:tcPr>
          <w:p w:rsidR="00BA02E2" w:rsidRPr="00286EF8" w:rsidRDefault="00BA02E2" w:rsidP="00496D69">
            <w:pPr>
              <w:jc w:val="center"/>
              <w:rPr>
                <w:color w:val="000000"/>
                <w:lang w:val="ro-RO"/>
              </w:rPr>
            </w:pPr>
            <w:r w:rsidRPr="00286EF8">
              <w:rPr>
                <w:color w:val="000000"/>
                <w:lang w:val="ro-RO"/>
              </w:rPr>
              <w:t>1</w:t>
            </w:r>
          </w:p>
        </w:tc>
        <w:tc>
          <w:tcPr>
            <w:tcW w:w="1831" w:type="dxa"/>
            <w:vAlign w:val="bottom"/>
          </w:tcPr>
          <w:p w:rsidR="00BA02E2" w:rsidRPr="00286EF8" w:rsidRDefault="00BA02E2" w:rsidP="00496D69">
            <w:pPr>
              <w:jc w:val="center"/>
              <w:rPr>
                <w:color w:val="000000"/>
                <w:lang w:val="ro-RO"/>
              </w:rPr>
            </w:pPr>
            <w:r w:rsidRPr="00286EF8">
              <w:rPr>
                <w:color w:val="000000"/>
                <w:lang w:val="ro-RO"/>
              </w:rPr>
              <w:t>493</w:t>
            </w:r>
          </w:p>
        </w:tc>
        <w:tc>
          <w:tcPr>
            <w:tcW w:w="1856" w:type="dxa"/>
            <w:vAlign w:val="bottom"/>
          </w:tcPr>
          <w:p w:rsidR="00BA02E2" w:rsidRPr="00286EF8" w:rsidRDefault="00BA02E2" w:rsidP="00496D69">
            <w:pPr>
              <w:jc w:val="center"/>
              <w:rPr>
                <w:color w:val="000000"/>
                <w:lang w:val="ro-RO"/>
              </w:rPr>
            </w:pPr>
            <w:r w:rsidRPr="00286EF8">
              <w:rPr>
                <w:color w:val="000000"/>
                <w:lang w:val="ro-RO"/>
              </w:rPr>
              <w:t>5</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2010</w:t>
            </w:r>
          </w:p>
        </w:tc>
        <w:tc>
          <w:tcPr>
            <w:tcW w:w="1559" w:type="dxa"/>
            <w:vAlign w:val="bottom"/>
          </w:tcPr>
          <w:p w:rsidR="00BA02E2" w:rsidRPr="00286EF8" w:rsidRDefault="00BA02E2" w:rsidP="00496D69">
            <w:pPr>
              <w:jc w:val="center"/>
              <w:rPr>
                <w:color w:val="000000"/>
                <w:lang w:val="ro-RO"/>
              </w:rPr>
            </w:pPr>
            <w:r w:rsidRPr="00286EF8">
              <w:rPr>
                <w:color w:val="000000"/>
                <w:lang w:val="ro-RO"/>
              </w:rPr>
              <w:t>66</w:t>
            </w:r>
          </w:p>
        </w:tc>
        <w:tc>
          <w:tcPr>
            <w:tcW w:w="1559" w:type="dxa"/>
            <w:vAlign w:val="bottom"/>
          </w:tcPr>
          <w:p w:rsidR="00BA02E2" w:rsidRPr="00286EF8" w:rsidRDefault="00BA02E2" w:rsidP="00496D69">
            <w:pPr>
              <w:jc w:val="center"/>
              <w:rPr>
                <w:color w:val="000000"/>
                <w:lang w:val="ro-RO"/>
              </w:rPr>
            </w:pPr>
            <w:r w:rsidRPr="00286EF8">
              <w:rPr>
                <w:color w:val="000000"/>
                <w:lang w:val="ro-RO"/>
              </w:rPr>
              <w:t>0</w:t>
            </w:r>
          </w:p>
        </w:tc>
        <w:tc>
          <w:tcPr>
            <w:tcW w:w="1843" w:type="dxa"/>
            <w:vAlign w:val="bottom"/>
          </w:tcPr>
          <w:p w:rsidR="00BA02E2" w:rsidRPr="00286EF8" w:rsidRDefault="00BA02E2" w:rsidP="00496D69">
            <w:pPr>
              <w:jc w:val="center"/>
              <w:rPr>
                <w:color w:val="000000"/>
                <w:lang w:val="ro-RO"/>
              </w:rPr>
            </w:pPr>
            <w:r w:rsidRPr="00286EF8">
              <w:rPr>
                <w:color w:val="000000"/>
                <w:lang w:val="ro-RO"/>
              </w:rPr>
              <w:t>3</w:t>
            </w:r>
          </w:p>
        </w:tc>
        <w:tc>
          <w:tcPr>
            <w:tcW w:w="1831" w:type="dxa"/>
            <w:vAlign w:val="bottom"/>
          </w:tcPr>
          <w:p w:rsidR="00BA02E2" w:rsidRPr="00286EF8" w:rsidRDefault="00BA02E2" w:rsidP="00496D69">
            <w:pPr>
              <w:jc w:val="center"/>
              <w:rPr>
                <w:color w:val="000000"/>
                <w:lang w:val="ro-RO"/>
              </w:rPr>
            </w:pPr>
            <w:r w:rsidRPr="00286EF8">
              <w:rPr>
                <w:color w:val="000000"/>
                <w:lang w:val="ro-RO"/>
              </w:rPr>
              <w:t>1.111</w:t>
            </w:r>
          </w:p>
        </w:tc>
        <w:tc>
          <w:tcPr>
            <w:tcW w:w="1856" w:type="dxa"/>
            <w:vAlign w:val="bottom"/>
          </w:tcPr>
          <w:p w:rsidR="00BA02E2" w:rsidRPr="00286EF8" w:rsidRDefault="00BA02E2" w:rsidP="00496D69">
            <w:pPr>
              <w:jc w:val="center"/>
              <w:rPr>
                <w:color w:val="000000"/>
                <w:lang w:val="ro-RO"/>
              </w:rPr>
            </w:pPr>
            <w:r w:rsidRPr="00286EF8">
              <w:rPr>
                <w:color w:val="000000"/>
                <w:lang w:val="ro-RO"/>
              </w:rPr>
              <w:t>2</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2011</w:t>
            </w:r>
          </w:p>
        </w:tc>
        <w:tc>
          <w:tcPr>
            <w:tcW w:w="1559" w:type="dxa"/>
            <w:vAlign w:val="bottom"/>
          </w:tcPr>
          <w:p w:rsidR="00BA02E2" w:rsidRPr="00286EF8" w:rsidRDefault="00BA02E2" w:rsidP="00496D69">
            <w:pPr>
              <w:jc w:val="center"/>
              <w:rPr>
                <w:color w:val="000000"/>
                <w:lang w:val="ro-RO"/>
              </w:rPr>
            </w:pPr>
            <w:r w:rsidRPr="00286EF8">
              <w:rPr>
                <w:color w:val="000000"/>
                <w:lang w:val="ro-RO"/>
              </w:rPr>
              <w:t>52</w:t>
            </w:r>
          </w:p>
        </w:tc>
        <w:tc>
          <w:tcPr>
            <w:tcW w:w="1559" w:type="dxa"/>
            <w:vAlign w:val="bottom"/>
          </w:tcPr>
          <w:p w:rsidR="00BA02E2" w:rsidRPr="00286EF8" w:rsidRDefault="00BA02E2" w:rsidP="00496D69">
            <w:pPr>
              <w:jc w:val="center"/>
              <w:rPr>
                <w:color w:val="000000"/>
                <w:lang w:val="ro-RO"/>
              </w:rPr>
            </w:pPr>
            <w:r w:rsidRPr="00286EF8">
              <w:rPr>
                <w:color w:val="000000"/>
                <w:lang w:val="ro-RO"/>
              </w:rPr>
              <w:t>0</w:t>
            </w:r>
          </w:p>
        </w:tc>
        <w:tc>
          <w:tcPr>
            <w:tcW w:w="1843" w:type="dxa"/>
            <w:vAlign w:val="bottom"/>
          </w:tcPr>
          <w:p w:rsidR="00BA02E2" w:rsidRPr="00286EF8" w:rsidRDefault="00BA02E2" w:rsidP="00496D69">
            <w:pPr>
              <w:jc w:val="center"/>
              <w:rPr>
                <w:color w:val="000000"/>
                <w:lang w:val="ro-RO"/>
              </w:rPr>
            </w:pPr>
            <w:r w:rsidRPr="00286EF8">
              <w:rPr>
                <w:color w:val="000000"/>
                <w:lang w:val="ro-RO"/>
              </w:rPr>
              <w:t>10</w:t>
            </w:r>
          </w:p>
        </w:tc>
        <w:tc>
          <w:tcPr>
            <w:tcW w:w="1831" w:type="dxa"/>
            <w:vAlign w:val="bottom"/>
          </w:tcPr>
          <w:p w:rsidR="00BA02E2" w:rsidRPr="00286EF8" w:rsidRDefault="00BA02E2" w:rsidP="00496D69">
            <w:pPr>
              <w:jc w:val="center"/>
              <w:rPr>
                <w:color w:val="000000"/>
                <w:lang w:val="ro-RO"/>
              </w:rPr>
            </w:pPr>
            <w:r w:rsidRPr="00286EF8">
              <w:rPr>
                <w:color w:val="000000"/>
                <w:lang w:val="ro-RO"/>
              </w:rPr>
              <w:t>1.387</w:t>
            </w:r>
          </w:p>
        </w:tc>
        <w:tc>
          <w:tcPr>
            <w:tcW w:w="1856" w:type="dxa"/>
            <w:vAlign w:val="bottom"/>
          </w:tcPr>
          <w:p w:rsidR="00BA02E2" w:rsidRPr="00286EF8" w:rsidRDefault="00BA02E2" w:rsidP="00496D69">
            <w:pPr>
              <w:jc w:val="center"/>
              <w:rPr>
                <w:color w:val="000000"/>
                <w:lang w:val="ro-RO"/>
              </w:rPr>
            </w:pPr>
            <w:r w:rsidRPr="00286EF8">
              <w:rPr>
                <w:color w:val="000000"/>
                <w:lang w:val="ro-RO"/>
              </w:rPr>
              <w:t>0</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2012</w:t>
            </w:r>
          </w:p>
        </w:tc>
        <w:tc>
          <w:tcPr>
            <w:tcW w:w="1559" w:type="dxa"/>
            <w:vAlign w:val="bottom"/>
          </w:tcPr>
          <w:p w:rsidR="00BA02E2" w:rsidRPr="00286EF8" w:rsidRDefault="00BA02E2" w:rsidP="00496D69">
            <w:pPr>
              <w:jc w:val="center"/>
              <w:rPr>
                <w:color w:val="000000"/>
                <w:lang w:val="ro-RO"/>
              </w:rPr>
            </w:pPr>
            <w:r w:rsidRPr="00286EF8">
              <w:rPr>
                <w:color w:val="000000"/>
                <w:lang w:val="ro-RO"/>
              </w:rPr>
              <w:t>84</w:t>
            </w:r>
          </w:p>
        </w:tc>
        <w:tc>
          <w:tcPr>
            <w:tcW w:w="1559" w:type="dxa"/>
            <w:vAlign w:val="bottom"/>
          </w:tcPr>
          <w:p w:rsidR="00BA02E2" w:rsidRPr="00286EF8" w:rsidRDefault="00BA02E2" w:rsidP="00496D69">
            <w:pPr>
              <w:jc w:val="center"/>
              <w:rPr>
                <w:color w:val="000000"/>
                <w:lang w:val="ro-RO"/>
              </w:rPr>
            </w:pPr>
            <w:r w:rsidRPr="00286EF8">
              <w:rPr>
                <w:color w:val="000000"/>
                <w:lang w:val="ro-RO"/>
              </w:rPr>
              <w:t>0</w:t>
            </w:r>
          </w:p>
        </w:tc>
        <w:tc>
          <w:tcPr>
            <w:tcW w:w="1843" w:type="dxa"/>
            <w:vAlign w:val="bottom"/>
          </w:tcPr>
          <w:p w:rsidR="00BA02E2" w:rsidRPr="00286EF8" w:rsidRDefault="00BA02E2" w:rsidP="00496D69">
            <w:pPr>
              <w:jc w:val="center"/>
              <w:rPr>
                <w:color w:val="000000"/>
                <w:lang w:val="ro-RO"/>
              </w:rPr>
            </w:pPr>
            <w:r w:rsidRPr="00286EF8">
              <w:rPr>
                <w:color w:val="000000"/>
                <w:lang w:val="ro-RO"/>
              </w:rPr>
              <w:t>14</w:t>
            </w:r>
          </w:p>
        </w:tc>
        <w:tc>
          <w:tcPr>
            <w:tcW w:w="1831" w:type="dxa"/>
            <w:vAlign w:val="bottom"/>
          </w:tcPr>
          <w:p w:rsidR="00BA02E2" w:rsidRPr="00286EF8" w:rsidRDefault="00BA02E2" w:rsidP="00496D69">
            <w:pPr>
              <w:jc w:val="center"/>
              <w:rPr>
                <w:color w:val="000000"/>
                <w:lang w:val="ro-RO"/>
              </w:rPr>
            </w:pPr>
            <w:r w:rsidRPr="00286EF8">
              <w:rPr>
                <w:color w:val="000000"/>
                <w:lang w:val="ro-RO"/>
              </w:rPr>
              <w:t>1.620</w:t>
            </w:r>
          </w:p>
        </w:tc>
        <w:tc>
          <w:tcPr>
            <w:tcW w:w="1856" w:type="dxa"/>
            <w:vAlign w:val="bottom"/>
          </w:tcPr>
          <w:p w:rsidR="00BA02E2" w:rsidRPr="00286EF8" w:rsidRDefault="00BA02E2" w:rsidP="00496D69">
            <w:pPr>
              <w:jc w:val="center"/>
              <w:rPr>
                <w:color w:val="000000"/>
                <w:lang w:val="ro-RO"/>
              </w:rPr>
            </w:pPr>
            <w:r w:rsidRPr="00286EF8">
              <w:rPr>
                <w:color w:val="000000"/>
                <w:lang w:val="ro-RO"/>
              </w:rPr>
              <w:t>0</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2013</w:t>
            </w:r>
          </w:p>
        </w:tc>
        <w:tc>
          <w:tcPr>
            <w:tcW w:w="1559" w:type="dxa"/>
            <w:vAlign w:val="bottom"/>
          </w:tcPr>
          <w:p w:rsidR="00BA02E2" w:rsidRPr="00286EF8" w:rsidRDefault="00BA02E2" w:rsidP="00496D69">
            <w:pPr>
              <w:jc w:val="center"/>
              <w:rPr>
                <w:color w:val="000000"/>
                <w:lang w:val="ro-RO"/>
              </w:rPr>
            </w:pPr>
            <w:r w:rsidRPr="00286EF8">
              <w:rPr>
                <w:color w:val="000000"/>
                <w:lang w:val="ro-RO"/>
              </w:rPr>
              <w:t>72</w:t>
            </w:r>
          </w:p>
        </w:tc>
        <w:tc>
          <w:tcPr>
            <w:tcW w:w="1559" w:type="dxa"/>
            <w:vAlign w:val="bottom"/>
          </w:tcPr>
          <w:p w:rsidR="00BA02E2" w:rsidRPr="00286EF8" w:rsidRDefault="00BA02E2" w:rsidP="00496D69">
            <w:pPr>
              <w:jc w:val="center"/>
              <w:rPr>
                <w:color w:val="000000"/>
                <w:lang w:val="ro-RO"/>
              </w:rPr>
            </w:pPr>
            <w:r w:rsidRPr="00286EF8">
              <w:rPr>
                <w:color w:val="000000"/>
                <w:lang w:val="ro-RO"/>
              </w:rPr>
              <w:t>0</w:t>
            </w:r>
          </w:p>
        </w:tc>
        <w:tc>
          <w:tcPr>
            <w:tcW w:w="1843" w:type="dxa"/>
            <w:vAlign w:val="bottom"/>
          </w:tcPr>
          <w:p w:rsidR="00BA02E2" w:rsidRPr="00286EF8" w:rsidRDefault="00BA02E2" w:rsidP="00496D69">
            <w:pPr>
              <w:jc w:val="center"/>
              <w:rPr>
                <w:color w:val="000000"/>
                <w:lang w:val="ro-RO"/>
              </w:rPr>
            </w:pPr>
            <w:r w:rsidRPr="00286EF8">
              <w:rPr>
                <w:color w:val="000000"/>
                <w:lang w:val="ro-RO"/>
              </w:rPr>
              <w:t>11</w:t>
            </w:r>
          </w:p>
        </w:tc>
        <w:tc>
          <w:tcPr>
            <w:tcW w:w="1831" w:type="dxa"/>
            <w:vAlign w:val="bottom"/>
          </w:tcPr>
          <w:p w:rsidR="00BA02E2" w:rsidRPr="00286EF8" w:rsidRDefault="00BA02E2" w:rsidP="00496D69">
            <w:pPr>
              <w:jc w:val="center"/>
              <w:rPr>
                <w:color w:val="000000"/>
                <w:lang w:val="ro-RO"/>
              </w:rPr>
            </w:pPr>
            <w:r w:rsidRPr="00286EF8">
              <w:rPr>
                <w:color w:val="000000"/>
                <w:lang w:val="ro-RO"/>
              </w:rPr>
              <w:t>2.042</w:t>
            </w:r>
          </w:p>
        </w:tc>
        <w:tc>
          <w:tcPr>
            <w:tcW w:w="1856" w:type="dxa"/>
            <w:vAlign w:val="bottom"/>
          </w:tcPr>
          <w:p w:rsidR="00BA02E2" w:rsidRPr="00286EF8" w:rsidRDefault="00BA02E2" w:rsidP="00496D69">
            <w:pPr>
              <w:jc w:val="center"/>
              <w:rPr>
                <w:color w:val="000000"/>
                <w:lang w:val="ro-RO"/>
              </w:rPr>
            </w:pPr>
            <w:r w:rsidRPr="00286EF8">
              <w:rPr>
                <w:color w:val="000000"/>
                <w:lang w:val="ro-RO"/>
              </w:rPr>
              <w:t>8</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2014</w:t>
            </w:r>
          </w:p>
        </w:tc>
        <w:tc>
          <w:tcPr>
            <w:tcW w:w="1559" w:type="dxa"/>
          </w:tcPr>
          <w:p w:rsidR="00BA02E2" w:rsidRPr="00286EF8" w:rsidRDefault="00BA02E2" w:rsidP="00496D69">
            <w:pPr>
              <w:widowControl w:val="0"/>
              <w:jc w:val="center"/>
              <w:rPr>
                <w:lang w:val="ro-RO"/>
              </w:rPr>
            </w:pPr>
            <w:r w:rsidRPr="00286EF8">
              <w:rPr>
                <w:lang w:val="ro-RO"/>
              </w:rPr>
              <w:t>299</w:t>
            </w:r>
          </w:p>
        </w:tc>
        <w:tc>
          <w:tcPr>
            <w:tcW w:w="1559" w:type="dxa"/>
          </w:tcPr>
          <w:p w:rsidR="00BA02E2" w:rsidRPr="00286EF8" w:rsidRDefault="00BA02E2" w:rsidP="00496D69">
            <w:pPr>
              <w:widowControl w:val="0"/>
              <w:jc w:val="center"/>
              <w:rPr>
                <w:lang w:val="ro-RO"/>
              </w:rPr>
            </w:pPr>
            <w:r w:rsidRPr="00286EF8">
              <w:rPr>
                <w:lang w:val="ro-RO"/>
              </w:rPr>
              <w:t>1</w:t>
            </w:r>
          </w:p>
        </w:tc>
        <w:tc>
          <w:tcPr>
            <w:tcW w:w="1843" w:type="dxa"/>
          </w:tcPr>
          <w:p w:rsidR="00BA02E2" w:rsidRPr="00286EF8" w:rsidRDefault="00BA02E2" w:rsidP="00496D69">
            <w:pPr>
              <w:widowControl w:val="0"/>
              <w:jc w:val="center"/>
              <w:rPr>
                <w:lang w:val="ro-RO"/>
              </w:rPr>
            </w:pPr>
            <w:r w:rsidRPr="00286EF8">
              <w:rPr>
                <w:lang w:val="ro-RO"/>
              </w:rPr>
              <w:t>6</w:t>
            </w:r>
          </w:p>
        </w:tc>
        <w:tc>
          <w:tcPr>
            <w:tcW w:w="1831" w:type="dxa"/>
          </w:tcPr>
          <w:p w:rsidR="00BA02E2" w:rsidRPr="00286EF8" w:rsidRDefault="00BA02E2" w:rsidP="00496D69">
            <w:pPr>
              <w:widowControl w:val="0"/>
              <w:jc w:val="center"/>
              <w:rPr>
                <w:lang w:val="ro-RO"/>
              </w:rPr>
            </w:pPr>
            <w:r w:rsidRPr="00286EF8">
              <w:rPr>
                <w:lang w:val="ro-RO"/>
              </w:rPr>
              <w:t>1.803</w:t>
            </w:r>
          </w:p>
        </w:tc>
        <w:tc>
          <w:tcPr>
            <w:tcW w:w="1856" w:type="dxa"/>
          </w:tcPr>
          <w:p w:rsidR="00BA02E2" w:rsidRPr="00286EF8" w:rsidRDefault="00BA02E2" w:rsidP="00496D69">
            <w:pPr>
              <w:widowControl w:val="0"/>
              <w:jc w:val="center"/>
              <w:rPr>
                <w:lang w:val="ro-RO"/>
              </w:rPr>
            </w:pPr>
            <w:r w:rsidRPr="00286EF8">
              <w:rPr>
                <w:lang w:val="ro-RO"/>
              </w:rPr>
              <w:t>1</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2015</w:t>
            </w:r>
          </w:p>
        </w:tc>
        <w:tc>
          <w:tcPr>
            <w:tcW w:w="1559" w:type="dxa"/>
          </w:tcPr>
          <w:p w:rsidR="00BA02E2" w:rsidRPr="00286EF8" w:rsidRDefault="00BA02E2" w:rsidP="00496D69">
            <w:pPr>
              <w:widowControl w:val="0"/>
              <w:jc w:val="center"/>
              <w:rPr>
                <w:lang w:val="ro-RO"/>
              </w:rPr>
            </w:pPr>
            <w:r w:rsidRPr="00286EF8">
              <w:rPr>
                <w:lang w:val="ro-RO"/>
              </w:rPr>
              <w:t>252</w:t>
            </w:r>
          </w:p>
        </w:tc>
        <w:tc>
          <w:tcPr>
            <w:tcW w:w="1559" w:type="dxa"/>
          </w:tcPr>
          <w:p w:rsidR="00BA02E2" w:rsidRPr="00286EF8" w:rsidRDefault="00BA02E2" w:rsidP="00496D69">
            <w:pPr>
              <w:widowControl w:val="0"/>
              <w:jc w:val="center"/>
              <w:rPr>
                <w:lang w:val="ro-RO"/>
              </w:rPr>
            </w:pPr>
            <w:r w:rsidRPr="00286EF8">
              <w:rPr>
                <w:lang w:val="ro-RO"/>
              </w:rPr>
              <w:t>6</w:t>
            </w:r>
          </w:p>
        </w:tc>
        <w:tc>
          <w:tcPr>
            <w:tcW w:w="1843" w:type="dxa"/>
          </w:tcPr>
          <w:p w:rsidR="00BA02E2" w:rsidRPr="00286EF8" w:rsidRDefault="00BA02E2" w:rsidP="00496D69">
            <w:pPr>
              <w:widowControl w:val="0"/>
              <w:jc w:val="center"/>
              <w:rPr>
                <w:lang w:val="ro-RO"/>
              </w:rPr>
            </w:pPr>
            <w:r w:rsidRPr="00286EF8">
              <w:rPr>
                <w:lang w:val="ro-RO"/>
              </w:rPr>
              <w:t>9</w:t>
            </w:r>
          </w:p>
        </w:tc>
        <w:tc>
          <w:tcPr>
            <w:tcW w:w="1831" w:type="dxa"/>
          </w:tcPr>
          <w:p w:rsidR="00BA02E2" w:rsidRPr="00286EF8" w:rsidRDefault="00BA02E2" w:rsidP="00496D69">
            <w:pPr>
              <w:widowControl w:val="0"/>
              <w:jc w:val="center"/>
              <w:rPr>
                <w:lang w:val="ro-RO"/>
              </w:rPr>
            </w:pPr>
            <w:r w:rsidRPr="00286EF8">
              <w:rPr>
                <w:lang w:val="ro-RO"/>
              </w:rPr>
              <w:t>1.862</w:t>
            </w:r>
          </w:p>
        </w:tc>
        <w:tc>
          <w:tcPr>
            <w:tcW w:w="1856" w:type="dxa"/>
          </w:tcPr>
          <w:p w:rsidR="00BA02E2" w:rsidRPr="00286EF8" w:rsidRDefault="00BA02E2" w:rsidP="00496D69">
            <w:pPr>
              <w:widowControl w:val="0"/>
              <w:jc w:val="center"/>
              <w:rPr>
                <w:lang w:val="ro-RO"/>
              </w:rPr>
            </w:pPr>
            <w:r w:rsidRPr="00286EF8">
              <w:rPr>
                <w:lang w:val="ro-RO"/>
              </w:rPr>
              <w:t>1</w:t>
            </w:r>
          </w:p>
        </w:tc>
      </w:tr>
      <w:tr w:rsidR="00BA02E2" w:rsidRPr="00286EF8" w:rsidTr="00286EF8">
        <w:trPr>
          <w:jc w:val="center"/>
        </w:trPr>
        <w:tc>
          <w:tcPr>
            <w:tcW w:w="1286" w:type="dxa"/>
          </w:tcPr>
          <w:p w:rsidR="00BA02E2" w:rsidRPr="00286EF8" w:rsidRDefault="00BA02E2" w:rsidP="00496D69">
            <w:pPr>
              <w:jc w:val="center"/>
              <w:rPr>
                <w:lang w:val="ro-RO"/>
              </w:rPr>
            </w:pPr>
            <w:r w:rsidRPr="00286EF8">
              <w:rPr>
                <w:lang w:val="ro-RO"/>
              </w:rPr>
              <w:t>2016</w:t>
            </w:r>
          </w:p>
        </w:tc>
        <w:tc>
          <w:tcPr>
            <w:tcW w:w="1559" w:type="dxa"/>
          </w:tcPr>
          <w:p w:rsidR="00BA02E2" w:rsidRPr="00286EF8" w:rsidRDefault="00BA02E2" w:rsidP="00496D69">
            <w:pPr>
              <w:widowControl w:val="0"/>
              <w:jc w:val="center"/>
              <w:rPr>
                <w:lang w:val="ro-RO"/>
              </w:rPr>
            </w:pPr>
            <w:r w:rsidRPr="00286EF8">
              <w:rPr>
                <w:lang w:val="ro-RO"/>
              </w:rPr>
              <w:t>343</w:t>
            </w:r>
          </w:p>
        </w:tc>
        <w:tc>
          <w:tcPr>
            <w:tcW w:w="1559" w:type="dxa"/>
          </w:tcPr>
          <w:p w:rsidR="00BA02E2" w:rsidRPr="00286EF8" w:rsidRDefault="00BA02E2" w:rsidP="00496D69">
            <w:pPr>
              <w:widowControl w:val="0"/>
              <w:jc w:val="center"/>
              <w:rPr>
                <w:lang w:val="ro-RO"/>
              </w:rPr>
            </w:pPr>
            <w:r w:rsidRPr="00286EF8">
              <w:rPr>
                <w:lang w:val="ro-RO"/>
              </w:rPr>
              <w:t>0</w:t>
            </w:r>
          </w:p>
        </w:tc>
        <w:tc>
          <w:tcPr>
            <w:tcW w:w="1843" w:type="dxa"/>
          </w:tcPr>
          <w:p w:rsidR="00BA02E2" w:rsidRPr="00286EF8" w:rsidRDefault="00BA02E2" w:rsidP="00496D69">
            <w:pPr>
              <w:widowControl w:val="0"/>
              <w:jc w:val="center"/>
              <w:rPr>
                <w:lang w:val="ro-RO"/>
              </w:rPr>
            </w:pPr>
            <w:r w:rsidRPr="00286EF8">
              <w:rPr>
                <w:lang w:val="ro-RO"/>
              </w:rPr>
              <w:t>22</w:t>
            </w:r>
          </w:p>
        </w:tc>
        <w:tc>
          <w:tcPr>
            <w:tcW w:w="1831" w:type="dxa"/>
          </w:tcPr>
          <w:p w:rsidR="00BA02E2" w:rsidRPr="00286EF8" w:rsidRDefault="00BA02E2" w:rsidP="00496D69">
            <w:pPr>
              <w:widowControl w:val="0"/>
              <w:jc w:val="center"/>
              <w:rPr>
                <w:lang w:val="ro-RO"/>
              </w:rPr>
            </w:pPr>
            <w:r w:rsidRPr="00286EF8">
              <w:rPr>
                <w:lang w:val="ro-RO"/>
              </w:rPr>
              <w:t>1.939</w:t>
            </w:r>
          </w:p>
        </w:tc>
        <w:tc>
          <w:tcPr>
            <w:tcW w:w="1856" w:type="dxa"/>
          </w:tcPr>
          <w:p w:rsidR="00BA02E2" w:rsidRPr="00286EF8" w:rsidRDefault="00BA02E2" w:rsidP="00496D69">
            <w:pPr>
              <w:widowControl w:val="0"/>
              <w:jc w:val="center"/>
              <w:rPr>
                <w:lang w:val="ro-RO"/>
              </w:rPr>
            </w:pPr>
            <w:r w:rsidRPr="00286EF8">
              <w:rPr>
                <w:lang w:val="ro-RO"/>
              </w:rPr>
              <w:t>4</w:t>
            </w:r>
          </w:p>
        </w:tc>
      </w:tr>
      <w:tr w:rsidR="00BA02E2" w:rsidRPr="00286EF8" w:rsidTr="00286EF8">
        <w:trPr>
          <w:jc w:val="center"/>
        </w:trPr>
        <w:tc>
          <w:tcPr>
            <w:tcW w:w="1286" w:type="dxa"/>
            <w:tcBorders>
              <w:bottom w:val="threeDEmboss" w:sz="6" w:space="0" w:color="00B050"/>
            </w:tcBorders>
          </w:tcPr>
          <w:p w:rsidR="00BA02E2" w:rsidRPr="00286EF8" w:rsidRDefault="00BA02E2" w:rsidP="00496D69">
            <w:pPr>
              <w:jc w:val="center"/>
              <w:rPr>
                <w:lang w:val="ro-RO"/>
              </w:rPr>
            </w:pPr>
            <w:r w:rsidRPr="00286EF8">
              <w:rPr>
                <w:lang w:val="ro-RO"/>
              </w:rPr>
              <w:t>2017</w:t>
            </w:r>
          </w:p>
        </w:tc>
        <w:tc>
          <w:tcPr>
            <w:tcW w:w="1559" w:type="dxa"/>
            <w:tcBorders>
              <w:bottom w:val="threeDEmboss" w:sz="6" w:space="0" w:color="00B050"/>
            </w:tcBorders>
          </w:tcPr>
          <w:p w:rsidR="00BA02E2" w:rsidRPr="00286EF8" w:rsidRDefault="00BA02E2" w:rsidP="00496D69">
            <w:pPr>
              <w:widowControl w:val="0"/>
              <w:jc w:val="center"/>
              <w:rPr>
                <w:lang w:val="ro-RO"/>
              </w:rPr>
            </w:pPr>
            <w:r w:rsidRPr="00286EF8">
              <w:rPr>
                <w:lang w:val="ro-RO"/>
              </w:rPr>
              <w:t>280</w:t>
            </w:r>
          </w:p>
        </w:tc>
        <w:tc>
          <w:tcPr>
            <w:tcW w:w="1559" w:type="dxa"/>
            <w:tcBorders>
              <w:bottom w:val="threeDEmboss" w:sz="6" w:space="0" w:color="00B050"/>
            </w:tcBorders>
          </w:tcPr>
          <w:p w:rsidR="00BA02E2" w:rsidRPr="00286EF8" w:rsidRDefault="00BA02E2" w:rsidP="00496D69">
            <w:pPr>
              <w:widowControl w:val="0"/>
              <w:jc w:val="center"/>
              <w:rPr>
                <w:lang w:val="ro-RO"/>
              </w:rPr>
            </w:pPr>
            <w:r w:rsidRPr="00286EF8">
              <w:rPr>
                <w:lang w:val="ro-RO"/>
              </w:rPr>
              <w:t>0</w:t>
            </w:r>
          </w:p>
        </w:tc>
        <w:tc>
          <w:tcPr>
            <w:tcW w:w="1843" w:type="dxa"/>
            <w:tcBorders>
              <w:bottom w:val="threeDEmboss" w:sz="6" w:space="0" w:color="00B050"/>
            </w:tcBorders>
          </w:tcPr>
          <w:p w:rsidR="00BA02E2" w:rsidRPr="00286EF8" w:rsidRDefault="00BA02E2" w:rsidP="00496D69">
            <w:pPr>
              <w:widowControl w:val="0"/>
              <w:jc w:val="center"/>
              <w:rPr>
                <w:lang w:val="ro-RO"/>
              </w:rPr>
            </w:pPr>
            <w:r w:rsidRPr="00286EF8">
              <w:rPr>
                <w:lang w:val="ro-RO"/>
              </w:rPr>
              <w:t>6</w:t>
            </w:r>
          </w:p>
        </w:tc>
        <w:tc>
          <w:tcPr>
            <w:tcW w:w="1831" w:type="dxa"/>
            <w:tcBorders>
              <w:bottom w:val="threeDEmboss" w:sz="6" w:space="0" w:color="00B050"/>
            </w:tcBorders>
          </w:tcPr>
          <w:p w:rsidR="00BA02E2" w:rsidRPr="00286EF8" w:rsidRDefault="00BA02E2" w:rsidP="00496D69">
            <w:pPr>
              <w:widowControl w:val="0"/>
              <w:jc w:val="center"/>
              <w:rPr>
                <w:lang w:val="ro-RO"/>
              </w:rPr>
            </w:pPr>
            <w:r w:rsidRPr="00286EF8">
              <w:rPr>
                <w:lang w:val="ro-RO"/>
              </w:rPr>
              <w:t>1.352</w:t>
            </w:r>
          </w:p>
        </w:tc>
        <w:tc>
          <w:tcPr>
            <w:tcW w:w="1856" w:type="dxa"/>
            <w:tcBorders>
              <w:bottom w:val="threeDEmboss" w:sz="6" w:space="0" w:color="00B050"/>
            </w:tcBorders>
          </w:tcPr>
          <w:p w:rsidR="00BA02E2" w:rsidRPr="00286EF8" w:rsidRDefault="00BA02E2" w:rsidP="00496D69">
            <w:pPr>
              <w:widowControl w:val="0"/>
              <w:jc w:val="center"/>
              <w:rPr>
                <w:lang w:val="ro-RO"/>
              </w:rPr>
            </w:pPr>
            <w:r w:rsidRPr="00286EF8">
              <w:rPr>
                <w:lang w:val="ro-RO"/>
              </w:rPr>
              <w:t>2</w:t>
            </w:r>
          </w:p>
        </w:tc>
      </w:tr>
      <w:tr w:rsidR="00BA02E2" w:rsidRPr="00286EF8" w:rsidTr="00286EF8">
        <w:trPr>
          <w:jc w:val="center"/>
        </w:trPr>
        <w:tc>
          <w:tcPr>
            <w:tcW w:w="1286" w:type="dxa"/>
            <w:tcBorders>
              <w:top w:val="threeDEmboss" w:sz="6" w:space="0" w:color="00B050"/>
              <w:left w:val="threeDEmboss" w:sz="6" w:space="0" w:color="00B050"/>
              <w:bottom w:val="threeDEmboss" w:sz="6" w:space="0" w:color="00B050"/>
            </w:tcBorders>
            <w:shd w:val="clear" w:color="auto" w:fill="FCDDC4"/>
          </w:tcPr>
          <w:p w:rsidR="00BA02E2" w:rsidRPr="00286EF8" w:rsidRDefault="00BA02E2" w:rsidP="00496D69">
            <w:pPr>
              <w:ind w:left="-18"/>
              <w:jc w:val="center"/>
              <w:rPr>
                <w:b/>
                <w:color w:val="548DD4"/>
                <w:lang w:val="ro-RO"/>
              </w:rPr>
            </w:pPr>
            <w:r w:rsidRPr="00286EF8">
              <w:rPr>
                <w:b/>
                <w:color w:val="548DD4"/>
                <w:lang w:val="ro-RO"/>
              </w:rPr>
              <w:t xml:space="preserve">     % 2017</w:t>
            </w:r>
          </w:p>
          <w:p w:rsidR="00BA02E2" w:rsidRPr="00286EF8" w:rsidRDefault="00BA02E2" w:rsidP="00496D69">
            <w:pPr>
              <w:ind w:left="-18"/>
              <w:jc w:val="center"/>
              <w:rPr>
                <w:b/>
                <w:color w:val="548DD4"/>
                <w:lang w:val="ro-RO"/>
              </w:rPr>
            </w:pPr>
            <w:r w:rsidRPr="00286EF8">
              <w:rPr>
                <w:b/>
                <w:color w:val="548DD4"/>
                <w:lang w:val="ro-RO"/>
              </w:rPr>
              <w:t xml:space="preserve">   +/- 2016</w:t>
            </w:r>
          </w:p>
        </w:tc>
        <w:tc>
          <w:tcPr>
            <w:tcW w:w="1559" w:type="dxa"/>
            <w:tcBorders>
              <w:top w:val="threeDEmboss" w:sz="6" w:space="0" w:color="00B050"/>
              <w:bottom w:val="threeDEmboss" w:sz="6" w:space="0" w:color="00B050"/>
            </w:tcBorders>
            <w:shd w:val="clear" w:color="auto" w:fill="FCDDC4"/>
            <w:vAlign w:val="center"/>
          </w:tcPr>
          <w:p w:rsidR="00BA02E2" w:rsidRPr="00286EF8" w:rsidRDefault="00BA02E2" w:rsidP="00496D69">
            <w:pPr>
              <w:ind w:left="-18"/>
              <w:jc w:val="center"/>
              <w:rPr>
                <w:b/>
                <w:color w:val="548DD4"/>
                <w:lang w:val="ro-RO"/>
              </w:rPr>
            </w:pPr>
            <w:r w:rsidRPr="00286EF8">
              <w:rPr>
                <w:b/>
                <w:color w:val="548DD4"/>
                <w:lang w:val="ro-RO"/>
              </w:rPr>
              <w:t>-18,4</w:t>
            </w:r>
          </w:p>
        </w:tc>
        <w:tc>
          <w:tcPr>
            <w:tcW w:w="1559" w:type="dxa"/>
            <w:tcBorders>
              <w:top w:val="threeDEmboss" w:sz="6" w:space="0" w:color="00B050"/>
              <w:bottom w:val="threeDEmboss" w:sz="6" w:space="0" w:color="00B050"/>
            </w:tcBorders>
            <w:shd w:val="clear" w:color="auto" w:fill="FCDDC4"/>
            <w:vAlign w:val="center"/>
          </w:tcPr>
          <w:p w:rsidR="00BA02E2" w:rsidRPr="00286EF8" w:rsidRDefault="00BA02E2" w:rsidP="00496D69">
            <w:pPr>
              <w:ind w:left="-18"/>
              <w:jc w:val="center"/>
              <w:rPr>
                <w:b/>
                <w:color w:val="548DD4"/>
                <w:lang w:val="ro-RO"/>
              </w:rPr>
            </w:pPr>
            <w:r w:rsidRPr="00286EF8">
              <w:rPr>
                <w:b/>
                <w:color w:val="548DD4"/>
                <w:lang w:val="ro-RO"/>
              </w:rPr>
              <w:t>-</w:t>
            </w:r>
          </w:p>
        </w:tc>
        <w:tc>
          <w:tcPr>
            <w:tcW w:w="1843" w:type="dxa"/>
            <w:tcBorders>
              <w:top w:val="threeDEmboss" w:sz="6" w:space="0" w:color="00B050"/>
              <w:bottom w:val="threeDEmboss" w:sz="6" w:space="0" w:color="00B050"/>
            </w:tcBorders>
            <w:shd w:val="clear" w:color="auto" w:fill="FCDDC4"/>
            <w:vAlign w:val="center"/>
          </w:tcPr>
          <w:p w:rsidR="00BA02E2" w:rsidRPr="00286EF8" w:rsidRDefault="00BA02E2" w:rsidP="00496D69">
            <w:pPr>
              <w:ind w:left="-18"/>
              <w:jc w:val="center"/>
              <w:rPr>
                <w:b/>
                <w:color w:val="548DD4"/>
                <w:lang w:val="ro-RO"/>
              </w:rPr>
            </w:pPr>
            <w:r w:rsidRPr="00286EF8">
              <w:rPr>
                <w:b/>
                <w:color w:val="548DD4"/>
                <w:lang w:val="ro-RO"/>
              </w:rPr>
              <w:t>-72,7</w:t>
            </w:r>
          </w:p>
        </w:tc>
        <w:tc>
          <w:tcPr>
            <w:tcW w:w="1831" w:type="dxa"/>
            <w:tcBorders>
              <w:top w:val="threeDEmboss" w:sz="6" w:space="0" w:color="00B050"/>
              <w:bottom w:val="threeDEmboss" w:sz="6" w:space="0" w:color="00B050"/>
            </w:tcBorders>
            <w:shd w:val="clear" w:color="auto" w:fill="FCDDC4"/>
            <w:vAlign w:val="center"/>
          </w:tcPr>
          <w:p w:rsidR="00BA02E2" w:rsidRPr="00286EF8" w:rsidRDefault="00BA02E2" w:rsidP="00496D69">
            <w:pPr>
              <w:ind w:left="-18"/>
              <w:jc w:val="center"/>
              <w:rPr>
                <w:b/>
                <w:color w:val="548DD4"/>
                <w:lang w:val="ro-RO"/>
              </w:rPr>
            </w:pPr>
            <w:r w:rsidRPr="00286EF8">
              <w:rPr>
                <w:b/>
                <w:color w:val="548DD4"/>
                <w:lang w:val="ro-RO"/>
              </w:rPr>
              <w:t>-30,3</w:t>
            </w:r>
          </w:p>
        </w:tc>
        <w:tc>
          <w:tcPr>
            <w:tcW w:w="1856" w:type="dxa"/>
            <w:tcBorders>
              <w:top w:val="threeDEmboss" w:sz="6" w:space="0" w:color="00B050"/>
              <w:bottom w:val="threeDEmboss" w:sz="6" w:space="0" w:color="00B050"/>
              <w:right w:val="threeDEmboss" w:sz="6" w:space="0" w:color="00B050"/>
            </w:tcBorders>
            <w:shd w:val="clear" w:color="auto" w:fill="FCDDC4"/>
            <w:vAlign w:val="center"/>
          </w:tcPr>
          <w:p w:rsidR="00BA02E2" w:rsidRPr="00286EF8" w:rsidRDefault="00BA02E2" w:rsidP="00496D69">
            <w:pPr>
              <w:ind w:left="-18"/>
              <w:jc w:val="center"/>
              <w:rPr>
                <w:b/>
                <w:color w:val="548DD4"/>
                <w:lang w:val="ro-RO"/>
              </w:rPr>
            </w:pPr>
            <w:r w:rsidRPr="00286EF8">
              <w:rPr>
                <w:b/>
                <w:color w:val="548DD4"/>
                <w:lang w:val="ro-RO"/>
              </w:rPr>
              <w:t>-50,0</w:t>
            </w:r>
          </w:p>
        </w:tc>
      </w:tr>
    </w:tbl>
    <w:p w:rsidR="00BA02E2" w:rsidRPr="00860724" w:rsidRDefault="00BA02E2" w:rsidP="00BA02E2">
      <w:pPr>
        <w:widowControl w:val="0"/>
        <w:jc w:val="both"/>
        <w:rPr>
          <w:sz w:val="20"/>
          <w:lang w:val="ro-RO"/>
        </w:rPr>
      </w:pPr>
    </w:p>
    <w:p w:rsidR="00BA02E2" w:rsidRPr="00860724" w:rsidRDefault="00BA02E2" w:rsidP="00BA02E2">
      <w:pPr>
        <w:rPr>
          <w:sz w:val="20"/>
          <w:lang w:val="ro-RO"/>
        </w:rPr>
      </w:pPr>
    </w:p>
    <w:tbl>
      <w:tblPr>
        <w:tblW w:w="9949" w:type="dxa"/>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28"/>
        <w:gridCol w:w="1878"/>
        <w:gridCol w:w="2070"/>
        <w:gridCol w:w="4773"/>
      </w:tblGrid>
      <w:tr w:rsidR="00BA02E2" w:rsidRPr="00286EF8" w:rsidTr="00496D69">
        <w:trPr>
          <w:jc w:val="center"/>
        </w:trPr>
        <w:tc>
          <w:tcPr>
            <w:tcW w:w="1228"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ANUL</w:t>
            </w:r>
          </w:p>
        </w:tc>
        <w:tc>
          <w:tcPr>
            <w:tcW w:w="1878"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infracțiuni de contrabandă</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270 din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Lg. nr. 86/2006)</w:t>
            </w:r>
          </w:p>
        </w:tc>
        <w:tc>
          <w:tcPr>
            <w:tcW w:w="2070" w:type="dxa"/>
            <w:tcBorders>
              <w:top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infracțiuni prevăzute de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Codul silvic</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(Lg. nr. 46/2008)</w:t>
            </w:r>
          </w:p>
        </w:tc>
        <w:tc>
          <w:tcPr>
            <w:tcW w:w="4773" w:type="dxa"/>
            <w:tcBorders>
              <w:top w:val="threeDEmboss" w:sz="6" w:space="0" w:color="00B050"/>
              <w:bottom w:val="threeDEmboss" w:sz="6" w:space="0" w:color="00B050"/>
              <w:right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infracțiuni la regimul drepturilor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de proprietate intelectuală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(art. </w:t>
            </w:r>
            <w:smartTag w:uri="urn:schemas-microsoft-com:office:smarttags" w:element="metricconverter">
              <w:smartTagPr>
                <w:attr w:name="ProductID" w:val="357 C"/>
              </w:smartTagPr>
              <w:r w:rsidRPr="00286EF8">
                <w:rPr>
                  <w:rFonts w:asciiTheme="minorHAnsi" w:hAnsiTheme="minorHAnsi" w:cstheme="minorHAnsi"/>
                  <w:b/>
                  <w:color w:val="548DD4"/>
                  <w:lang w:val="ro-RO"/>
                </w:rPr>
                <w:t>357 C</w:t>
              </w:r>
            </w:smartTag>
            <w:r w:rsidRPr="00286EF8">
              <w:rPr>
                <w:rFonts w:asciiTheme="minorHAnsi" w:hAnsiTheme="minorHAnsi" w:cstheme="minorHAnsi"/>
                <w:b/>
                <w:color w:val="548DD4"/>
                <w:lang w:val="ro-RO"/>
              </w:rPr>
              <w:t xml:space="preserve">.p., Lg. nr. 11/1991,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Lg. nr. 64/1991, Lg. nr. 129/1992, Lg. nr.8/1996, </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Lg. nr. 84/1998, Lg. nr. 255/1998)</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2008</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78</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612</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113</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2009</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123</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1.152</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96</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2010</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275</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1.281</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98</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2011</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727</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1.348</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64</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2012</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879</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1.184</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50</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2013</w:t>
            </w:r>
          </w:p>
        </w:tc>
        <w:tc>
          <w:tcPr>
            <w:tcW w:w="1878"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764</w:t>
            </w:r>
          </w:p>
        </w:tc>
        <w:tc>
          <w:tcPr>
            <w:tcW w:w="2070"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1.507</w:t>
            </w:r>
          </w:p>
        </w:tc>
        <w:tc>
          <w:tcPr>
            <w:tcW w:w="4773" w:type="dxa"/>
            <w:vAlign w:val="bottom"/>
          </w:tcPr>
          <w:p w:rsidR="00BA02E2" w:rsidRPr="00286EF8" w:rsidRDefault="00BA02E2" w:rsidP="00496D69">
            <w:pPr>
              <w:jc w:val="center"/>
              <w:rPr>
                <w:rFonts w:asciiTheme="minorHAnsi" w:hAnsiTheme="minorHAnsi" w:cstheme="minorHAnsi"/>
                <w:color w:val="000000"/>
                <w:lang w:val="ro-RO"/>
              </w:rPr>
            </w:pPr>
            <w:r w:rsidRPr="00286EF8">
              <w:rPr>
                <w:rFonts w:asciiTheme="minorHAnsi" w:hAnsiTheme="minorHAnsi" w:cstheme="minorHAnsi"/>
                <w:color w:val="000000"/>
                <w:lang w:val="ro-RO"/>
              </w:rPr>
              <w:t>44</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2014</w:t>
            </w:r>
          </w:p>
        </w:tc>
        <w:tc>
          <w:tcPr>
            <w:tcW w:w="187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960</w:t>
            </w:r>
          </w:p>
        </w:tc>
        <w:tc>
          <w:tcPr>
            <w:tcW w:w="2070"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809</w:t>
            </w:r>
          </w:p>
        </w:tc>
        <w:tc>
          <w:tcPr>
            <w:tcW w:w="477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73</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2015</w:t>
            </w:r>
          </w:p>
        </w:tc>
        <w:tc>
          <w:tcPr>
            <w:tcW w:w="187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1.263</w:t>
            </w:r>
          </w:p>
        </w:tc>
        <w:tc>
          <w:tcPr>
            <w:tcW w:w="2070"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833</w:t>
            </w:r>
          </w:p>
        </w:tc>
        <w:tc>
          <w:tcPr>
            <w:tcW w:w="477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77</w:t>
            </w:r>
          </w:p>
        </w:tc>
      </w:tr>
      <w:tr w:rsidR="00BA02E2" w:rsidRPr="00286EF8" w:rsidTr="00496D69">
        <w:trPr>
          <w:jc w:val="center"/>
        </w:trPr>
        <w:tc>
          <w:tcPr>
            <w:tcW w:w="1228" w:type="dxa"/>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2016</w:t>
            </w:r>
          </w:p>
        </w:tc>
        <w:tc>
          <w:tcPr>
            <w:tcW w:w="1878"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1.154</w:t>
            </w:r>
          </w:p>
        </w:tc>
        <w:tc>
          <w:tcPr>
            <w:tcW w:w="2070"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1.031</w:t>
            </w:r>
          </w:p>
        </w:tc>
        <w:tc>
          <w:tcPr>
            <w:tcW w:w="4773" w:type="dxa"/>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89</w:t>
            </w:r>
          </w:p>
        </w:tc>
      </w:tr>
      <w:tr w:rsidR="00BA02E2" w:rsidRPr="00286EF8" w:rsidTr="00496D69">
        <w:trPr>
          <w:jc w:val="center"/>
        </w:trPr>
        <w:tc>
          <w:tcPr>
            <w:tcW w:w="1228" w:type="dxa"/>
            <w:tcBorders>
              <w:bottom w:val="threeDEmboss" w:sz="6" w:space="0" w:color="00B050"/>
            </w:tcBorders>
          </w:tcPr>
          <w:p w:rsidR="00BA02E2" w:rsidRPr="00286EF8" w:rsidRDefault="00BA02E2" w:rsidP="00496D69">
            <w:pPr>
              <w:jc w:val="center"/>
              <w:rPr>
                <w:rFonts w:asciiTheme="minorHAnsi" w:hAnsiTheme="minorHAnsi" w:cstheme="minorHAnsi"/>
                <w:lang w:val="ro-RO"/>
              </w:rPr>
            </w:pPr>
            <w:r w:rsidRPr="00286EF8">
              <w:rPr>
                <w:rFonts w:asciiTheme="minorHAnsi" w:hAnsiTheme="minorHAnsi" w:cstheme="minorHAnsi"/>
                <w:lang w:val="ro-RO"/>
              </w:rPr>
              <w:t>2017</w:t>
            </w:r>
          </w:p>
        </w:tc>
        <w:tc>
          <w:tcPr>
            <w:tcW w:w="1878"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1.017</w:t>
            </w:r>
          </w:p>
        </w:tc>
        <w:tc>
          <w:tcPr>
            <w:tcW w:w="2070"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979</w:t>
            </w:r>
          </w:p>
        </w:tc>
        <w:tc>
          <w:tcPr>
            <w:tcW w:w="4773" w:type="dxa"/>
            <w:tcBorders>
              <w:bottom w:val="threeDEmboss" w:sz="6" w:space="0" w:color="00B050"/>
            </w:tcBorders>
          </w:tcPr>
          <w:p w:rsidR="00BA02E2" w:rsidRPr="00286EF8" w:rsidRDefault="00BA02E2" w:rsidP="00496D69">
            <w:pPr>
              <w:widowControl w:val="0"/>
              <w:jc w:val="center"/>
              <w:rPr>
                <w:rFonts w:asciiTheme="minorHAnsi" w:hAnsiTheme="minorHAnsi" w:cstheme="minorHAnsi"/>
                <w:lang w:val="ro-RO"/>
              </w:rPr>
            </w:pPr>
            <w:r w:rsidRPr="00286EF8">
              <w:rPr>
                <w:rFonts w:asciiTheme="minorHAnsi" w:hAnsiTheme="minorHAnsi" w:cstheme="minorHAnsi"/>
                <w:lang w:val="ro-RO"/>
              </w:rPr>
              <w:t>107</w:t>
            </w:r>
          </w:p>
        </w:tc>
      </w:tr>
      <w:tr w:rsidR="00BA02E2" w:rsidRPr="00286EF8" w:rsidTr="00496D69">
        <w:trPr>
          <w:jc w:val="center"/>
        </w:trPr>
        <w:tc>
          <w:tcPr>
            <w:tcW w:w="1228" w:type="dxa"/>
            <w:tcBorders>
              <w:top w:val="threeDEmboss" w:sz="6" w:space="0" w:color="00B050"/>
              <w:left w:val="threeDEmboss" w:sz="6" w:space="0" w:color="00B050"/>
              <w:bottom w:val="threeDEmboss" w:sz="6" w:space="0" w:color="00B050"/>
            </w:tcBorders>
            <w:shd w:val="clear" w:color="auto" w:fill="FCE0C8"/>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 2017</w:t>
            </w:r>
          </w:p>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 xml:space="preserve">   +/-2016</w:t>
            </w:r>
          </w:p>
        </w:tc>
        <w:tc>
          <w:tcPr>
            <w:tcW w:w="1878"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-11,9</w:t>
            </w:r>
          </w:p>
        </w:tc>
        <w:tc>
          <w:tcPr>
            <w:tcW w:w="2070" w:type="dxa"/>
            <w:tcBorders>
              <w:top w:val="threeDEmboss" w:sz="6" w:space="0" w:color="00B050"/>
              <w:bottom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-5,0</w:t>
            </w:r>
          </w:p>
        </w:tc>
        <w:tc>
          <w:tcPr>
            <w:tcW w:w="4773" w:type="dxa"/>
            <w:tcBorders>
              <w:top w:val="threeDEmboss" w:sz="6" w:space="0" w:color="00B050"/>
              <w:bottom w:val="threeDEmboss" w:sz="6" w:space="0" w:color="00B050"/>
              <w:right w:val="threeDEmboss" w:sz="6" w:space="0" w:color="00B050"/>
            </w:tcBorders>
            <w:shd w:val="clear" w:color="auto" w:fill="FCE0C8"/>
            <w:vAlign w:val="center"/>
          </w:tcPr>
          <w:p w:rsidR="00BA02E2" w:rsidRPr="00286EF8" w:rsidRDefault="00BA02E2" w:rsidP="00496D69">
            <w:pPr>
              <w:ind w:left="-18"/>
              <w:jc w:val="center"/>
              <w:rPr>
                <w:rFonts w:asciiTheme="minorHAnsi" w:hAnsiTheme="minorHAnsi" w:cstheme="minorHAnsi"/>
                <w:b/>
                <w:color w:val="548DD4"/>
                <w:lang w:val="ro-RO"/>
              </w:rPr>
            </w:pPr>
            <w:r w:rsidRPr="00286EF8">
              <w:rPr>
                <w:rFonts w:asciiTheme="minorHAnsi" w:hAnsiTheme="minorHAnsi" w:cstheme="minorHAnsi"/>
                <w:b/>
                <w:color w:val="548DD4"/>
                <w:lang w:val="ro-RO"/>
              </w:rPr>
              <w:t>+20,2</w:t>
            </w:r>
          </w:p>
        </w:tc>
      </w:tr>
    </w:tbl>
    <w:p w:rsidR="00BA02E2" w:rsidRPr="00860724" w:rsidRDefault="00BA02E2" w:rsidP="00BA02E2">
      <w:pPr>
        <w:rPr>
          <w:sz w:val="20"/>
          <w:lang w:val="ro-RO"/>
        </w:rPr>
      </w:pPr>
    </w:p>
    <w:p w:rsidR="00BA02E2" w:rsidRPr="00860724" w:rsidRDefault="00BA02E2" w:rsidP="00BA02E2">
      <w:pPr>
        <w:spacing w:line="360" w:lineRule="auto"/>
        <w:ind w:firstLine="684"/>
        <w:jc w:val="both"/>
        <w:rPr>
          <w:lang w:val="ro-RO"/>
        </w:rPr>
      </w:pPr>
    </w:p>
    <w:p w:rsidR="00BA02E2" w:rsidRPr="00286EF8" w:rsidRDefault="00BA02E2" w:rsidP="00286EF8">
      <w:pPr>
        <w:spacing w:line="276" w:lineRule="auto"/>
        <w:ind w:firstLine="684"/>
        <w:jc w:val="both"/>
        <w:rPr>
          <w:lang w:val="ro-RO"/>
        </w:rPr>
      </w:pPr>
      <w:r w:rsidRPr="00286EF8">
        <w:rPr>
          <w:lang w:val="ro-RO"/>
        </w:rPr>
        <w:t>În dinamica datelor statistice privitoare la starea infracţională relevată de activitatea parchetelor în anul 2017 trebuie să se ţină în continuare cont de schimbarea legislaţiei penale din anul 2014, care a introdus instituţii juridice noi (judecătorul de drepturi şi libertăţi, camera preliminară, renunţarea la urmărire penală) sau care a dus la schimbări importante în reglementarea instituţiilor existente (regimul măsurilor preventive, percheziţia, prescripţia etc).</w:t>
      </w:r>
    </w:p>
    <w:p w:rsidR="00BA02E2" w:rsidRPr="00286EF8" w:rsidRDefault="00BA02E2" w:rsidP="00286EF8">
      <w:pPr>
        <w:pStyle w:val="Titlu3"/>
      </w:pPr>
      <w:r w:rsidRPr="00286EF8">
        <w:t>Activitatea judiciară în materie penală</w:t>
      </w:r>
    </w:p>
    <w:p w:rsidR="00BA02E2" w:rsidRPr="00286EF8" w:rsidRDefault="00BA02E2" w:rsidP="00286EF8">
      <w:pPr>
        <w:spacing w:line="276" w:lineRule="auto"/>
        <w:ind w:firstLine="686"/>
        <w:jc w:val="both"/>
        <w:rPr>
          <w:lang w:val="ro-RO"/>
        </w:rPr>
      </w:pPr>
      <w:r w:rsidRPr="00286EF8">
        <w:rPr>
          <w:lang w:val="ro-RO"/>
        </w:rPr>
        <w:t xml:space="preserve">În materie penală se constată în perioada de referinţă o creştere cu 11,6% a numărului cauzelor judecate cu participarea procurorului (de la 306030 de cauze în anul 2016 la 341532  de cauze în anul 2017) şi o creștere cu 9,8% a numărului hotărârilor </w:t>
      </w:r>
      <w:r w:rsidR="00E06E6A">
        <w:rPr>
          <w:lang w:val="ro-RO"/>
        </w:rPr>
        <w:t>analizate</w:t>
      </w:r>
      <w:r w:rsidRPr="00286EF8">
        <w:rPr>
          <w:lang w:val="ro-RO"/>
        </w:rPr>
        <w:t xml:space="preserve"> de procuror în vederea exercitării căilor de atac (de la 280047 de hotărâri în anul 2016, la 307396 în anul 2017).</w:t>
      </w:r>
    </w:p>
    <w:p w:rsidR="00BA02E2" w:rsidRPr="00286EF8" w:rsidRDefault="00BA02E2" w:rsidP="00286EF8">
      <w:pPr>
        <w:spacing w:line="276" w:lineRule="auto"/>
        <w:ind w:firstLine="686"/>
        <w:jc w:val="both"/>
        <w:rPr>
          <w:lang w:val="ro-RO"/>
        </w:rPr>
      </w:pPr>
      <w:r w:rsidRPr="00286EF8">
        <w:rPr>
          <w:lang w:val="ro-RO"/>
        </w:rPr>
        <w:t>Numărul de contesta</w:t>
      </w:r>
      <w:r w:rsidRPr="00286EF8">
        <w:rPr>
          <w:rFonts w:cs="Cambria"/>
          <w:lang w:val="ro-RO"/>
        </w:rPr>
        <w:t>ț</w:t>
      </w:r>
      <w:r w:rsidRPr="00286EF8">
        <w:rPr>
          <w:lang w:val="ro-RO"/>
        </w:rPr>
        <w:t>ii, apeluri, recursuri în casa</w:t>
      </w:r>
      <w:r w:rsidRPr="00286EF8">
        <w:rPr>
          <w:rFonts w:cs="Cambria"/>
          <w:lang w:val="ro-RO"/>
        </w:rPr>
        <w:t>ț</w:t>
      </w:r>
      <w:r w:rsidRPr="00286EF8">
        <w:rPr>
          <w:lang w:val="ro-RO"/>
        </w:rPr>
        <w:t xml:space="preserve">ie </w:t>
      </w:r>
      <w:r w:rsidRPr="00286EF8">
        <w:rPr>
          <w:rFonts w:cs="Cambria"/>
          <w:lang w:val="ro-RO"/>
        </w:rPr>
        <w:t>ș</w:t>
      </w:r>
      <w:r w:rsidRPr="00286EF8">
        <w:rPr>
          <w:lang w:val="ro-RO"/>
        </w:rPr>
        <w:t>i contesta</w:t>
      </w:r>
      <w:r w:rsidRPr="00286EF8">
        <w:rPr>
          <w:rFonts w:cs="Cambria"/>
          <w:lang w:val="ro-RO"/>
        </w:rPr>
        <w:t>ț</w:t>
      </w:r>
      <w:r w:rsidRPr="00286EF8">
        <w:rPr>
          <w:lang w:val="ro-RO"/>
        </w:rPr>
        <w:t>ii în anulare declarate de procuror a crescut cu 0,7% (de la 11374 în anul 2016 la 11448 în 2017 ) iar numărul de apeluri şi recursuri soluţionate de instanţe (din cele declarate de procuror) a crescut cu 1,6% (de la 10963 în anul 2016 la 11137 în anul 2017).</w:t>
      </w:r>
    </w:p>
    <w:p w:rsidR="00BA02E2" w:rsidRPr="00286EF8" w:rsidRDefault="00BA02E2" w:rsidP="00286EF8">
      <w:pPr>
        <w:spacing w:line="276" w:lineRule="auto"/>
        <w:ind w:firstLine="686"/>
        <w:jc w:val="both"/>
        <w:rPr>
          <w:lang w:val="ro-RO"/>
        </w:rPr>
      </w:pPr>
      <w:r w:rsidRPr="00286EF8">
        <w:rPr>
          <w:lang w:val="ro-RO"/>
        </w:rPr>
        <w:t>Numărul de apeluri şi recursuri admise în anul 2017(din cele declarate de procuror) a scăzut cu 1,1% ( 7234  admise în anul 2016 și 7154 admise în anul 2017) constatându-se un indice de admisibilitate de 64,3% în anul de referinţă 2017.</w:t>
      </w:r>
    </w:p>
    <w:p w:rsidR="00BA02E2" w:rsidRPr="00286EF8" w:rsidRDefault="00BA02E2" w:rsidP="00286EF8">
      <w:pPr>
        <w:spacing w:line="276" w:lineRule="auto"/>
        <w:ind w:firstLine="686"/>
        <w:jc w:val="both"/>
        <w:rPr>
          <w:lang w:val="ro-RO"/>
        </w:rPr>
      </w:pPr>
      <w:r w:rsidRPr="00286EF8">
        <w:rPr>
          <w:lang w:val="ro-RO"/>
        </w:rPr>
        <w:t>În aceeaşi perioadă de referinţă au fost declarate de procuror 37 recursuri în interesul legii (faţă de 30 în anul 2016), au fost soluţionate de instanţă tot 37 de recursuri în interesul legii (faţă de 29 în anul 2016) fiind admise 22, ceea ce înseamnă un indice de admitere de 59,5%.</w:t>
      </w:r>
    </w:p>
    <w:p w:rsidR="00BA02E2" w:rsidRPr="00286EF8" w:rsidRDefault="00BA02E2" w:rsidP="00286EF8">
      <w:pPr>
        <w:spacing w:line="276" w:lineRule="auto"/>
        <w:ind w:firstLine="686"/>
        <w:jc w:val="both"/>
        <w:rPr>
          <w:lang w:val="ro-RO"/>
        </w:rPr>
      </w:pPr>
      <w:r w:rsidRPr="00286EF8">
        <w:rPr>
          <w:lang w:val="ro-RO"/>
        </w:rPr>
        <w:t xml:space="preserve">În materie civilă în perioada de referinţă se constată o scădere cu 3% a numărului cauzelor judecate cu participarea procurorului (43877 de cauze în anul 2016, la 42565 în anul 2017) şi o scădere cu 0,8% a numărului hotărârilor </w:t>
      </w:r>
      <w:r w:rsidR="00E06E6A">
        <w:rPr>
          <w:lang w:val="ro-RO"/>
        </w:rPr>
        <w:t>analizate</w:t>
      </w:r>
      <w:r w:rsidR="00E06E6A" w:rsidRPr="00286EF8">
        <w:rPr>
          <w:lang w:val="ro-RO"/>
        </w:rPr>
        <w:t xml:space="preserve"> </w:t>
      </w:r>
      <w:r w:rsidRPr="00286EF8">
        <w:rPr>
          <w:lang w:val="ro-RO"/>
        </w:rPr>
        <w:t>de procuror în vederea exercitării căilor de atac (de la 48563 hotărâri în anul 2016, la  48198 în anul 2017).</w:t>
      </w:r>
    </w:p>
    <w:p w:rsidR="00BA02E2" w:rsidRPr="00286EF8" w:rsidRDefault="00BA02E2" w:rsidP="00286EF8">
      <w:pPr>
        <w:spacing w:line="276" w:lineRule="auto"/>
        <w:ind w:firstLine="686"/>
        <w:jc w:val="both"/>
        <w:rPr>
          <w:lang w:val="ro-RO"/>
        </w:rPr>
      </w:pPr>
      <w:r w:rsidRPr="00286EF8">
        <w:rPr>
          <w:lang w:val="ro-RO"/>
        </w:rPr>
        <w:t>Numărul de plângeri, apeluri, recursuri şi contestaţii în anulare declarate de procuror a scăzut cu 42,9% (de la 182 în anul 2016 la 104 în anul 2017) iar numărul acestora soluţionate de instanţe (din cele declarate de procuror) a scăzut cu 38,8% (de la 183 în anul 2016, la 112 în anul 2017).</w:t>
      </w:r>
    </w:p>
    <w:p w:rsidR="00BA02E2" w:rsidRPr="00286EF8" w:rsidRDefault="00BA02E2" w:rsidP="00286EF8">
      <w:pPr>
        <w:spacing w:line="276" w:lineRule="auto"/>
        <w:ind w:firstLine="686"/>
        <w:jc w:val="both"/>
        <w:rPr>
          <w:lang w:val="ro-RO"/>
        </w:rPr>
      </w:pPr>
      <w:r w:rsidRPr="00286EF8">
        <w:rPr>
          <w:lang w:val="ro-RO"/>
        </w:rPr>
        <w:t>Numărul de apeluri şi recursuri admise (din cele declarate de procuror) a scăzut cu 33,9% (de la 109 în anul 2016, la 72 în anul 2017) constatându-se o admisibilitate de 64,3% în anul 2017 .</w:t>
      </w:r>
    </w:p>
    <w:p w:rsidR="00BA02E2" w:rsidRPr="00286EF8" w:rsidRDefault="00BA02E2" w:rsidP="00286EF8">
      <w:pPr>
        <w:spacing w:line="276" w:lineRule="auto"/>
        <w:ind w:firstLine="686"/>
        <w:jc w:val="both"/>
        <w:rPr>
          <w:lang w:val="ro-RO"/>
        </w:rPr>
      </w:pPr>
      <w:r w:rsidRPr="00286EF8">
        <w:rPr>
          <w:lang w:val="ro-RO"/>
        </w:rPr>
        <w:t>În anul 2017 au fost declarate 18 recursuri în interesul legii (faţă de 17 în anul 2016), au fost soluţionate de instanţă 19 recursuri în interesul legii (16 în anul 2016), fiind admise 18, ceea ce înseamnă un indice de admitere de 94,7% (93,8% a fost acest indice în 2016).</w:t>
      </w:r>
    </w:p>
    <w:p w:rsidR="00BA02E2" w:rsidRPr="00286EF8" w:rsidRDefault="00BA02E2" w:rsidP="00286EF8">
      <w:pPr>
        <w:pStyle w:val="Titlu3"/>
      </w:pPr>
      <w:r w:rsidRPr="00286EF8">
        <w:t>Activitatea de rezolvare a plângerilor, cererilor, memoriilor şi sesizărilor cetăţenilor</w:t>
      </w:r>
    </w:p>
    <w:p w:rsidR="00BA02E2" w:rsidRPr="00286EF8" w:rsidRDefault="00BA02E2" w:rsidP="00286EF8">
      <w:pPr>
        <w:spacing w:line="276" w:lineRule="auto"/>
        <w:ind w:firstLine="686"/>
        <w:jc w:val="both"/>
        <w:rPr>
          <w:lang w:val="ro-RO"/>
        </w:rPr>
      </w:pPr>
      <w:r w:rsidRPr="00286EF8">
        <w:rPr>
          <w:lang w:val="ro-RO"/>
        </w:rPr>
        <w:t>În anul 2017 au fost soluţionate 434187  de plângeri, cereri, memorii şi sesizări ale cetăţenilor (o ușoară scădere cu 0,4% faţă de anul 2016, când au fost soluţionate 435746  de plângeri), din care 170814  au fost admise (în scădere cu 7,6% faţă de anul 2016, când au fost admise 184929 de plângeri).</w:t>
      </w:r>
    </w:p>
    <w:p w:rsidR="00BA02E2" w:rsidRPr="00286EF8" w:rsidRDefault="00BA02E2" w:rsidP="00286EF8">
      <w:pPr>
        <w:pStyle w:val="Titlu2"/>
      </w:pPr>
    </w:p>
    <w:p w:rsidR="00D65D5E" w:rsidRDefault="006F2993" w:rsidP="00286EF8">
      <w:pPr>
        <w:pStyle w:val="Titlu2"/>
      </w:pPr>
      <w:r w:rsidRPr="00286EF8">
        <w:t>II.6. Durata de soluţionare a cauzelor</w:t>
      </w:r>
      <w:bookmarkEnd w:id="67"/>
    </w:p>
    <w:p w:rsidR="008A54FD" w:rsidRPr="008A54FD" w:rsidRDefault="008A54FD" w:rsidP="008A54FD">
      <w:pPr>
        <w:jc w:val="both"/>
        <w:rPr>
          <w:rFonts w:ascii="Franklin Gothic Book" w:hAnsi="Franklin Gothic Book"/>
          <w:b/>
          <w:lang w:val="ro-RO"/>
        </w:rPr>
      </w:pPr>
    </w:p>
    <w:tbl>
      <w:tblPr>
        <w:tblW w:w="8897"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clear" w:color="auto" w:fill="E0E0E0"/>
        <w:tblLayout w:type="fixed"/>
        <w:tblLook w:val="0000" w:firstRow="0" w:lastRow="0" w:firstColumn="0" w:lastColumn="0" w:noHBand="0" w:noVBand="0"/>
      </w:tblPr>
      <w:tblGrid>
        <w:gridCol w:w="1458"/>
        <w:gridCol w:w="1344"/>
        <w:gridCol w:w="2126"/>
        <w:gridCol w:w="1984"/>
        <w:gridCol w:w="1985"/>
      </w:tblGrid>
      <w:tr w:rsidR="008A54FD" w:rsidRPr="008A54FD" w:rsidTr="00122527">
        <w:trPr>
          <w:jc w:val="center"/>
        </w:trPr>
        <w:tc>
          <w:tcPr>
            <w:tcW w:w="1458" w:type="dxa"/>
            <w:vMerge w:val="restart"/>
            <w:tcBorders>
              <w:top w:val="threeDEmboss" w:sz="6" w:space="0" w:color="00B050"/>
              <w:left w:val="threeDEmboss" w:sz="6" w:space="0" w:color="00B050"/>
            </w:tcBorders>
            <w:shd w:val="clear" w:color="auto" w:fill="FCE0C8"/>
            <w:vAlign w:val="center"/>
          </w:tcPr>
          <w:p w:rsidR="008A54FD" w:rsidRPr="008A54FD" w:rsidRDefault="008A54FD" w:rsidP="008A54FD">
            <w:pPr>
              <w:jc w:val="center"/>
              <w:rPr>
                <w:rFonts w:ascii="Franklin Gothic Book" w:hAnsi="Franklin Gothic Book"/>
                <w:b/>
                <w:sz w:val="20"/>
                <w:szCs w:val="20"/>
                <w:lang w:val="ro-RO"/>
              </w:rPr>
            </w:pPr>
            <w:r w:rsidRPr="008A54FD">
              <w:rPr>
                <w:rFonts w:ascii="Franklin Gothic Book" w:hAnsi="Franklin Gothic Book"/>
                <w:b/>
                <w:sz w:val="20"/>
                <w:szCs w:val="20"/>
                <w:lang w:val="ro-RO"/>
              </w:rPr>
              <w:t>ANUL</w:t>
            </w:r>
          </w:p>
        </w:tc>
        <w:tc>
          <w:tcPr>
            <w:tcW w:w="3470" w:type="dxa"/>
            <w:gridSpan w:val="2"/>
            <w:tcBorders>
              <w:top w:val="threeDEmboss" w:sz="6" w:space="0" w:color="00B050"/>
            </w:tcBorders>
            <w:shd w:val="clear" w:color="auto" w:fill="FCE0C8"/>
            <w:vAlign w:val="center"/>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1.NUMĂRUL CAUZELOR SOLUŢIONATE PÂNĂ ÎN 6 LUNI </w:t>
            </w:r>
          </w:p>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DE LA SESIZARE</w:t>
            </w:r>
          </w:p>
          <w:p w:rsidR="008A54FD" w:rsidRPr="008A54FD" w:rsidRDefault="008A54FD" w:rsidP="008A54FD">
            <w:pPr>
              <w:jc w:val="center"/>
              <w:rPr>
                <w:rFonts w:ascii="Franklin Gothic Book" w:hAnsi="Franklin Gothic Book"/>
                <w:b/>
                <w:sz w:val="20"/>
                <w:szCs w:val="20"/>
                <w:lang w:val="ro-RO"/>
              </w:rPr>
            </w:pPr>
            <w:r w:rsidRPr="008A54FD">
              <w:rPr>
                <w:rFonts w:ascii="Franklin Gothic Book" w:hAnsi="Franklin Gothic Book"/>
                <w:b/>
                <w:sz w:val="22"/>
                <w:szCs w:val="22"/>
                <w:lang w:val="ro-RO"/>
              </w:rPr>
              <w:t>(inclusiv cauzele cu A.N.)*</w:t>
            </w:r>
          </w:p>
        </w:tc>
        <w:tc>
          <w:tcPr>
            <w:tcW w:w="3969" w:type="dxa"/>
            <w:gridSpan w:val="2"/>
            <w:tcBorders>
              <w:top w:val="threeDEmboss" w:sz="6" w:space="0" w:color="00B050"/>
              <w:right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2. NUM</w:t>
            </w:r>
            <w:r w:rsidRPr="008A54FD">
              <w:rPr>
                <w:rFonts w:ascii="Franklin Gothic Book" w:hAnsi="Franklin Gothic Book" w:hint="eastAsia"/>
                <w:b/>
                <w:sz w:val="22"/>
                <w:szCs w:val="22"/>
                <w:lang w:val="ro-RO"/>
              </w:rPr>
              <w:t>Ă</w:t>
            </w:r>
            <w:r w:rsidRPr="008A54FD">
              <w:rPr>
                <w:rFonts w:ascii="Franklin Gothic Book" w:hAnsi="Franklin Gothic Book"/>
                <w:b/>
                <w:sz w:val="22"/>
                <w:szCs w:val="22"/>
                <w:lang w:val="ro-RO"/>
              </w:rPr>
              <w:t>RUL CAUZELOR SOLU</w:t>
            </w:r>
            <w:r w:rsidRPr="008A54FD">
              <w:rPr>
                <w:rFonts w:ascii="Franklin Gothic Book" w:hAnsi="Franklin Gothic Book" w:hint="eastAsia"/>
                <w:b/>
                <w:sz w:val="22"/>
                <w:szCs w:val="22"/>
                <w:lang w:val="ro-RO"/>
              </w:rPr>
              <w:t>Ţ</w:t>
            </w:r>
            <w:r w:rsidRPr="008A54FD">
              <w:rPr>
                <w:rFonts w:ascii="Franklin Gothic Book" w:hAnsi="Franklin Gothic Book"/>
                <w:b/>
                <w:sz w:val="22"/>
                <w:szCs w:val="22"/>
                <w:lang w:val="ro-RO"/>
              </w:rPr>
              <w:t xml:space="preserve">IONATE ÎNTRE 6 LUNI </w:t>
            </w:r>
            <w:r w:rsidRPr="008A54FD">
              <w:rPr>
                <w:rFonts w:ascii="Franklin Gothic Book" w:hAnsi="Franklin Gothic Book" w:hint="eastAsia"/>
                <w:b/>
                <w:sz w:val="22"/>
                <w:szCs w:val="22"/>
                <w:lang w:val="ro-RO"/>
              </w:rPr>
              <w:t>Ş</w:t>
            </w:r>
            <w:r w:rsidRPr="008A54FD">
              <w:rPr>
                <w:rFonts w:ascii="Franklin Gothic Book" w:hAnsi="Franklin Gothic Book"/>
                <w:b/>
                <w:sz w:val="22"/>
                <w:szCs w:val="22"/>
                <w:lang w:val="ro-RO"/>
              </w:rPr>
              <w:t xml:space="preserve">I 1 AN </w:t>
            </w:r>
          </w:p>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DE LA SESIZARE</w:t>
            </w:r>
          </w:p>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(inclusiv cauzele cu A.N.)*</w:t>
            </w:r>
          </w:p>
        </w:tc>
      </w:tr>
      <w:tr w:rsidR="008A54FD" w:rsidRPr="008A54FD" w:rsidTr="00122527">
        <w:trPr>
          <w:cantSplit/>
          <w:trHeight w:val="718"/>
          <w:jc w:val="center"/>
        </w:trPr>
        <w:tc>
          <w:tcPr>
            <w:tcW w:w="1458" w:type="dxa"/>
            <w:vMerge/>
            <w:tcBorders>
              <w:left w:val="threeDEmboss" w:sz="6" w:space="0" w:color="00B050"/>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p>
        </w:tc>
        <w:tc>
          <w:tcPr>
            <w:tcW w:w="1344" w:type="dxa"/>
            <w:tcBorders>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TOTAL, </w:t>
            </w:r>
          </w:p>
          <w:p w:rsidR="008A54FD" w:rsidRPr="008A54FD" w:rsidRDefault="008A54FD" w:rsidP="008A54FD">
            <w:pPr>
              <w:jc w:val="center"/>
              <w:rPr>
                <w:rFonts w:ascii="Franklin Gothic Book" w:hAnsi="Franklin Gothic Book"/>
                <w:sz w:val="20"/>
                <w:szCs w:val="20"/>
                <w:lang w:val="ro-RO"/>
              </w:rPr>
            </w:pPr>
            <w:r w:rsidRPr="008A54FD">
              <w:rPr>
                <w:rFonts w:ascii="Franklin Gothic Book" w:hAnsi="Franklin Gothic Book"/>
                <w:b/>
                <w:sz w:val="22"/>
                <w:szCs w:val="22"/>
                <w:lang w:val="ro-RO"/>
              </w:rPr>
              <w:t>din care:</w:t>
            </w:r>
          </w:p>
        </w:tc>
        <w:tc>
          <w:tcPr>
            <w:tcW w:w="2126" w:type="dxa"/>
            <w:tcBorders>
              <w:bottom w:val="threeDEmboss" w:sz="6" w:space="0" w:color="00B050"/>
            </w:tcBorders>
            <w:shd w:val="clear" w:color="auto" w:fill="FCE0C8"/>
          </w:tcPr>
          <w:p w:rsidR="008A54FD" w:rsidRPr="008A54FD" w:rsidRDefault="008A54FD" w:rsidP="008A54FD">
            <w:pPr>
              <w:jc w:val="center"/>
              <w:rPr>
                <w:rFonts w:ascii="Arial Narrow" w:hAnsi="Arial Narrow"/>
                <w:sz w:val="20"/>
                <w:szCs w:val="20"/>
                <w:lang w:val="ro-RO"/>
              </w:rPr>
            </w:pPr>
            <w:r w:rsidRPr="008A54FD">
              <w:rPr>
                <w:rFonts w:ascii="Arial Narrow" w:hAnsi="Arial Narrow"/>
                <w:sz w:val="20"/>
                <w:szCs w:val="20"/>
                <w:lang w:val="ro-RO"/>
              </w:rPr>
              <w:t xml:space="preserve">pondere în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 xml:space="preserve">total cauze soluţionate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w:t>
            </w:r>
          </w:p>
        </w:tc>
        <w:tc>
          <w:tcPr>
            <w:tcW w:w="1984" w:type="dxa"/>
            <w:tcBorders>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TOTAL, </w:t>
            </w:r>
          </w:p>
          <w:p w:rsidR="008A54FD" w:rsidRPr="008A54FD" w:rsidRDefault="008A54FD" w:rsidP="008A54FD">
            <w:pPr>
              <w:jc w:val="center"/>
              <w:rPr>
                <w:rFonts w:ascii="Franklin Gothic Book" w:hAnsi="Franklin Gothic Book"/>
                <w:sz w:val="20"/>
                <w:szCs w:val="20"/>
                <w:lang w:val="ro-RO"/>
              </w:rPr>
            </w:pPr>
            <w:r w:rsidRPr="008A54FD">
              <w:rPr>
                <w:rFonts w:ascii="Franklin Gothic Book" w:hAnsi="Franklin Gothic Book"/>
                <w:b/>
                <w:sz w:val="22"/>
                <w:szCs w:val="22"/>
                <w:lang w:val="ro-RO"/>
              </w:rPr>
              <w:t>din care:</w:t>
            </w:r>
          </w:p>
        </w:tc>
        <w:tc>
          <w:tcPr>
            <w:tcW w:w="1985" w:type="dxa"/>
            <w:tcBorders>
              <w:bottom w:val="threeDEmboss" w:sz="6" w:space="0" w:color="00B050"/>
              <w:right w:val="threeDEmboss" w:sz="6" w:space="0" w:color="00B050"/>
            </w:tcBorders>
            <w:shd w:val="clear" w:color="auto" w:fill="FCE0C8"/>
          </w:tcPr>
          <w:p w:rsidR="008A54FD" w:rsidRPr="008A54FD" w:rsidRDefault="008A54FD" w:rsidP="008A54FD">
            <w:pPr>
              <w:jc w:val="center"/>
              <w:rPr>
                <w:rFonts w:ascii="Arial Narrow" w:hAnsi="Arial Narrow"/>
                <w:sz w:val="20"/>
                <w:szCs w:val="20"/>
                <w:lang w:val="ro-RO"/>
              </w:rPr>
            </w:pPr>
            <w:r w:rsidRPr="008A54FD">
              <w:rPr>
                <w:rFonts w:ascii="Arial Narrow" w:hAnsi="Arial Narrow"/>
                <w:sz w:val="20"/>
                <w:szCs w:val="20"/>
                <w:lang w:val="ro-RO"/>
              </w:rPr>
              <w:t xml:space="preserve">pondere în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 xml:space="preserve">total cauze soluţionate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2008</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383.150</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77,8</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67.543</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13,7</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2009</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377.384</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75,9</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70.794</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14,2</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2010</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372.026</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71,8</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79.035</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15,3</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2011</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401.056</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69,2</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86.162</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14,9</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2012</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414.953</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70,2</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87.979</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14,9</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2013</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411.337</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64,7</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114.269</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18,0</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2014</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273.949</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40,6</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122.696</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18,2</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2015</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256.458</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39,8</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135.582</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21,0</w:t>
            </w:r>
          </w:p>
        </w:tc>
      </w:tr>
      <w:tr w:rsidR="008A54FD" w:rsidRPr="008A54FD" w:rsidTr="00122527">
        <w:tblPrEx>
          <w:shd w:val="clear" w:color="auto" w:fill="auto"/>
        </w:tblPrEx>
        <w:trPr>
          <w:jc w:val="center"/>
        </w:trPr>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2016</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234.596</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41,2</w:t>
            </w:r>
          </w:p>
        </w:tc>
        <w:tc>
          <w:tcPr>
            <w:tcW w:w="198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124.069</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21,8</w:t>
            </w:r>
          </w:p>
        </w:tc>
      </w:tr>
      <w:tr w:rsidR="008A54FD" w:rsidRPr="008A54FD" w:rsidTr="00122527">
        <w:tblPrEx>
          <w:shd w:val="clear" w:color="auto" w:fill="auto"/>
        </w:tblPrEx>
        <w:trPr>
          <w:jc w:val="center"/>
        </w:trPr>
        <w:tc>
          <w:tcPr>
            <w:tcW w:w="1458" w:type="dxa"/>
            <w:tcBorders>
              <w:bottom w:val="threeDEmboss" w:sz="6" w:space="0" w:color="00B050"/>
            </w:tcBorders>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2017</w:t>
            </w:r>
          </w:p>
        </w:tc>
        <w:tc>
          <w:tcPr>
            <w:tcW w:w="1344"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198.423</w:t>
            </w:r>
          </w:p>
        </w:tc>
        <w:tc>
          <w:tcPr>
            <w:tcW w:w="2126"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37,2</w:t>
            </w:r>
          </w:p>
        </w:tc>
        <w:tc>
          <w:tcPr>
            <w:tcW w:w="1984"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110.024</w:t>
            </w:r>
          </w:p>
        </w:tc>
        <w:tc>
          <w:tcPr>
            <w:tcW w:w="1985"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20,6</w:t>
            </w:r>
          </w:p>
        </w:tc>
      </w:tr>
      <w:tr w:rsidR="008A54FD" w:rsidRPr="008A54FD" w:rsidTr="00122527">
        <w:tblPrEx>
          <w:shd w:val="clear" w:color="auto" w:fill="auto"/>
        </w:tblPrEx>
        <w:trPr>
          <w:jc w:val="center"/>
        </w:trPr>
        <w:tc>
          <w:tcPr>
            <w:tcW w:w="1458" w:type="dxa"/>
            <w:tcBorders>
              <w:top w:val="threeDEmboss" w:sz="6" w:space="0" w:color="00B050"/>
              <w:left w:val="threeDEmboss" w:sz="6" w:space="0" w:color="00B050"/>
              <w:bottom w:val="threeDEmboss" w:sz="6" w:space="0" w:color="00B050"/>
            </w:tcBorders>
            <w:shd w:val="clear" w:color="auto" w:fill="FCE0C8"/>
          </w:tcPr>
          <w:p w:rsidR="008A54FD" w:rsidRPr="008A54FD" w:rsidRDefault="008A54FD" w:rsidP="008A54FD">
            <w:pPr>
              <w:rPr>
                <w:rFonts w:ascii="Arial Narrow" w:hAnsi="Arial Narrow"/>
                <w:b/>
                <w:i/>
                <w:sz w:val="22"/>
                <w:szCs w:val="22"/>
                <w:u w:val="single"/>
                <w:lang w:val="ro-RO"/>
              </w:rPr>
            </w:pPr>
            <w:r w:rsidRPr="008A54FD">
              <w:rPr>
                <w:rFonts w:ascii="Arial Narrow" w:hAnsi="Arial Narrow"/>
                <w:b/>
                <w:i/>
                <w:sz w:val="22"/>
                <w:szCs w:val="22"/>
                <w:lang w:val="ro-RO"/>
              </w:rPr>
              <w:t xml:space="preserve">   % </w:t>
            </w:r>
            <w:r w:rsidRPr="008A54FD">
              <w:rPr>
                <w:rFonts w:ascii="Arial Narrow" w:hAnsi="Arial Narrow"/>
                <w:b/>
                <w:i/>
                <w:sz w:val="22"/>
                <w:szCs w:val="22"/>
                <w:u w:val="single"/>
                <w:lang w:val="ro-RO"/>
              </w:rPr>
              <w:t>2017</w:t>
            </w:r>
          </w:p>
          <w:p w:rsidR="008A54FD" w:rsidRPr="008A54FD" w:rsidRDefault="008A54FD" w:rsidP="008A54FD">
            <w:pPr>
              <w:rPr>
                <w:rFonts w:ascii="Arial Narrow" w:hAnsi="Arial Narrow"/>
                <w:b/>
                <w:i/>
                <w:sz w:val="22"/>
                <w:szCs w:val="22"/>
                <w:lang w:val="ro-RO"/>
              </w:rPr>
            </w:pPr>
            <w:r w:rsidRPr="008A54FD">
              <w:rPr>
                <w:rFonts w:ascii="Arial Narrow" w:hAnsi="Arial Narrow"/>
                <w:b/>
                <w:i/>
                <w:sz w:val="22"/>
                <w:szCs w:val="22"/>
                <w:lang w:val="ro-RO"/>
              </w:rPr>
              <w:t xml:space="preserve">  +/- 2016</w:t>
            </w:r>
          </w:p>
        </w:tc>
        <w:tc>
          <w:tcPr>
            <w:tcW w:w="1344"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-15,4</w:t>
            </w:r>
          </w:p>
        </w:tc>
        <w:tc>
          <w:tcPr>
            <w:tcW w:w="2126"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w:t>
            </w:r>
          </w:p>
        </w:tc>
        <w:tc>
          <w:tcPr>
            <w:tcW w:w="1984"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-11,3</w:t>
            </w:r>
          </w:p>
        </w:tc>
        <w:tc>
          <w:tcPr>
            <w:tcW w:w="1985" w:type="dxa"/>
            <w:tcBorders>
              <w:top w:val="threeDEmboss" w:sz="6" w:space="0" w:color="00B050"/>
              <w:bottom w:val="threeDEmboss" w:sz="6" w:space="0" w:color="00B050"/>
              <w:right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w:t>
            </w:r>
          </w:p>
        </w:tc>
      </w:tr>
    </w:tbl>
    <w:p w:rsidR="008A54FD" w:rsidRPr="008A54FD" w:rsidRDefault="008A54FD" w:rsidP="008A54FD">
      <w:pPr>
        <w:jc w:val="both"/>
        <w:rPr>
          <w:rFonts w:ascii="Franklin Gothic Book" w:hAnsi="Franklin Gothic Book"/>
          <w:sz w:val="6"/>
          <w:szCs w:val="6"/>
          <w:lang w:val="ro-RO"/>
        </w:rPr>
      </w:pPr>
      <w:r w:rsidRPr="008A54FD">
        <w:rPr>
          <w:rFonts w:ascii="Franklin Gothic Book" w:hAnsi="Franklin Gothic Book"/>
          <w:sz w:val="20"/>
          <w:szCs w:val="20"/>
          <w:lang w:val="ro-RO"/>
        </w:rPr>
        <w:t xml:space="preserve">      </w:t>
      </w:r>
    </w:p>
    <w:p w:rsidR="008A54FD" w:rsidRPr="008A54FD" w:rsidRDefault="008A54FD" w:rsidP="008A54FD">
      <w:pPr>
        <w:jc w:val="both"/>
        <w:rPr>
          <w:rFonts w:ascii="Franklin Gothic Book" w:hAnsi="Franklin Gothic Book"/>
          <w:sz w:val="6"/>
          <w:szCs w:val="6"/>
          <w:lang w:val="ro-RO"/>
        </w:rPr>
      </w:pPr>
      <w:r w:rsidRPr="008A54FD">
        <w:rPr>
          <w:rFonts w:ascii="Franklin Gothic Book" w:hAnsi="Franklin Gothic Book"/>
          <w:sz w:val="20"/>
          <w:szCs w:val="20"/>
          <w:lang w:val="ro-RO"/>
        </w:rPr>
        <w:t xml:space="preserve">    </w:t>
      </w:r>
    </w:p>
    <w:p w:rsidR="008A54FD" w:rsidRPr="008A54FD" w:rsidRDefault="008A54FD" w:rsidP="008A54FD">
      <w:pPr>
        <w:jc w:val="both"/>
        <w:rPr>
          <w:rFonts w:ascii="Franklin Gothic Book" w:hAnsi="Franklin Gothic Book"/>
          <w:sz w:val="20"/>
          <w:szCs w:val="20"/>
          <w:lang w:val="ro-RO"/>
        </w:rPr>
      </w:pPr>
      <w:r w:rsidRPr="008A54FD">
        <w:rPr>
          <w:rFonts w:ascii="Franklin Gothic Book" w:hAnsi="Franklin Gothic Book"/>
          <w:sz w:val="20"/>
          <w:szCs w:val="20"/>
          <w:lang w:val="ro-RO"/>
        </w:rPr>
        <w:t xml:space="preserve">      *Datele din perioada 2008 - 2013 nu cuprind cauzele cu autor necunoscut.</w:t>
      </w:r>
    </w:p>
    <w:p w:rsidR="008A54FD" w:rsidRP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Default="008A54FD" w:rsidP="008A54FD">
      <w:pPr>
        <w:jc w:val="both"/>
        <w:rPr>
          <w:rFonts w:ascii="Franklin Gothic Book" w:hAnsi="Franklin Gothic Book"/>
          <w:sz w:val="20"/>
          <w:szCs w:val="20"/>
          <w:lang w:val="ro-RO"/>
        </w:rPr>
      </w:pPr>
    </w:p>
    <w:p w:rsidR="008A54FD" w:rsidRPr="008A54FD" w:rsidRDefault="008A54FD" w:rsidP="008A54FD">
      <w:pPr>
        <w:jc w:val="both"/>
        <w:rPr>
          <w:rFonts w:ascii="Franklin Gothic Book" w:hAnsi="Franklin Gothic Book"/>
          <w:sz w:val="20"/>
          <w:szCs w:val="20"/>
          <w:lang w:val="ro-RO"/>
        </w:rPr>
      </w:pPr>
    </w:p>
    <w:p w:rsidR="008A54FD" w:rsidRPr="008A54FD" w:rsidRDefault="008A54FD" w:rsidP="008A54FD">
      <w:pPr>
        <w:jc w:val="both"/>
        <w:rPr>
          <w:rFonts w:ascii="Franklin Gothic Book" w:hAnsi="Franklin Gothic Book"/>
          <w:sz w:val="20"/>
          <w:szCs w:val="20"/>
          <w:lang w:val="ro-RO"/>
        </w:rPr>
      </w:pPr>
    </w:p>
    <w:p w:rsidR="008A54FD" w:rsidRPr="008A54FD" w:rsidRDefault="008A54FD" w:rsidP="008A54FD">
      <w:pPr>
        <w:jc w:val="both"/>
        <w:rPr>
          <w:rFonts w:ascii="Franklin Gothic Book" w:hAnsi="Franklin Gothic Book"/>
          <w:sz w:val="20"/>
          <w:szCs w:val="20"/>
          <w:lang w:val="ro-RO"/>
        </w:rPr>
      </w:pPr>
    </w:p>
    <w:tbl>
      <w:tblPr>
        <w:tblW w:w="9039"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clear" w:color="auto" w:fill="E0E0E0"/>
        <w:tblLayout w:type="fixed"/>
        <w:tblLook w:val="0000" w:firstRow="0" w:lastRow="0" w:firstColumn="0" w:lastColumn="0" w:noHBand="0" w:noVBand="0"/>
      </w:tblPr>
      <w:tblGrid>
        <w:gridCol w:w="1458"/>
        <w:gridCol w:w="1344"/>
        <w:gridCol w:w="2126"/>
        <w:gridCol w:w="2126"/>
        <w:gridCol w:w="1985"/>
      </w:tblGrid>
      <w:tr w:rsidR="008A54FD" w:rsidRPr="008A54FD" w:rsidTr="00122527">
        <w:tc>
          <w:tcPr>
            <w:tcW w:w="1458" w:type="dxa"/>
            <w:vMerge w:val="restart"/>
            <w:tcBorders>
              <w:top w:val="threeDEmboss" w:sz="6" w:space="0" w:color="00B050"/>
              <w:left w:val="threeDEmboss" w:sz="6" w:space="0" w:color="00B050"/>
            </w:tcBorders>
            <w:shd w:val="clear" w:color="auto" w:fill="FCE0C8"/>
            <w:vAlign w:val="center"/>
          </w:tcPr>
          <w:p w:rsidR="008A54FD" w:rsidRPr="008A54FD" w:rsidRDefault="008A54FD" w:rsidP="008A54FD">
            <w:pPr>
              <w:jc w:val="center"/>
              <w:rPr>
                <w:rFonts w:ascii="Franklin Gothic Book" w:hAnsi="Franklin Gothic Book"/>
                <w:b/>
                <w:sz w:val="20"/>
                <w:szCs w:val="20"/>
                <w:lang w:val="ro-RO"/>
              </w:rPr>
            </w:pPr>
            <w:r w:rsidRPr="008A54FD">
              <w:rPr>
                <w:rFonts w:ascii="Franklin Gothic Book" w:hAnsi="Franklin Gothic Book"/>
                <w:b/>
                <w:sz w:val="20"/>
                <w:szCs w:val="20"/>
                <w:lang w:val="ro-RO"/>
              </w:rPr>
              <w:t>ANUL</w:t>
            </w:r>
          </w:p>
        </w:tc>
        <w:tc>
          <w:tcPr>
            <w:tcW w:w="3470" w:type="dxa"/>
            <w:gridSpan w:val="2"/>
            <w:tcBorders>
              <w:top w:val="threeDEmboss" w:sz="6" w:space="0" w:color="00B050"/>
            </w:tcBorders>
            <w:shd w:val="clear" w:color="auto" w:fill="FCE0C8"/>
            <w:vAlign w:val="center"/>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3.NUMĂRUL CAUZELOR SOLUŢIONATE PESTE 1 AN </w:t>
            </w:r>
          </w:p>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DE LA SESIZARE</w:t>
            </w:r>
          </w:p>
          <w:p w:rsidR="008A54FD" w:rsidRPr="008A54FD" w:rsidRDefault="008A54FD" w:rsidP="008A54FD">
            <w:pPr>
              <w:jc w:val="center"/>
              <w:rPr>
                <w:rFonts w:ascii="Franklin Gothic Book" w:hAnsi="Franklin Gothic Book"/>
                <w:b/>
                <w:sz w:val="20"/>
                <w:szCs w:val="20"/>
                <w:lang w:val="ro-RO"/>
              </w:rPr>
            </w:pPr>
            <w:r w:rsidRPr="008A54FD">
              <w:rPr>
                <w:rFonts w:ascii="Franklin Gothic Book" w:hAnsi="Franklin Gothic Book"/>
                <w:b/>
                <w:sz w:val="22"/>
                <w:szCs w:val="22"/>
                <w:lang w:val="ro-RO"/>
              </w:rPr>
              <w:t>(inclusiv cauzele cu A.N.)*</w:t>
            </w:r>
          </w:p>
        </w:tc>
        <w:tc>
          <w:tcPr>
            <w:tcW w:w="4111" w:type="dxa"/>
            <w:gridSpan w:val="2"/>
            <w:tcBorders>
              <w:top w:val="threeDEmboss" w:sz="6" w:space="0" w:color="00B050"/>
              <w:right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4. NUM</w:t>
            </w:r>
            <w:r w:rsidRPr="008A54FD">
              <w:rPr>
                <w:rFonts w:ascii="Franklin Gothic Book" w:hAnsi="Franklin Gothic Book" w:hint="eastAsia"/>
                <w:b/>
                <w:sz w:val="22"/>
                <w:szCs w:val="22"/>
                <w:lang w:val="ro-RO"/>
              </w:rPr>
              <w:t>Ă</w:t>
            </w:r>
            <w:r w:rsidRPr="008A54FD">
              <w:rPr>
                <w:rFonts w:ascii="Franklin Gothic Book" w:hAnsi="Franklin Gothic Book"/>
                <w:b/>
                <w:sz w:val="22"/>
                <w:szCs w:val="22"/>
                <w:lang w:val="ro-RO"/>
              </w:rPr>
              <w:t>RUL CAUZELOR SOLU</w:t>
            </w:r>
            <w:r w:rsidRPr="008A54FD">
              <w:rPr>
                <w:rFonts w:ascii="Franklin Gothic Book" w:hAnsi="Franklin Gothic Book" w:hint="eastAsia"/>
                <w:b/>
                <w:sz w:val="22"/>
                <w:szCs w:val="22"/>
                <w:lang w:val="ro-RO"/>
              </w:rPr>
              <w:t>Ţ</w:t>
            </w:r>
            <w:r w:rsidRPr="008A54FD">
              <w:rPr>
                <w:rFonts w:ascii="Franklin Gothic Book" w:hAnsi="Franklin Gothic Book"/>
                <w:b/>
                <w:sz w:val="22"/>
                <w:szCs w:val="22"/>
                <w:lang w:val="ro-RO"/>
              </w:rPr>
              <w:t xml:space="preserve">IONATE DUPĂ ÎMPLINIREA </w:t>
            </w:r>
          </w:p>
          <w:p w:rsidR="008A54FD" w:rsidRPr="008A54FD" w:rsidRDefault="008A54FD" w:rsidP="008A54FD">
            <w:pPr>
              <w:jc w:val="center"/>
              <w:rPr>
                <w:rFonts w:ascii="Arial" w:hAnsi="Arial" w:cs="Arial"/>
                <w:b/>
                <w:sz w:val="22"/>
                <w:szCs w:val="22"/>
                <w:lang w:val="ro-RO"/>
              </w:rPr>
            </w:pPr>
            <w:r w:rsidRPr="008A54FD">
              <w:rPr>
                <w:rFonts w:ascii="Franklin Gothic Book" w:hAnsi="Franklin Gothic Book"/>
                <w:b/>
                <w:sz w:val="22"/>
                <w:szCs w:val="22"/>
                <w:lang w:val="ro-RO"/>
              </w:rPr>
              <w:t>TERMENULUI DE PRESCRIP</w:t>
            </w:r>
            <w:r w:rsidRPr="008A54FD">
              <w:rPr>
                <w:rFonts w:ascii="Arial" w:hAnsi="Arial" w:cs="Arial"/>
                <w:b/>
                <w:sz w:val="22"/>
                <w:szCs w:val="22"/>
                <w:lang w:val="ro-RO"/>
              </w:rPr>
              <w:t>Ț</w:t>
            </w:r>
            <w:r w:rsidRPr="008A54FD">
              <w:rPr>
                <w:rFonts w:ascii="Franklin Gothic Book" w:hAnsi="Franklin Gothic Book" w:cs="Arial"/>
                <w:b/>
                <w:sz w:val="22"/>
                <w:szCs w:val="22"/>
                <w:lang w:val="ro-RO"/>
              </w:rPr>
              <w:t>IE</w:t>
            </w:r>
          </w:p>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(inclusiv cauzele cu A.N.)*</w:t>
            </w:r>
          </w:p>
        </w:tc>
      </w:tr>
      <w:tr w:rsidR="008A54FD" w:rsidRPr="008A54FD" w:rsidTr="00122527">
        <w:trPr>
          <w:cantSplit/>
          <w:trHeight w:val="718"/>
        </w:trPr>
        <w:tc>
          <w:tcPr>
            <w:tcW w:w="1458" w:type="dxa"/>
            <w:vMerge/>
            <w:tcBorders>
              <w:left w:val="threeDEmboss" w:sz="6" w:space="0" w:color="00B050"/>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p>
        </w:tc>
        <w:tc>
          <w:tcPr>
            <w:tcW w:w="1344" w:type="dxa"/>
            <w:tcBorders>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TOTAL, </w:t>
            </w:r>
          </w:p>
          <w:p w:rsidR="008A54FD" w:rsidRPr="008A54FD" w:rsidRDefault="008A54FD" w:rsidP="008A54FD">
            <w:pPr>
              <w:jc w:val="center"/>
              <w:rPr>
                <w:rFonts w:ascii="Franklin Gothic Book" w:hAnsi="Franklin Gothic Book"/>
                <w:sz w:val="20"/>
                <w:szCs w:val="20"/>
                <w:lang w:val="ro-RO"/>
              </w:rPr>
            </w:pPr>
            <w:r w:rsidRPr="008A54FD">
              <w:rPr>
                <w:rFonts w:ascii="Franklin Gothic Book" w:hAnsi="Franklin Gothic Book"/>
                <w:b/>
                <w:sz w:val="22"/>
                <w:szCs w:val="22"/>
                <w:lang w:val="ro-RO"/>
              </w:rPr>
              <w:t>din care:</w:t>
            </w:r>
          </w:p>
        </w:tc>
        <w:tc>
          <w:tcPr>
            <w:tcW w:w="2126" w:type="dxa"/>
            <w:tcBorders>
              <w:bottom w:val="threeDEmboss" w:sz="6" w:space="0" w:color="00B050"/>
            </w:tcBorders>
            <w:shd w:val="clear" w:color="auto" w:fill="FCE0C8"/>
          </w:tcPr>
          <w:p w:rsidR="008A54FD" w:rsidRPr="008A54FD" w:rsidRDefault="008A54FD" w:rsidP="008A54FD">
            <w:pPr>
              <w:jc w:val="center"/>
              <w:rPr>
                <w:rFonts w:ascii="Arial Narrow" w:hAnsi="Arial Narrow"/>
                <w:sz w:val="20"/>
                <w:szCs w:val="20"/>
                <w:lang w:val="ro-RO"/>
              </w:rPr>
            </w:pPr>
            <w:r w:rsidRPr="008A54FD">
              <w:rPr>
                <w:rFonts w:ascii="Arial Narrow" w:hAnsi="Arial Narrow"/>
                <w:sz w:val="20"/>
                <w:szCs w:val="20"/>
                <w:lang w:val="ro-RO"/>
              </w:rPr>
              <w:t xml:space="preserve">pondere în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 xml:space="preserve">total cauze soluţionate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w:t>
            </w:r>
          </w:p>
        </w:tc>
        <w:tc>
          <w:tcPr>
            <w:tcW w:w="2126" w:type="dxa"/>
            <w:tcBorders>
              <w:bottom w:val="threeDEmboss" w:sz="6" w:space="0" w:color="00B050"/>
            </w:tcBorders>
            <w:shd w:val="clear" w:color="auto" w:fill="FCE0C8"/>
          </w:tcPr>
          <w:p w:rsidR="008A54FD" w:rsidRPr="008A54FD" w:rsidRDefault="008A54FD" w:rsidP="008A54FD">
            <w:pPr>
              <w:jc w:val="center"/>
              <w:rPr>
                <w:rFonts w:ascii="Franklin Gothic Book" w:hAnsi="Franklin Gothic Book"/>
                <w:b/>
                <w:sz w:val="22"/>
                <w:szCs w:val="22"/>
                <w:lang w:val="ro-RO"/>
              </w:rPr>
            </w:pPr>
            <w:r w:rsidRPr="008A54FD">
              <w:rPr>
                <w:rFonts w:ascii="Franklin Gothic Book" w:hAnsi="Franklin Gothic Book"/>
                <w:b/>
                <w:sz w:val="22"/>
                <w:szCs w:val="22"/>
                <w:lang w:val="ro-RO"/>
              </w:rPr>
              <w:t xml:space="preserve">TOTAL, </w:t>
            </w:r>
          </w:p>
          <w:p w:rsidR="008A54FD" w:rsidRPr="008A54FD" w:rsidRDefault="008A54FD" w:rsidP="008A54FD">
            <w:pPr>
              <w:jc w:val="center"/>
              <w:rPr>
                <w:rFonts w:ascii="Franklin Gothic Book" w:hAnsi="Franklin Gothic Book"/>
                <w:sz w:val="20"/>
                <w:szCs w:val="20"/>
                <w:lang w:val="ro-RO"/>
              </w:rPr>
            </w:pPr>
            <w:r w:rsidRPr="008A54FD">
              <w:rPr>
                <w:rFonts w:ascii="Franklin Gothic Book" w:hAnsi="Franklin Gothic Book"/>
                <w:b/>
                <w:sz w:val="22"/>
                <w:szCs w:val="22"/>
                <w:lang w:val="ro-RO"/>
              </w:rPr>
              <w:t>din care:</w:t>
            </w:r>
          </w:p>
        </w:tc>
        <w:tc>
          <w:tcPr>
            <w:tcW w:w="1985" w:type="dxa"/>
            <w:tcBorders>
              <w:bottom w:val="threeDEmboss" w:sz="6" w:space="0" w:color="00B050"/>
              <w:right w:val="threeDEmboss" w:sz="6" w:space="0" w:color="00B050"/>
            </w:tcBorders>
            <w:shd w:val="clear" w:color="auto" w:fill="FCE0C8"/>
          </w:tcPr>
          <w:p w:rsidR="008A54FD" w:rsidRPr="008A54FD" w:rsidRDefault="008A54FD" w:rsidP="008A54FD">
            <w:pPr>
              <w:jc w:val="center"/>
              <w:rPr>
                <w:rFonts w:ascii="Arial Narrow" w:hAnsi="Arial Narrow"/>
                <w:sz w:val="20"/>
                <w:szCs w:val="20"/>
                <w:lang w:val="ro-RO"/>
              </w:rPr>
            </w:pPr>
            <w:r w:rsidRPr="008A54FD">
              <w:rPr>
                <w:rFonts w:ascii="Arial Narrow" w:hAnsi="Arial Narrow"/>
                <w:sz w:val="20"/>
                <w:szCs w:val="20"/>
                <w:lang w:val="ro-RO"/>
              </w:rPr>
              <w:t xml:space="preserve">pondere în </w:t>
            </w:r>
          </w:p>
          <w:p w:rsidR="008A54FD" w:rsidRPr="008A54FD" w:rsidRDefault="008A54FD" w:rsidP="008A54FD">
            <w:pPr>
              <w:ind w:left="-50"/>
              <w:jc w:val="center"/>
              <w:rPr>
                <w:rFonts w:ascii="Arial Narrow" w:hAnsi="Arial Narrow"/>
                <w:sz w:val="20"/>
                <w:szCs w:val="20"/>
                <w:lang w:val="ro-RO"/>
              </w:rPr>
            </w:pPr>
            <w:r w:rsidRPr="008A54FD">
              <w:rPr>
                <w:rFonts w:ascii="Arial Narrow" w:hAnsi="Arial Narrow"/>
                <w:sz w:val="20"/>
                <w:szCs w:val="20"/>
                <w:lang w:val="ro-RO"/>
              </w:rPr>
              <w:t>total cauze soluţionate (%)</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2008</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40.637</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8,3</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1.144</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0,2</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2009</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48.344</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9,7</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597</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0,1</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2010</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66.741</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12,9</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417</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0,1</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2011</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91.333</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15,8</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771</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0,1</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2012</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87.649</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14,8</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444</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0,1</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2013</w:t>
            </w:r>
          </w:p>
        </w:tc>
        <w:tc>
          <w:tcPr>
            <w:tcW w:w="1344"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109.103</w:t>
            </w:r>
          </w:p>
        </w:tc>
        <w:tc>
          <w:tcPr>
            <w:tcW w:w="2126" w:type="dxa"/>
            <w:vAlign w:val="center"/>
          </w:tcPr>
          <w:p w:rsidR="008A54FD" w:rsidRPr="008A54FD" w:rsidRDefault="008A54FD" w:rsidP="008A54FD">
            <w:pPr>
              <w:jc w:val="center"/>
              <w:rPr>
                <w:rFonts w:ascii="Arial Narrow" w:hAnsi="Arial Narrow"/>
                <w:color w:val="000000"/>
                <w:sz w:val="22"/>
                <w:szCs w:val="22"/>
              </w:rPr>
            </w:pPr>
            <w:r w:rsidRPr="008A54FD">
              <w:rPr>
                <w:rFonts w:ascii="Arial Narrow" w:hAnsi="Arial Narrow"/>
                <w:color w:val="000000"/>
                <w:sz w:val="22"/>
                <w:szCs w:val="22"/>
              </w:rPr>
              <w:t>17,2</w:t>
            </w:r>
          </w:p>
        </w:tc>
        <w:tc>
          <w:tcPr>
            <w:tcW w:w="2126"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1.050</w:t>
            </w:r>
          </w:p>
        </w:tc>
        <w:tc>
          <w:tcPr>
            <w:tcW w:w="1985"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0,2</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2014</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162.071</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24,0</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115.466</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17,1</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2015</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177.902</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27,6</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74.449</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11,6</w:t>
            </w:r>
          </w:p>
        </w:tc>
      </w:tr>
      <w:tr w:rsidR="008A54FD" w:rsidRPr="008A54FD" w:rsidTr="00122527">
        <w:tblPrEx>
          <w:shd w:val="clear" w:color="auto" w:fill="auto"/>
        </w:tblPrEx>
        <w:tc>
          <w:tcPr>
            <w:tcW w:w="1458" w:type="dxa"/>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2016</w:t>
            </w:r>
          </w:p>
        </w:tc>
        <w:tc>
          <w:tcPr>
            <w:tcW w:w="1344"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151.150</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26,5</w:t>
            </w:r>
          </w:p>
        </w:tc>
        <w:tc>
          <w:tcPr>
            <w:tcW w:w="2126"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59.858</w:t>
            </w:r>
          </w:p>
        </w:tc>
        <w:tc>
          <w:tcPr>
            <w:tcW w:w="1985" w:type="dxa"/>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10,5</w:t>
            </w:r>
          </w:p>
        </w:tc>
      </w:tr>
      <w:tr w:rsidR="008A54FD" w:rsidRPr="008A54FD" w:rsidTr="00122527">
        <w:tblPrEx>
          <w:shd w:val="clear" w:color="auto" w:fill="auto"/>
        </w:tblPrEx>
        <w:tc>
          <w:tcPr>
            <w:tcW w:w="1458" w:type="dxa"/>
            <w:tcBorders>
              <w:bottom w:val="threeDEmboss" w:sz="6" w:space="0" w:color="00B050"/>
            </w:tcBorders>
          </w:tcPr>
          <w:p w:rsidR="008A54FD" w:rsidRPr="008A54FD" w:rsidRDefault="008A54FD" w:rsidP="008A54FD">
            <w:pPr>
              <w:jc w:val="center"/>
              <w:rPr>
                <w:rFonts w:ascii="Arial Narrow" w:hAnsi="Arial Narrow"/>
                <w:sz w:val="22"/>
                <w:szCs w:val="22"/>
                <w:lang w:val="ro-RO"/>
              </w:rPr>
            </w:pPr>
            <w:r w:rsidRPr="008A54FD">
              <w:rPr>
                <w:rFonts w:ascii="Arial Narrow" w:hAnsi="Arial Narrow"/>
                <w:sz w:val="22"/>
                <w:szCs w:val="22"/>
                <w:lang w:val="ro-RO"/>
              </w:rPr>
              <w:t>2017</w:t>
            </w:r>
          </w:p>
        </w:tc>
        <w:tc>
          <w:tcPr>
            <w:tcW w:w="1344"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159.292</w:t>
            </w:r>
          </w:p>
        </w:tc>
        <w:tc>
          <w:tcPr>
            <w:tcW w:w="2126"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29,9</w:t>
            </w:r>
          </w:p>
        </w:tc>
        <w:tc>
          <w:tcPr>
            <w:tcW w:w="2126"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65.301</w:t>
            </w:r>
          </w:p>
        </w:tc>
        <w:tc>
          <w:tcPr>
            <w:tcW w:w="1985" w:type="dxa"/>
            <w:tcBorders>
              <w:bottom w:val="threeDEmboss" w:sz="6" w:space="0" w:color="00B050"/>
            </w:tcBorders>
          </w:tcPr>
          <w:p w:rsidR="008A54FD" w:rsidRPr="008A54FD" w:rsidRDefault="008A54FD" w:rsidP="008A54FD">
            <w:pPr>
              <w:widowControl w:val="0"/>
              <w:autoSpaceDE w:val="0"/>
              <w:autoSpaceDN w:val="0"/>
              <w:adjustRightInd w:val="0"/>
              <w:jc w:val="center"/>
              <w:rPr>
                <w:rFonts w:ascii="Arial Narrow" w:hAnsi="Arial Narrow"/>
                <w:sz w:val="22"/>
                <w:szCs w:val="22"/>
              </w:rPr>
            </w:pPr>
            <w:r w:rsidRPr="008A54FD">
              <w:rPr>
                <w:rFonts w:ascii="Arial Narrow" w:hAnsi="Arial Narrow"/>
                <w:sz w:val="22"/>
                <w:szCs w:val="22"/>
              </w:rPr>
              <w:t>12,3</w:t>
            </w:r>
          </w:p>
        </w:tc>
      </w:tr>
      <w:tr w:rsidR="008A54FD" w:rsidRPr="008A54FD" w:rsidTr="00122527">
        <w:tblPrEx>
          <w:shd w:val="clear" w:color="auto" w:fill="auto"/>
        </w:tblPrEx>
        <w:tc>
          <w:tcPr>
            <w:tcW w:w="1458" w:type="dxa"/>
            <w:tcBorders>
              <w:top w:val="threeDEmboss" w:sz="6" w:space="0" w:color="00B050"/>
              <w:left w:val="threeDEmboss" w:sz="6" w:space="0" w:color="00B050"/>
              <w:bottom w:val="threeDEmboss" w:sz="6" w:space="0" w:color="00B050"/>
            </w:tcBorders>
            <w:shd w:val="clear" w:color="auto" w:fill="FCE0C8"/>
          </w:tcPr>
          <w:p w:rsidR="008A54FD" w:rsidRPr="008A54FD" w:rsidRDefault="008A54FD" w:rsidP="008A54FD">
            <w:pPr>
              <w:rPr>
                <w:rFonts w:ascii="Arial Narrow" w:hAnsi="Arial Narrow"/>
                <w:b/>
                <w:i/>
                <w:sz w:val="22"/>
                <w:szCs w:val="22"/>
                <w:u w:val="single"/>
                <w:lang w:val="ro-RO"/>
              </w:rPr>
            </w:pPr>
            <w:r w:rsidRPr="008A54FD">
              <w:rPr>
                <w:rFonts w:ascii="Arial Narrow" w:hAnsi="Arial Narrow"/>
                <w:b/>
                <w:i/>
                <w:sz w:val="22"/>
                <w:szCs w:val="22"/>
                <w:lang w:val="ro-RO"/>
              </w:rPr>
              <w:t xml:space="preserve">   % </w:t>
            </w:r>
            <w:r w:rsidRPr="008A54FD">
              <w:rPr>
                <w:rFonts w:ascii="Arial Narrow" w:hAnsi="Arial Narrow"/>
                <w:b/>
                <w:i/>
                <w:sz w:val="22"/>
                <w:szCs w:val="22"/>
                <w:u w:val="single"/>
                <w:lang w:val="ro-RO"/>
              </w:rPr>
              <w:t>2017</w:t>
            </w:r>
          </w:p>
          <w:p w:rsidR="008A54FD" w:rsidRPr="008A54FD" w:rsidRDefault="008A54FD" w:rsidP="008A54FD">
            <w:pPr>
              <w:rPr>
                <w:rFonts w:ascii="Arial Narrow" w:hAnsi="Arial Narrow"/>
                <w:b/>
                <w:i/>
                <w:sz w:val="22"/>
                <w:szCs w:val="22"/>
                <w:lang w:val="ro-RO"/>
              </w:rPr>
            </w:pPr>
            <w:r w:rsidRPr="008A54FD">
              <w:rPr>
                <w:rFonts w:ascii="Arial Narrow" w:hAnsi="Arial Narrow"/>
                <w:b/>
                <w:i/>
                <w:sz w:val="22"/>
                <w:szCs w:val="22"/>
                <w:lang w:val="ro-RO"/>
              </w:rPr>
              <w:t xml:space="preserve">  +/- 2016</w:t>
            </w:r>
          </w:p>
        </w:tc>
        <w:tc>
          <w:tcPr>
            <w:tcW w:w="1344"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+5,4</w:t>
            </w:r>
          </w:p>
        </w:tc>
        <w:tc>
          <w:tcPr>
            <w:tcW w:w="2126"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w:t>
            </w:r>
          </w:p>
        </w:tc>
        <w:tc>
          <w:tcPr>
            <w:tcW w:w="2126" w:type="dxa"/>
            <w:tcBorders>
              <w:top w:val="threeDEmboss" w:sz="6" w:space="0" w:color="00B050"/>
              <w:bottom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+9,1</w:t>
            </w:r>
          </w:p>
        </w:tc>
        <w:tc>
          <w:tcPr>
            <w:tcW w:w="1985" w:type="dxa"/>
            <w:tcBorders>
              <w:top w:val="threeDEmboss" w:sz="6" w:space="0" w:color="00B050"/>
              <w:bottom w:val="threeDEmboss" w:sz="6" w:space="0" w:color="00B050"/>
              <w:right w:val="threeDEmboss" w:sz="6" w:space="0" w:color="00B050"/>
            </w:tcBorders>
            <w:shd w:val="clear" w:color="auto" w:fill="FCE0C8"/>
            <w:vAlign w:val="center"/>
          </w:tcPr>
          <w:p w:rsidR="008A54FD" w:rsidRPr="008A54FD" w:rsidRDefault="008A54FD" w:rsidP="008A54FD">
            <w:pPr>
              <w:widowControl w:val="0"/>
              <w:autoSpaceDE w:val="0"/>
              <w:autoSpaceDN w:val="0"/>
              <w:adjustRightInd w:val="0"/>
              <w:jc w:val="center"/>
              <w:rPr>
                <w:rFonts w:ascii="Arial Narrow" w:hAnsi="Arial Narrow"/>
                <w:b/>
                <w:sz w:val="22"/>
                <w:szCs w:val="22"/>
              </w:rPr>
            </w:pPr>
            <w:r w:rsidRPr="008A54FD">
              <w:rPr>
                <w:rFonts w:ascii="Arial Narrow" w:hAnsi="Arial Narrow"/>
                <w:b/>
                <w:sz w:val="22"/>
                <w:szCs w:val="22"/>
              </w:rPr>
              <w:t>-</w:t>
            </w:r>
          </w:p>
        </w:tc>
      </w:tr>
    </w:tbl>
    <w:p w:rsidR="008A54FD" w:rsidRPr="008A54FD" w:rsidRDefault="008A54FD" w:rsidP="008A54FD">
      <w:pPr>
        <w:jc w:val="both"/>
        <w:rPr>
          <w:rFonts w:ascii="Franklin Gothic Book" w:hAnsi="Franklin Gothic Book"/>
          <w:sz w:val="6"/>
          <w:szCs w:val="6"/>
          <w:lang w:val="ro-RO"/>
        </w:rPr>
      </w:pPr>
      <w:r w:rsidRPr="008A54FD">
        <w:rPr>
          <w:rFonts w:ascii="Franklin Gothic Book" w:hAnsi="Franklin Gothic Book"/>
          <w:sz w:val="20"/>
          <w:szCs w:val="20"/>
          <w:lang w:val="ro-RO"/>
        </w:rPr>
        <w:t xml:space="preserve">    </w:t>
      </w:r>
    </w:p>
    <w:p w:rsidR="008A54FD" w:rsidRPr="008A54FD" w:rsidRDefault="008A54FD" w:rsidP="008A54FD">
      <w:pPr>
        <w:jc w:val="both"/>
        <w:rPr>
          <w:rFonts w:ascii="Franklin Gothic Book" w:hAnsi="Franklin Gothic Book"/>
          <w:sz w:val="20"/>
          <w:szCs w:val="20"/>
          <w:lang w:val="ro-RO"/>
        </w:rPr>
      </w:pPr>
      <w:r w:rsidRPr="008A54FD">
        <w:rPr>
          <w:rFonts w:ascii="Franklin Gothic Book" w:hAnsi="Franklin Gothic Book"/>
          <w:sz w:val="20"/>
          <w:szCs w:val="20"/>
          <w:lang w:val="ro-RO"/>
        </w:rPr>
        <w:t xml:space="preserve">       *Datele din perioada 2008 - 2013 nu cuprind cauzele cu autor necunoscut.</w:t>
      </w: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B2752A" w:rsidRDefault="00B2752A" w:rsidP="00286EF8">
      <w:pPr>
        <w:rPr>
          <w:lang w:val="ro-RO" w:eastAsia="x-none"/>
        </w:rPr>
      </w:pPr>
    </w:p>
    <w:p w:rsidR="00286EF8" w:rsidRDefault="00286EF8" w:rsidP="00286EF8">
      <w:pPr>
        <w:rPr>
          <w:lang w:val="ro-RO" w:eastAsia="x-none"/>
        </w:rPr>
      </w:pPr>
    </w:p>
    <w:p w:rsidR="00286EF8" w:rsidRDefault="00286EF8" w:rsidP="00286EF8">
      <w:pPr>
        <w:rPr>
          <w:lang w:val="ro-RO" w:eastAsia="x-none"/>
        </w:rPr>
      </w:pPr>
    </w:p>
    <w:p w:rsidR="008A54FD" w:rsidRDefault="008A54FD" w:rsidP="00286EF8">
      <w:pPr>
        <w:rPr>
          <w:lang w:val="ro-RO" w:eastAsia="x-none"/>
        </w:rPr>
      </w:pPr>
    </w:p>
    <w:p w:rsidR="008A54FD" w:rsidRDefault="008A54FD" w:rsidP="00286EF8">
      <w:pPr>
        <w:rPr>
          <w:lang w:val="ro-RO" w:eastAsia="x-none"/>
        </w:rPr>
      </w:pPr>
    </w:p>
    <w:p w:rsidR="008A54FD" w:rsidRDefault="008A54FD" w:rsidP="00286EF8">
      <w:pPr>
        <w:rPr>
          <w:lang w:val="ro-RO" w:eastAsia="x-none"/>
        </w:rPr>
      </w:pPr>
    </w:p>
    <w:p w:rsidR="008A54FD" w:rsidRDefault="008A54FD" w:rsidP="00286EF8">
      <w:pPr>
        <w:rPr>
          <w:lang w:val="ro-RO" w:eastAsia="x-none"/>
        </w:rPr>
      </w:pPr>
    </w:p>
    <w:p w:rsidR="008A54FD" w:rsidRDefault="008A54FD" w:rsidP="00286EF8">
      <w:pPr>
        <w:rPr>
          <w:lang w:val="ro-RO" w:eastAsia="x-none"/>
        </w:rPr>
      </w:pPr>
    </w:p>
    <w:p w:rsidR="008A54FD" w:rsidRDefault="008A54FD" w:rsidP="00286EF8">
      <w:pPr>
        <w:rPr>
          <w:lang w:val="ro-RO" w:eastAsia="x-none"/>
        </w:rPr>
      </w:pPr>
    </w:p>
    <w:p w:rsidR="008A54FD" w:rsidRPr="00286EF8" w:rsidRDefault="008A54FD" w:rsidP="00286EF8">
      <w:pPr>
        <w:rPr>
          <w:lang w:val="ro-RO" w:eastAsia="x-none"/>
        </w:rPr>
      </w:pPr>
    </w:p>
    <w:p w:rsidR="004D0426" w:rsidRDefault="004D0426" w:rsidP="000D005D">
      <w:pPr>
        <w:pStyle w:val="Titlu1"/>
      </w:pPr>
      <w:bookmarkStart w:id="68" w:name="_Toc504987134"/>
      <w:r>
        <w:t>CAPITOLUL III</w:t>
      </w:r>
    </w:p>
    <w:p w:rsidR="00C066C4" w:rsidRPr="00286EF8" w:rsidRDefault="006F2993" w:rsidP="000D005D">
      <w:pPr>
        <w:pStyle w:val="Titlu1"/>
      </w:pPr>
      <w:r w:rsidRPr="00286EF8">
        <w:t>Date statistice referitoare la resursele umane la nivelul instanţelor</w:t>
      </w:r>
      <w:bookmarkEnd w:id="68"/>
      <w:r w:rsidRPr="00286EF8">
        <w:t xml:space="preserve"> </w:t>
      </w:r>
      <w:r w:rsidR="00D024F1" w:rsidRPr="00286EF8">
        <w:t xml:space="preserve"> </w:t>
      </w:r>
      <w:r w:rsidR="00C066C4" w:rsidRPr="00286EF8">
        <w:t xml:space="preserve">     </w:t>
      </w:r>
    </w:p>
    <w:p w:rsidR="00625F9B" w:rsidRPr="00286EF8" w:rsidRDefault="00450FA7" w:rsidP="00286EF8">
      <w:pPr>
        <w:pStyle w:val="Titlu2"/>
      </w:pPr>
      <w:bookmarkStart w:id="69" w:name="_Toc504987135"/>
      <w:r w:rsidRPr="00286EF8">
        <w:t>III</w:t>
      </w:r>
      <w:r w:rsidR="008A336D" w:rsidRPr="00286EF8">
        <w:t xml:space="preserve">.1. </w:t>
      </w:r>
      <w:r w:rsidR="00B942DD" w:rsidRPr="00286EF8">
        <w:t>Situaţia posturilor (de judecător, magistrat asistent, personal auxiliar)</w:t>
      </w:r>
      <w:bookmarkEnd w:id="69"/>
    </w:p>
    <w:p w:rsidR="002431A4" w:rsidRPr="00286EF8" w:rsidRDefault="002431A4" w:rsidP="00286EF8">
      <w:pPr>
        <w:spacing w:line="276" w:lineRule="auto"/>
        <w:ind w:right="45" w:firstLine="709"/>
        <w:jc w:val="both"/>
        <w:rPr>
          <w:rFonts w:eastAsiaTheme="minorHAnsi" w:cs="Arial"/>
          <w:lang w:val="ro-RO"/>
        </w:rPr>
      </w:pPr>
      <w:r w:rsidRPr="00286EF8">
        <w:rPr>
          <w:rFonts w:eastAsiaTheme="minorHAnsi" w:cs="Arial"/>
          <w:b/>
          <w:lang w:val="ro-RO"/>
        </w:rPr>
        <w:t>A.</w:t>
      </w:r>
      <w:r w:rsidRPr="00286EF8">
        <w:rPr>
          <w:rFonts w:eastAsiaTheme="minorHAnsi" w:cs="Arial"/>
          <w:lang w:val="ro-RO"/>
        </w:rPr>
        <w:t xml:space="preserve"> </w:t>
      </w:r>
      <w:r w:rsidRPr="00286EF8">
        <w:rPr>
          <w:rFonts w:eastAsiaTheme="minorHAnsi" w:cs="Arial"/>
          <w:b/>
          <w:lang w:val="ro-RO"/>
        </w:rPr>
        <w:t>Situaţia posturilor de judecător</w:t>
      </w:r>
      <w:r w:rsidRPr="00286EF8">
        <w:rPr>
          <w:rFonts w:eastAsiaTheme="minorHAnsi" w:cs="Arial"/>
          <w:lang w:val="ro-RO"/>
        </w:rPr>
        <w:t>.</w:t>
      </w:r>
    </w:p>
    <w:p w:rsidR="002431A4" w:rsidRPr="00286EF8" w:rsidRDefault="002431A4" w:rsidP="00286EF8">
      <w:pPr>
        <w:spacing w:line="276" w:lineRule="auto"/>
        <w:ind w:right="45" w:firstLine="709"/>
        <w:jc w:val="both"/>
        <w:rPr>
          <w:rFonts w:eastAsiaTheme="minorHAnsi" w:cs="Arial"/>
          <w:lang w:val="ro-RO"/>
        </w:rPr>
      </w:pPr>
      <w:r w:rsidRPr="00286EF8">
        <w:rPr>
          <w:rFonts w:eastAsiaTheme="minorHAnsi" w:cs="Arial"/>
          <w:lang w:val="ro-RO"/>
        </w:rPr>
        <w:t>La fel ca în anii anteriori, şi în anul 2017 principalul obiectiv al Consiliului Superior al Magistraturii, legat de activitatea administrativă derulată de acesta, l-a constituit asigurarea necesarului de resurse umane pentru buna desfăşurare a activităţii la nivelul instanţelor şi parchetelor.</w:t>
      </w:r>
    </w:p>
    <w:p w:rsidR="002431A4" w:rsidRPr="00286EF8" w:rsidRDefault="002431A4" w:rsidP="00286EF8">
      <w:pPr>
        <w:spacing w:line="276" w:lineRule="auto"/>
        <w:ind w:right="45" w:firstLine="709"/>
        <w:jc w:val="both"/>
        <w:rPr>
          <w:rFonts w:eastAsiaTheme="minorHAnsi" w:cs="Arial"/>
          <w:lang w:val="ro-RO"/>
        </w:rPr>
      </w:pPr>
      <w:r w:rsidRPr="00286EF8">
        <w:rPr>
          <w:rFonts w:eastAsiaTheme="minorHAnsi" w:cs="Arial"/>
          <w:lang w:val="ro-RO"/>
        </w:rPr>
        <w:t>În acest context, ocuparea posturilor vacante de judecător s-a realizat prin toate modalităţile prevăzute de lege, astfel cum rezultă din datele ce vor fi prezentate mai jos, în anul 2017 fiind organizate două concursuri de admitere în magistratură în condiţiile art. 33 alin. (1) din Legea nr. 303/2004, republicată, cu modificările şi completările ulterioare.</w:t>
      </w:r>
    </w:p>
    <w:p w:rsidR="002431A4" w:rsidRPr="00286EF8" w:rsidRDefault="002431A4" w:rsidP="00286EF8">
      <w:pPr>
        <w:spacing w:line="276" w:lineRule="auto"/>
        <w:ind w:right="45" w:firstLine="709"/>
        <w:jc w:val="both"/>
        <w:rPr>
          <w:rFonts w:eastAsiaTheme="minorHAnsi" w:cs="Arial"/>
          <w:lang w:val="ro-RO"/>
        </w:rPr>
      </w:pPr>
    </w:p>
    <w:p w:rsidR="002431A4" w:rsidRPr="00286EF8" w:rsidRDefault="002431A4" w:rsidP="00286EF8">
      <w:pPr>
        <w:spacing w:line="276" w:lineRule="auto"/>
        <w:ind w:right="48" w:firstLine="709"/>
        <w:jc w:val="both"/>
        <w:rPr>
          <w:rFonts w:cs="Arial"/>
          <w:b/>
          <w:u w:val="single"/>
          <w:lang w:val="ro-RO"/>
        </w:rPr>
      </w:pPr>
      <w:r w:rsidRPr="00286EF8">
        <w:rPr>
          <w:rFonts w:cs="Arial"/>
          <w:u w:val="single"/>
          <w:lang w:val="ro-RO"/>
        </w:rPr>
        <w:t xml:space="preserve"> </w:t>
      </w:r>
      <w:r w:rsidRPr="00286EF8">
        <w:rPr>
          <w:rFonts w:cs="Arial"/>
          <w:b/>
          <w:u w:val="single"/>
          <w:lang w:val="ro-RO"/>
        </w:rPr>
        <w:t xml:space="preserve">Evoluţia gradului de ocupare a posturilor de judecător </w:t>
      </w:r>
    </w:p>
    <w:p w:rsidR="002431A4" w:rsidRPr="00286EF8" w:rsidRDefault="002431A4" w:rsidP="00286EF8">
      <w:pPr>
        <w:spacing w:line="276" w:lineRule="auto"/>
        <w:ind w:right="48" w:firstLine="709"/>
        <w:jc w:val="both"/>
        <w:rPr>
          <w:rFonts w:cs="Arial"/>
          <w:b/>
          <w:lang w:val="ro-RO"/>
        </w:rPr>
      </w:pPr>
      <w:r w:rsidRPr="00286EF8">
        <w:rPr>
          <w:rFonts w:cs="Arial"/>
          <w:b/>
          <w:lang w:val="ro-RO"/>
        </w:rPr>
        <w:t>A1.Situaţia posturilor de judecător la începutul anului 2017.</w:t>
      </w:r>
    </w:p>
    <w:p w:rsidR="002431A4" w:rsidRPr="00286EF8" w:rsidRDefault="002431A4" w:rsidP="00286EF8">
      <w:pPr>
        <w:spacing w:line="276" w:lineRule="auto"/>
        <w:ind w:right="48" w:firstLine="709"/>
        <w:jc w:val="both"/>
        <w:rPr>
          <w:rFonts w:cs="Arial"/>
          <w:lang w:val="ro-RO"/>
        </w:rPr>
      </w:pPr>
      <w:r w:rsidRPr="00286EF8">
        <w:rPr>
          <w:rFonts w:cs="Arial"/>
          <w:lang w:val="ro-RO"/>
        </w:rPr>
        <w:t xml:space="preserve">La data de 01.01.2017, din totalul de </w:t>
      </w:r>
      <w:r w:rsidRPr="00286EF8">
        <w:rPr>
          <w:rFonts w:cs="Arial"/>
          <w:b/>
          <w:lang w:val="ro-RO"/>
        </w:rPr>
        <w:t>5067</w:t>
      </w:r>
      <w:r w:rsidRPr="00286EF8">
        <w:rPr>
          <w:b/>
          <w:vertAlign w:val="superscript"/>
          <w:lang w:val="ro-RO"/>
        </w:rPr>
        <w:footnoteReference w:id="1"/>
      </w:r>
      <w:r w:rsidRPr="00286EF8">
        <w:rPr>
          <w:rFonts w:cs="Arial"/>
          <w:b/>
          <w:lang w:val="ro-RO"/>
        </w:rPr>
        <w:t xml:space="preserve"> de posturi</w:t>
      </w:r>
      <w:r w:rsidRPr="00286EF8">
        <w:rPr>
          <w:rFonts w:cs="Arial"/>
          <w:lang w:val="ro-RO"/>
        </w:rPr>
        <w:t xml:space="preserve"> de judecător, erau </w:t>
      </w:r>
      <w:r w:rsidRPr="00286EF8">
        <w:rPr>
          <w:rFonts w:cs="Arial"/>
          <w:b/>
          <w:lang w:val="ro-RO"/>
        </w:rPr>
        <w:t xml:space="preserve">ocupate 4479 </w:t>
      </w:r>
      <w:r w:rsidRPr="00286EF8">
        <w:rPr>
          <w:rFonts w:cs="Arial"/>
          <w:lang w:val="ro-RO"/>
        </w:rPr>
        <w:t xml:space="preserve">posturi şi </w:t>
      </w:r>
      <w:r w:rsidRPr="00286EF8">
        <w:rPr>
          <w:rFonts w:cs="Arial"/>
          <w:b/>
          <w:lang w:val="ro-RO"/>
        </w:rPr>
        <w:t>vacante 588</w:t>
      </w:r>
      <w:r w:rsidRPr="00286EF8">
        <w:rPr>
          <w:rFonts w:cs="Arial"/>
          <w:lang w:val="ro-RO"/>
        </w:rPr>
        <w:t xml:space="preserve"> posturi. Dintre cele 588 posturi vacante, 446 erau corespunzătoare funcţiilor de execuţie şi 142 funcţiilor de conducere.</w:t>
      </w:r>
    </w:p>
    <w:p w:rsidR="002431A4" w:rsidRPr="00286EF8" w:rsidRDefault="002431A4" w:rsidP="00286EF8">
      <w:pPr>
        <w:spacing w:line="276" w:lineRule="auto"/>
        <w:ind w:right="48" w:firstLine="709"/>
        <w:jc w:val="both"/>
        <w:rPr>
          <w:rFonts w:cs="Arial"/>
          <w:lang w:val="ro-RO"/>
        </w:rPr>
      </w:pPr>
    </w:p>
    <w:p w:rsidR="002431A4" w:rsidRPr="00286EF8" w:rsidRDefault="002431A4" w:rsidP="00286EF8">
      <w:pPr>
        <w:spacing w:line="276" w:lineRule="auto"/>
        <w:ind w:right="48" w:firstLine="709"/>
        <w:jc w:val="both"/>
        <w:rPr>
          <w:rFonts w:asciiTheme="minorHAnsi" w:hAnsiTheme="minorHAnsi" w:cstheme="minorHAnsi"/>
          <w:lang w:val="ro-RO"/>
        </w:rPr>
      </w:pPr>
    </w:p>
    <w:p w:rsidR="002431A4" w:rsidRPr="00286EF8" w:rsidRDefault="002431A4" w:rsidP="00286EF8">
      <w:pPr>
        <w:spacing w:after="180" w:line="276" w:lineRule="auto"/>
        <w:ind w:left="1069" w:right="48"/>
        <w:contextualSpacing/>
        <w:jc w:val="both"/>
        <w:rPr>
          <w:rFonts w:asciiTheme="minorHAnsi" w:eastAsia="Calibri" w:hAnsiTheme="minorHAnsi" w:cstheme="minorHAnsi"/>
          <w:b/>
          <w:lang w:val="ro-RO"/>
        </w:rPr>
      </w:pPr>
      <w:r w:rsidRPr="00286EF8">
        <w:rPr>
          <w:rFonts w:asciiTheme="minorHAnsi" w:eastAsia="Calibri" w:hAnsiTheme="minorHAnsi" w:cstheme="minorHAnsi"/>
          <w:b/>
          <w:lang w:val="ro-RO"/>
        </w:rPr>
        <w:t>Situaţia posturilor de judecător pe grade de jurisdicţie la data de 01.01.2017</w:t>
      </w: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2431A4" w:rsidRPr="006B7621" w:rsidTr="00B818F3">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jc w:val="center"/>
              <w:rPr>
                <w:rFonts w:asciiTheme="minorHAnsi" w:hAnsiTheme="minorHAnsi" w:cstheme="minorHAnsi"/>
                <w:b/>
                <w:lang w:val="ro-RO"/>
              </w:rPr>
            </w:pPr>
            <w:r w:rsidRPr="006B7621">
              <w:rPr>
                <w:rFonts w:asciiTheme="minorHAnsi" w:hAnsiTheme="minorHAnsi" w:cstheme="minorHAnsi"/>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b/>
                <w:lang w:val="ro-RO"/>
              </w:rPr>
              <w:t xml:space="preserve">Posturi de judecător vacante </w:t>
            </w:r>
          </w:p>
        </w:tc>
      </w:tr>
      <w:tr w:rsidR="002431A4" w:rsidRPr="006B7621" w:rsidTr="00B818F3">
        <w:tc>
          <w:tcPr>
            <w:tcW w:w="3060" w:type="dxa"/>
            <w:vMerge/>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b/>
                <w:lang w:val="ro-RO"/>
              </w:rPr>
            </w:pPr>
            <w:r w:rsidRPr="006B7621">
              <w:rPr>
                <w:rFonts w:asciiTheme="minorHAnsi" w:hAnsiTheme="minorHAnsi" w:cstheme="minorHAnsi"/>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b/>
                <w:lang w:val="ro-RO"/>
              </w:rPr>
            </w:pPr>
            <w:r w:rsidRPr="006B7621">
              <w:rPr>
                <w:rFonts w:asciiTheme="minorHAnsi" w:hAnsiTheme="minorHAnsi" w:cstheme="minorHAnsi"/>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Conducere</w:t>
            </w:r>
          </w:p>
        </w:tc>
      </w:tr>
      <w:tr w:rsidR="002431A4" w:rsidRPr="006B7621"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highlight w:val="yellow"/>
                <w:lang w:val="ro-RO"/>
              </w:rPr>
            </w:pPr>
            <w:r w:rsidRPr="006B7621">
              <w:rPr>
                <w:rFonts w:asciiTheme="minorHAnsi" w:hAnsiTheme="minorHAnsi" w:cstheme="minorHAnsi"/>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w:t>
            </w:r>
          </w:p>
        </w:tc>
      </w:tr>
      <w:tr w:rsidR="002431A4" w:rsidRPr="006B7621"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920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820</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highlight w:val="yellow"/>
                <w:lang w:val="ro-RO"/>
              </w:rPr>
            </w:pPr>
            <w:r w:rsidRPr="006B7621">
              <w:rPr>
                <w:rFonts w:asciiTheme="minorHAnsi" w:hAnsiTheme="minorHAnsi" w:cstheme="minorHAnsi"/>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74</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67</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7</w:t>
            </w:r>
          </w:p>
        </w:tc>
      </w:tr>
      <w:tr w:rsidR="002431A4" w:rsidRPr="006B7621"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1709</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1471</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highlight w:val="yellow"/>
                <w:lang w:val="ro-RO"/>
              </w:rPr>
            </w:pPr>
            <w:r w:rsidRPr="006B7621">
              <w:rPr>
                <w:rFonts w:asciiTheme="minorHAnsi" w:hAnsiTheme="minorHAnsi" w:cstheme="minorHAnsi"/>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132</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32</w:t>
            </w:r>
          </w:p>
        </w:tc>
      </w:tr>
      <w:tr w:rsidR="002431A4" w:rsidRPr="006B7621"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lang w:val="ro-RO"/>
              </w:rPr>
            </w:pPr>
            <w:r w:rsidRPr="006B7621">
              <w:rPr>
                <w:rFonts w:asciiTheme="minorHAnsi" w:hAnsiTheme="minorHAnsi" w:cstheme="minorHAnsi"/>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2316</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2010</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highlight w:val="yellow"/>
                <w:lang w:val="ro-RO"/>
              </w:rPr>
            </w:pPr>
            <w:r w:rsidRPr="006B7621">
              <w:rPr>
                <w:rFonts w:asciiTheme="minorHAnsi" w:hAnsiTheme="minorHAnsi" w:cstheme="minorHAnsi"/>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338</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236</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102</w:t>
            </w:r>
          </w:p>
        </w:tc>
      </w:tr>
      <w:tr w:rsidR="002431A4" w:rsidRPr="006B7621"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rPr>
                <w:rFonts w:asciiTheme="minorHAnsi" w:hAnsiTheme="minorHAnsi" w:cstheme="minorHAnsi"/>
                <w:b/>
                <w:lang w:val="ro-RO"/>
              </w:rPr>
            </w:pPr>
            <w:r w:rsidRPr="006B7621">
              <w:rPr>
                <w:rFonts w:asciiTheme="minorHAnsi" w:hAnsiTheme="minorHAnsi" w:cstheme="minorHAnsi"/>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b/>
                <w:lang w:val="ro-RO"/>
              </w:rPr>
            </w:pPr>
            <w:r w:rsidRPr="006B7621">
              <w:rPr>
                <w:rFonts w:asciiTheme="minorHAnsi" w:hAnsiTheme="minorHAnsi" w:cstheme="minorHAnsi"/>
                <w:b/>
                <w:lang w:val="ro-RO"/>
              </w:rPr>
              <w:t>5067</w:t>
            </w:r>
            <w:r w:rsidRPr="006B7621">
              <w:rPr>
                <w:rFonts w:asciiTheme="minorHAnsi" w:hAnsiTheme="minorHAnsi" w:cstheme="minorHAnsi"/>
                <w:b/>
                <w:vertAlign w:val="superscript"/>
                <w:lang w:val="ro-RO"/>
              </w:rPr>
              <w:footnoteReference w:id="2"/>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4416</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highlight w:val="yellow"/>
                <w:lang w:val="ro-RO"/>
              </w:rPr>
            </w:pPr>
            <w:r w:rsidRPr="006B7621">
              <w:rPr>
                <w:rFonts w:asciiTheme="minorHAnsi" w:hAnsiTheme="minorHAnsi" w:cstheme="minorHAnsi"/>
                <w:lang w:val="ro-RO"/>
              </w:rPr>
              <w:t>651</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b/>
                <w:lang w:val="ro-RO"/>
              </w:rPr>
            </w:pPr>
            <w:r w:rsidRPr="006B7621">
              <w:rPr>
                <w:rFonts w:asciiTheme="minorHAnsi" w:hAnsiTheme="minorHAnsi" w:cstheme="minorHAnsi"/>
                <w:b/>
                <w:lang w:val="ro-RO"/>
              </w:rPr>
              <w:t>588</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446</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6B7621" w:rsidRDefault="002431A4" w:rsidP="002431A4">
            <w:pPr>
              <w:jc w:val="center"/>
              <w:rPr>
                <w:rFonts w:asciiTheme="minorHAnsi" w:hAnsiTheme="minorHAnsi" w:cstheme="minorHAnsi"/>
                <w:lang w:val="ro-RO"/>
              </w:rPr>
            </w:pPr>
            <w:r w:rsidRPr="006B7621">
              <w:rPr>
                <w:rFonts w:asciiTheme="minorHAnsi" w:hAnsiTheme="minorHAnsi" w:cstheme="minorHAnsi"/>
                <w:lang w:val="ro-RO"/>
              </w:rPr>
              <w:t>142</w:t>
            </w:r>
          </w:p>
        </w:tc>
      </w:tr>
    </w:tbl>
    <w:p w:rsidR="002431A4" w:rsidRPr="00860724" w:rsidRDefault="002431A4" w:rsidP="002431A4">
      <w:pPr>
        <w:tabs>
          <w:tab w:val="left" w:pos="360"/>
        </w:tabs>
        <w:jc w:val="both"/>
        <w:rPr>
          <w:lang w:val="ro-RO"/>
        </w:rPr>
      </w:pPr>
    </w:p>
    <w:p w:rsidR="002431A4" w:rsidRPr="00860724" w:rsidRDefault="002431A4" w:rsidP="006B7621">
      <w:pPr>
        <w:tabs>
          <w:tab w:val="left" w:pos="360"/>
        </w:tabs>
        <w:spacing w:line="276" w:lineRule="auto"/>
        <w:jc w:val="both"/>
        <w:rPr>
          <w:lang w:val="ro-RO"/>
        </w:rPr>
      </w:pPr>
      <w:r w:rsidRPr="00860724">
        <w:rPr>
          <w:lang w:val="ro-RO"/>
        </w:rPr>
        <w:tab/>
      </w:r>
      <w:r w:rsidRPr="00860724">
        <w:rPr>
          <w:lang w:val="ro-RO"/>
        </w:rPr>
        <w:tab/>
      </w:r>
    </w:p>
    <w:p w:rsidR="002431A4" w:rsidRPr="00860724" w:rsidRDefault="002431A4" w:rsidP="006B7621">
      <w:pPr>
        <w:spacing w:line="276" w:lineRule="auto"/>
        <w:ind w:right="45" w:firstLine="708"/>
        <w:jc w:val="both"/>
        <w:rPr>
          <w:rFonts w:eastAsiaTheme="minorHAnsi" w:cs="Arial"/>
          <w:lang w:val="ro-RO"/>
        </w:rPr>
      </w:pPr>
      <w:r w:rsidRPr="00860724">
        <w:rPr>
          <w:rFonts w:eastAsiaTheme="minorHAnsi" w:cs="Arial"/>
          <w:lang w:val="ro-RO"/>
        </w:rPr>
        <w:t>Din totalul judecătorilor în funcţie, cu luarea în calcul inclusiv a acelor judecători care ocupau pe perioadă nedeterminată posturi temporar vacante în condiţiile art. 134</w:t>
      </w:r>
      <w:r w:rsidRPr="00860724">
        <w:rPr>
          <w:rFonts w:eastAsiaTheme="minorHAnsi" w:cs="Arial"/>
          <w:vertAlign w:val="superscript"/>
          <w:lang w:val="ro-RO"/>
        </w:rPr>
        <w:t>1</w:t>
      </w:r>
      <w:r w:rsidRPr="00860724">
        <w:rPr>
          <w:rFonts w:eastAsiaTheme="minorHAnsi" w:cs="Arial"/>
          <w:lang w:val="ro-RO"/>
        </w:rPr>
        <w:t xml:space="preserve"> din Legea nr. 304/2004, republicată, cu modificările şi completările ulterioare, 3408 (</w:t>
      </w:r>
      <w:r w:rsidR="001A5BE6">
        <w:rPr>
          <w:rFonts w:eastAsiaTheme="minorHAnsi" w:cs="Arial"/>
          <w:lang w:val="ro-RO"/>
        </w:rPr>
        <w:t>73</w:t>
      </w:r>
      <w:r w:rsidRPr="00860724">
        <w:rPr>
          <w:rFonts w:eastAsiaTheme="minorHAnsi" w:cs="Arial"/>
          <w:lang w:val="ro-RO"/>
        </w:rPr>
        <w:t>,</w:t>
      </w:r>
      <w:r w:rsidR="001A5BE6">
        <w:rPr>
          <w:rFonts w:eastAsiaTheme="minorHAnsi" w:cs="Arial"/>
          <w:lang w:val="ro-RO"/>
        </w:rPr>
        <w:t>63</w:t>
      </w:r>
      <w:r w:rsidRPr="00860724">
        <w:rPr>
          <w:rFonts w:eastAsiaTheme="minorHAnsi" w:cs="Arial"/>
          <w:lang w:val="ro-RO"/>
        </w:rPr>
        <w:t>%) erau femei şi 1220 (</w:t>
      </w:r>
      <w:r w:rsidR="001A5BE6">
        <w:rPr>
          <w:rFonts w:eastAsiaTheme="minorHAnsi" w:cs="Arial"/>
          <w:lang w:val="ro-RO"/>
        </w:rPr>
        <w:t>26</w:t>
      </w:r>
      <w:r w:rsidRPr="00860724">
        <w:rPr>
          <w:rFonts w:eastAsiaTheme="minorHAnsi" w:cs="Arial"/>
          <w:lang w:val="ro-RO"/>
        </w:rPr>
        <w:t>,</w:t>
      </w:r>
      <w:r w:rsidR="001A5BE6">
        <w:rPr>
          <w:rFonts w:eastAsiaTheme="minorHAnsi" w:cs="Arial"/>
          <w:lang w:val="ro-RO"/>
        </w:rPr>
        <w:t>36</w:t>
      </w:r>
      <w:r w:rsidRPr="00860724">
        <w:rPr>
          <w:rFonts w:eastAsiaTheme="minorHAnsi" w:cs="Arial"/>
          <w:lang w:val="ro-RO"/>
        </w:rPr>
        <w:t xml:space="preserve">%) erau bărbaţi. </w:t>
      </w:r>
    </w:p>
    <w:p w:rsidR="002431A4" w:rsidRPr="00860724" w:rsidRDefault="002431A4" w:rsidP="002431A4">
      <w:pPr>
        <w:ind w:right="48" w:firstLine="709"/>
        <w:jc w:val="both"/>
        <w:rPr>
          <w:rFonts w:cs="Arial"/>
          <w:lang w:val="ro-RO"/>
        </w:rPr>
      </w:pPr>
    </w:p>
    <w:p w:rsidR="002431A4" w:rsidRPr="00860724" w:rsidRDefault="002431A4" w:rsidP="002431A4">
      <w:pPr>
        <w:ind w:right="48" w:firstLine="709"/>
        <w:jc w:val="both"/>
        <w:rPr>
          <w:rFonts w:cs="Arial"/>
          <w:lang w:val="ro-RO"/>
        </w:rPr>
      </w:pPr>
      <w:r w:rsidRPr="00860724">
        <w:rPr>
          <w:noProof/>
          <w:lang w:val="ro-RO" w:eastAsia="ro-RO"/>
        </w:rPr>
        <w:drawing>
          <wp:inline distT="0" distB="0" distL="0" distR="0" wp14:anchorId="0C4CAB62" wp14:editId="74578466">
            <wp:extent cx="5086350" cy="2752725"/>
            <wp:effectExtent l="0" t="0" r="0" b="0"/>
            <wp:docPr id="93" name="Chart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2431A4" w:rsidRPr="00860724" w:rsidRDefault="002431A4" w:rsidP="002431A4">
      <w:pPr>
        <w:jc w:val="both"/>
        <w:rPr>
          <w:lang w:val="ro-RO"/>
        </w:rPr>
      </w:pPr>
      <w:r w:rsidRPr="00860724">
        <w:rPr>
          <w:lang w:val="ro-RO"/>
        </w:rPr>
        <w:tab/>
      </w:r>
    </w:p>
    <w:p w:rsidR="002431A4" w:rsidRPr="00860724" w:rsidRDefault="002431A4" w:rsidP="002431A4">
      <w:pPr>
        <w:ind w:firstLine="426"/>
        <w:jc w:val="both"/>
        <w:rPr>
          <w:b/>
          <w:i/>
          <w:lang w:val="ro-RO"/>
        </w:rPr>
      </w:pPr>
    </w:p>
    <w:p w:rsidR="002431A4" w:rsidRPr="007F13FC" w:rsidRDefault="002431A4" w:rsidP="00642922">
      <w:pPr>
        <w:keepNext/>
        <w:spacing w:line="276" w:lineRule="auto"/>
        <w:ind w:firstLine="708"/>
        <w:jc w:val="both"/>
        <w:rPr>
          <w:b/>
          <w:lang w:val="ro-RO"/>
        </w:rPr>
      </w:pPr>
      <w:r w:rsidRPr="007F13FC">
        <w:rPr>
          <w:b/>
          <w:lang w:val="ro-RO"/>
        </w:rPr>
        <w:t xml:space="preserve">A.2. Ocuparea posturilor de execuţie de judecător </w:t>
      </w:r>
    </w:p>
    <w:p w:rsidR="002431A4" w:rsidRPr="007F13FC" w:rsidRDefault="002431A4" w:rsidP="00642922">
      <w:pPr>
        <w:spacing w:line="276" w:lineRule="auto"/>
        <w:ind w:firstLine="708"/>
        <w:jc w:val="both"/>
        <w:rPr>
          <w:lang w:val="ro-RO"/>
        </w:rPr>
      </w:pPr>
      <w:r w:rsidRPr="007F13FC">
        <w:rPr>
          <w:lang w:val="ro-RO"/>
        </w:rPr>
        <w:t>În cursul anului 2017, ocuparea posturilor de execuţie vacante s-a realizat prin următoarele modalităţi:</w:t>
      </w:r>
    </w:p>
    <w:p w:rsidR="002431A4" w:rsidRPr="007F13FC" w:rsidRDefault="002431A4" w:rsidP="00642922">
      <w:pPr>
        <w:spacing w:line="276" w:lineRule="auto"/>
        <w:ind w:firstLine="708"/>
        <w:jc w:val="both"/>
        <w:rPr>
          <w:lang w:val="ro-RO"/>
        </w:rPr>
      </w:pPr>
    </w:p>
    <w:p w:rsidR="002431A4" w:rsidRPr="007F13FC" w:rsidRDefault="002431A4" w:rsidP="00642922">
      <w:pPr>
        <w:numPr>
          <w:ilvl w:val="0"/>
          <w:numId w:val="4"/>
        </w:numPr>
        <w:tabs>
          <w:tab w:val="clear" w:pos="644"/>
          <w:tab w:val="num" w:pos="0"/>
          <w:tab w:val="num" w:pos="720"/>
        </w:tabs>
        <w:spacing w:line="276" w:lineRule="auto"/>
        <w:ind w:left="0" w:firstLine="684"/>
        <w:jc w:val="both"/>
        <w:rPr>
          <w:b/>
          <w:lang w:val="ro-RO"/>
        </w:rPr>
      </w:pPr>
      <w:r w:rsidRPr="007F13FC">
        <w:rPr>
          <w:b/>
          <w:lang w:val="ro-RO"/>
        </w:rPr>
        <w:t xml:space="preserve">Repartizarea absolvenţilor Institutului Naţional al Magistraturii, promoţia 2017 </w:t>
      </w:r>
    </w:p>
    <w:p w:rsidR="002431A4" w:rsidRPr="007F13FC" w:rsidRDefault="002431A4" w:rsidP="00642922">
      <w:pPr>
        <w:spacing w:line="276" w:lineRule="auto"/>
        <w:ind w:firstLine="568"/>
        <w:jc w:val="both"/>
        <w:outlineLvl w:val="3"/>
        <w:rPr>
          <w:lang w:val="ro-RO"/>
        </w:rPr>
      </w:pPr>
      <w:r w:rsidRPr="007F13FC">
        <w:rPr>
          <w:lang w:val="ro-RO"/>
        </w:rPr>
        <w:t>Potrivit rezultatelor finale ale examenului de absolvire a Institutului Naţional al Magistraturii pentru promoţia 2017, în şedinţa din data de 19 decembrie 2017 a Plenului Consiliului Superior al Magistraturii s-a dispus numirea în funcţia de judecător stagiar a 71 de absolvenţi ai Institutului Naţional al Magistraturii.</w:t>
      </w:r>
    </w:p>
    <w:p w:rsidR="002431A4" w:rsidRPr="007F13FC" w:rsidRDefault="002431A4" w:rsidP="00642922">
      <w:pPr>
        <w:spacing w:line="276" w:lineRule="auto"/>
        <w:ind w:firstLine="568"/>
        <w:jc w:val="both"/>
        <w:outlineLvl w:val="3"/>
        <w:rPr>
          <w:lang w:val="ro-RO"/>
        </w:rPr>
      </w:pPr>
    </w:p>
    <w:p w:rsidR="002431A4" w:rsidRPr="007F13FC" w:rsidRDefault="002431A4" w:rsidP="00642922">
      <w:pPr>
        <w:numPr>
          <w:ilvl w:val="0"/>
          <w:numId w:val="4"/>
        </w:numPr>
        <w:tabs>
          <w:tab w:val="clear" w:pos="644"/>
          <w:tab w:val="num" w:pos="0"/>
          <w:tab w:val="num" w:pos="720"/>
        </w:tabs>
        <w:spacing w:line="276" w:lineRule="auto"/>
        <w:ind w:left="0" w:firstLine="684"/>
        <w:jc w:val="both"/>
        <w:rPr>
          <w:b/>
          <w:lang w:val="ro-RO"/>
        </w:rPr>
      </w:pPr>
      <w:r w:rsidRPr="007F13FC">
        <w:rPr>
          <w:b/>
          <w:lang w:val="ro-RO"/>
        </w:rPr>
        <w:t>Numirea în magistratură pe bază de concurs, conform dispoziţiilor art. 33 alin. (1)-(4) din Legea nr. 303/2004 republicată, cu modificările şi completările ulterioare</w:t>
      </w:r>
    </w:p>
    <w:p w:rsidR="002431A4" w:rsidRPr="007F13FC" w:rsidRDefault="002431A4" w:rsidP="00642922">
      <w:pPr>
        <w:autoSpaceDE w:val="0"/>
        <w:autoSpaceDN w:val="0"/>
        <w:adjustRightInd w:val="0"/>
        <w:spacing w:line="276" w:lineRule="auto"/>
        <w:ind w:firstLine="568"/>
        <w:jc w:val="both"/>
        <w:rPr>
          <w:rFonts w:cs="Calibri"/>
          <w:color w:val="000000"/>
          <w:lang w:val="ro-RO" w:eastAsia="ro-RO"/>
        </w:rPr>
      </w:pPr>
      <w:r w:rsidRPr="007F13FC">
        <w:rPr>
          <w:rFonts w:cs="Calibri"/>
          <w:color w:val="000000"/>
          <w:lang w:val="ro-RO" w:eastAsia="ro-RO"/>
        </w:rPr>
        <w:t>În cursul anului 2017, Plenul Consiliului Superior al Magistraturii a aprobat organizarea a două concursuri de admitere în magistratură în condiţiile art. 33 alin. (1) din Legea nr. 303/2004, republicată, cu modificările şi completările ulterioare.</w:t>
      </w:r>
    </w:p>
    <w:p w:rsidR="002431A4" w:rsidRPr="007F13FC" w:rsidRDefault="002431A4" w:rsidP="00642922">
      <w:pPr>
        <w:autoSpaceDE w:val="0"/>
        <w:autoSpaceDN w:val="0"/>
        <w:adjustRightInd w:val="0"/>
        <w:spacing w:line="276" w:lineRule="auto"/>
        <w:ind w:firstLine="568"/>
        <w:jc w:val="both"/>
        <w:rPr>
          <w:rFonts w:cs="Calibri"/>
          <w:b/>
          <w:lang w:val="ro-RO" w:eastAsia="ro-RO"/>
        </w:rPr>
      </w:pPr>
      <w:r w:rsidRPr="007F13FC">
        <w:rPr>
          <w:rFonts w:cs="Calibri"/>
          <w:color w:val="000000"/>
          <w:lang w:val="ro-RO" w:eastAsia="ro-RO"/>
        </w:rPr>
        <w:t>În perioada 7 februarie – 22 mai 2017 s-a desfăşurat primul concurs, căruia i-au fost alocate 85 de posturi de judecător la judecătorii</w:t>
      </w:r>
      <w:r w:rsidRPr="007F13FC">
        <w:rPr>
          <w:rFonts w:cs="Calibri"/>
          <w:lang w:val="ro-RO" w:eastAsia="ro-RO"/>
        </w:rPr>
        <w:t xml:space="preserve">. Pe baza rezultatelor acestui concurs, </w:t>
      </w:r>
      <w:r w:rsidRPr="007F13FC">
        <w:rPr>
          <w:rFonts w:cs="Calibri"/>
          <w:b/>
          <w:lang w:val="ro-RO" w:eastAsia="ro-RO"/>
        </w:rPr>
        <w:t xml:space="preserve">au fost ocupate </w:t>
      </w:r>
      <w:r w:rsidRPr="007F13FC">
        <w:rPr>
          <w:rFonts w:cs="Calibri"/>
          <w:b/>
          <w:bCs/>
          <w:lang w:val="ro-RO" w:eastAsia="ro-RO"/>
        </w:rPr>
        <w:t>62</w:t>
      </w:r>
      <w:r w:rsidRPr="007F13FC">
        <w:rPr>
          <w:rFonts w:cs="Calibri"/>
          <w:b/>
          <w:lang w:val="ro-RO" w:eastAsia="ro-RO"/>
        </w:rPr>
        <w:t xml:space="preserve"> de posturi de judecător</w:t>
      </w:r>
      <w:r w:rsidRPr="007F13FC">
        <w:rPr>
          <w:rFonts w:cs="Calibri"/>
          <w:b/>
          <w:bCs/>
          <w:lang w:val="ro-RO" w:eastAsia="ro-RO"/>
        </w:rPr>
        <w:t>.</w:t>
      </w:r>
    </w:p>
    <w:p w:rsidR="002431A4" w:rsidRPr="007F13FC" w:rsidRDefault="002431A4" w:rsidP="00642922">
      <w:pPr>
        <w:autoSpaceDE w:val="0"/>
        <w:autoSpaceDN w:val="0"/>
        <w:adjustRightInd w:val="0"/>
        <w:spacing w:line="276" w:lineRule="auto"/>
        <w:ind w:firstLine="568"/>
        <w:jc w:val="both"/>
        <w:rPr>
          <w:rFonts w:cs="Calibri"/>
          <w:lang w:val="ro-RO" w:eastAsia="ro-RO"/>
        </w:rPr>
      </w:pPr>
      <w:r w:rsidRPr="007F13FC">
        <w:rPr>
          <w:rFonts w:cs="Calibri"/>
          <w:bCs/>
          <w:lang w:val="ro-RO" w:eastAsia="ro-RO"/>
        </w:rPr>
        <w:t>De asemenea, în perioada 4 iulie – 12 octombrie 2017 s-a desfăşurat cel de-al doilea concurs de admitere în magistratură, căruia i-au fost alocate 70 de posturi de judecător la judecătorii</w:t>
      </w:r>
      <w:r w:rsidRPr="007F13FC">
        <w:rPr>
          <w:rFonts w:cs="Calibri"/>
          <w:lang w:val="ro-RO" w:eastAsia="ro-RO"/>
        </w:rPr>
        <w:t>.</w:t>
      </w:r>
    </w:p>
    <w:p w:rsidR="002431A4" w:rsidRPr="007F13FC" w:rsidRDefault="002431A4" w:rsidP="00642922">
      <w:pPr>
        <w:autoSpaceDE w:val="0"/>
        <w:autoSpaceDN w:val="0"/>
        <w:adjustRightInd w:val="0"/>
        <w:spacing w:line="276" w:lineRule="auto"/>
        <w:ind w:firstLine="568"/>
        <w:jc w:val="both"/>
        <w:rPr>
          <w:bCs/>
          <w:color w:val="000000"/>
          <w:lang w:val="ro-RO"/>
        </w:rPr>
      </w:pPr>
      <w:r w:rsidRPr="007F13FC">
        <w:rPr>
          <w:bCs/>
          <w:color w:val="000000"/>
          <w:lang w:val="ro-RO"/>
        </w:rPr>
        <w:t>Ulterior, prin Hotărârea nr. 1127/26.10.2017, Plenul Consiliului Superior al Magistraturii a dispus suplimentarea numărului de posturi anterior menţionat cu un post de judecător la Judecătoria Tulcea.</w:t>
      </w:r>
    </w:p>
    <w:p w:rsidR="002431A4" w:rsidRPr="007F13FC" w:rsidRDefault="002431A4" w:rsidP="00642922">
      <w:pPr>
        <w:autoSpaceDE w:val="0"/>
        <w:autoSpaceDN w:val="0"/>
        <w:adjustRightInd w:val="0"/>
        <w:spacing w:line="276" w:lineRule="auto"/>
        <w:ind w:firstLine="568"/>
        <w:jc w:val="both"/>
        <w:rPr>
          <w:bCs/>
          <w:color w:val="000000"/>
          <w:lang w:val="ro-RO"/>
        </w:rPr>
      </w:pPr>
      <w:r w:rsidRPr="007F13FC">
        <w:rPr>
          <w:bCs/>
          <w:color w:val="000000"/>
          <w:lang w:val="ro-RO"/>
        </w:rPr>
        <w:t>După finalizarea concursului, prin Hotărârea nr. 1286/14.12.2017 a Plenului s-a propus Preşedintelui României numirea în funcţia de judecător a 71 de persoane.</w:t>
      </w:r>
    </w:p>
    <w:p w:rsidR="002431A4" w:rsidRPr="007F13FC" w:rsidRDefault="002431A4" w:rsidP="00642922">
      <w:pPr>
        <w:autoSpaceDE w:val="0"/>
        <w:autoSpaceDN w:val="0"/>
        <w:adjustRightInd w:val="0"/>
        <w:spacing w:line="276" w:lineRule="auto"/>
        <w:ind w:firstLine="568"/>
        <w:jc w:val="both"/>
        <w:rPr>
          <w:b/>
          <w:bCs/>
          <w:lang w:val="ro-RO"/>
        </w:rPr>
      </w:pPr>
      <w:r w:rsidRPr="007F13FC">
        <w:rPr>
          <w:b/>
          <w:bCs/>
          <w:lang w:val="ro-RO"/>
        </w:rPr>
        <w:t>Aşadar, ca urmare a celor două concursuri de admitere în magistratură organizate în anul 2017 au fost ocupate 133 de posturi de judecător.</w:t>
      </w:r>
    </w:p>
    <w:p w:rsidR="002431A4" w:rsidRDefault="002431A4" w:rsidP="00642922">
      <w:pPr>
        <w:autoSpaceDE w:val="0"/>
        <w:autoSpaceDN w:val="0"/>
        <w:adjustRightInd w:val="0"/>
        <w:spacing w:line="276" w:lineRule="auto"/>
        <w:ind w:firstLine="568"/>
        <w:jc w:val="both"/>
        <w:rPr>
          <w:b/>
          <w:bCs/>
          <w:lang w:val="ro-RO"/>
        </w:rPr>
      </w:pPr>
    </w:p>
    <w:p w:rsidR="00642922" w:rsidRDefault="00642922" w:rsidP="00642922">
      <w:pPr>
        <w:autoSpaceDE w:val="0"/>
        <w:autoSpaceDN w:val="0"/>
        <w:adjustRightInd w:val="0"/>
        <w:spacing w:line="276" w:lineRule="auto"/>
        <w:ind w:firstLine="568"/>
        <w:jc w:val="both"/>
        <w:rPr>
          <w:b/>
          <w:bCs/>
          <w:lang w:val="ro-RO"/>
        </w:rPr>
      </w:pPr>
    </w:p>
    <w:p w:rsidR="00642922" w:rsidRPr="007F13FC" w:rsidRDefault="00642922" w:rsidP="00642922">
      <w:pPr>
        <w:autoSpaceDE w:val="0"/>
        <w:autoSpaceDN w:val="0"/>
        <w:adjustRightInd w:val="0"/>
        <w:spacing w:line="276" w:lineRule="auto"/>
        <w:ind w:firstLine="568"/>
        <w:jc w:val="both"/>
        <w:rPr>
          <w:b/>
          <w:bCs/>
          <w:lang w:val="ro-RO"/>
        </w:rPr>
      </w:pPr>
    </w:p>
    <w:p w:rsidR="002431A4" w:rsidRPr="007F13FC" w:rsidRDefault="002431A4" w:rsidP="00642922">
      <w:pPr>
        <w:autoSpaceDE w:val="0"/>
        <w:autoSpaceDN w:val="0"/>
        <w:adjustRightInd w:val="0"/>
        <w:spacing w:line="276" w:lineRule="auto"/>
        <w:ind w:firstLine="568"/>
        <w:jc w:val="both"/>
        <w:rPr>
          <w:color w:val="FF0000"/>
          <w:lang w:val="ro-RO"/>
        </w:rPr>
      </w:pPr>
    </w:p>
    <w:p w:rsidR="002431A4" w:rsidRPr="007F13FC" w:rsidRDefault="002431A4" w:rsidP="00642922">
      <w:pPr>
        <w:numPr>
          <w:ilvl w:val="0"/>
          <w:numId w:val="4"/>
        </w:numPr>
        <w:shd w:val="clear" w:color="auto" w:fill="FFFFFF"/>
        <w:tabs>
          <w:tab w:val="clear" w:pos="644"/>
          <w:tab w:val="num" w:pos="0"/>
          <w:tab w:val="num" w:pos="720"/>
        </w:tabs>
        <w:spacing w:line="276" w:lineRule="auto"/>
        <w:ind w:left="0" w:firstLine="720"/>
        <w:jc w:val="both"/>
        <w:rPr>
          <w:lang w:val="ro-RO"/>
        </w:rPr>
      </w:pPr>
      <w:r w:rsidRPr="007F13FC">
        <w:rPr>
          <w:b/>
          <w:lang w:val="ro-RO"/>
        </w:rPr>
        <w:t xml:space="preserve">Numirea, la cerere, a procurorilor în funcţia de judecător </w:t>
      </w:r>
    </w:p>
    <w:p w:rsidR="002431A4" w:rsidRPr="007F13FC" w:rsidRDefault="002431A4" w:rsidP="00642922">
      <w:pPr>
        <w:numPr>
          <w:ilvl w:val="0"/>
          <w:numId w:val="4"/>
        </w:numPr>
        <w:shd w:val="clear" w:color="auto" w:fill="FFFFFF"/>
        <w:tabs>
          <w:tab w:val="clear" w:pos="644"/>
          <w:tab w:val="num" w:pos="0"/>
          <w:tab w:val="num" w:pos="720"/>
        </w:tabs>
        <w:spacing w:line="276" w:lineRule="auto"/>
        <w:ind w:left="0" w:firstLine="720"/>
        <w:jc w:val="both"/>
        <w:rPr>
          <w:lang w:val="ro-RO"/>
        </w:rPr>
      </w:pPr>
      <w:r w:rsidRPr="007F13FC">
        <w:rPr>
          <w:lang w:val="ro-RO"/>
        </w:rPr>
        <w:t>În cursul anului 2017</w:t>
      </w:r>
      <w:r w:rsidRPr="007F13FC">
        <w:rPr>
          <w:color w:val="000000"/>
          <w:lang w:val="ro-RO"/>
        </w:rPr>
        <w:t xml:space="preserve">, prin </w:t>
      </w:r>
      <w:r w:rsidRPr="007F13FC">
        <w:rPr>
          <w:lang w:val="ro-RO"/>
        </w:rPr>
        <w:t>Hotărârile nr. 95/2017 şi nr. 789/2017, Plenul Consiliului Superior al Magistraturii a aprobat organizarea a două sesiuni de numire a procurorilor în funcţia de judecător, în lunile martie şi septembrie 2017.</w:t>
      </w:r>
    </w:p>
    <w:p w:rsidR="002431A4" w:rsidRPr="007F13FC" w:rsidRDefault="002431A4" w:rsidP="00642922">
      <w:pPr>
        <w:spacing w:line="276" w:lineRule="auto"/>
        <w:ind w:right="45" w:firstLine="684"/>
        <w:jc w:val="both"/>
        <w:rPr>
          <w:rFonts w:eastAsiaTheme="minorHAnsi" w:cs="Arial"/>
          <w:lang w:val="ro-RO"/>
        </w:rPr>
      </w:pPr>
      <w:r w:rsidRPr="007F13FC">
        <w:rPr>
          <w:rFonts w:eastAsiaTheme="minorHAnsi" w:cs="Arial"/>
          <w:lang w:val="ro-RO"/>
        </w:rPr>
        <w:t xml:space="preserve">Ca urmare a primei sesiuni, în temeiul art. 61 din Legea nr. 303/2004, republicată, cu modificările şi completările ulterioare, au fost eliberate din funcţia de procuror şi </w:t>
      </w:r>
      <w:r w:rsidRPr="007F13FC">
        <w:rPr>
          <w:rFonts w:eastAsiaTheme="minorHAnsi" w:cs="Arial"/>
          <w:b/>
          <w:lang w:val="ro-RO"/>
        </w:rPr>
        <w:t>numite în funcţia de judecător, la cerere, 6 persoane</w:t>
      </w:r>
      <w:r w:rsidRPr="007F13FC">
        <w:rPr>
          <w:rFonts w:eastAsiaTheme="minorHAnsi" w:cs="Arial"/>
          <w:lang w:val="ro-RO"/>
        </w:rPr>
        <w:t xml:space="preserve">, iar după cea de a doua sesiune, Plenul Consiliului Superior al Magistraturii a propus preşedintelui României eliberarea din funcţia de procuror </w:t>
      </w:r>
      <w:r w:rsidRPr="007F13FC">
        <w:rPr>
          <w:rFonts w:eastAsiaTheme="minorHAnsi" w:cs="Arial"/>
          <w:b/>
          <w:lang w:val="ro-RO"/>
        </w:rPr>
        <w:t>şi numirea în funcţia de judecător, la cerere, a unui număr de 8 persoane</w:t>
      </w:r>
      <w:r w:rsidRPr="007F13FC">
        <w:rPr>
          <w:rFonts w:eastAsiaTheme="minorHAnsi" w:cs="Arial"/>
          <w:lang w:val="ro-RO"/>
        </w:rPr>
        <w:t xml:space="preserve">. </w:t>
      </w:r>
    </w:p>
    <w:p w:rsidR="002431A4" w:rsidRPr="007F13FC" w:rsidRDefault="002431A4" w:rsidP="00642922">
      <w:pPr>
        <w:spacing w:line="276" w:lineRule="auto"/>
        <w:ind w:right="45"/>
        <w:jc w:val="both"/>
        <w:rPr>
          <w:rFonts w:eastAsiaTheme="minorHAnsi" w:cs="Arial"/>
          <w:lang w:val="ro-RO"/>
        </w:rPr>
      </w:pPr>
    </w:p>
    <w:p w:rsidR="002431A4" w:rsidRPr="007F13FC" w:rsidRDefault="002431A4" w:rsidP="00642922">
      <w:pPr>
        <w:numPr>
          <w:ilvl w:val="0"/>
          <w:numId w:val="4"/>
        </w:numPr>
        <w:tabs>
          <w:tab w:val="clear" w:pos="644"/>
          <w:tab w:val="num" w:pos="0"/>
          <w:tab w:val="num" w:pos="720"/>
        </w:tabs>
        <w:spacing w:line="276" w:lineRule="auto"/>
        <w:ind w:left="0" w:firstLine="360"/>
        <w:jc w:val="both"/>
        <w:rPr>
          <w:b/>
          <w:lang w:val="ro-RO"/>
        </w:rPr>
      </w:pPr>
      <w:r w:rsidRPr="007F13FC">
        <w:rPr>
          <w:b/>
          <w:lang w:val="ro-RO"/>
        </w:rPr>
        <w:t xml:space="preserve">        Numirea în funcţia de judecător, după promovarea examenului de capacitate, a procurorilor care au optat în acest sens</w:t>
      </w:r>
    </w:p>
    <w:p w:rsidR="002431A4" w:rsidRPr="007F13FC" w:rsidRDefault="002431A4" w:rsidP="00642922">
      <w:pPr>
        <w:tabs>
          <w:tab w:val="left" w:pos="709"/>
        </w:tabs>
        <w:spacing w:line="276" w:lineRule="auto"/>
        <w:ind w:firstLine="720"/>
        <w:jc w:val="both"/>
        <w:rPr>
          <w:lang w:val="ro-RO"/>
        </w:rPr>
      </w:pPr>
      <w:r w:rsidRPr="007F13FC">
        <w:rPr>
          <w:lang w:val="ro-RO"/>
        </w:rPr>
        <w:t>Potrivit art. 25 alin.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2431A4" w:rsidRPr="007F13FC" w:rsidRDefault="002431A4" w:rsidP="00642922">
      <w:pPr>
        <w:spacing w:line="276" w:lineRule="auto"/>
        <w:ind w:firstLine="720"/>
        <w:jc w:val="both"/>
        <w:rPr>
          <w:bCs/>
          <w:color w:val="000000"/>
          <w:lang w:val="ro-RO"/>
        </w:rPr>
      </w:pPr>
      <w:r w:rsidRPr="007F13FC">
        <w:rPr>
          <w:lang w:val="ro-RO"/>
        </w:rPr>
        <w:t xml:space="preserve">În acord cu aceste prevederi legale, ca urmare a examenului de capacitate al judecătorilor şi procurorilor stagiari desfăşurat în perioada 1 iulie – 3 noiembrie 2016, în cursul anului 2017 </w:t>
      </w:r>
      <w:r w:rsidRPr="007F13FC">
        <w:rPr>
          <w:bCs/>
          <w:color w:val="000000"/>
          <w:lang w:val="ro-RO"/>
        </w:rPr>
        <w:t xml:space="preserve">au fost numiţi în funcţia de judecător candidaţii care au promovat examenul de capacitate, printre aceştia regăsindu-se şi </w:t>
      </w:r>
      <w:r w:rsidRPr="007F13FC">
        <w:rPr>
          <w:b/>
          <w:bCs/>
          <w:color w:val="000000"/>
          <w:lang w:val="ro-RO"/>
        </w:rPr>
        <w:t>30 de procurori care au optat pentru funcţia de judecător</w:t>
      </w:r>
      <w:r w:rsidRPr="007F13FC">
        <w:rPr>
          <w:bCs/>
          <w:color w:val="000000"/>
          <w:lang w:val="ro-RO"/>
        </w:rPr>
        <w:t xml:space="preserve">. </w:t>
      </w:r>
    </w:p>
    <w:p w:rsidR="002431A4" w:rsidRPr="007F13FC" w:rsidRDefault="002431A4" w:rsidP="00642922">
      <w:pPr>
        <w:spacing w:line="276" w:lineRule="auto"/>
        <w:ind w:firstLine="720"/>
        <w:jc w:val="both"/>
        <w:rPr>
          <w:bCs/>
          <w:color w:val="000000"/>
          <w:lang w:val="ro-RO"/>
        </w:rPr>
      </w:pPr>
      <w:r w:rsidRPr="007F13FC">
        <w:rPr>
          <w:lang w:val="ro-RO"/>
        </w:rPr>
        <w:t xml:space="preserve">De asemenea, </w:t>
      </w:r>
      <w:r w:rsidRPr="007F13FC">
        <w:rPr>
          <w:bCs/>
          <w:color w:val="000000"/>
          <w:lang w:val="ro-RO"/>
        </w:rPr>
        <w:t>în perioada 30 iunie - 13 noiembrie 2017 s-a desfăşurat examenul de capacitate al judecătorilor şi procurorilor stagiari.</w:t>
      </w:r>
    </w:p>
    <w:p w:rsidR="002431A4" w:rsidRPr="007F13FC" w:rsidRDefault="002431A4" w:rsidP="00642922">
      <w:pPr>
        <w:spacing w:line="276" w:lineRule="auto"/>
        <w:ind w:firstLine="720"/>
        <w:jc w:val="both"/>
        <w:rPr>
          <w:lang w:val="ro-RO"/>
        </w:rPr>
      </w:pPr>
      <w:r w:rsidRPr="007F13FC">
        <w:rPr>
          <w:bCs/>
          <w:color w:val="000000"/>
          <w:lang w:val="ro-RO"/>
        </w:rPr>
        <w:t xml:space="preserve">În şedinţa din data de 19 decembrie 2017 a Plenului au fost validate rezultatele </w:t>
      </w:r>
      <w:r w:rsidRPr="007F13FC">
        <w:rPr>
          <w:lang w:val="ro-RO"/>
        </w:rPr>
        <w:t xml:space="preserve">examenului menţionat anterior, iar în luna ianuarie 2018 </w:t>
      </w:r>
      <w:r w:rsidR="001255F1">
        <w:rPr>
          <w:lang w:val="ro-RO"/>
        </w:rPr>
        <w:t xml:space="preserve">au fost </w:t>
      </w:r>
      <w:r w:rsidRPr="007F13FC">
        <w:rPr>
          <w:lang w:val="ro-RO"/>
        </w:rPr>
        <w:t>exercitate opţiunile pentru posturi de către judecătorii şi procurorii care au fost declaraţi admişi.</w:t>
      </w:r>
    </w:p>
    <w:p w:rsidR="002431A4" w:rsidRPr="007F13FC" w:rsidRDefault="002431A4" w:rsidP="00642922">
      <w:pPr>
        <w:spacing w:line="276" w:lineRule="auto"/>
        <w:ind w:firstLine="720"/>
        <w:jc w:val="both"/>
        <w:rPr>
          <w:lang w:val="ro-RO"/>
        </w:rPr>
      </w:pPr>
    </w:p>
    <w:p w:rsidR="002431A4" w:rsidRPr="007F13FC" w:rsidRDefault="002431A4" w:rsidP="00642922">
      <w:pPr>
        <w:numPr>
          <w:ilvl w:val="0"/>
          <w:numId w:val="4"/>
        </w:numPr>
        <w:tabs>
          <w:tab w:val="clear" w:pos="644"/>
          <w:tab w:val="num" w:pos="0"/>
          <w:tab w:val="num" w:pos="720"/>
        </w:tabs>
        <w:spacing w:line="276" w:lineRule="auto"/>
        <w:ind w:left="0" w:firstLine="360"/>
        <w:jc w:val="both"/>
        <w:rPr>
          <w:b/>
          <w:lang w:val="ro-RO"/>
        </w:rPr>
      </w:pPr>
      <w:r w:rsidRPr="007F13FC">
        <w:rPr>
          <w:b/>
          <w:lang w:val="ro-RO"/>
        </w:rPr>
        <w:t xml:space="preserve">        Reîncadrarea în funcţia de judecător a foştilor judecători </w:t>
      </w:r>
    </w:p>
    <w:p w:rsidR="002431A4" w:rsidRPr="007F13FC" w:rsidRDefault="002431A4" w:rsidP="00642922">
      <w:pPr>
        <w:spacing w:line="276" w:lineRule="auto"/>
        <w:ind w:right="45" w:firstLine="709"/>
        <w:jc w:val="both"/>
        <w:rPr>
          <w:rFonts w:eastAsiaTheme="minorHAnsi" w:cs="Arial"/>
          <w:lang w:val="ro-RO"/>
        </w:rPr>
      </w:pPr>
      <w:r w:rsidRPr="007F13FC">
        <w:rPr>
          <w:rFonts w:eastAsiaTheme="minorHAnsi" w:cs="Arial"/>
          <w:lang w:val="ro-RO"/>
        </w:rPr>
        <w:t xml:space="preserve">În anul 2017 au fost reîncadrate </w:t>
      </w:r>
      <w:r w:rsidRPr="007F13FC">
        <w:rPr>
          <w:rFonts w:eastAsiaTheme="minorHAnsi" w:cs="Arial"/>
          <w:b/>
          <w:lang w:val="ro-RO"/>
        </w:rPr>
        <w:t>în funcţia de judecător</w:t>
      </w:r>
      <w:r w:rsidRPr="007F13FC">
        <w:rPr>
          <w:rFonts w:eastAsiaTheme="minorHAnsi" w:cs="Arial"/>
          <w:lang w:val="ro-RO"/>
        </w:rPr>
        <w:t xml:space="preserve"> </w:t>
      </w:r>
      <w:r w:rsidRPr="007F13FC">
        <w:rPr>
          <w:rFonts w:eastAsiaTheme="minorHAnsi" w:cs="Arial"/>
          <w:b/>
          <w:lang w:val="ro-RO"/>
        </w:rPr>
        <w:t xml:space="preserve">două persoane, </w:t>
      </w:r>
      <w:r w:rsidRPr="007F13FC">
        <w:rPr>
          <w:rFonts w:eastAsiaTheme="minorHAnsi" w:cs="Arial"/>
          <w:lang w:val="ro-RO"/>
        </w:rPr>
        <w:t>justificat de situaţia dificilă, din punct de vedere al resurselor umane, în care se aflau instanţele unde s-a dispus reîncadrarea.</w:t>
      </w:r>
      <w:r w:rsidRPr="007F13FC">
        <w:rPr>
          <w:rFonts w:eastAsiaTheme="minorHAnsi" w:cs="Arial"/>
          <w:b/>
          <w:lang w:val="ro-RO"/>
        </w:rPr>
        <w:t xml:space="preserve"> </w:t>
      </w:r>
    </w:p>
    <w:p w:rsidR="002431A4" w:rsidRPr="007F13FC" w:rsidRDefault="002431A4" w:rsidP="00642922">
      <w:pPr>
        <w:spacing w:line="276" w:lineRule="auto"/>
        <w:ind w:right="45" w:firstLine="709"/>
        <w:jc w:val="both"/>
        <w:rPr>
          <w:rFonts w:eastAsiaTheme="minorHAnsi" w:cs="Arial"/>
          <w:lang w:val="ro-RO"/>
        </w:rPr>
      </w:pPr>
    </w:p>
    <w:p w:rsidR="002431A4" w:rsidRPr="007F13FC" w:rsidRDefault="002431A4" w:rsidP="00642922">
      <w:pPr>
        <w:spacing w:line="276" w:lineRule="auto"/>
        <w:ind w:right="45" w:firstLine="709"/>
        <w:jc w:val="both"/>
        <w:rPr>
          <w:rFonts w:eastAsiaTheme="minorHAnsi" w:cs="Arial"/>
          <w:lang w:val="ro-RO"/>
        </w:rPr>
      </w:pPr>
      <w:r w:rsidRPr="007F13FC">
        <w:rPr>
          <w:rFonts w:eastAsiaTheme="minorHAnsi" w:cs="Arial"/>
          <w:lang w:val="ro-RO"/>
        </w:rPr>
        <w:t xml:space="preserve">În acord cu datele prezentate mai sus, ca urmare a procedurilor derulate în anul 2017 au fost numite în funcţia de judecător </w:t>
      </w:r>
      <w:r w:rsidRPr="007F13FC">
        <w:rPr>
          <w:rFonts w:eastAsiaTheme="minorHAnsi" w:cs="Arial"/>
          <w:b/>
          <w:lang w:val="ro-RO"/>
        </w:rPr>
        <w:t>250 de persoane</w:t>
      </w:r>
      <w:r w:rsidRPr="007F13FC">
        <w:rPr>
          <w:rFonts w:eastAsiaTheme="minorHAnsi" w:cs="Arial"/>
          <w:lang w:val="ro-RO"/>
        </w:rPr>
        <w:t>, grafic situaţia prezentându-se astfel:</w:t>
      </w:r>
    </w:p>
    <w:p w:rsidR="002431A4" w:rsidRPr="00860724" w:rsidRDefault="002431A4" w:rsidP="002431A4">
      <w:pPr>
        <w:ind w:right="45" w:firstLine="709"/>
        <w:jc w:val="both"/>
        <w:rPr>
          <w:rFonts w:eastAsiaTheme="minorHAnsi" w:cs="Arial"/>
          <w:lang w:val="ro-RO"/>
        </w:rPr>
      </w:pPr>
      <w:r w:rsidRPr="00860724">
        <w:rPr>
          <w:rFonts w:eastAsiaTheme="minorHAnsi" w:cs="Arial"/>
          <w:noProof/>
          <w:lang w:val="ro-RO" w:eastAsia="ro-RO"/>
        </w:rPr>
        <w:drawing>
          <wp:anchor distT="0" distB="0" distL="114300" distR="114300" simplePos="0" relativeHeight="251659264" behindDoc="0" locked="0" layoutInCell="1" allowOverlap="1" wp14:anchorId="5C7F26ED" wp14:editId="15054544">
            <wp:simplePos x="0" y="0"/>
            <wp:positionH relativeFrom="column">
              <wp:posOffset>0</wp:posOffset>
            </wp:positionH>
            <wp:positionV relativeFrom="paragraph">
              <wp:posOffset>190500</wp:posOffset>
            </wp:positionV>
            <wp:extent cx="5676900" cy="4343400"/>
            <wp:effectExtent l="0" t="0" r="0" b="0"/>
            <wp:wrapSquare wrapText="bothSides"/>
            <wp:docPr id="40" name="Chart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H relativeFrom="page">
              <wp14:pctWidth>0</wp14:pctWidth>
            </wp14:sizeRelH>
            <wp14:sizeRelV relativeFrom="page">
              <wp14:pctHeight>0</wp14:pctHeight>
            </wp14:sizeRelV>
          </wp:anchor>
        </w:drawing>
      </w:r>
      <w:r w:rsidRPr="00860724">
        <w:rPr>
          <w:rFonts w:eastAsiaTheme="minorHAnsi" w:cs="Arial"/>
          <w:lang w:val="ro-RO"/>
        </w:rPr>
        <w:br w:type="textWrapping" w:clear="all"/>
      </w:r>
    </w:p>
    <w:p w:rsidR="00642922" w:rsidRDefault="002431A4" w:rsidP="002431A4">
      <w:pPr>
        <w:jc w:val="both"/>
        <w:rPr>
          <w:b/>
          <w:lang w:val="ro-RO"/>
        </w:rPr>
      </w:pPr>
      <w:r w:rsidRPr="00860724">
        <w:rPr>
          <w:b/>
          <w:lang w:val="ro-RO"/>
        </w:rPr>
        <w:tab/>
        <w:t xml:space="preserve">A.3 </w:t>
      </w: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642922" w:rsidRDefault="00642922" w:rsidP="002431A4">
      <w:pPr>
        <w:jc w:val="both"/>
        <w:rPr>
          <w:b/>
          <w:lang w:val="ro-RO"/>
        </w:rPr>
      </w:pPr>
    </w:p>
    <w:p w:rsidR="002431A4" w:rsidRPr="00860724" w:rsidRDefault="002431A4" w:rsidP="00642922">
      <w:pPr>
        <w:spacing w:line="276" w:lineRule="auto"/>
        <w:ind w:firstLine="708"/>
        <w:jc w:val="both"/>
        <w:rPr>
          <w:b/>
          <w:lang w:val="ro-RO"/>
        </w:rPr>
      </w:pPr>
      <w:r w:rsidRPr="00860724">
        <w:rPr>
          <w:b/>
          <w:lang w:val="ro-RO"/>
        </w:rPr>
        <w:t>Numirea judecătorilor în funcţii de conducere la nivelul instanţelor judecătoreşti.</w:t>
      </w:r>
    </w:p>
    <w:p w:rsidR="002431A4" w:rsidRPr="007F13FC" w:rsidRDefault="002431A4" w:rsidP="00642922">
      <w:pPr>
        <w:spacing w:line="276" w:lineRule="auto"/>
        <w:ind w:firstLine="1276"/>
        <w:jc w:val="both"/>
        <w:rPr>
          <w:b/>
          <w:lang w:val="ro-RO"/>
        </w:rPr>
      </w:pPr>
    </w:p>
    <w:p w:rsidR="002431A4" w:rsidRPr="007F13FC" w:rsidRDefault="002431A4" w:rsidP="00642922">
      <w:pPr>
        <w:numPr>
          <w:ilvl w:val="0"/>
          <w:numId w:val="4"/>
        </w:numPr>
        <w:tabs>
          <w:tab w:val="clear" w:pos="644"/>
          <w:tab w:val="num" w:pos="0"/>
          <w:tab w:val="num" w:pos="720"/>
        </w:tabs>
        <w:spacing w:line="276" w:lineRule="auto"/>
        <w:ind w:left="0" w:firstLine="360"/>
        <w:jc w:val="both"/>
        <w:rPr>
          <w:b/>
          <w:lang w:val="ro-RO"/>
        </w:rPr>
      </w:pPr>
      <w:r w:rsidRPr="007F13FC">
        <w:rPr>
          <w:b/>
          <w:lang w:val="ro-RO"/>
        </w:rPr>
        <w:t>Numirea judecătorilor în funcţiile de conducere de preşedinte şi vicepreşedinte</w:t>
      </w:r>
      <w:r w:rsidRPr="007F13FC">
        <w:rPr>
          <w:lang w:val="ro-RO"/>
        </w:rPr>
        <w:t xml:space="preserve"> </w:t>
      </w:r>
      <w:r w:rsidRPr="007F13FC">
        <w:rPr>
          <w:b/>
          <w:lang w:val="ro-RO"/>
        </w:rPr>
        <w:t>la curţi de apel, tribunale, tribunale specializate şi judecătorii</w:t>
      </w:r>
    </w:p>
    <w:p w:rsidR="002431A4" w:rsidRPr="007F13FC" w:rsidRDefault="002431A4" w:rsidP="00642922">
      <w:pPr>
        <w:tabs>
          <w:tab w:val="left" w:pos="709"/>
        </w:tabs>
        <w:spacing w:line="276" w:lineRule="auto"/>
        <w:ind w:firstLine="708"/>
        <w:jc w:val="both"/>
        <w:rPr>
          <w:lang w:val="ro-RO"/>
        </w:rPr>
      </w:pPr>
      <w:r w:rsidRPr="007F13FC">
        <w:rPr>
          <w:lang w:val="ro-RO"/>
        </w:rPr>
        <w:t xml:space="preserve">În perioada 24 martie – 28 iunie 2017 s-a desfăşurat concursul/examenul pentru numirea în funcţii de conducere a judecătorilor şi procurorilor pentru ocuparea a </w:t>
      </w:r>
      <w:r w:rsidRPr="007F13FC">
        <w:rPr>
          <w:b/>
          <w:lang w:val="ro-RO"/>
        </w:rPr>
        <w:t xml:space="preserve">127 funcţii vacante de preşedinte şi vicepreşedinte </w:t>
      </w:r>
      <w:r w:rsidRPr="007F13FC">
        <w:rPr>
          <w:lang w:val="ro-RO"/>
        </w:rPr>
        <w:t xml:space="preserve">la curţi de apel, tribunale, tribunale specializate şi judecătorii. După finalizarea acestui concurs, </w:t>
      </w:r>
      <w:r w:rsidRPr="007F13FC">
        <w:rPr>
          <w:b/>
          <w:lang w:val="ro-RO"/>
        </w:rPr>
        <w:t>s-au ocupat 58 de funcţii de conducere</w:t>
      </w:r>
      <w:r w:rsidRPr="007F13FC">
        <w:rPr>
          <w:lang w:val="ro-RO"/>
        </w:rPr>
        <w:t>.</w:t>
      </w:r>
    </w:p>
    <w:p w:rsidR="002431A4" w:rsidRPr="007F13FC" w:rsidRDefault="002431A4" w:rsidP="00642922">
      <w:pPr>
        <w:tabs>
          <w:tab w:val="left" w:pos="709"/>
        </w:tabs>
        <w:spacing w:line="276" w:lineRule="auto"/>
        <w:ind w:firstLine="708"/>
        <w:jc w:val="both"/>
        <w:rPr>
          <w:lang w:val="ro-RO"/>
        </w:rPr>
      </w:pPr>
      <w:r w:rsidRPr="007F13FC">
        <w:rPr>
          <w:lang w:val="ro-RO"/>
        </w:rPr>
        <w:t xml:space="preserve">Cel de-al doilea concurs/examen pentru numirea în funcţii de conducere a fost organizat în perioada </w:t>
      </w:r>
      <w:r w:rsidRPr="007F13FC">
        <w:rPr>
          <w:rFonts w:cs="Calibri"/>
          <w:bCs/>
          <w:color w:val="000000"/>
          <w:lang w:val="ro-RO"/>
        </w:rPr>
        <w:t>22 septembrie - 19 decembrie 2017</w:t>
      </w:r>
      <w:r w:rsidRPr="007F13FC">
        <w:rPr>
          <w:rFonts w:cs="Calibri"/>
          <w:lang w:val="ro-RO"/>
        </w:rPr>
        <w:t>,</w:t>
      </w:r>
      <w:r w:rsidRPr="007F13FC">
        <w:rPr>
          <w:lang w:val="ro-RO"/>
        </w:rPr>
        <w:t xml:space="preserve"> pentru ocuparea unui număr de </w:t>
      </w:r>
      <w:r w:rsidRPr="007F13FC">
        <w:rPr>
          <w:b/>
          <w:lang w:val="ro-RO"/>
        </w:rPr>
        <w:t xml:space="preserve">126 funcţii </w:t>
      </w:r>
      <w:r w:rsidRPr="007F13FC">
        <w:rPr>
          <w:lang w:val="ro-RO"/>
        </w:rPr>
        <w:t>de preşedinte şi vicepreşedinte la curţi de apel, tribunale, tribunale specializate şi judecătorii</w:t>
      </w:r>
      <w:r w:rsidRPr="007F13FC">
        <w:rPr>
          <w:b/>
          <w:lang w:val="ro-RO"/>
        </w:rPr>
        <w:t xml:space="preserve">. </w:t>
      </w:r>
      <w:r w:rsidRPr="007F13FC">
        <w:rPr>
          <w:lang w:val="ro-RO"/>
        </w:rPr>
        <w:t>În urma acestui concurs au fost</w:t>
      </w:r>
      <w:r w:rsidRPr="007F13FC">
        <w:rPr>
          <w:b/>
          <w:lang w:val="ro-RO"/>
        </w:rPr>
        <w:t xml:space="preserve"> ocupate 46 de funcţii de conducere</w:t>
      </w:r>
      <w:r w:rsidRPr="007F13FC">
        <w:rPr>
          <w:lang w:val="ro-RO"/>
        </w:rPr>
        <w:t>.</w:t>
      </w:r>
    </w:p>
    <w:p w:rsidR="002431A4" w:rsidRPr="007F13FC" w:rsidRDefault="002431A4" w:rsidP="00642922">
      <w:pPr>
        <w:spacing w:line="276" w:lineRule="auto"/>
        <w:ind w:firstLine="708"/>
        <w:jc w:val="both"/>
        <w:rPr>
          <w:bCs/>
          <w:lang w:val="ro-RO"/>
        </w:rPr>
      </w:pPr>
      <w:r w:rsidRPr="007F13FC">
        <w:rPr>
          <w:lang w:val="ro-RO"/>
        </w:rPr>
        <w:t xml:space="preserve">Pe baza datelor prezentate anterior, rezultă că la concursul organizat în prima parte a anului 2017 </w:t>
      </w:r>
      <w:r w:rsidRPr="007F13FC">
        <w:rPr>
          <w:bCs/>
          <w:lang w:val="ro-RO"/>
        </w:rPr>
        <w:t>gradul de ocupare a funcţiilor de conducere a fost de 46%, iar la concursul organizat în cea de a doua parte a anului 2017, gradul de ocupare a funcţiilor de conducere a fost de 37%,.</w:t>
      </w:r>
    </w:p>
    <w:p w:rsidR="002431A4" w:rsidRPr="007F13FC" w:rsidRDefault="002431A4" w:rsidP="00642922">
      <w:pPr>
        <w:spacing w:line="276" w:lineRule="auto"/>
        <w:ind w:firstLine="708"/>
        <w:jc w:val="both"/>
        <w:rPr>
          <w:bCs/>
          <w:lang w:val="ro-RO"/>
        </w:rPr>
      </w:pPr>
      <w:r w:rsidRPr="007F13FC">
        <w:rPr>
          <w:lang w:val="ro-RO"/>
        </w:rPr>
        <w:t xml:space="preserve">Comparativ cu anul anterior, se constată că procentul de ocupare a funcţiilor de conducere a rămas aproximativ acelaşi la concursul organizat în prima parte a anului 2016, unde </w:t>
      </w:r>
      <w:r w:rsidRPr="007F13FC">
        <w:rPr>
          <w:bCs/>
          <w:lang w:val="ro-RO"/>
        </w:rPr>
        <w:t>gradul de ocupare în 2016 a fost de 45%, însă pentru cel de-al doilea concurs, unde acest grad a fost în anul 2016 de 48%, se remarcă o diminuare semnificativă a procentului</w:t>
      </w:r>
      <w:r w:rsidR="001255F1">
        <w:rPr>
          <w:bCs/>
          <w:lang w:val="ro-RO"/>
        </w:rPr>
        <w:t xml:space="preserve"> de ocupare</w:t>
      </w:r>
      <w:r w:rsidRPr="007F13FC">
        <w:rPr>
          <w:bCs/>
          <w:lang w:val="ro-RO"/>
        </w:rPr>
        <w:t>.</w:t>
      </w:r>
    </w:p>
    <w:p w:rsidR="002431A4" w:rsidRPr="00860724" w:rsidRDefault="002431A4" w:rsidP="00642922">
      <w:pPr>
        <w:spacing w:line="276" w:lineRule="auto"/>
        <w:ind w:firstLine="708"/>
        <w:jc w:val="both"/>
        <w:rPr>
          <w:bCs/>
          <w:lang w:val="ro-RO"/>
        </w:rPr>
      </w:pPr>
    </w:p>
    <w:p w:rsidR="002431A4" w:rsidRPr="00860724" w:rsidRDefault="002431A4" w:rsidP="002431A4">
      <w:pPr>
        <w:jc w:val="center"/>
        <w:rPr>
          <w:bCs/>
          <w:lang w:val="ro-RO"/>
        </w:rPr>
      </w:pPr>
      <w:r w:rsidRPr="00860724">
        <w:rPr>
          <w:noProof/>
          <w:lang w:val="ro-RO" w:eastAsia="ro-RO"/>
        </w:rPr>
        <w:drawing>
          <wp:inline distT="0" distB="0" distL="0" distR="0" wp14:anchorId="063EFC27" wp14:editId="395C0B5B">
            <wp:extent cx="4343400" cy="2943225"/>
            <wp:effectExtent l="0" t="0" r="0" b="0"/>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2431A4" w:rsidRPr="00860724" w:rsidRDefault="002431A4" w:rsidP="002431A4">
      <w:pPr>
        <w:ind w:firstLine="708"/>
        <w:jc w:val="both"/>
        <w:rPr>
          <w:lang w:val="ro-RO"/>
        </w:rPr>
      </w:pPr>
    </w:p>
    <w:p w:rsidR="002431A4" w:rsidRPr="002E0E5A" w:rsidRDefault="002431A4" w:rsidP="002E0E5A">
      <w:pPr>
        <w:numPr>
          <w:ilvl w:val="0"/>
          <w:numId w:val="4"/>
        </w:numPr>
        <w:tabs>
          <w:tab w:val="clear" w:pos="644"/>
          <w:tab w:val="num" w:pos="0"/>
          <w:tab w:val="num" w:pos="720"/>
        </w:tabs>
        <w:spacing w:line="276" w:lineRule="auto"/>
        <w:ind w:left="0" w:firstLine="360"/>
        <w:jc w:val="both"/>
        <w:rPr>
          <w:rFonts w:asciiTheme="minorHAnsi" w:hAnsiTheme="minorHAnsi" w:cstheme="minorHAnsi"/>
          <w:b/>
          <w:lang w:val="ro-RO"/>
        </w:rPr>
      </w:pPr>
      <w:r w:rsidRPr="00860724">
        <w:rPr>
          <w:b/>
          <w:lang w:val="ro-RO"/>
        </w:rPr>
        <w:t xml:space="preserve">      </w:t>
      </w:r>
      <w:r w:rsidRPr="002E0E5A">
        <w:rPr>
          <w:rFonts w:asciiTheme="minorHAnsi" w:hAnsiTheme="minorHAnsi" w:cstheme="minorHAnsi"/>
          <w:b/>
          <w:lang w:val="ro-RO"/>
        </w:rPr>
        <w:t xml:space="preserve">Numirea judecătorilor în alte funcţii de conducere, în temeiul art. 48 alin. (9) din Legea nr. 303/2004 </w:t>
      </w:r>
    </w:p>
    <w:p w:rsidR="002431A4" w:rsidRPr="002E0E5A" w:rsidRDefault="002431A4" w:rsidP="002E0E5A">
      <w:pPr>
        <w:spacing w:line="276" w:lineRule="auto"/>
        <w:ind w:firstLine="567"/>
        <w:jc w:val="both"/>
        <w:rPr>
          <w:rFonts w:asciiTheme="minorHAnsi" w:hAnsiTheme="minorHAnsi" w:cstheme="minorHAnsi"/>
          <w:lang w:val="ro-RO"/>
        </w:rPr>
      </w:pPr>
      <w:r w:rsidRPr="002E0E5A">
        <w:rPr>
          <w:rFonts w:asciiTheme="minorHAnsi" w:hAnsiTheme="minorHAnsi" w:cstheme="minorHAnsi"/>
          <w:b/>
          <w:lang w:val="ro-RO"/>
        </w:rPr>
        <w:tab/>
      </w:r>
      <w:r w:rsidRPr="002E0E5A">
        <w:rPr>
          <w:rFonts w:asciiTheme="minorHAnsi" w:hAnsiTheme="minorHAnsi" w:cstheme="minorHAnsi"/>
          <w:lang w:val="ro-RO"/>
        </w:rPr>
        <w:t>În conformitate cu dispoziţiile Legii nr. 303/2004, republicată, cu modificările şi completările ulterioare, numirea în funcţiile de conducere care nu se ocupă prin concurs, respectiv acelea de preşedinte de secţie la judecătorii, tribunale şi curţile de apel, se face pe o perioadă de 3 ani, cu posibilitatea reînvestirii, o singură dată, de Consiliul Superior al Magistraturii, la propunerea preşedintelui instanţei.</w:t>
      </w:r>
    </w:p>
    <w:p w:rsidR="002431A4" w:rsidRPr="002E0E5A" w:rsidRDefault="002431A4" w:rsidP="002E0E5A">
      <w:pPr>
        <w:spacing w:line="276" w:lineRule="auto"/>
        <w:ind w:firstLine="567"/>
        <w:jc w:val="both"/>
        <w:rPr>
          <w:rFonts w:asciiTheme="minorHAnsi" w:hAnsiTheme="minorHAnsi" w:cstheme="minorHAnsi"/>
          <w:lang w:val="ro-RO"/>
        </w:rPr>
      </w:pPr>
      <w:r w:rsidRPr="002E0E5A">
        <w:rPr>
          <w:rFonts w:asciiTheme="minorHAnsi" w:hAnsiTheme="minorHAnsi" w:cstheme="minorHAnsi"/>
          <w:lang w:val="ro-RO"/>
        </w:rPr>
        <w:t xml:space="preserve">În cursul anului 2017, Secţia pentru judecători </w:t>
      </w:r>
      <w:r w:rsidRPr="002E0E5A">
        <w:rPr>
          <w:rFonts w:asciiTheme="minorHAnsi" w:hAnsiTheme="minorHAnsi" w:cstheme="minorHAnsi"/>
          <w:b/>
          <w:lang w:val="ro-RO"/>
        </w:rPr>
        <w:t xml:space="preserve">a numit 61 de judecători în funcţii de preşedinte de secţie </w:t>
      </w:r>
      <w:r w:rsidRPr="002E0E5A">
        <w:rPr>
          <w:rFonts w:asciiTheme="minorHAnsi" w:hAnsiTheme="minorHAnsi" w:cstheme="minorHAnsi"/>
          <w:lang w:val="ro-RO"/>
        </w:rPr>
        <w:t>la judecătorii, tribunale şi curţile de apel.</w:t>
      </w:r>
    </w:p>
    <w:p w:rsidR="002431A4" w:rsidRPr="002E0E5A" w:rsidRDefault="002431A4" w:rsidP="002E0E5A">
      <w:pPr>
        <w:spacing w:line="276" w:lineRule="auto"/>
        <w:ind w:firstLine="567"/>
        <w:jc w:val="both"/>
        <w:rPr>
          <w:rFonts w:asciiTheme="minorHAnsi" w:hAnsiTheme="minorHAnsi" w:cstheme="minorHAnsi"/>
          <w:lang w:val="ro-RO"/>
        </w:rPr>
      </w:pPr>
    </w:p>
    <w:p w:rsidR="002431A4" w:rsidRPr="002E0E5A" w:rsidRDefault="002431A4" w:rsidP="002E0E5A">
      <w:pPr>
        <w:spacing w:line="276" w:lineRule="auto"/>
        <w:ind w:firstLine="630"/>
        <w:jc w:val="both"/>
        <w:rPr>
          <w:rFonts w:asciiTheme="minorHAnsi" w:hAnsiTheme="minorHAnsi" w:cstheme="minorHAnsi"/>
          <w:b/>
          <w:lang w:val="ro-RO"/>
        </w:rPr>
      </w:pPr>
      <w:r w:rsidRPr="002E0E5A">
        <w:rPr>
          <w:rFonts w:asciiTheme="minorHAnsi" w:hAnsiTheme="minorHAnsi" w:cstheme="minorHAnsi"/>
          <w:b/>
          <w:lang w:val="ro-RO"/>
        </w:rPr>
        <w:t>A. 4. Date statistice referitoare la promovarea judecătorilor în funcţii de execuţie</w:t>
      </w:r>
    </w:p>
    <w:p w:rsidR="002431A4" w:rsidRPr="002E0E5A" w:rsidRDefault="002431A4" w:rsidP="002E0E5A">
      <w:pPr>
        <w:numPr>
          <w:ilvl w:val="0"/>
          <w:numId w:val="4"/>
        </w:numPr>
        <w:tabs>
          <w:tab w:val="clear" w:pos="644"/>
          <w:tab w:val="num" w:pos="0"/>
          <w:tab w:val="num" w:pos="720"/>
        </w:tabs>
        <w:spacing w:line="276" w:lineRule="auto"/>
        <w:ind w:left="0" w:firstLine="360"/>
        <w:jc w:val="both"/>
        <w:rPr>
          <w:rFonts w:asciiTheme="minorHAnsi" w:hAnsiTheme="minorHAnsi" w:cstheme="minorHAnsi"/>
          <w:b/>
          <w:lang w:val="ro-RO"/>
        </w:rPr>
      </w:pPr>
      <w:r w:rsidRPr="002E0E5A">
        <w:rPr>
          <w:rFonts w:asciiTheme="minorHAnsi" w:hAnsiTheme="minorHAnsi" w:cstheme="minorHAnsi"/>
          <w:lang w:val="ro-RO"/>
        </w:rPr>
        <w:t xml:space="preserve"> </w:t>
      </w:r>
      <w:r w:rsidRPr="002E0E5A">
        <w:rPr>
          <w:rFonts w:asciiTheme="minorHAnsi" w:hAnsiTheme="minorHAnsi" w:cstheme="minorHAnsi"/>
          <w:b/>
          <w:lang w:val="ro-RO"/>
        </w:rPr>
        <w:t>Promovarea judecătorilor la curţile de apel şi tribunale</w:t>
      </w:r>
    </w:p>
    <w:p w:rsidR="002431A4" w:rsidRPr="002E0E5A" w:rsidRDefault="002431A4" w:rsidP="002E0E5A">
      <w:pPr>
        <w:tabs>
          <w:tab w:val="left" w:pos="709"/>
        </w:tabs>
        <w:spacing w:line="276" w:lineRule="auto"/>
        <w:jc w:val="both"/>
        <w:rPr>
          <w:rFonts w:asciiTheme="minorHAnsi" w:hAnsiTheme="minorHAnsi" w:cstheme="minorHAnsi"/>
          <w:lang w:val="ro-RO"/>
        </w:rPr>
      </w:pPr>
      <w:r w:rsidRPr="002E0E5A">
        <w:rPr>
          <w:rFonts w:asciiTheme="minorHAnsi" w:hAnsiTheme="minorHAnsi" w:cstheme="minorHAnsi"/>
          <w:lang w:val="ro-RO"/>
        </w:rPr>
        <w:tab/>
        <w:t>Prin Hotărârea nr.</w:t>
      </w:r>
      <w:r w:rsidRPr="002E0E5A">
        <w:rPr>
          <w:rFonts w:asciiTheme="minorHAnsi" w:hAnsiTheme="minorHAnsi" w:cstheme="minorHAnsi"/>
          <w:color w:val="FF0000"/>
          <w:lang w:val="ro-RO"/>
        </w:rPr>
        <w:t xml:space="preserve"> </w:t>
      </w:r>
      <w:r w:rsidRPr="002E0E5A">
        <w:rPr>
          <w:rFonts w:asciiTheme="minorHAnsi" w:hAnsiTheme="minorHAnsi" w:cstheme="minorHAnsi"/>
          <w:lang w:val="ro-RO"/>
        </w:rPr>
        <w:t>941/21.09.2017, Plenul Consiliului Superior al Magistraturii a aprobat organizarea unui concurs de promovare în funcţii de execuţie, efectivă şi pe loc, a judecătorilor şi procurorilor la data de 26.11.2017.</w:t>
      </w:r>
    </w:p>
    <w:p w:rsidR="002431A4" w:rsidRPr="002E0E5A" w:rsidRDefault="002431A4" w:rsidP="002E0E5A">
      <w:pPr>
        <w:tabs>
          <w:tab w:val="left" w:pos="709"/>
        </w:tabs>
        <w:spacing w:line="276" w:lineRule="auto"/>
        <w:ind w:firstLine="360"/>
        <w:jc w:val="both"/>
        <w:rPr>
          <w:rFonts w:asciiTheme="minorHAnsi" w:hAnsiTheme="minorHAnsi" w:cstheme="minorHAnsi"/>
          <w:lang w:val="ro-RO"/>
        </w:rPr>
      </w:pPr>
      <w:r w:rsidRPr="002E0E5A">
        <w:rPr>
          <w:rFonts w:asciiTheme="minorHAnsi" w:hAnsiTheme="minorHAnsi" w:cstheme="minorHAnsi"/>
          <w:lang w:val="ro-RO"/>
        </w:rPr>
        <w:tab/>
        <w:t xml:space="preserve">Pentru </w:t>
      </w:r>
      <w:r w:rsidRPr="002E0E5A">
        <w:rPr>
          <w:rFonts w:asciiTheme="minorHAnsi" w:hAnsiTheme="minorHAnsi" w:cstheme="minorHAnsi"/>
          <w:b/>
          <w:lang w:val="ro-RO"/>
        </w:rPr>
        <w:t>promovarea efectivă</w:t>
      </w:r>
      <w:r w:rsidRPr="002E0E5A">
        <w:rPr>
          <w:rFonts w:asciiTheme="minorHAnsi" w:hAnsiTheme="minorHAnsi" w:cstheme="minorHAnsi"/>
          <w:lang w:val="ro-RO"/>
        </w:rPr>
        <w:t xml:space="preserve">, au fost scoase la concurs 259 funcţii de execuţie vacante la nivelul instanţelor judecătoreşti (187 la tribunale şi 72 la curţile de apel). Pentru </w:t>
      </w:r>
      <w:r w:rsidRPr="002E0E5A">
        <w:rPr>
          <w:rFonts w:asciiTheme="minorHAnsi" w:hAnsiTheme="minorHAnsi" w:cstheme="minorHAnsi"/>
          <w:b/>
          <w:lang w:val="ro-RO"/>
        </w:rPr>
        <w:t xml:space="preserve">promovarea pe loc, </w:t>
      </w:r>
      <w:r w:rsidRPr="002E0E5A">
        <w:rPr>
          <w:rFonts w:asciiTheme="minorHAnsi" w:hAnsiTheme="minorHAnsi" w:cstheme="minorHAnsi"/>
          <w:lang w:val="ro-RO"/>
        </w:rPr>
        <w:t>concursul s-a organizat sub condiţia finanţării posturilor de judecător şi sub rezerva suplimentării bugetului Ministerului Justiţiei, pentru ocuparea unui număr de 200 de locuri la tribunale şi 100 de locuri la curţile de apel.</w:t>
      </w:r>
    </w:p>
    <w:p w:rsidR="002431A4" w:rsidRPr="002E0E5A" w:rsidRDefault="002431A4" w:rsidP="002E0E5A">
      <w:pPr>
        <w:spacing w:line="276" w:lineRule="auto"/>
        <w:ind w:firstLine="720"/>
        <w:jc w:val="both"/>
        <w:rPr>
          <w:rFonts w:asciiTheme="minorHAnsi" w:hAnsiTheme="minorHAnsi" w:cstheme="minorHAnsi"/>
          <w:b/>
          <w:lang w:val="ro-RO"/>
        </w:rPr>
      </w:pPr>
      <w:r w:rsidRPr="002E0E5A">
        <w:rPr>
          <w:rFonts w:asciiTheme="minorHAnsi" w:hAnsiTheme="minorHAnsi" w:cstheme="minorHAnsi"/>
          <w:lang w:val="ro-RO"/>
        </w:rPr>
        <w:t xml:space="preserve">După finalizarea concursului, Plenul Consiliului Superior al Magistraturii a dispus </w:t>
      </w:r>
      <w:r w:rsidRPr="002E0E5A">
        <w:rPr>
          <w:rFonts w:asciiTheme="minorHAnsi" w:hAnsiTheme="minorHAnsi" w:cstheme="minorHAnsi"/>
          <w:b/>
          <w:lang w:val="ro-RO"/>
        </w:rPr>
        <w:t>promovarea efectivă a 218 judecători (70 la curţile de apel şi 148 la tribunale)</w:t>
      </w:r>
      <w:r w:rsidRPr="002E0E5A">
        <w:rPr>
          <w:rFonts w:asciiTheme="minorHAnsi" w:hAnsiTheme="minorHAnsi" w:cstheme="minorHAnsi"/>
          <w:lang w:val="ro-RO"/>
        </w:rPr>
        <w:t xml:space="preserve"> şi </w:t>
      </w:r>
      <w:r w:rsidRPr="002E0E5A">
        <w:rPr>
          <w:rFonts w:asciiTheme="minorHAnsi" w:hAnsiTheme="minorHAnsi" w:cstheme="minorHAnsi"/>
          <w:b/>
          <w:lang w:val="ro-RO"/>
        </w:rPr>
        <w:t>promovarea pe loc a 310 judecători (dintre care 114 la curţile de apel şi 196 la tribunale).</w:t>
      </w:r>
    </w:p>
    <w:p w:rsidR="002431A4" w:rsidRPr="002E0E5A" w:rsidRDefault="002431A4" w:rsidP="002E0E5A">
      <w:pPr>
        <w:tabs>
          <w:tab w:val="left" w:pos="709"/>
        </w:tabs>
        <w:spacing w:line="276" w:lineRule="auto"/>
        <w:ind w:firstLine="360"/>
        <w:jc w:val="both"/>
        <w:rPr>
          <w:rFonts w:asciiTheme="minorHAnsi" w:hAnsiTheme="minorHAnsi" w:cstheme="minorHAnsi"/>
          <w:lang w:val="ro-RO"/>
        </w:rPr>
      </w:pPr>
      <w:r w:rsidRPr="002E0E5A">
        <w:rPr>
          <w:rFonts w:asciiTheme="minorHAnsi" w:hAnsiTheme="minorHAnsi" w:cstheme="minorHAnsi"/>
          <w:color w:val="7030A0"/>
          <w:lang w:val="ro-RO"/>
        </w:rPr>
        <w:tab/>
      </w:r>
    </w:p>
    <w:p w:rsidR="002431A4" w:rsidRPr="00860724" w:rsidRDefault="002431A4" w:rsidP="002431A4">
      <w:pPr>
        <w:ind w:firstLine="720"/>
        <w:jc w:val="both"/>
        <w:rPr>
          <w:lang w:val="ro-RO"/>
        </w:rPr>
      </w:pPr>
    </w:p>
    <w:p w:rsidR="002431A4" w:rsidRPr="00860724" w:rsidRDefault="002431A4" w:rsidP="002431A4">
      <w:pPr>
        <w:ind w:firstLine="720"/>
        <w:jc w:val="both"/>
        <w:rPr>
          <w:b/>
          <w:lang w:val="ro-RO"/>
        </w:rPr>
      </w:pPr>
    </w:p>
    <w:p w:rsidR="002431A4" w:rsidRPr="00860724" w:rsidRDefault="002431A4" w:rsidP="002431A4">
      <w:pPr>
        <w:tabs>
          <w:tab w:val="left" w:pos="709"/>
        </w:tabs>
        <w:jc w:val="both"/>
        <w:rPr>
          <w:color w:val="FF0000"/>
          <w:lang w:val="ro-RO"/>
        </w:rPr>
      </w:pPr>
    </w:p>
    <w:p w:rsidR="002431A4" w:rsidRPr="00860724" w:rsidRDefault="002431A4" w:rsidP="002431A4">
      <w:pPr>
        <w:ind w:right="45" w:firstLine="709"/>
        <w:jc w:val="both"/>
        <w:rPr>
          <w:rFonts w:ascii="Times New Roman" w:eastAsiaTheme="minorHAnsi" w:hAnsi="Times New Roman" w:cs="Arial"/>
          <w:b/>
          <w:i/>
          <w:color w:val="FF0000"/>
          <w:lang w:val="ro-RO"/>
        </w:rPr>
      </w:pPr>
      <w:r w:rsidRPr="00860724">
        <w:rPr>
          <w:rFonts w:cs="Arial"/>
          <w:noProof/>
          <w:color w:val="FF0000"/>
          <w:lang w:val="ro-RO" w:eastAsia="ro-RO"/>
        </w:rPr>
        <w:drawing>
          <wp:inline distT="0" distB="0" distL="0" distR="0" wp14:anchorId="1B2C7BD3" wp14:editId="1497185C">
            <wp:extent cx="4733925" cy="2514600"/>
            <wp:effectExtent l="0" t="0" r="0" b="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2431A4" w:rsidRPr="00860724" w:rsidRDefault="002431A4" w:rsidP="002431A4">
      <w:pPr>
        <w:ind w:firstLine="709"/>
        <w:rPr>
          <w:b/>
          <w:lang w:val="ro-RO"/>
        </w:rPr>
      </w:pPr>
      <w:r w:rsidRPr="00860724">
        <w:rPr>
          <w:noProof/>
          <w:lang w:val="ro-RO" w:eastAsia="ro-RO"/>
        </w:rPr>
        <w:drawing>
          <wp:inline distT="0" distB="0" distL="0" distR="0" wp14:anchorId="038E3893" wp14:editId="021D06E5">
            <wp:extent cx="4600575" cy="2486025"/>
            <wp:effectExtent l="0" t="0" r="0" b="0"/>
            <wp:docPr id="34" name="Chart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2431A4" w:rsidRPr="00860724" w:rsidRDefault="002431A4" w:rsidP="002431A4">
      <w:pPr>
        <w:ind w:firstLine="1276"/>
        <w:jc w:val="both"/>
        <w:rPr>
          <w:b/>
          <w:lang w:val="ro-RO"/>
        </w:rPr>
      </w:pPr>
    </w:p>
    <w:p w:rsidR="002431A4" w:rsidRPr="00860724" w:rsidRDefault="002431A4" w:rsidP="002431A4">
      <w:pPr>
        <w:ind w:firstLine="1276"/>
        <w:jc w:val="both"/>
        <w:rPr>
          <w:b/>
          <w:lang w:val="ro-RO"/>
        </w:rPr>
      </w:pPr>
    </w:p>
    <w:p w:rsidR="002431A4" w:rsidRPr="002E0E5A" w:rsidRDefault="002431A4" w:rsidP="002E0E5A">
      <w:pPr>
        <w:numPr>
          <w:ilvl w:val="0"/>
          <w:numId w:val="4"/>
        </w:numPr>
        <w:tabs>
          <w:tab w:val="clear" w:pos="644"/>
          <w:tab w:val="num" w:pos="0"/>
          <w:tab w:val="num" w:pos="720"/>
        </w:tabs>
        <w:spacing w:line="276" w:lineRule="auto"/>
        <w:ind w:left="0" w:firstLine="360"/>
        <w:jc w:val="both"/>
        <w:rPr>
          <w:rFonts w:asciiTheme="minorHAnsi" w:hAnsiTheme="minorHAnsi" w:cstheme="minorHAnsi"/>
          <w:b/>
          <w:lang w:val="ro-RO"/>
        </w:rPr>
      </w:pPr>
      <w:r w:rsidRPr="00860724">
        <w:rPr>
          <w:b/>
          <w:lang w:val="ro-RO"/>
        </w:rPr>
        <w:t xml:space="preserve">      </w:t>
      </w:r>
      <w:r w:rsidRPr="002E0E5A">
        <w:rPr>
          <w:rFonts w:asciiTheme="minorHAnsi" w:hAnsiTheme="minorHAnsi" w:cstheme="minorHAnsi"/>
          <w:b/>
          <w:lang w:val="ro-RO"/>
        </w:rPr>
        <w:t>Promovarea în funcţia de judecător la Înalta Curte de Casaţie şi Justiţie</w:t>
      </w: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În cursul anului 2017 au fost organizate două concursuri de promovare în funcţia de judecător la Înalta Curte de Casaţie şi Justiţie.</w:t>
      </w: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 xml:space="preserve">Primul concurs a fost organizat în perioada 3 ianuarie – 31 mai 2017, pentru ocuparea a 17 posturi vacante de judecător, repartizate astfel: 3 posturi la Secţia a II-a civilă; 6 posturi la Secţia penală; 8 posturi la Secţia de contencios administrativ şi fiscal. </w:t>
      </w: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La concurs s-au înscris 53 de judecători, toţi fiind declaraţi admişi ca urmare a verificării condiţiilor prevăzute de lege pentru participarea la concurs. După desfăşurarea etapelor iniţiale, au fost declaraţi admişi 23 de candidaţi, care s-au prezentat la ultima probă a concursului, cea scrisă.</w:t>
      </w:r>
    </w:p>
    <w:p w:rsidR="002431A4" w:rsidRPr="002E0E5A" w:rsidRDefault="002431A4" w:rsidP="002E0E5A">
      <w:pPr>
        <w:spacing w:line="276" w:lineRule="auto"/>
        <w:ind w:right="48" w:firstLine="709"/>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 xml:space="preserve">După finalizarea concursului, Plenul Consiliului Superior al Magistraturii a dispus promovarea în funcţia de judecător la instanţa supremă </w:t>
      </w:r>
      <w:r w:rsidRPr="002E0E5A">
        <w:rPr>
          <w:rFonts w:asciiTheme="minorHAnsi" w:eastAsiaTheme="minorHAnsi" w:hAnsiTheme="minorHAnsi" w:cstheme="minorHAnsi"/>
          <w:b/>
          <w:lang w:val="ro-RO"/>
        </w:rPr>
        <w:t>a 13 judecători</w:t>
      </w:r>
      <w:r w:rsidRPr="002E0E5A">
        <w:rPr>
          <w:rFonts w:asciiTheme="minorHAnsi" w:eastAsiaTheme="minorHAnsi" w:hAnsiTheme="minorHAnsi" w:cstheme="minorHAnsi"/>
          <w:lang w:val="ro-RO"/>
        </w:rPr>
        <w:t>.</w:t>
      </w:r>
    </w:p>
    <w:p w:rsidR="002431A4" w:rsidRPr="002E0E5A" w:rsidRDefault="002431A4" w:rsidP="002E0E5A">
      <w:pPr>
        <w:spacing w:line="276" w:lineRule="auto"/>
        <w:ind w:right="48" w:firstLine="709"/>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Prin urmare, gradul de ocupare a posturilor a fost de 76%, superior anului precedent (58%).</w:t>
      </w: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 xml:space="preserve">Cel de-al doilea concurs </w:t>
      </w:r>
      <w:r w:rsidR="00E53EDD">
        <w:rPr>
          <w:rFonts w:asciiTheme="minorHAnsi" w:hAnsiTheme="minorHAnsi" w:cstheme="minorHAnsi"/>
          <w:lang w:val="ro-RO"/>
        </w:rPr>
        <w:t>a fost</w:t>
      </w:r>
      <w:r w:rsidRPr="002E0E5A">
        <w:rPr>
          <w:rFonts w:asciiTheme="minorHAnsi" w:hAnsiTheme="minorHAnsi" w:cstheme="minorHAnsi"/>
          <w:lang w:val="ro-RO"/>
        </w:rPr>
        <w:t xml:space="preserve"> organizat în perioada 30 august 2017 – 14 martie 2018, pentru ocuparea a 6 posturi vacante de judecător, repartizate astfel: 4 posturi la Secţia penală şi  2 posturi la Secţia de contencios administrativ şi fiscal. </w:t>
      </w:r>
    </w:p>
    <w:p w:rsidR="002431A4" w:rsidRPr="002E0E5A" w:rsidRDefault="002431A4" w:rsidP="002E0E5A">
      <w:pPr>
        <w:keepNext/>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La concurs s-au înscris 19 judecători, toţi fiind declaraţi admişi ca urmare a verificării condiţiilor prevăzute de lege pentru participarea la concurs.</w:t>
      </w:r>
    </w:p>
    <w:p w:rsidR="002431A4" w:rsidRPr="002E0E5A" w:rsidRDefault="002431A4" w:rsidP="002E0E5A">
      <w:pPr>
        <w:spacing w:line="276" w:lineRule="auto"/>
        <w:ind w:firstLine="708"/>
        <w:jc w:val="both"/>
        <w:rPr>
          <w:rFonts w:asciiTheme="minorHAnsi" w:hAnsiTheme="minorHAnsi" w:cstheme="minorHAnsi"/>
          <w:lang w:val="ro-RO"/>
        </w:rPr>
      </w:pPr>
    </w:p>
    <w:p w:rsidR="002431A4" w:rsidRPr="002E0E5A" w:rsidRDefault="002431A4" w:rsidP="002E0E5A">
      <w:pPr>
        <w:keepNext/>
        <w:spacing w:line="276" w:lineRule="auto"/>
        <w:jc w:val="both"/>
        <w:rPr>
          <w:rFonts w:asciiTheme="minorHAnsi" w:hAnsiTheme="minorHAnsi" w:cstheme="minorHAnsi"/>
          <w:b/>
          <w:lang w:val="ro-RO"/>
        </w:rPr>
      </w:pPr>
    </w:p>
    <w:p w:rsidR="002431A4" w:rsidRPr="002E0E5A" w:rsidRDefault="002431A4" w:rsidP="002E0E5A">
      <w:pPr>
        <w:keepNext/>
        <w:numPr>
          <w:ilvl w:val="0"/>
          <w:numId w:val="8"/>
        </w:numPr>
        <w:spacing w:line="276" w:lineRule="auto"/>
        <w:contextualSpacing/>
        <w:jc w:val="both"/>
        <w:rPr>
          <w:rFonts w:asciiTheme="minorHAnsi" w:eastAsia="Calibri" w:hAnsiTheme="minorHAnsi" w:cstheme="minorHAnsi"/>
          <w:b/>
          <w:lang w:val="ro-RO"/>
        </w:rPr>
      </w:pPr>
      <w:r w:rsidRPr="002E0E5A">
        <w:rPr>
          <w:rFonts w:asciiTheme="minorHAnsi" w:eastAsia="Calibri" w:hAnsiTheme="minorHAnsi" w:cstheme="minorHAnsi"/>
          <w:b/>
          <w:lang w:val="ro-RO"/>
        </w:rPr>
        <w:t xml:space="preserve">5. Eliberări din funcţia de judecător </w:t>
      </w:r>
    </w:p>
    <w:p w:rsidR="002431A4" w:rsidRPr="002E0E5A" w:rsidRDefault="002431A4" w:rsidP="002E0E5A">
      <w:pPr>
        <w:tabs>
          <w:tab w:val="left" w:pos="709"/>
        </w:tabs>
        <w:spacing w:line="276" w:lineRule="auto"/>
        <w:ind w:firstLine="708"/>
        <w:jc w:val="both"/>
        <w:rPr>
          <w:rFonts w:asciiTheme="minorHAnsi" w:hAnsiTheme="minorHAnsi" w:cstheme="minorHAnsi"/>
          <w:b/>
          <w:lang w:val="ro-RO"/>
        </w:rPr>
      </w:pPr>
      <w:r w:rsidRPr="002E0E5A">
        <w:rPr>
          <w:rFonts w:asciiTheme="minorHAnsi" w:hAnsiTheme="minorHAnsi" w:cstheme="minorHAnsi"/>
          <w:lang w:val="ro-RO"/>
        </w:rPr>
        <w:t xml:space="preserve">Prin decrete ale preşedintelui României au fost </w:t>
      </w:r>
      <w:r w:rsidRPr="002E0E5A">
        <w:rPr>
          <w:rFonts w:asciiTheme="minorHAnsi" w:hAnsiTheme="minorHAnsi" w:cstheme="minorHAnsi"/>
          <w:b/>
          <w:lang w:val="ro-RO"/>
        </w:rPr>
        <w:t xml:space="preserve">eliberate din funcţia de judecător 146 de persoane, </w:t>
      </w:r>
      <w:r w:rsidRPr="002E0E5A">
        <w:rPr>
          <w:rFonts w:asciiTheme="minorHAnsi" w:hAnsiTheme="minorHAnsi" w:cstheme="minorHAnsi"/>
          <w:lang w:val="ro-RO"/>
        </w:rPr>
        <w:t xml:space="preserve">după cum urmează: </w:t>
      </w:r>
    </w:p>
    <w:p w:rsidR="002431A4" w:rsidRPr="002E0E5A" w:rsidRDefault="002431A4" w:rsidP="002E0E5A">
      <w:pPr>
        <w:numPr>
          <w:ilvl w:val="0"/>
          <w:numId w:val="7"/>
        </w:numPr>
        <w:tabs>
          <w:tab w:val="num" w:pos="709"/>
        </w:tabs>
        <w:spacing w:line="276" w:lineRule="auto"/>
        <w:ind w:left="0" w:firstLine="708"/>
        <w:jc w:val="both"/>
        <w:rPr>
          <w:rFonts w:asciiTheme="minorHAnsi" w:hAnsiTheme="minorHAnsi" w:cstheme="minorHAnsi"/>
          <w:lang w:val="ro-RO"/>
        </w:rPr>
      </w:pPr>
      <w:r w:rsidRPr="002E0E5A">
        <w:rPr>
          <w:rFonts w:asciiTheme="minorHAnsi" w:hAnsiTheme="minorHAnsi" w:cstheme="minorHAnsi"/>
          <w:b/>
          <w:lang w:val="ro-RO"/>
        </w:rPr>
        <w:t xml:space="preserve">137 </w:t>
      </w:r>
      <w:r w:rsidRPr="002E0E5A">
        <w:rPr>
          <w:rFonts w:asciiTheme="minorHAnsi" w:hAnsiTheme="minorHAnsi" w:cstheme="minorHAnsi"/>
          <w:lang w:val="ro-RO"/>
        </w:rPr>
        <w:t>persoane, prin pensionare;</w:t>
      </w:r>
    </w:p>
    <w:p w:rsidR="002431A4" w:rsidRPr="002E0E5A" w:rsidRDefault="002431A4" w:rsidP="002E0E5A">
      <w:pPr>
        <w:numPr>
          <w:ilvl w:val="0"/>
          <w:numId w:val="7"/>
        </w:numPr>
        <w:tabs>
          <w:tab w:val="num" w:pos="709"/>
        </w:tabs>
        <w:spacing w:line="276" w:lineRule="auto"/>
        <w:ind w:left="0" w:firstLine="708"/>
        <w:jc w:val="both"/>
        <w:rPr>
          <w:rFonts w:asciiTheme="minorHAnsi" w:hAnsiTheme="minorHAnsi" w:cstheme="minorHAnsi"/>
          <w:lang w:val="ro-RO"/>
        </w:rPr>
      </w:pPr>
      <w:r w:rsidRPr="002E0E5A">
        <w:rPr>
          <w:rFonts w:asciiTheme="minorHAnsi" w:hAnsiTheme="minorHAnsi" w:cstheme="minorHAnsi"/>
          <w:b/>
          <w:lang w:val="ro-RO"/>
        </w:rPr>
        <w:t xml:space="preserve">5 </w:t>
      </w:r>
      <w:r w:rsidRPr="002E0E5A">
        <w:rPr>
          <w:rFonts w:asciiTheme="minorHAnsi" w:hAnsiTheme="minorHAnsi" w:cstheme="minorHAnsi"/>
          <w:lang w:val="ro-RO"/>
        </w:rPr>
        <w:t>persoane, ca urmare a condamnării definitive;</w:t>
      </w:r>
    </w:p>
    <w:p w:rsidR="002431A4" w:rsidRPr="002E0E5A" w:rsidRDefault="002431A4" w:rsidP="002E0E5A">
      <w:pPr>
        <w:numPr>
          <w:ilvl w:val="0"/>
          <w:numId w:val="7"/>
        </w:numPr>
        <w:tabs>
          <w:tab w:val="num" w:pos="709"/>
        </w:tabs>
        <w:spacing w:line="276" w:lineRule="auto"/>
        <w:ind w:left="0" w:firstLine="708"/>
        <w:jc w:val="both"/>
        <w:rPr>
          <w:rFonts w:asciiTheme="minorHAnsi" w:hAnsiTheme="minorHAnsi" w:cstheme="minorHAnsi"/>
          <w:lang w:val="ro-RO"/>
        </w:rPr>
      </w:pPr>
      <w:r w:rsidRPr="002E0E5A">
        <w:rPr>
          <w:rFonts w:asciiTheme="minorHAnsi" w:hAnsiTheme="minorHAnsi" w:cstheme="minorHAnsi"/>
          <w:b/>
          <w:lang w:val="ro-RO"/>
        </w:rPr>
        <w:t>1</w:t>
      </w:r>
      <w:r w:rsidRPr="002E0E5A">
        <w:rPr>
          <w:rFonts w:asciiTheme="minorHAnsi" w:hAnsiTheme="minorHAnsi" w:cstheme="minorHAnsi"/>
          <w:lang w:val="ro-RO"/>
        </w:rPr>
        <w:t xml:space="preserve"> persoană, în temeiul art. 83 alin. (1) teza finală din Legea nr. 303/2004, republicată, cu modificările şi completările ulterioare;</w:t>
      </w:r>
    </w:p>
    <w:p w:rsidR="002431A4" w:rsidRPr="002E0E5A" w:rsidRDefault="002431A4" w:rsidP="002E0E5A">
      <w:pPr>
        <w:numPr>
          <w:ilvl w:val="0"/>
          <w:numId w:val="7"/>
        </w:numPr>
        <w:tabs>
          <w:tab w:val="num" w:pos="709"/>
        </w:tabs>
        <w:spacing w:line="276" w:lineRule="auto"/>
        <w:ind w:left="0" w:firstLine="708"/>
        <w:jc w:val="both"/>
        <w:rPr>
          <w:rFonts w:asciiTheme="minorHAnsi" w:hAnsiTheme="minorHAnsi" w:cstheme="minorHAnsi"/>
          <w:lang w:val="ro-RO"/>
        </w:rPr>
      </w:pPr>
      <w:r w:rsidRPr="002E0E5A">
        <w:rPr>
          <w:rFonts w:asciiTheme="minorHAnsi" w:hAnsiTheme="minorHAnsi" w:cstheme="minorHAnsi"/>
          <w:b/>
          <w:lang w:val="ro-RO"/>
        </w:rPr>
        <w:t xml:space="preserve">2 </w:t>
      </w:r>
      <w:r w:rsidRPr="002E0E5A">
        <w:rPr>
          <w:rFonts w:asciiTheme="minorHAnsi" w:hAnsiTheme="minorHAnsi" w:cstheme="minorHAnsi"/>
          <w:lang w:val="ro-RO"/>
        </w:rPr>
        <w:t>persoane, ca urmare a aplicării sancţiunii disciplinare a excluderii din magistratură;</w:t>
      </w:r>
    </w:p>
    <w:p w:rsidR="002431A4" w:rsidRPr="002E0E5A" w:rsidRDefault="002431A4" w:rsidP="002E0E5A">
      <w:pPr>
        <w:numPr>
          <w:ilvl w:val="0"/>
          <w:numId w:val="7"/>
        </w:numPr>
        <w:tabs>
          <w:tab w:val="num" w:pos="709"/>
        </w:tabs>
        <w:spacing w:line="276" w:lineRule="auto"/>
        <w:ind w:left="0" w:firstLine="708"/>
        <w:jc w:val="both"/>
        <w:rPr>
          <w:rFonts w:asciiTheme="minorHAnsi" w:hAnsiTheme="minorHAnsi" w:cstheme="minorHAnsi"/>
          <w:lang w:val="ro-RO"/>
        </w:rPr>
      </w:pPr>
      <w:r w:rsidRPr="002E0E5A">
        <w:rPr>
          <w:rFonts w:asciiTheme="minorHAnsi" w:hAnsiTheme="minorHAnsi" w:cstheme="minorHAnsi"/>
          <w:lang w:val="ro-RO"/>
        </w:rPr>
        <w:t xml:space="preserve"> </w:t>
      </w:r>
      <w:r w:rsidRPr="002E0E5A">
        <w:rPr>
          <w:rFonts w:asciiTheme="minorHAnsi" w:hAnsiTheme="minorHAnsi" w:cstheme="minorHAnsi"/>
          <w:b/>
          <w:lang w:val="ro-RO"/>
        </w:rPr>
        <w:t>1</w:t>
      </w:r>
      <w:r w:rsidRPr="002E0E5A">
        <w:rPr>
          <w:rFonts w:asciiTheme="minorHAnsi" w:hAnsiTheme="minorHAnsi" w:cstheme="minorHAnsi"/>
          <w:lang w:val="ro-RO"/>
        </w:rPr>
        <w:t xml:space="preserve"> judecător, ca urmare a  numirii în funcţia de procuror.</w:t>
      </w: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 xml:space="preserve">Totodată, în cursul acestui an s-au vacantat </w:t>
      </w:r>
      <w:r w:rsidRPr="002E0E5A">
        <w:rPr>
          <w:rFonts w:asciiTheme="minorHAnsi" w:hAnsiTheme="minorHAnsi" w:cstheme="minorHAnsi"/>
          <w:b/>
          <w:lang w:val="ro-RO"/>
        </w:rPr>
        <w:t>4 posturi</w:t>
      </w:r>
      <w:r w:rsidRPr="002E0E5A">
        <w:rPr>
          <w:rFonts w:asciiTheme="minorHAnsi" w:hAnsiTheme="minorHAnsi" w:cstheme="minorHAnsi"/>
          <w:lang w:val="ro-RO"/>
        </w:rPr>
        <w:t>, ca urmare a decesului unor judecători.</w:t>
      </w:r>
    </w:p>
    <w:p w:rsidR="002431A4" w:rsidRPr="002E0E5A" w:rsidRDefault="002431A4" w:rsidP="002E0E5A">
      <w:pPr>
        <w:spacing w:line="276" w:lineRule="auto"/>
        <w:jc w:val="both"/>
        <w:rPr>
          <w:rFonts w:asciiTheme="minorHAnsi" w:hAnsiTheme="minorHAnsi" w:cstheme="minorHAnsi"/>
          <w:lang w:val="ro-RO"/>
        </w:rPr>
      </w:pPr>
    </w:p>
    <w:p w:rsidR="002431A4" w:rsidRPr="002E0E5A" w:rsidRDefault="002431A4" w:rsidP="002E0E5A">
      <w:pPr>
        <w:spacing w:line="276" w:lineRule="auto"/>
        <w:jc w:val="both"/>
        <w:rPr>
          <w:rFonts w:asciiTheme="minorHAnsi" w:hAnsiTheme="minorHAnsi" w:cstheme="minorHAnsi"/>
          <w:b/>
          <w:lang w:val="ro-RO"/>
        </w:rPr>
      </w:pPr>
    </w:p>
    <w:p w:rsidR="002431A4" w:rsidRPr="002E0E5A" w:rsidRDefault="002431A4" w:rsidP="002E0E5A">
      <w:pPr>
        <w:spacing w:line="276" w:lineRule="auto"/>
        <w:jc w:val="both"/>
        <w:rPr>
          <w:rFonts w:asciiTheme="minorHAnsi" w:hAnsiTheme="minorHAnsi" w:cstheme="minorHAnsi"/>
          <w:b/>
          <w:lang w:val="ro-RO"/>
        </w:rPr>
      </w:pPr>
      <w:r w:rsidRPr="002E0E5A">
        <w:rPr>
          <w:rFonts w:asciiTheme="minorHAnsi" w:hAnsiTheme="minorHAnsi" w:cstheme="minorHAnsi"/>
          <w:b/>
          <w:lang w:val="ro-RO"/>
        </w:rPr>
        <w:tab/>
        <w:t>Ca urmare a valorificării tuturor procedurilor de ocupare a posturilor vacante, la începutul anului 2018, situaţia posturilor de judecător se prezintă astfel:</w:t>
      </w:r>
    </w:p>
    <w:p w:rsidR="002431A4" w:rsidRPr="002E0E5A" w:rsidRDefault="002431A4" w:rsidP="002E0E5A">
      <w:pPr>
        <w:spacing w:line="276" w:lineRule="auto"/>
        <w:jc w:val="both"/>
        <w:rPr>
          <w:rFonts w:asciiTheme="minorHAnsi" w:hAnsiTheme="minorHAnsi" w:cstheme="minorHAnsi"/>
          <w:b/>
          <w:lang w:val="ro-RO"/>
        </w:rPr>
      </w:pPr>
    </w:p>
    <w:p w:rsidR="002431A4" w:rsidRPr="002E0E5A" w:rsidRDefault="002431A4" w:rsidP="002E0E5A">
      <w:pPr>
        <w:spacing w:after="180" w:line="276" w:lineRule="auto"/>
        <w:ind w:right="48" w:firstLine="709"/>
        <w:jc w:val="both"/>
        <w:rPr>
          <w:rFonts w:asciiTheme="minorHAnsi" w:hAnsiTheme="minorHAnsi" w:cstheme="minorHAnsi"/>
          <w:b/>
          <w:lang w:val="ro-RO"/>
        </w:rPr>
      </w:pPr>
      <w:r w:rsidRPr="002E0E5A">
        <w:rPr>
          <w:rFonts w:asciiTheme="minorHAnsi" w:hAnsiTheme="minorHAnsi" w:cstheme="minorHAnsi"/>
          <w:lang w:val="ro-RO"/>
        </w:rPr>
        <w:tab/>
      </w:r>
      <w:r w:rsidRPr="002E0E5A">
        <w:rPr>
          <w:rFonts w:asciiTheme="minorHAnsi" w:hAnsiTheme="minorHAnsi" w:cstheme="minorHAnsi"/>
          <w:b/>
          <w:lang w:val="ro-RO"/>
        </w:rPr>
        <w:t>Situaţia posturilor de judecător pe grade de jurisdicţie la data de 01.01.2018</w:t>
      </w: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2431A4" w:rsidRPr="00860724" w:rsidTr="00B818F3">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jc w:val="center"/>
              <w:rPr>
                <w:b/>
                <w:lang w:val="ro-RO"/>
              </w:rPr>
            </w:pPr>
            <w:r w:rsidRPr="00860724">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jc w:val="center"/>
              <w:rPr>
                <w:lang w:val="ro-RO"/>
              </w:rPr>
            </w:pPr>
            <w:r w:rsidRPr="00860724">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jc w:val="center"/>
              <w:rPr>
                <w:lang w:val="ro-RO"/>
              </w:rPr>
            </w:pPr>
            <w:r w:rsidRPr="00860724">
              <w:rPr>
                <w:b/>
                <w:lang w:val="ro-RO"/>
              </w:rPr>
              <w:t xml:space="preserve">Posturi de judecător vacante </w:t>
            </w:r>
          </w:p>
        </w:tc>
      </w:tr>
      <w:tr w:rsidR="002431A4" w:rsidRPr="00860724" w:rsidTr="00B818F3">
        <w:tc>
          <w:tcPr>
            <w:tcW w:w="3060" w:type="dxa"/>
            <w:vMerge/>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b/>
                <w:lang w:val="ro-RO"/>
              </w:rPr>
            </w:pPr>
            <w:r w:rsidRPr="00860724">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lang w:val="ro-RO"/>
              </w:rPr>
            </w:pPr>
            <w:r w:rsidRPr="00860724">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lang w:val="ro-RO"/>
              </w:rPr>
            </w:pPr>
            <w:r w:rsidRPr="00860724">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b/>
                <w:lang w:val="ro-RO"/>
              </w:rPr>
            </w:pPr>
            <w:r w:rsidRPr="00860724">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lang w:val="ro-RO"/>
              </w:rPr>
            </w:pPr>
            <w:r w:rsidRPr="00860724">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431A4" w:rsidRPr="00860724" w:rsidRDefault="002431A4" w:rsidP="002431A4">
            <w:pPr>
              <w:spacing w:line="254" w:lineRule="auto"/>
              <w:rPr>
                <w:lang w:val="ro-RO"/>
              </w:rPr>
            </w:pPr>
            <w:r w:rsidRPr="00860724">
              <w:rPr>
                <w:lang w:val="ro-RO"/>
              </w:rPr>
              <w:t>Conducere</w:t>
            </w:r>
          </w:p>
        </w:tc>
      </w:tr>
      <w:tr w:rsidR="002431A4" w:rsidRPr="00860724"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rPr>
                <w:lang w:val="ro-RO"/>
              </w:rPr>
            </w:pPr>
            <w:r w:rsidRPr="00860724">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highlight w:val="yellow"/>
                <w:lang w:val="ro-RO"/>
              </w:rPr>
            </w:pPr>
            <w:r w:rsidRPr="00860724">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9</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w:t>
            </w:r>
          </w:p>
        </w:tc>
      </w:tr>
      <w:tr w:rsidR="002431A4" w:rsidRPr="00860724"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rPr>
                <w:lang w:val="ro-RO"/>
              </w:rPr>
            </w:pPr>
            <w:r w:rsidRPr="00860724">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923</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821</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highlight w:val="yellow"/>
                <w:lang w:val="ro-RO"/>
              </w:rPr>
            </w:pPr>
            <w:r w:rsidRPr="00860724">
              <w:rPr>
                <w:lang w:val="ro-RO"/>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6</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16</w:t>
            </w:r>
          </w:p>
        </w:tc>
      </w:tr>
      <w:tr w:rsidR="002431A4" w:rsidRPr="00860724"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rPr>
                <w:lang w:val="ro-RO"/>
              </w:rPr>
            </w:pPr>
            <w:r w:rsidRPr="00860724">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1713</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1476</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highlight w:val="yellow"/>
                <w:lang w:val="ro-RO"/>
              </w:rPr>
            </w:pPr>
            <w:r w:rsidRPr="00860724">
              <w:rPr>
                <w:lang w:val="ro-RO"/>
              </w:rPr>
              <w:t>237</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76</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49</w:t>
            </w:r>
          </w:p>
        </w:tc>
      </w:tr>
      <w:tr w:rsidR="002431A4" w:rsidRPr="00860724"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rPr>
                <w:lang w:val="ro-RO"/>
              </w:rPr>
            </w:pPr>
            <w:r w:rsidRPr="00860724">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2310</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2003</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highlight w:val="yellow"/>
                <w:lang w:val="ro-RO"/>
              </w:rPr>
            </w:pPr>
            <w:r w:rsidRPr="00860724">
              <w:rPr>
                <w:lang w:val="ro-RO"/>
              </w:rPr>
              <w:t>307</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348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230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118</w:t>
            </w:r>
          </w:p>
        </w:tc>
      </w:tr>
      <w:tr w:rsidR="002431A4" w:rsidRPr="00860724" w:rsidTr="00B818F3">
        <w:tc>
          <w:tcPr>
            <w:tcW w:w="306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rPr>
                <w:b/>
                <w:lang w:val="ro-RO"/>
              </w:rPr>
            </w:pPr>
            <w:r w:rsidRPr="00860724">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b/>
                <w:lang w:val="ro-RO"/>
              </w:rPr>
            </w:pPr>
            <w:r w:rsidRPr="00860724">
              <w:rPr>
                <w:b/>
                <w:lang w:val="ro-RO"/>
              </w:rPr>
              <w:t>5068</w:t>
            </w:r>
          </w:p>
        </w:tc>
        <w:tc>
          <w:tcPr>
            <w:tcW w:w="110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4415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highlight w:val="yellow"/>
                <w:lang w:val="ro-RO"/>
              </w:rPr>
            </w:pPr>
            <w:r w:rsidRPr="00860724">
              <w:rPr>
                <w:lang w:val="ro-RO"/>
              </w:rPr>
              <w:t>653</w:t>
            </w:r>
          </w:p>
        </w:tc>
        <w:tc>
          <w:tcPr>
            <w:tcW w:w="90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b/>
                <w:lang w:val="ro-RO"/>
              </w:rPr>
            </w:pPr>
            <w:r w:rsidRPr="00860724">
              <w:rPr>
                <w:b/>
                <w:lang w:val="ro-RO"/>
              </w:rPr>
              <w:t>505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321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31A4" w:rsidRPr="00860724" w:rsidRDefault="002431A4" w:rsidP="002431A4">
            <w:pPr>
              <w:spacing w:line="254" w:lineRule="auto"/>
              <w:jc w:val="center"/>
              <w:rPr>
                <w:lang w:val="ro-RO"/>
              </w:rPr>
            </w:pPr>
            <w:r w:rsidRPr="00860724">
              <w:rPr>
                <w:lang w:val="ro-RO"/>
              </w:rPr>
              <w:t>184</w:t>
            </w:r>
          </w:p>
        </w:tc>
      </w:tr>
    </w:tbl>
    <w:p w:rsidR="002431A4" w:rsidRPr="00860724" w:rsidRDefault="002431A4" w:rsidP="002431A4">
      <w:pPr>
        <w:jc w:val="both"/>
        <w:rPr>
          <w:lang w:val="ro-RO"/>
        </w:rPr>
      </w:pPr>
    </w:p>
    <w:p w:rsidR="002431A4" w:rsidRPr="002E0E5A" w:rsidRDefault="002431A4"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 xml:space="preserve">După cum rezultă din datele de mai sus, la data de 1 ianuarie 2018 </w:t>
      </w:r>
      <w:r w:rsidRPr="002E0E5A">
        <w:rPr>
          <w:rFonts w:asciiTheme="minorHAnsi" w:hAnsiTheme="minorHAnsi" w:cstheme="minorHAnsi"/>
          <w:b/>
          <w:lang w:val="ro-RO"/>
        </w:rPr>
        <w:t>erau ocupate 4563 de posturi de judecător, iar 505 erau vacante</w:t>
      </w:r>
      <w:r w:rsidRPr="002E0E5A">
        <w:rPr>
          <w:rFonts w:asciiTheme="minorHAnsi" w:hAnsiTheme="minorHAnsi" w:cstheme="minorHAnsi"/>
          <w:lang w:val="ro-RO"/>
        </w:rPr>
        <w:t xml:space="preserve">. </w:t>
      </w:r>
    </w:p>
    <w:p w:rsidR="002431A4" w:rsidRPr="002E0E5A" w:rsidRDefault="002431A4" w:rsidP="002E0E5A">
      <w:pPr>
        <w:spacing w:line="276" w:lineRule="auto"/>
        <w:ind w:right="45" w:firstLine="708"/>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Din totalul judecătorilor în funcţie, cu luarea în calcul inclusiv a acelor judecători care ocupă pe perioadă nedeterminată posturi temporar vacante în condiţiile art. 134</w:t>
      </w:r>
      <w:r w:rsidRPr="002E0E5A">
        <w:rPr>
          <w:rFonts w:asciiTheme="minorHAnsi" w:eastAsiaTheme="minorHAnsi" w:hAnsiTheme="minorHAnsi" w:cstheme="minorHAnsi"/>
          <w:vertAlign w:val="superscript"/>
          <w:lang w:val="ro-RO"/>
        </w:rPr>
        <w:t>1</w:t>
      </w:r>
      <w:r w:rsidRPr="002E0E5A">
        <w:rPr>
          <w:rFonts w:asciiTheme="minorHAnsi" w:eastAsiaTheme="minorHAnsi" w:hAnsiTheme="minorHAnsi" w:cstheme="minorHAnsi"/>
          <w:lang w:val="ro-RO"/>
        </w:rPr>
        <w:t xml:space="preserve"> din Legea nr. 304/2004, republicată, cu modificările şi completările ulterioare, 3473 (74%) sunt femei şi 1220 (26%) bărbaţi. </w:t>
      </w:r>
    </w:p>
    <w:p w:rsidR="002431A4" w:rsidRPr="002E0E5A" w:rsidRDefault="002431A4" w:rsidP="002E0E5A">
      <w:pPr>
        <w:spacing w:line="276" w:lineRule="auto"/>
        <w:jc w:val="both"/>
        <w:rPr>
          <w:rFonts w:asciiTheme="minorHAnsi" w:hAnsiTheme="minorHAnsi" w:cstheme="minorHAnsi"/>
          <w:b/>
          <w:lang w:val="ro-RO"/>
        </w:rPr>
      </w:pPr>
    </w:p>
    <w:p w:rsidR="002431A4" w:rsidRPr="002E0E5A" w:rsidRDefault="002431A4" w:rsidP="002E0E5A">
      <w:pPr>
        <w:tabs>
          <w:tab w:val="left" w:pos="709"/>
        </w:tabs>
        <w:spacing w:line="276" w:lineRule="auto"/>
        <w:jc w:val="both"/>
        <w:rPr>
          <w:rFonts w:asciiTheme="minorHAnsi" w:hAnsiTheme="minorHAnsi" w:cstheme="minorHAnsi"/>
          <w:lang w:val="ro-RO"/>
        </w:rPr>
      </w:pPr>
      <w:r w:rsidRPr="002E0E5A">
        <w:rPr>
          <w:rFonts w:asciiTheme="minorHAnsi" w:hAnsiTheme="minorHAnsi" w:cstheme="minorHAnsi"/>
          <w:b/>
          <w:lang w:val="ro-RO"/>
        </w:rPr>
        <w:tab/>
        <w:t xml:space="preserve">  III. 1. B.  Situaţia posturilor de magistrat - asistent la Înalta Curte de Casaţie şi Justiţie</w:t>
      </w:r>
    </w:p>
    <w:p w:rsidR="002431A4" w:rsidRPr="002E0E5A" w:rsidRDefault="002431A4" w:rsidP="002E0E5A">
      <w:pPr>
        <w:spacing w:line="276" w:lineRule="auto"/>
        <w:ind w:firstLine="684"/>
        <w:jc w:val="both"/>
        <w:rPr>
          <w:rFonts w:asciiTheme="minorHAnsi" w:hAnsiTheme="minorHAnsi" w:cstheme="minorHAnsi"/>
          <w:lang w:val="ro-RO"/>
        </w:rPr>
      </w:pPr>
      <w:r w:rsidRPr="002E0E5A">
        <w:rPr>
          <w:rFonts w:asciiTheme="minorHAnsi" w:hAnsiTheme="minorHAnsi" w:cstheme="minorHAnsi"/>
          <w:lang w:val="ro-RO"/>
        </w:rPr>
        <w:t>La începutul anului 2017, din cele 123 de posturi de magistrat-asistent de la Înalta Curte de Casaţie şi Justiţie erau ocupate 111 posturi şi vacante 12.</w:t>
      </w:r>
    </w:p>
    <w:p w:rsidR="002431A4" w:rsidRPr="002E0E5A" w:rsidRDefault="002431A4" w:rsidP="002E0E5A">
      <w:pPr>
        <w:spacing w:line="276" w:lineRule="auto"/>
        <w:ind w:firstLine="684"/>
        <w:jc w:val="both"/>
        <w:rPr>
          <w:rFonts w:asciiTheme="minorHAnsi" w:hAnsiTheme="minorHAnsi" w:cstheme="minorHAnsi"/>
          <w:lang w:val="ro-RO"/>
        </w:rPr>
      </w:pPr>
      <w:r w:rsidRPr="002E0E5A">
        <w:rPr>
          <w:rFonts w:asciiTheme="minorHAnsi" w:hAnsiTheme="minorHAnsi" w:cstheme="minorHAnsi"/>
          <w:lang w:val="ro-RO"/>
        </w:rPr>
        <w:t>Potrivit art. 66 alin. (2) din Legea nr. 303/2004, republicată, cu modificările şi completările ulterioare, magistraţii-asistenţi sunt numiţi şi promovaţi în funcţie de Consiliul Superior al Magistraturii, pe bază de concurs.</w:t>
      </w:r>
    </w:p>
    <w:p w:rsidR="002431A4" w:rsidRPr="002E0E5A" w:rsidRDefault="002431A4" w:rsidP="002E0E5A">
      <w:pPr>
        <w:spacing w:line="276" w:lineRule="auto"/>
        <w:ind w:firstLine="684"/>
        <w:jc w:val="both"/>
        <w:rPr>
          <w:rFonts w:asciiTheme="minorHAnsi" w:hAnsiTheme="minorHAnsi" w:cstheme="minorHAnsi"/>
          <w:bCs/>
          <w:lang w:val="ro-RO"/>
        </w:rPr>
      </w:pPr>
      <w:r w:rsidRPr="002E0E5A">
        <w:rPr>
          <w:rFonts w:asciiTheme="minorHAnsi" w:hAnsiTheme="minorHAnsi" w:cstheme="minorHAnsi"/>
          <w:lang w:val="ro-RO"/>
        </w:rPr>
        <w:t>În anul 2017 s-a finalizat concursul pentru ocuparea posturilor de magistrat-asistent derulat în perioada 7 octombrie 2016-10 ianuarie 2017, căruia i-au fost alocate 7 posturi vacante</w:t>
      </w:r>
      <w:r w:rsidRPr="002E0E5A">
        <w:rPr>
          <w:rFonts w:asciiTheme="minorHAnsi" w:hAnsiTheme="minorHAnsi" w:cstheme="minorHAnsi"/>
          <w:bCs/>
          <w:lang w:val="ro-RO"/>
        </w:rPr>
        <w:t xml:space="preserve">, repartizate astfel: 1 post la Secţia a II – a civilă, 3 posturi la Secţia penală şi 3 posturi la Secţia de contencios administrativ şi fiscal. Pentru aceste posturi s-au înscris 108 candidaţi, dintre care 96 au îndeplinit condiţiile pentru participarea la concurs. </w:t>
      </w:r>
    </w:p>
    <w:p w:rsidR="002431A4" w:rsidRPr="002E0E5A" w:rsidRDefault="002431A4" w:rsidP="002E0E5A">
      <w:pPr>
        <w:spacing w:line="276" w:lineRule="auto"/>
        <w:ind w:firstLine="684"/>
        <w:jc w:val="both"/>
        <w:rPr>
          <w:rFonts w:asciiTheme="minorHAnsi" w:hAnsiTheme="minorHAnsi" w:cstheme="minorHAnsi"/>
          <w:lang w:val="ro-RO"/>
        </w:rPr>
      </w:pPr>
      <w:r w:rsidRPr="002E0E5A">
        <w:rPr>
          <w:rFonts w:asciiTheme="minorHAnsi" w:hAnsiTheme="minorHAnsi" w:cstheme="minorHAnsi"/>
          <w:bCs/>
          <w:lang w:val="ro-RO"/>
        </w:rPr>
        <w:t>Ulterior finalizării acestui concurs au fost ocupate 4 posturi de magistrat-asistent, iar în perioada de referinţă au fost eliberate din funcţia de magistrat –asistent 2 persoane, ca urmare a pensionării.</w:t>
      </w:r>
    </w:p>
    <w:p w:rsidR="002431A4" w:rsidRPr="002E0E5A" w:rsidRDefault="002431A4" w:rsidP="002E0E5A">
      <w:pPr>
        <w:spacing w:line="276" w:lineRule="auto"/>
        <w:ind w:firstLine="684"/>
        <w:jc w:val="both"/>
        <w:rPr>
          <w:rFonts w:asciiTheme="minorHAnsi" w:hAnsiTheme="minorHAnsi" w:cstheme="minorHAnsi"/>
          <w:lang w:val="ro-RO"/>
        </w:rPr>
      </w:pPr>
      <w:r w:rsidRPr="002E0E5A">
        <w:rPr>
          <w:rFonts w:asciiTheme="minorHAnsi" w:hAnsiTheme="minorHAnsi" w:cstheme="minorHAnsi"/>
          <w:bCs/>
          <w:lang w:val="ro-RO"/>
        </w:rPr>
        <w:t>În ceea ce priveşte funcţiile de conducere de magistrat-asistent, menţionăm că, la data de 12 iunie 2017, a fost organizat concurs pentru promovarea în funcţia de magistrat-asistent şef la Secţia penală, funcţie care a fost ocupată.</w:t>
      </w:r>
    </w:p>
    <w:p w:rsidR="002431A4" w:rsidRPr="002E0E5A" w:rsidRDefault="002431A4" w:rsidP="002E0E5A">
      <w:pPr>
        <w:spacing w:line="276" w:lineRule="auto"/>
        <w:ind w:firstLine="684"/>
        <w:jc w:val="both"/>
        <w:rPr>
          <w:rFonts w:asciiTheme="minorHAnsi" w:hAnsiTheme="minorHAnsi" w:cstheme="minorHAnsi"/>
          <w:b/>
          <w:lang w:val="ro-RO"/>
        </w:rPr>
      </w:pPr>
      <w:r w:rsidRPr="002E0E5A">
        <w:rPr>
          <w:rFonts w:asciiTheme="minorHAnsi" w:hAnsiTheme="minorHAnsi" w:cstheme="minorHAnsi"/>
          <w:lang w:val="ro-RO"/>
        </w:rPr>
        <w:t xml:space="preserve">Ca urmare a intrărilor şi ieşirilor de personal intervenite în cursul anului 2017, </w:t>
      </w:r>
      <w:r w:rsidRPr="002E0E5A">
        <w:rPr>
          <w:rFonts w:asciiTheme="minorHAnsi" w:hAnsiTheme="minorHAnsi" w:cstheme="minorHAnsi"/>
          <w:b/>
          <w:lang w:val="ro-RO"/>
        </w:rPr>
        <w:t>în prezent sunt ocupate 113 posturi de magistrat-asistent şi vacante 10 posturi.</w:t>
      </w:r>
    </w:p>
    <w:p w:rsidR="002431A4" w:rsidRPr="002E0E5A" w:rsidRDefault="002431A4" w:rsidP="002E0E5A">
      <w:pPr>
        <w:keepNext/>
        <w:tabs>
          <w:tab w:val="left" w:pos="851"/>
        </w:tabs>
        <w:spacing w:line="276" w:lineRule="auto"/>
        <w:jc w:val="both"/>
        <w:outlineLvl w:val="1"/>
        <w:rPr>
          <w:rFonts w:asciiTheme="minorHAnsi" w:hAnsiTheme="minorHAnsi" w:cstheme="minorHAnsi"/>
          <w:color w:val="000000"/>
          <w:lang w:val="ro-RO" w:eastAsia="ro-RO"/>
        </w:rPr>
      </w:pPr>
      <w:bookmarkStart w:id="70" w:name="_Toc375653692"/>
      <w:r w:rsidRPr="002E0E5A">
        <w:rPr>
          <w:rFonts w:asciiTheme="minorHAnsi" w:hAnsiTheme="minorHAnsi" w:cstheme="minorHAnsi"/>
          <w:lang w:val="ro-RO"/>
        </w:rPr>
        <w:tab/>
      </w:r>
      <w:bookmarkEnd w:id="70"/>
    </w:p>
    <w:p w:rsidR="002431A4" w:rsidRPr="002E0E5A" w:rsidRDefault="002431A4" w:rsidP="002E0E5A">
      <w:pPr>
        <w:spacing w:line="276" w:lineRule="auto"/>
        <w:rPr>
          <w:rFonts w:asciiTheme="minorHAnsi" w:hAnsiTheme="minorHAnsi" w:cstheme="minorHAnsi"/>
          <w:b/>
          <w:lang w:val="ro-RO"/>
        </w:rPr>
      </w:pPr>
      <w:r w:rsidRPr="002E0E5A">
        <w:rPr>
          <w:rFonts w:asciiTheme="minorHAnsi" w:hAnsiTheme="minorHAnsi" w:cstheme="minorHAnsi"/>
          <w:lang w:val="ro-RO"/>
        </w:rPr>
        <w:tab/>
      </w:r>
      <w:r w:rsidRPr="002E0E5A">
        <w:rPr>
          <w:rFonts w:asciiTheme="minorHAnsi" w:hAnsiTheme="minorHAnsi" w:cstheme="minorHAnsi"/>
          <w:b/>
          <w:lang w:val="ro-RO"/>
        </w:rPr>
        <w:t xml:space="preserve">III. 1. C. Situaţia posturilor de personal auxiliar </w:t>
      </w:r>
    </w:p>
    <w:p w:rsidR="002431A4" w:rsidRPr="002E0E5A" w:rsidRDefault="002431A4" w:rsidP="002E0E5A">
      <w:pPr>
        <w:spacing w:line="276" w:lineRule="auto"/>
        <w:rPr>
          <w:rFonts w:asciiTheme="minorHAnsi" w:hAnsiTheme="minorHAnsi" w:cstheme="minorHAnsi"/>
          <w:b/>
          <w:lang w:val="ro-RO"/>
        </w:rPr>
      </w:pPr>
    </w:p>
    <w:p w:rsidR="002431A4" w:rsidRPr="002E0E5A" w:rsidRDefault="002431A4" w:rsidP="002E0E5A">
      <w:pPr>
        <w:spacing w:line="276" w:lineRule="auto"/>
        <w:jc w:val="both"/>
        <w:rPr>
          <w:rFonts w:asciiTheme="minorHAnsi" w:hAnsiTheme="minorHAnsi" w:cstheme="minorHAnsi"/>
          <w:lang w:val="ro-RO"/>
        </w:rPr>
      </w:pPr>
      <w:r w:rsidRPr="002E0E5A">
        <w:rPr>
          <w:rFonts w:asciiTheme="minorHAnsi" w:hAnsiTheme="minorHAnsi" w:cstheme="minorHAnsi"/>
          <w:b/>
          <w:lang w:val="ro-RO"/>
        </w:rPr>
        <w:tab/>
      </w:r>
      <w:r w:rsidRPr="002E0E5A">
        <w:rPr>
          <w:rFonts w:asciiTheme="minorHAnsi" w:hAnsiTheme="minorHAnsi" w:cstheme="minorHAnsi"/>
          <w:lang w:val="ro-RO"/>
        </w:rPr>
        <w:t>Potrivit datelor comunicate de curţile de apel, la sfârşitul anului 2017, în statele de funcţii ale instanţelor erau prevăzute 7904 posturi de grefier, din care 7782 de posturi erau ocupate, iar 122 posturi erau vacante.</w:t>
      </w:r>
    </w:p>
    <w:p w:rsidR="002431A4" w:rsidRPr="002E0E5A" w:rsidRDefault="00B818F3" w:rsidP="002E0E5A">
      <w:pPr>
        <w:spacing w:line="276" w:lineRule="auto"/>
        <w:rPr>
          <w:rFonts w:asciiTheme="minorHAnsi" w:hAnsiTheme="minorHAnsi" w:cstheme="minorHAnsi"/>
          <w:lang w:val="ro-RO" w:eastAsia="x-none"/>
        </w:rPr>
      </w:pPr>
      <w:r w:rsidRPr="002E0E5A">
        <w:rPr>
          <w:rFonts w:asciiTheme="minorHAnsi" w:hAnsiTheme="minorHAnsi" w:cstheme="minorHAnsi"/>
          <w:lang w:val="ro-RO" w:eastAsia="x-none"/>
        </w:rPr>
        <w:tab/>
        <w:t>La nivelul Înaltei Curţi de Casaţie şi Justiţie, conform satelor comunicate de instanţa supremă, la data de 31.12.2017 situaţia posturilor de personal auxiliar se prezintă astfel : din totalul de 175 de posturi prevăzute în schema de funcţii, un număr de 169 de posturi sunt ocuoate, iar 6 posturi sunt vacante.</w:t>
      </w:r>
    </w:p>
    <w:p w:rsidR="00625F9B" w:rsidRPr="002E0E5A" w:rsidRDefault="00450FA7" w:rsidP="002E0E5A">
      <w:pPr>
        <w:pStyle w:val="Titlu2"/>
        <w:rPr>
          <w:rFonts w:asciiTheme="minorHAnsi" w:hAnsiTheme="minorHAnsi" w:cstheme="minorHAnsi"/>
        </w:rPr>
      </w:pPr>
      <w:bookmarkStart w:id="71" w:name="_Toc504987136"/>
      <w:r w:rsidRPr="002E0E5A">
        <w:rPr>
          <w:rFonts w:asciiTheme="minorHAnsi" w:hAnsiTheme="minorHAnsi" w:cstheme="minorHAnsi"/>
        </w:rPr>
        <w:t>III</w:t>
      </w:r>
      <w:r w:rsidR="008A336D" w:rsidRPr="002E0E5A">
        <w:rPr>
          <w:rFonts w:asciiTheme="minorHAnsi" w:hAnsiTheme="minorHAnsi" w:cstheme="minorHAnsi"/>
        </w:rPr>
        <w:t xml:space="preserve">.2. </w:t>
      </w:r>
      <w:r w:rsidRPr="002E0E5A">
        <w:rPr>
          <w:rFonts w:asciiTheme="minorHAnsi" w:hAnsiTheme="minorHAnsi" w:cstheme="minorHAnsi"/>
        </w:rPr>
        <w:t>Situaţia sancţiunilor disciplinare şi penale aplicate în cursul anului 2017 pe fiecare categorie de personal</w:t>
      </w:r>
      <w:bookmarkEnd w:id="71"/>
    </w:p>
    <w:p w:rsidR="009F7B69" w:rsidRPr="002E0E5A" w:rsidRDefault="002431A4" w:rsidP="002E0E5A">
      <w:pPr>
        <w:spacing w:line="276" w:lineRule="auto"/>
        <w:ind w:right="48" w:firstLine="540"/>
        <w:jc w:val="both"/>
        <w:rPr>
          <w:rFonts w:asciiTheme="minorHAnsi" w:hAnsiTheme="minorHAnsi" w:cstheme="minorHAnsi"/>
          <w:i/>
          <w:lang w:val="ro-RO"/>
        </w:rPr>
      </w:pPr>
      <w:r w:rsidRPr="002E0E5A">
        <w:rPr>
          <w:rFonts w:asciiTheme="minorHAnsi" w:hAnsiTheme="minorHAnsi" w:cstheme="minorHAnsi"/>
          <w:lang w:val="ro-RO"/>
        </w:rPr>
        <w:tab/>
      </w:r>
      <w:r w:rsidR="009F7B69" w:rsidRPr="002E0E5A">
        <w:rPr>
          <w:rFonts w:asciiTheme="minorHAnsi" w:hAnsiTheme="minorHAnsi" w:cstheme="minorHAnsi"/>
          <w:i/>
          <w:lang w:val="ro-RO"/>
        </w:rPr>
        <w:t>A. Judecători</w:t>
      </w:r>
    </w:p>
    <w:p w:rsidR="007C572E" w:rsidRPr="002E0E5A" w:rsidRDefault="00496D69" w:rsidP="002E0E5A">
      <w:pPr>
        <w:spacing w:line="276" w:lineRule="auto"/>
        <w:ind w:right="48" w:firstLine="540"/>
        <w:jc w:val="both"/>
        <w:rPr>
          <w:rFonts w:asciiTheme="minorHAnsi" w:hAnsiTheme="minorHAnsi" w:cstheme="minorHAnsi"/>
          <w:u w:val="single"/>
          <w:lang w:val="ro-RO"/>
        </w:rPr>
      </w:pPr>
      <w:r w:rsidRPr="002E0E5A">
        <w:rPr>
          <w:rFonts w:asciiTheme="minorHAnsi" w:hAnsiTheme="minorHAnsi" w:cstheme="minorHAnsi"/>
          <w:u w:val="single"/>
          <w:lang w:val="ro-RO"/>
        </w:rPr>
        <w:t>1. Răspunderea disciplinară</w:t>
      </w:r>
      <w:r w:rsidR="007C572E" w:rsidRPr="002E0E5A">
        <w:rPr>
          <w:rFonts w:asciiTheme="minorHAnsi" w:hAnsiTheme="minorHAnsi" w:cstheme="minorHAnsi"/>
          <w:b/>
          <w:lang w:val="ro-RO"/>
        </w:rPr>
        <w:t xml:space="preserve"> </w:t>
      </w:r>
    </w:p>
    <w:p w:rsidR="007C572E" w:rsidRPr="002E0E5A" w:rsidRDefault="007C572E" w:rsidP="002E0E5A">
      <w:pPr>
        <w:numPr>
          <w:ilvl w:val="1"/>
          <w:numId w:val="0"/>
        </w:numPr>
        <w:spacing w:line="276" w:lineRule="auto"/>
        <w:ind w:right="48" w:firstLine="540"/>
        <w:jc w:val="both"/>
        <w:rPr>
          <w:rFonts w:asciiTheme="minorHAnsi" w:hAnsiTheme="minorHAnsi" w:cstheme="minorHAnsi"/>
          <w:b/>
          <w:lang w:val="ro-RO"/>
        </w:rPr>
      </w:pPr>
      <w:r w:rsidRPr="002E0E5A">
        <w:rPr>
          <w:rFonts w:asciiTheme="minorHAnsi" w:hAnsiTheme="minorHAnsi" w:cstheme="minorHAnsi"/>
          <w:b/>
          <w:lang w:val="ro-RO"/>
        </w:rPr>
        <w:t xml:space="preserve">În cursul anului 2017, pe rolul Secţiei pentru judecători în materie disciplinară s-au înregistrat </w:t>
      </w:r>
      <w:r w:rsidRPr="002E0E5A">
        <w:rPr>
          <w:rFonts w:asciiTheme="minorHAnsi" w:hAnsiTheme="minorHAnsi" w:cstheme="minorHAnsi"/>
          <w:b/>
          <w:color w:val="FF0000"/>
          <w:lang w:val="ro-RO"/>
        </w:rPr>
        <w:t>30 de cauze noi</w:t>
      </w:r>
      <w:r w:rsidRPr="002E0E5A">
        <w:rPr>
          <w:rFonts w:asciiTheme="minorHAnsi" w:hAnsiTheme="minorHAnsi" w:cstheme="minorHAnsi"/>
          <w:b/>
          <w:lang w:val="ro-RO"/>
        </w:rPr>
        <w:t xml:space="preserve">, iar în stoc, la data de 01.01.2017, se aflau 18 dosare. </w:t>
      </w:r>
    </w:p>
    <w:p w:rsidR="007C572E" w:rsidRPr="002E0E5A" w:rsidRDefault="007C572E" w:rsidP="002E0E5A">
      <w:pPr>
        <w:numPr>
          <w:ilvl w:val="1"/>
          <w:numId w:val="0"/>
        </w:numPr>
        <w:spacing w:line="276" w:lineRule="auto"/>
        <w:ind w:right="48" w:firstLine="540"/>
        <w:jc w:val="both"/>
        <w:rPr>
          <w:rFonts w:asciiTheme="minorHAnsi" w:hAnsiTheme="minorHAnsi" w:cstheme="minorHAnsi"/>
          <w:lang w:val="ro-RO"/>
        </w:rPr>
      </w:pPr>
      <w:r w:rsidRPr="002E0E5A">
        <w:rPr>
          <w:rFonts w:asciiTheme="minorHAnsi" w:hAnsiTheme="minorHAnsi" w:cstheme="minorHAnsi"/>
          <w:lang w:val="ro-RO"/>
        </w:rPr>
        <w:t xml:space="preserve">În urma soluţionării acţiunilor disciplinare, </w:t>
      </w:r>
      <w:r w:rsidRPr="002E0E5A">
        <w:rPr>
          <w:rFonts w:asciiTheme="minorHAnsi" w:hAnsiTheme="minorHAnsi" w:cstheme="minorHAnsi"/>
          <w:b/>
          <w:lang w:val="ro-RO"/>
        </w:rPr>
        <w:t>Secţia pentru judecători în materie disciplinară</w:t>
      </w:r>
      <w:r w:rsidRPr="002E0E5A">
        <w:rPr>
          <w:rFonts w:asciiTheme="minorHAnsi" w:hAnsiTheme="minorHAnsi" w:cstheme="minorHAnsi"/>
          <w:lang w:val="ro-RO"/>
        </w:rPr>
        <w:t xml:space="preserve">  a aplicat, în anul 2017, </w:t>
      </w:r>
      <w:r w:rsidRPr="002E0E5A">
        <w:rPr>
          <w:rFonts w:asciiTheme="minorHAnsi" w:hAnsiTheme="minorHAnsi" w:cstheme="minorHAnsi"/>
          <w:b/>
          <w:color w:val="FF0000"/>
          <w:lang w:val="ro-RO"/>
        </w:rPr>
        <w:t>22 sancţiuni disciplinare</w:t>
      </w:r>
      <w:r w:rsidRPr="002E0E5A">
        <w:rPr>
          <w:rFonts w:asciiTheme="minorHAnsi" w:hAnsiTheme="minorHAnsi" w:cstheme="minorHAnsi"/>
          <w:color w:val="FF0000"/>
          <w:lang w:val="ro-RO"/>
        </w:rPr>
        <w:t xml:space="preserve"> </w:t>
      </w:r>
      <w:r w:rsidRPr="002E0E5A">
        <w:rPr>
          <w:rFonts w:asciiTheme="minorHAnsi" w:hAnsiTheme="minorHAnsi" w:cstheme="minorHAnsi"/>
          <w:lang w:val="ro-RO"/>
        </w:rPr>
        <w:t>(3 excluderi din magistratură, 4 sancţiuni de suspendare d</w:t>
      </w:r>
      <w:r w:rsidR="00202F35">
        <w:rPr>
          <w:rFonts w:asciiTheme="minorHAnsi" w:hAnsiTheme="minorHAnsi" w:cstheme="minorHAnsi"/>
          <w:lang w:val="ro-RO"/>
        </w:rPr>
        <w:t>in</w:t>
      </w:r>
      <w:r w:rsidRPr="002E0E5A">
        <w:rPr>
          <w:rFonts w:asciiTheme="minorHAnsi" w:hAnsiTheme="minorHAnsi" w:cstheme="minorHAnsi"/>
          <w:lang w:val="ro-RO"/>
        </w:rPr>
        <w:t xml:space="preserve"> funcţie, 11 sancţiuni de diminuare a indemnizaţiei de încadrare brute lunare şi 4 avertismente), situaţia detaliată a acestor sancţiuni fiind următoarea:</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lang w:val="ro-RO"/>
        </w:rPr>
        <w:t xml:space="preserve">- </w:t>
      </w:r>
      <w:r w:rsidRPr="002E0E5A">
        <w:rPr>
          <w:rFonts w:asciiTheme="minorHAnsi" w:hAnsiTheme="minorHAnsi" w:cstheme="minorHAnsi"/>
          <w:b/>
          <w:lang w:val="ro-RO"/>
        </w:rPr>
        <w:t>„excludere din magistratură”,</w:t>
      </w:r>
      <w:r w:rsidRPr="002E0E5A">
        <w:rPr>
          <w:rFonts w:asciiTheme="minorHAnsi" w:hAnsiTheme="minorHAnsi" w:cstheme="minorHAnsi"/>
          <w:lang w:val="ro-RO"/>
        </w:rPr>
        <w:t xml:space="preserve"> aplicată judecătorului X de la Curtea de Apel Y, pentru săvârşirea abaterii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99 lit.b) teza a II-a</w:t>
      </w:r>
      <w:r w:rsidRPr="002E0E5A">
        <w:rPr>
          <w:rFonts w:asciiTheme="minorHAnsi" w:hAnsiTheme="minorHAnsi" w:cstheme="minorHAnsi"/>
          <w:i/>
          <w:lang w:val="ro-RO"/>
        </w:rPr>
        <w:t xml:space="preserve"> </w:t>
      </w:r>
      <w:r w:rsidRPr="002E0E5A">
        <w:rPr>
          <w:rFonts w:asciiTheme="minorHAnsi" w:hAnsiTheme="minorHAnsi" w:cstheme="minorHAnsi"/>
          <w:lang w:val="ro-RO"/>
        </w:rPr>
        <w:t xml:space="preserve"> din Legea 303/2004 privind statutul judecătorilor şi procurorilor, cu modificările şi completările ulterioare - Hotărârea Secţiei pentru judecători în materie disciplinară a Consiliului Superior al Magistraturii nr. 1J/8.02.2017;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 suspendarea din funcţia de judecător pe o perioadă de 3 luni”</w:t>
      </w:r>
      <w:r w:rsidRPr="002E0E5A">
        <w:rPr>
          <w:rFonts w:asciiTheme="minorHAnsi" w:hAnsiTheme="minorHAnsi" w:cstheme="minorHAnsi"/>
          <w:lang w:val="ro-RO"/>
        </w:rPr>
        <w:t>, aplicată judecătorului X. de la Curtea Y., pentru săvârşirea abaterii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99 lit.i) varianta a II-a</w:t>
      </w:r>
      <w:r w:rsidRPr="002E0E5A">
        <w:rPr>
          <w:rFonts w:asciiTheme="minorHAnsi" w:hAnsiTheme="minorHAnsi" w:cstheme="minorHAnsi"/>
          <w:i/>
          <w:lang w:val="ro-RO"/>
        </w:rPr>
        <w:t xml:space="preserve"> </w:t>
      </w:r>
      <w:r w:rsidRPr="002E0E5A">
        <w:rPr>
          <w:rFonts w:asciiTheme="minorHAnsi" w:hAnsiTheme="minorHAnsi" w:cstheme="minorHAnsi"/>
          <w:lang w:val="ro-RO"/>
        </w:rPr>
        <w:t xml:space="preserve"> din Legea 303/2004. Hotărârea Secţiei pentru judecători în materie disciplinară a Consiliului Superior al Magistraturii  nr. 3J/15.03.2017;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„diminuarea indemnizaţiei de încadrare lunare brute cu 10% pe o perioadă de 2 luni”</w:t>
      </w:r>
      <w:r w:rsidRPr="002E0E5A">
        <w:rPr>
          <w:rFonts w:asciiTheme="minorHAnsi" w:hAnsiTheme="minorHAnsi" w:cstheme="minorHAnsi"/>
          <w:lang w:val="ro-RO"/>
        </w:rPr>
        <w:t>, aplicată judecătorului X. de la Judecătoria Y, pentru săvârşirea abaterii disciplinare prev. de art. 99 lit.t) teza a II-a rap. la art.99</w:t>
      </w:r>
      <w:r w:rsidRPr="002E0E5A">
        <w:rPr>
          <w:rFonts w:asciiTheme="minorHAnsi" w:hAnsiTheme="minorHAnsi" w:cstheme="minorHAnsi"/>
          <w:vertAlign w:val="superscript"/>
          <w:lang w:val="ro-RO"/>
        </w:rPr>
        <w:t>1</w:t>
      </w:r>
      <w:r w:rsidRPr="002E0E5A">
        <w:rPr>
          <w:rFonts w:asciiTheme="minorHAnsi" w:hAnsiTheme="minorHAnsi" w:cstheme="minorHAnsi"/>
          <w:lang w:val="ro-RO"/>
        </w:rPr>
        <w:t xml:space="preserve"> alin.2 din Legea 303/2004 - Hotărârea Secţiei pentru judecători în materie disciplinară a Consiliului Superior al Magistraturii nr. 4J/22.03.2017; hotărârea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 prin nerecurare.</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„suspendarea din funcţia de judecător pe o perioadă de 3 luni”</w:t>
      </w:r>
      <w:r w:rsidRPr="002E0E5A">
        <w:rPr>
          <w:rFonts w:asciiTheme="minorHAnsi" w:hAnsiTheme="minorHAnsi" w:cstheme="minorHAnsi"/>
          <w:lang w:val="ro-RO"/>
        </w:rPr>
        <w:t>, aplicată judecătorului X. de la Judecătoria Y., pentru săvârşirea abaterii disciplinare prev. de art. 99 lit.c) din Legea nr. 303/2004 - Hotărârea Secţiei pentru judecători în materie disciplinară a Consiliului Superior al Magistraturii  nr. 6J/28.03.2017;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 xml:space="preserve">definitivă. </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w:t>
      </w:r>
      <w:r w:rsidRPr="002E0E5A">
        <w:rPr>
          <w:rFonts w:asciiTheme="minorHAnsi" w:hAnsiTheme="minorHAnsi" w:cstheme="minorHAnsi"/>
          <w:lang w:val="ro-RO"/>
        </w:rPr>
        <w:t xml:space="preserve"> </w:t>
      </w:r>
      <w:r w:rsidRPr="002E0E5A">
        <w:rPr>
          <w:rFonts w:asciiTheme="minorHAnsi" w:hAnsiTheme="minorHAnsi" w:cstheme="minorHAnsi"/>
          <w:b/>
          <w:lang w:val="ro-RO"/>
        </w:rPr>
        <w:t>„ avertisment ”</w:t>
      </w:r>
      <w:r w:rsidRPr="002E0E5A">
        <w:rPr>
          <w:rFonts w:asciiTheme="minorHAnsi" w:hAnsiTheme="minorHAnsi" w:cstheme="minorHAnsi"/>
          <w:lang w:val="ro-RO"/>
        </w:rPr>
        <w:t>, aplicat judecătorului X de la Tribunalul  Y, pentru săvârşirea abaterii disciplinare prev. de art. 99 lit. h) teza I din Legea nr. 303/2004 - Hotărârea Secţiei pentru judecători în materie disciplinară a Consiliului Superior al Magistraturii  nr. 7J/18.05.2016;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 suspendarea din funcţia de judecător pe o perioadă de 3 luni”</w:t>
      </w:r>
      <w:r w:rsidRPr="002E0E5A">
        <w:rPr>
          <w:rFonts w:asciiTheme="minorHAnsi" w:hAnsiTheme="minorHAnsi" w:cstheme="minorHAnsi"/>
          <w:lang w:val="ro-RO"/>
        </w:rPr>
        <w:t>, aplicată judecătorului X de la Curtea de Apel Y., pentru săvârşirea abaterilor disciplinare prev. de art. 99 lit.c) din Legea nr. 303/2004 - Hotărârea Secţiei pentru judecători în materie disciplinară a Consiliului Superior al Magistraturii  nr. 8J/06.04.2017;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 avertisment”</w:t>
      </w:r>
      <w:r w:rsidRPr="002E0E5A">
        <w:rPr>
          <w:rFonts w:asciiTheme="minorHAnsi" w:hAnsiTheme="minorHAnsi" w:cstheme="minorHAnsi"/>
          <w:lang w:val="ro-RO"/>
        </w:rPr>
        <w:t>, aplicat judecătorului X de la Tribunalul Y, pentru săvârşirea abaterii disciplinare prev. de art. 99 lit.h) teza a II-a din Legea nr. 303/2004 - Hotărârea Secţiei pentru judecători în materie disciplinară a Consiliului Superior al Magistraturii  nr. 11J/19.04.2017;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w:t>
      </w:r>
      <w:r w:rsidRPr="002E0E5A">
        <w:rPr>
          <w:rFonts w:asciiTheme="minorHAnsi" w:hAnsiTheme="minorHAnsi" w:cstheme="minorHAnsi"/>
          <w:lang w:val="ro-RO"/>
        </w:rPr>
        <w:t xml:space="preserve"> </w:t>
      </w:r>
      <w:r w:rsidRPr="002E0E5A">
        <w:rPr>
          <w:rFonts w:asciiTheme="minorHAnsi" w:hAnsiTheme="minorHAnsi" w:cstheme="minorHAnsi"/>
          <w:b/>
          <w:lang w:val="ro-RO"/>
        </w:rPr>
        <w:t>„ avertisment”</w:t>
      </w:r>
      <w:r w:rsidRPr="002E0E5A">
        <w:rPr>
          <w:rFonts w:asciiTheme="minorHAnsi" w:hAnsiTheme="minorHAnsi" w:cstheme="minorHAnsi"/>
          <w:lang w:val="ro-RO"/>
        </w:rPr>
        <w:t>, aplicat judecătorului X  de la Tribunalul Y, pentru săvârşirea abaterii disciplinare prev. de art. 99 lit. a din Legea nr. 303/2004 - Hotărârea Secţiei pentru judecători în materie disciplinară a Consiliului Superior al Magistraturii  nr. 13J/26.04.2017;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w:t>
      </w:r>
      <w:r w:rsidRPr="002E0E5A">
        <w:rPr>
          <w:rFonts w:asciiTheme="minorHAnsi" w:hAnsiTheme="minorHAnsi" w:cstheme="minorHAnsi"/>
          <w:lang w:val="ro-RO"/>
        </w:rPr>
        <w:t xml:space="preserve"> „</w:t>
      </w:r>
      <w:r w:rsidRPr="002E0E5A">
        <w:rPr>
          <w:rFonts w:asciiTheme="minorHAnsi" w:hAnsiTheme="minorHAnsi" w:cstheme="minorHAnsi"/>
          <w:b/>
          <w:lang w:val="ro-RO"/>
        </w:rPr>
        <w:t>avertisment”</w:t>
      </w:r>
      <w:r w:rsidRPr="002E0E5A">
        <w:rPr>
          <w:rFonts w:asciiTheme="minorHAnsi" w:hAnsiTheme="minorHAnsi" w:cstheme="minorHAnsi"/>
          <w:lang w:val="ro-RO"/>
        </w:rPr>
        <w:t xml:space="preserve"> aplicat judecătorului X. de la Tribunalul Y, pentru săvârşirea abaterii disciplinare prev. de art.99 lit.h) teza a II-a din Legea nr. 303/2004 - Hotărârea Secţiei pentru judecători în materie disciplinară a Consiliului Superior al Magistraturii nr. 14J/26.04.2017;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w:t>
      </w:r>
      <w:r w:rsidRPr="002E0E5A">
        <w:rPr>
          <w:rFonts w:asciiTheme="minorHAnsi" w:hAnsiTheme="minorHAnsi" w:cstheme="minorHAnsi"/>
          <w:lang w:val="ro-RO"/>
        </w:rPr>
        <w:t xml:space="preserve"> </w:t>
      </w:r>
      <w:r w:rsidRPr="002E0E5A">
        <w:rPr>
          <w:rFonts w:asciiTheme="minorHAnsi" w:hAnsiTheme="minorHAnsi" w:cstheme="minorHAnsi"/>
          <w:b/>
          <w:lang w:val="ro-RO"/>
        </w:rPr>
        <w:t>„diminuarea indemnizaţiei de încadrare lunare brute cu 10% pe o perioada de o lună”</w:t>
      </w:r>
      <w:r w:rsidRPr="002E0E5A">
        <w:rPr>
          <w:rFonts w:asciiTheme="minorHAnsi" w:hAnsiTheme="minorHAnsi" w:cstheme="minorHAnsi"/>
          <w:lang w:val="ro-RO"/>
        </w:rPr>
        <w:t>, aplicată judecătorului X. de la Judecătoria Y, pentru săvârşirea abaterilor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99 lit.h) teza a I-a şi a II-a din Legea nr. 303/2004 - Hotărârea Secţiei pentru judecători în materie disciplinară a Consiliului Superior al Magistraturii nr. 16J/24.05.2017;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w:t>
      </w:r>
      <w:r w:rsidRPr="002E0E5A">
        <w:rPr>
          <w:rFonts w:asciiTheme="minorHAnsi" w:hAnsiTheme="minorHAnsi" w:cstheme="minorHAnsi"/>
          <w:lang w:val="ro-RO"/>
        </w:rPr>
        <w:t xml:space="preserve"> </w:t>
      </w:r>
      <w:r w:rsidRPr="002E0E5A">
        <w:rPr>
          <w:rFonts w:asciiTheme="minorHAnsi" w:hAnsiTheme="minorHAnsi" w:cstheme="minorHAnsi"/>
          <w:b/>
          <w:lang w:val="ro-RO"/>
        </w:rPr>
        <w:t>„diminuarea indemnizaţiei de încadrare lunare brute cu 10% pe o perioada de o lună”</w:t>
      </w:r>
      <w:r w:rsidRPr="002E0E5A">
        <w:rPr>
          <w:rFonts w:asciiTheme="minorHAnsi" w:hAnsiTheme="minorHAnsi" w:cstheme="minorHAnsi"/>
          <w:lang w:val="ro-RO"/>
        </w:rPr>
        <w:t>, aplicată judecătorului X. de la Tribunalul Y. pentru săvârşirea abaterii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99 lit.h) teza a II-a din Legea nr. 303/2004 - Hotărârea Secţiei pentru judecători în materie disciplinară a Consiliului Superior al Magistraturii nr. 17J/24.05.2017;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w:t>
      </w:r>
      <w:r w:rsidRPr="002E0E5A">
        <w:rPr>
          <w:rFonts w:asciiTheme="minorHAnsi" w:hAnsiTheme="minorHAnsi" w:cstheme="minorHAnsi"/>
          <w:lang w:val="ro-RO"/>
        </w:rPr>
        <w:t xml:space="preserve"> „</w:t>
      </w:r>
      <w:r w:rsidRPr="002E0E5A">
        <w:rPr>
          <w:rFonts w:asciiTheme="minorHAnsi" w:hAnsiTheme="minorHAnsi" w:cstheme="minorHAnsi"/>
          <w:b/>
          <w:lang w:val="ro-RO"/>
        </w:rPr>
        <w:t>diminuarea indemnizaţiei de încadrare lunare brute cu 10% pe o perioada de 2 luni”</w:t>
      </w:r>
      <w:r w:rsidRPr="002E0E5A">
        <w:rPr>
          <w:rFonts w:asciiTheme="minorHAnsi" w:hAnsiTheme="minorHAnsi" w:cstheme="minorHAnsi"/>
          <w:lang w:val="ro-RO"/>
        </w:rPr>
        <w:t xml:space="preserve"> aplicată judecătorului X  de la Tribunalul Y, pentru săvârşirea abaterii disciplinare prev. de art.99 lit.h) teza a II-a din Legea nr. 303/2004 - Hotărârea Secţiei pentru judecători în materie disciplinară a Consiliului Superior al Magistraturii nr. 18J/24.05.2017; hotărârea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 prin nerecurare.</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„diminuarea indemnizaţiei de încadrare lunare brute cu 20% pe o perioada de 5 luni”</w:t>
      </w:r>
      <w:r w:rsidRPr="002E0E5A">
        <w:rPr>
          <w:rFonts w:asciiTheme="minorHAnsi" w:hAnsiTheme="minorHAnsi" w:cstheme="minorHAnsi"/>
          <w:lang w:val="ro-RO"/>
        </w:rPr>
        <w:t>, aplicată judecătorului X. de la Curtea de Apel Y., pentru săvârşirea abaterii disciplinare prev. de art. 99 lit.a) din Legea nr. 303/2004 - Hotărârea Secţiei pentru judecători în materie disciplinară a Consiliului Superior al Magistraturii  nr. 20J/14.06.2017;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 excludere din magistratură”</w:t>
      </w:r>
      <w:r w:rsidRPr="002E0E5A">
        <w:rPr>
          <w:rFonts w:asciiTheme="minorHAnsi" w:hAnsiTheme="minorHAnsi" w:cstheme="minorHAnsi"/>
          <w:lang w:val="ro-RO"/>
        </w:rPr>
        <w:t>, aplicată judecătorului X de la Tribunalul Y., pentru săvârşirea abaterii disciplinare prev. de art. 99 lit.a) şi b) din Legea nr. 303/2004 - Hotărârea Secţiei pentru judecători în materie disciplinară a Consiliului Superior al Magistraturii  nr. 21J/14.06.2017;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w:t>
      </w:r>
      <w:r w:rsidRPr="002E0E5A">
        <w:rPr>
          <w:rFonts w:asciiTheme="minorHAnsi" w:hAnsiTheme="minorHAnsi" w:cstheme="minorHAnsi"/>
          <w:lang w:val="ro-RO"/>
        </w:rPr>
        <w:t xml:space="preserve"> „</w:t>
      </w:r>
      <w:r w:rsidRPr="002E0E5A">
        <w:rPr>
          <w:rFonts w:asciiTheme="minorHAnsi" w:hAnsiTheme="minorHAnsi" w:cstheme="minorHAnsi"/>
          <w:b/>
          <w:lang w:val="ro-RO"/>
        </w:rPr>
        <w:t>diminuarea indemnizaţiei de încadrare lunare brute cu 20% pe o perioada de 6 luni”</w:t>
      </w:r>
      <w:r w:rsidRPr="002E0E5A">
        <w:rPr>
          <w:rFonts w:asciiTheme="minorHAnsi" w:hAnsiTheme="minorHAnsi" w:cstheme="minorHAnsi"/>
          <w:lang w:val="ro-RO"/>
        </w:rPr>
        <w:t xml:space="preserve"> aplicată judecătorului X de la Judecătoriei Y., pentru săvârşirea abaterilor disciplinare prev. de art.99 lit.h) din Legea nr. 303/2004 - Hotărârea Secţiei pentru judecători în materie disciplinară a Consiliului Superior al Magistraturii nr. 24J/28.06.2017;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w:t>
      </w:r>
      <w:r w:rsidRPr="002E0E5A">
        <w:rPr>
          <w:rFonts w:asciiTheme="minorHAnsi" w:hAnsiTheme="minorHAnsi" w:cstheme="minorHAnsi"/>
          <w:lang w:val="ro-RO"/>
        </w:rPr>
        <w:t xml:space="preserve"> </w:t>
      </w:r>
      <w:r w:rsidRPr="002E0E5A">
        <w:rPr>
          <w:rFonts w:asciiTheme="minorHAnsi" w:hAnsiTheme="minorHAnsi" w:cstheme="minorHAnsi"/>
          <w:b/>
          <w:lang w:val="ro-RO"/>
        </w:rPr>
        <w:t>„„diminuarea indemnizaţiei de încadrare lunare brute cu 20% pe o perioada de 5 luni””</w:t>
      </w:r>
      <w:r w:rsidRPr="002E0E5A">
        <w:rPr>
          <w:rFonts w:asciiTheme="minorHAnsi" w:hAnsiTheme="minorHAnsi" w:cstheme="minorHAnsi"/>
          <w:lang w:val="ro-RO"/>
        </w:rPr>
        <w:t>, aplicată judecătorului X. de la Tribunalul Y., pentru săvârşirea abaterilor disciplinare prev. de art. 99 lit. c) și s) teza a I-a  din Legea nr. 303/2004 - Hotărârea Secţiei pentru judecători în materie disciplinară a Consiliului Superior al Magistraturii  nr. 25J/28.06.2017; hotărârea nu este</w:t>
      </w:r>
      <w:r w:rsidRPr="002E0E5A">
        <w:rPr>
          <w:rFonts w:asciiTheme="minorHAnsi" w:hAnsiTheme="minorHAnsi" w:cstheme="minorHAnsi"/>
          <w:b/>
          <w:i/>
          <w:color w:val="FF0000"/>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b/>
          <w:lang w:val="ro-RO"/>
        </w:rPr>
        <w:t xml:space="preserve"> - „excludere din magistratură”</w:t>
      </w:r>
      <w:r w:rsidRPr="002E0E5A">
        <w:rPr>
          <w:rFonts w:asciiTheme="minorHAnsi" w:hAnsiTheme="minorHAnsi" w:cstheme="minorHAnsi"/>
          <w:lang w:val="ro-RO"/>
        </w:rPr>
        <w:t xml:space="preserve"> aplicată judecătorului X de la Tribunalul Y., pentru săvârşirea abaterilor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 xml:space="preserve">99 lit.a) şi l) din Legea nr. 303/2004  şi  </w:t>
      </w:r>
      <w:r w:rsidRPr="002E0E5A">
        <w:rPr>
          <w:rFonts w:asciiTheme="minorHAnsi" w:hAnsiTheme="minorHAnsi" w:cstheme="minorHAnsi"/>
          <w:b/>
          <w:lang w:val="ro-RO"/>
        </w:rPr>
        <w:t>„suspendarea din funcţie pentru o perioadă de 2 luni”</w:t>
      </w:r>
      <w:r w:rsidRPr="002E0E5A">
        <w:rPr>
          <w:rFonts w:asciiTheme="minorHAnsi" w:hAnsiTheme="minorHAnsi" w:cstheme="minorHAnsi"/>
          <w:lang w:val="ro-RO"/>
        </w:rPr>
        <w:t xml:space="preserve"> aplicată judecătorului Z de la Tribunalul Y., pentru săvârşirea abaterii disciplinare prev. de art.</w:t>
      </w:r>
      <w:r w:rsidRPr="002E0E5A">
        <w:rPr>
          <w:rFonts w:asciiTheme="minorHAnsi" w:hAnsiTheme="minorHAnsi" w:cstheme="minorHAnsi"/>
          <w:i/>
          <w:lang w:val="ro-RO"/>
        </w:rPr>
        <w:t xml:space="preserve"> </w:t>
      </w:r>
      <w:r w:rsidRPr="002E0E5A">
        <w:rPr>
          <w:rFonts w:asciiTheme="minorHAnsi" w:hAnsiTheme="minorHAnsi" w:cstheme="minorHAnsi"/>
          <w:lang w:val="ro-RO"/>
        </w:rPr>
        <w:t>99 lit. l) din Legea nr. 303/2004, fiind respinsă acţiunea pentru săvârşirea abaterii disciplinare prev. de art.99 lit.m) din Legea nr. 303/2004 - Hotărârea Secţiei pentru judecători în materie disciplinară a Consiliului Superior al Magistraturii nr. 28J/3.10.2017; hotărârea nu este</w:t>
      </w:r>
      <w:r w:rsidRPr="002E0E5A">
        <w:rPr>
          <w:rFonts w:asciiTheme="minorHAnsi" w:hAnsiTheme="minorHAnsi" w:cstheme="minorHAnsi"/>
          <w:b/>
          <w:i/>
          <w:lang w:val="ro-RO"/>
        </w:rPr>
        <w:t xml:space="preserve"> </w:t>
      </w:r>
      <w:r w:rsidRPr="002E0E5A">
        <w:rPr>
          <w:rFonts w:asciiTheme="minorHAnsi" w:hAnsiTheme="minorHAnsi" w:cstheme="minorHAnsi"/>
          <w:lang w:val="ro-RO"/>
        </w:rPr>
        <w:t>definitivă.</w:t>
      </w: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lang w:val="ro-RO"/>
        </w:rPr>
        <w:t>- „</w:t>
      </w:r>
      <w:r w:rsidRPr="002E0E5A">
        <w:rPr>
          <w:rFonts w:asciiTheme="minorHAnsi" w:hAnsiTheme="minorHAnsi" w:cstheme="minorHAnsi"/>
          <w:b/>
          <w:lang w:val="ro-RO"/>
        </w:rPr>
        <w:t>diminuarea indemnizaţiei de încadrare lunare brute cu 20% pe o perioada de 3 luni”</w:t>
      </w:r>
      <w:r w:rsidRPr="002E0E5A">
        <w:rPr>
          <w:rFonts w:asciiTheme="minorHAnsi" w:hAnsiTheme="minorHAnsi" w:cstheme="minorHAnsi"/>
          <w:lang w:val="ro-RO"/>
        </w:rPr>
        <w:t xml:space="preserve"> aplicată judecătorului X de la Judecătoria Y., pentru săvârşirea abaterii disciplinare prev. de art.99 lit.f) din Legea nr. 303/2004  - Hotărârea Secţiei pentru judecători în materie disciplinară a Consiliului Superior al Magistraturii nr. 31J/11.10.2017; hotărârea nu este</w:t>
      </w:r>
      <w:r w:rsidRPr="002E0E5A">
        <w:rPr>
          <w:rFonts w:asciiTheme="minorHAnsi" w:hAnsiTheme="minorHAnsi" w:cstheme="minorHAnsi"/>
          <w:b/>
          <w:i/>
          <w:lang w:val="ro-RO"/>
        </w:rPr>
        <w:t xml:space="preserve"> </w:t>
      </w:r>
      <w:r w:rsidRPr="002E0E5A">
        <w:rPr>
          <w:rFonts w:asciiTheme="minorHAnsi" w:hAnsiTheme="minorHAnsi" w:cstheme="minorHAnsi"/>
          <w:lang w:val="ro-RO"/>
        </w:rPr>
        <w:t>definitivă.</w:t>
      </w:r>
    </w:p>
    <w:p w:rsidR="007C572E" w:rsidRPr="002E0E5A" w:rsidRDefault="007C572E" w:rsidP="002E0E5A">
      <w:pPr>
        <w:spacing w:after="160" w:line="276" w:lineRule="auto"/>
        <w:ind w:firstLine="540"/>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 „</w:t>
      </w:r>
      <w:r w:rsidRPr="002E0E5A">
        <w:rPr>
          <w:rFonts w:asciiTheme="minorHAnsi" w:eastAsiaTheme="minorHAnsi" w:hAnsiTheme="minorHAnsi" w:cstheme="minorHAnsi"/>
          <w:b/>
          <w:lang w:val="ro-RO"/>
        </w:rPr>
        <w:t>diminuarea indemnizaţiei de încadrare lunare brute cu 10% pe o perioada de o lună”</w:t>
      </w:r>
      <w:r w:rsidRPr="002E0E5A">
        <w:rPr>
          <w:rFonts w:asciiTheme="minorHAnsi" w:eastAsiaTheme="minorHAnsi" w:hAnsiTheme="minorHAnsi" w:cstheme="minorHAnsi"/>
          <w:lang w:val="ro-RO"/>
        </w:rPr>
        <w:t xml:space="preserve"> aplicată magistratului X de la instanţa Y., pentru săvârşirea abaterii disciplinare prev. de art.99 lit.h) teza a II-a din Legea nr. 303/2004 privind statutul judecătorilor şi procurorilor, cu modificările şi completările ulterioare  - Hotărârea Secţiei pentru judecători în materie disciplinară a Consiliului Superior al Magistraturii nr. 34J/11.10.2017; hotărârea nu este</w:t>
      </w:r>
      <w:r w:rsidRPr="002E0E5A">
        <w:rPr>
          <w:rFonts w:asciiTheme="minorHAnsi" w:eastAsiaTheme="minorHAnsi" w:hAnsiTheme="minorHAnsi" w:cstheme="minorHAnsi"/>
          <w:b/>
          <w:i/>
          <w:lang w:val="ro-RO"/>
        </w:rPr>
        <w:t xml:space="preserve"> </w:t>
      </w:r>
      <w:r w:rsidRPr="002E0E5A">
        <w:rPr>
          <w:rFonts w:asciiTheme="minorHAnsi" w:eastAsiaTheme="minorHAnsi" w:hAnsiTheme="minorHAnsi" w:cstheme="minorHAnsi"/>
          <w:lang w:val="ro-RO"/>
        </w:rPr>
        <w:t>definitivă;</w:t>
      </w:r>
    </w:p>
    <w:p w:rsidR="007C572E" w:rsidRPr="002E0E5A" w:rsidRDefault="007C572E" w:rsidP="002E0E5A">
      <w:pPr>
        <w:spacing w:after="160" w:line="276" w:lineRule="auto"/>
        <w:ind w:firstLine="540"/>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 „</w:t>
      </w:r>
      <w:r w:rsidRPr="002E0E5A">
        <w:rPr>
          <w:rFonts w:asciiTheme="minorHAnsi" w:eastAsiaTheme="minorHAnsi" w:hAnsiTheme="minorHAnsi" w:cstheme="minorHAnsi"/>
          <w:b/>
          <w:lang w:val="ro-RO"/>
        </w:rPr>
        <w:t>diminuarea indemnizaţiei de încadrare lunare brute cu 10% pe o perioada de 3 luni”</w:t>
      </w:r>
      <w:r w:rsidRPr="002E0E5A">
        <w:rPr>
          <w:rFonts w:asciiTheme="minorHAnsi" w:eastAsiaTheme="minorHAnsi" w:hAnsiTheme="minorHAnsi" w:cstheme="minorHAnsi"/>
          <w:lang w:val="ro-RO"/>
        </w:rPr>
        <w:t xml:space="preserve"> aplicată judecătorului X de la Tribunalul Y., pentru săvârşirea abaterii disciplinare prev. de art.99 lit.c), f) şi h) teza a II-a din Legea nr. 303/2004 privind statutul judecătorilor şi procurorilor, cu modificările şi completările ulterioare şi a respins ca neîntemeiată acţiunea disciplinară pentru săvârşirea abaterilor disciplinare prevăzute de art.99 lit.k) şi m) din Legea nr. 303/2004 privind statutul judecătorilor şi procurorilor, cu modificările şi completările ulterioare  - Hotărârea Secţiei pentru judecători în materie disciplinară a Consiliului Superior al Magistraturii nr. 35J/18.12.2017; hotărârea nu este</w:t>
      </w:r>
      <w:r w:rsidRPr="002E0E5A">
        <w:rPr>
          <w:rFonts w:asciiTheme="minorHAnsi" w:eastAsiaTheme="minorHAnsi" w:hAnsiTheme="minorHAnsi" w:cstheme="minorHAnsi"/>
          <w:b/>
          <w:i/>
          <w:lang w:val="ro-RO"/>
        </w:rPr>
        <w:t xml:space="preserve"> </w:t>
      </w:r>
      <w:r w:rsidRPr="002E0E5A">
        <w:rPr>
          <w:rFonts w:asciiTheme="minorHAnsi" w:eastAsiaTheme="minorHAnsi" w:hAnsiTheme="minorHAnsi" w:cstheme="minorHAnsi"/>
          <w:lang w:val="ro-RO"/>
        </w:rPr>
        <w:t>definitivă;</w:t>
      </w:r>
    </w:p>
    <w:p w:rsidR="007C572E" w:rsidRDefault="007C572E" w:rsidP="002E0E5A">
      <w:pPr>
        <w:spacing w:after="160" w:line="276" w:lineRule="auto"/>
        <w:ind w:firstLine="540"/>
        <w:jc w:val="both"/>
        <w:rPr>
          <w:rFonts w:asciiTheme="minorHAnsi" w:eastAsiaTheme="minorHAnsi" w:hAnsiTheme="minorHAnsi" w:cstheme="minorHAnsi"/>
          <w:lang w:val="ro-RO"/>
        </w:rPr>
      </w:pPr>
      <w:r w:rsidRPr="002E0E5A">
        <w:rPr>
          <w:rFonts w:asciiTheme="minorHAnsi" w:eastAsiaTheme="minorHAnsi" w:hAnsiTheme="minorHAnsi" w:cstheme="minorHAnsi"/>
          <w:lang w:val="ro-RO"/>
        </w:rPr>
        <w:t>- „</w:t>
      </w:r>
      <w:r w:rsidRPr="002E0E5A">
        <w:rPr>
          <w:rFonts w:asciiTheme="minorHAnsi" w:eastAsiaTheme="minorHAnsi" w:hAnsiTheme="minorHAnsi" w:cstheme="minorHAnsi"/>
          <w:b/>
          <w:lang w:val="ro-RO"/>
        </w:rPr>
        <w:t>diminuarea indemnizaţiei de încadrare lunare brute cu 10% pe o perioada de 3 luni”</w:t>
      </w:r>
      <w:r w:rsidRPr="002E0E5A">
        <w:rPr>
          <w:rFonts w:asciiTheme="minorHAnsi" w:eastAsiaTheme="minorHAnsi" w:hAnsiTheme="minorHAnsi" w:cstheme="minorHAnsi"/>
          <w:lang w:val="ro-RO"/>
        </w:rPr>
        <w:t xml:space="preserve"> aplicată judecătorului X de la Judecătoria Y., pentru săvârşirea abaterii disciplinare prev. de art.99 lit.i) teza a I-a din Legea nr. 303/2004 privind statutul judecătorilor şi procurorilor, cu modificările şi completările ulterioare  şi a respins acţiunea, ca neîntemeiată pentru săvârşirea abaterilor disciplinare prevăzute de art.99 lit.d) teza a II-a,  art.99 lit.t) teza a I-a şi a II-a raportat la art.99</w:t>
      </w:r>
      <w:r w:rsidRPr="002E0E5A">
        <w:rPr>
          <w:rFonts w:asciiTheme="minorHAnsi" w:eastAsiaTheme="minorHAnsi" w:hAnsiTheme="minorHAnsi" w:cstheme="minorHAnsi"/>
          <w:vertAlign w:val="superscript"/>
          <w:lang w:val="ro-RO"/>
        </w:rPr>
        <w:t>1</w:t>
      </w:r>
      <w:r w:rsidRPr="002E0E5A">
        <w:rPr>
          <w:rFonts w:asciiTheme="minorHAnsi" w:eastAsiaTheme="minorHAnsi" w:hAnsiTheme="minorHAnsi" w:cstheme="minorHAnsi"/>
          <w:lang w:val="ro-RO"/>
        </w:rPr>
        <w:t xml:space="preserve"> alin.1 şi 2  din Legea nr.303/2004 privind statutul judecătorilor şi procurorilor, cu modificările şi completările ulterioare - Hotărârea Secţiei pentru judecători în materie disciplinară a Consiliului Superior al Magistraturii nr. 36J/20.12.2017; hotărârea nu este</w:t>
      </w:r>
      <w:r w:rsidRPr="002E0E5A">
        <w:rPr>
          <w:rFonts w:asciiTheme="minorHAnsi" w:eastAsiaTheme="minorHAnsi" w:hAnsiTheme="minorHAnsi" w:cstheme="minorHAnsi"/>
          <w:b/>
          <w:i/>
          <w:lang w:val="ro-RO"/>
        </w:rPr>
        <w:t xml:space="preserve"> </w:t>
      </w:r>
      <w:r w:rsidR="00122527">
        <w:rPr>
          <w:rFonts w:asciiTheme="minorHAnsi" w:eastAsiaTheme="minorHAnsi" w:hAnsiTheme="minorHAnsi" w:cstheme="minorHAnsi"/>
          <w:lang w:val="ro-RO"/>
        </w:rPr>
        <w:t>definitivă.</w:t>
      </w:r>
    </w:p>
    <w:p w:rsidR="00122527" w:rsidRPr="002E0E5A" w:rsidRDefault="00122527" w:rsidP="002E0E5A">
      <w:pPr>
        <w:spacing w:after="160" w:line="276" w:lineRule="auto"/>
        <w:ind w:firstLine="540"/>
        <w:jc w:val="both"/>
        <w:rPr>
          <w:rFonts w:asciiTheme="minorHAnsi" w:eastAsiaTheme="minorHAnsi" w:hAnsiTheme="minorHAnsi" w:cstheme="minorHAnsi"/>
          <w:lang w:val="ro-RO"/>
        </w:rPr>
      </w:pPr>
      <w:r>
        <w:rPr>
          <w:rFonts w:asciiTheme="minorHAnsi" w:eastAsiaTheme="minorHAnsi" w:hAnsiTheme="minorHAnsi" w:cstheme="minorHAnsi"/>
          <w:lang w:val="ro-RO"/>
        </w:rPr>
        <w:t xml:space="preserve">Facem precizarea că datele prezentate au ca termend e referință </w:t>
      </w:r>
      <w:r w:rsidRPr="00122527">
        <w:rPr>
          <w:rFonts w:asciiTheme="minorHAnsi" w:eastAsiaTheme="minorHAnsi" w:hAnsiTheme="minorHAnsi" w:cstheme="minorHAnsi"/>
          <w:b/>
          <w:lang w:val="ro-RO"/>
        </w:rPr>
        <w:t>data de 1.01.2018</w:t>
      </w:r>
      <w:r>
        <w:rPr>
          <w:rFonts w:asciiTheme="minorHAnsi" w:eastAsiaTheme="minorHAnsi" w:hAnsiTheme="minorHAnsi" w:cstheme="minorHAnsi"/>
          <w:lang w:val="ro-RO"/>
        </w:rPr>
        <w:t>.</w:t>
      </w:r>
    </w:p>
    <w:p w:rsidR="007C572E" w:rsidRPr="002E0E5A" w:rsidRDefault="007C572E" w:rsidP="002E0E5A">
      <w:pPr>
        <w:spacing w:line="276" w:lineRule="auto"/>
        <w:ind w:firstLine="540"/>
        <w:jc w:val="both"/>
        <w:rPr>
          <w:rFonts w:asciiTheme="minorHAnsi" w:hAnsiTheme="minorHAnsi" w:cstheme="minorHAnsi"/>
          <w:lang w:val="ro-RO"/>
        </w:rPr>
      </w:pPr>
    </w:p>
    <w:p w:rsidR="007C572E" w:rsidRPr="002E0E5A" w:rsidRDefault="007C572E"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lang w:val="ro-RO"/>
        </w:rPr>
        <w:t>De asemenea, Secţia pentru judecători în materie disciplinară,  în cursul anului 2017 a respins un număr de 14 acţiuni disciplinare şi  a constatat nulitatea acţiunii  disciplinare într-o singură cauză.</w:t>
      </w:r>
    </w:p>
    <w:p w:rsidR="00496D69" w:rsidRPr="002E0E5A" w:rsidRDefault="00496D69" w:rsidP="002E0E5A">
      <w:pPr>
        <w:spacing w:line="276" w:lineRule="auto"/>
        <w:ind w:right="48" w:firstLine="540"/>
        <w:jc w:val="both"/>
        <w:rPr>
          <w:rFonts w:asciiTheme="minorHAnsi" w:hAnsiTheme="minorHAnsi" w:cstheme="minorHAnsi"/>
          <w:lang w:val="ro-RO"/>
        </w:rPr>
      </w:pPr>
    </w:p>
    <w:p w:rsidR="00496D69" w:rsidRPr="002E0E5A" w:rsidRDefault="002431A4" w:rsidP="002E0E5A">
      <w:pPr>
        <w:spacing w:line="276" w:lineRule="auto"/>
        <w:ind w:right="48" w:firstLine="540"/>
        <w:jc w:val="both"/>
        <w:rPr>
          <w:rFonts w:asciiTheme="minorHAnsi" w:hAnsiTheme="minorHAnsi" w:cstheme="minorHAnsi"/>
          <w:u w:val="single"/>
          <w:lang w:val="ro-RO"/>
        </w:rPr>
      </w:pPr>
      <w:r w:rsidRPr="002E0E5A">
        <w:rPr>
          <w:rFonts w:asciiTheme="minorHAnsi" w:hAnsiTheme="minorHAnsi" w:cstheme="minorHAnsi"/>
          <w:lang w:val="ro-RO"/>
        </w:rPr>
        <w:tab/>
      </w:r>
      <w:r w:rsidR="00496D69" w:rsidRPr="002E0E5A">
        <w:rPr>
          <w:rFonts w:asciiTheme="minorHAnsi" w:hAnsiTheme="minorHAnsi" w:cstheme="minorHAnsi"/>
          <w:u w:val="single"/>
          <w:lang w:val="ro-RO"/>
        </w:rPr>
        <w:t>2. Răspunderea penală</w:t>
      </w:r>
    </w:p>
    <w:p w:rsidR="002431A4" w:rsidRPr="002E0E5A" w:rsidRDefault="002431A4" w:rsidP="002E0E5A">
      <w:pPr>
        <w:spacing w:line="276" w:lineRule="auto"/>
        <w:ind w:right="48" w:firstLine="540"/>
        <w:jc w:val="both"/>
        <w:rPr>
          <w:rFonts w:asciiTheme="minorHAnsi" w:hAnsiTheme="minorHAnsi" w:cstheme="minorHAnsi"/>
          <w:lang w:val="ro-RO"/>
        </w:rPr>
      </w:pPr>
      <w:r w:rsidRPr="002E0E5A">
        <w:rPr>
          <w:rFonts w:asciiTheme="minorHAnsi" w:hAnsiTheme="minorHAnsi" w:cstheme="minorHAnsi"/>
          <w:lang w:val="ro-RO"/>
        </w:rPr>
        <w:t>În anul 2017, Consiliul Superior al Magistraturii a dispus suspendarea din funcție a 4</w:t>
      </w:r>
      <w:r w:rsidR="00B818F3" w:rsidRPr="002E0E5A">
        <w:rPr>
          <w:rFonts w:asciiTheme="minorHAnsi" w:hAnsiTheme="minorHAnsi" w:cstheme="minorHAnsi"/>
          <w:lang w:val="ro-RO"/>
        </w:rPr>
        <w:t xml:space="preserve">  judecători ca urmare a trimite</w:t>
      </w:r>
      <w:r w:rsidRPr="002E0E5A">
        <w:rPr>
          <w:rFonts w:asciiTheme="minorHAnsi" w:hAnsiTheme="minorHAnsi" w:cstheme="minorHAnsi"/>
          <w:lang w:val="ro-RO"/>
        </w:rPr>
        <w:t>rii în judecată pentru săvârşirea unor infracţiuni cu intenţie.</w:t>
      </w:r>
    </w:p>
    <w:p w:rsidR="002431A4" w:rsidRPr="002E0E5A" w:rsidRDefault="002431A4" w:rsidP="002E0E5A">
      <w:pPr>
        <w:spacing w:line="276" w:lineRule="auto"/>
        <w:ind w:firstLine="540"/>
        <w:jc w:val="both"/>
        <w:rPr>
          <w:rFonts w:asciiTheme="minorHAnsi" w:hAnsiTheme="minorHAnsi" w:cstheme="minorHAnsi"/>
          <w:lang w:val="ro-RO"/>
        </w:rPr>
      </w:pPr>
      <w:r w:rsidRPr="002E0E5A">
        <w:rPr>
          <w:rFonts w:asciiTheme="minorHAnsi" w:hAnsiTheme="minorHAnsi" w:cstheme="minorHAnsi"/>
          <w:lang w:val="ro-RO"/>
        </w:rPr>
        <w:tab/>
        <w:t>În cursul aceluiaşi an, 5 judecători au fost condamnaţi definitiv pentru săvârşirea unor infracţiuni.</w:t>
      </w:r>
    </w:p>
    <w:p w:rsidR="002431A4" w:rsidRPr="002E0E5A" w:rsidRDefault="002431A4"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În perioada de referinţă, Secţia pentru judecători nu a înregistrat nicio sesizare privind încuviinţarea de măsuri preventive.</w:t>
      </w:r>
    </w:p>
    <w:p w:rsidR="00B818F3" w:rsidRPr="002E0E5A" w:rsidRDefault="00B818F3" w:rsidP="002E0E5A">
      <w:pPr>
        <w:spacing w:line="276" w:lineRule="auto"/>
        <w:jc w:val="both"/>
        <w:rPr>
          <w:rFonts w:asciiTheme="minorHAnsi" w:hAnsiTheme="minorHAnsi" w:cstheme="minorHAnsi"/>
          <w:lang w:val="ro-RO"/>
        </w:rPr>
      </w:pPr>
    </w:p>
    <w:p w:rsidR="009F7B69" w:rsidRPr="002E0E5A" w:rsidRDefault="00B818F3" w:rsidP="002E0E5A">
      <w:pPr>
        <w:spacing w:line="276" w:lineRule="auto"/>
        <w:jc w:val="both"/>
        <w:rPr>
          <w:rFonts w:asciiTheme="minorHAnsi" w:hAnsiTheme="minorHAnsi" w:cstheme="minorHAnsi"/>
          <w:i/>
          <w:lang w:val="ro-RO"/>
        </w:rPr>
      </w:pPr>
      <w:r w:rsidRPr="002E0E5A">
        <w:rPr>
          <w:rFonts w:asciiTheme="minorHAnsi" w:hAnsiTheme="minorHAnsi" w:cstheme="minorHAnsi"/>
          <w:lang w:val="ro-RO"/>
        </w:rPr>
        <w:tab/>
      </w:r>
      <w:r w:rsidR="009F7B69" w:rsidRPr="002E0E5A">
        <w:rPr>
          <w:rFonts w:asciiTheme="minorHAnsi" w:hAnsiTheme="minorHAnsi" w:cstheme="minorHAnsi"/>
          <w:i/>
          <w:lang w:val="ro-RO"/>
        </w:rPr>
        <w:t>B. Magistraţi asistenţi</w:t>
      </w:r>
    </w:p>
    <w:p w:rsidR="00B818F3" w:rsidRPr="002E0E5A" w:rsidRDefault="009F7B69"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r>
      <w:r w:rsidR="00B818F3" w:rsidRPr="002E0E5A">
        <w:rPr>
          <w:rFonts w:asciiTheme="minorHAnsi" w:hAnsiTheme="minorHAnsi" w:cstheme="minorHAnsi"/>
          <w:lang w:val="ro-RO"/>
        </w:rPr>
        <w:t>În ceea ce priveşte categoria magistraţilor asistenţi, Înalta Curte de Casaţie şi Justiţie a comunicat următoarele :</w:t>
      </w:r>
    </w:p>
    <w:p w:rsidR="00B818F3" w:rsidRPr="002E0E5A" w:rsidRDefault="00B818F3"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Prin rezoluţie a Direcţiei de inspecţie judiciară pentru judecători din data de 13.06.2017 a fost admisă sesizarea şi a fost exercitată acţiunea disciplinară împotriva unui magistrat asistent din cadrul Secţiei a II-a civilă a Înaltei Curţi de Casaţie şi Justiţie sub aspectul săvârşirii abaterilor disciplinare prevăzute de art. 99 lit. c), lit. f), lit. k) şi lit. h) teza a II-a din Legea nr. 303/2004 republicată, cu modificările şi completările ulterioare.</w:t>
      </w:r>
    </w:p>
    <w:p w:rsidR="00B818F3" w:rsidRPr="002E0E5A" w:rsidRDefault="00B818F3"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De asemenea, prin rezoluţia Direcţiei de inspecţie judiciară pentru judecători din data de 27.07.2017, s-a propus începerea cercetării disciplinare faţă de un magistrat asistent din cadrul Secţiei penale a Înaltei Curţi de casaţie şi Justiţie sub aspectul săvârşirii abaterii disciplinare prevăzute de art. 99 lit. c) şi lit. k) din Legea nr. 303/2004 republicată, cu modificările şi completările ulterioare.</w:t>
      </w:r>
    </w:p>
    <w:p w:rsidR="00B818F3" w:rsidRPr="002E0E5A" w:rsidRDefault="00B818F3" w:rsidP="002E0E5A">
      <w:pPr>
        <w:spacing w:line="276" w:lineRule="auto"/>
        <w:jc w:val="both"/>
        <w:rPr>
          <w:rFonts w:asciiTheme="minorHAnsi" w:hAnsiTheme="minorHAnsi" w:cstheme="minorHAnsi"/>
          <w:lang w:val="ro-RO"/>
        </w:rPr>
      </w:pPr>
    </w:p>
    <w:p w:rsidR="009F7B69" w:rsidRPr="002E0E5A" w:rsidRDefault="002431A4" w:rsidP="002E0E5A">
      <w:pPr>
        <w:spacing w:line="276" w:lineRule="auto"/>
        <w:jc w:val="both"/>
        <w:rPr>
          <w:rFonts w:asciiTheme="minorHAnsi" w:hAnsiTheme="minorHAnsi" w:cstheme="minorHAnsi"/>
          <w:i/>
          <w:lang w:val="ro-RO"/>
        </w:rPr>
      </w:pPr>
      <w:r w:rsidRPr="002E0E5A">
        <w:rPr>
          <w:rFonts w:asciiTheme="minorHAnsi" w:hAnsiTheme="minorHAnsi" w:cstheme="minorHAnsi"/>
          <w:lang w:val="ro-RO"/>
        </w:rPr>
        <w:tab/>
      </w:r>
      <w:r w:rsidR="009F7B69" w:rsidRPr="002E0E5A">
        <w:rPr>
          <w:rFonts w:asciiTheme="minorHAnsi" w:hAnsiTheme="minorHAnsi" w:cstheme="minorHAnsi"/>
          <w:i/>
          <w:lang w:val="ro-RO"/>
        </w:rPr>
        <w:t>C. Personal auxiliar</w:t>
      </w:r>
    </w:p>
    <w:p w:rsidR="002431A4" w:rsidRPr="002E0E5A" w:rsidRDefault="009F7B69"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r>
      <w:r w:rsidR="002431A4" w:rsidRPr="002E0E5A">
        <w:rPr>
          <w:rFonts w:asciiTheme="minorHAnsi" w:hAnsiTheme="minorHAnsi" w:cstheme="minorHAnsi"/>
          <w:lang w:val="ro-RO"/>
        </w:rPr>
        <w:t>Din datele furnizate de curţile de apel rezultă că, în cursul anului 2017 au fost aplicate 41 de sancţiuni disciplinare personalului auxiliar de specialitate din cadrul instanţelor judecătoreşti, din care 7 sancţiuni constând în avertisment, 30 de sancţiuni constând în reducerea drepturilor salariale, 2 sancţiuni constând în mutarea disciplinară şi 2 sancţiuni constând în excluderea din profesie.</w:t>
      </w:r>
    </w:p>
    <w:p w:rsidR="00B818F3" w:rsidRPr="002E0E5A" w:rsidRDefault="00B818F3"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Din datele comunicate de Înalta Curte de casaţie şi Justiţiei rezultă că, la nivelul instanţei supreme, în cursul anului 2017 a fost aplicată o sancţiune disciplinară constând în reducerea drepturilor salariale.</w:t>
      </w:r>
    </w:p>
    <w:p w:rsidR="002431A4" w:rsidRPr="002E0E5A" w:rsidRDefault="002431A4"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Totodată, instanţele au comunicat că, în perioada de referinţă 1 persoană aparţinând categoriei personalului auxiliar de specialitate al instanţelor judecătoreşti a f</w:t>
      </w:r>
      <w:r w:rsidR="00B818F3" w:rsidRPr="002E0E5A">
        <w:rPr>
          <w:rFonts w:asciiTheme="minorHAnsi" w:hAnsiTheme="minorHAnsi" w:cstheme="minorHAnsi"/>
          <w:lang w:val="ro-RO"/>
        </w:rPr>
        <w:t>ost trimisă în judeca</w:t>
      </w:r>
      <w:r w:rsidRPr="002E0E5A">
        <w:rPr>
          <w:rFonts w:asciiTheme="minorHAnsi" w:hAnsiTheme="minorHAnsi" w:cstheme="minorHAnsi"/>
          <w:lang w:val="ro-RO"/>
        </w:rPr>
        <w:t>tă pentru fapte aflate în legătură cu exercitarea atribuţiilor de serviciu şi 1 persoană a fost condamnată definitiv pentru astfel de fapte.</w:t>
      </w:r>
    </w:p>
    <w:p w:rsidR="002431A4" w:rsidRDefault="002431A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087794" w:rsidRDefault="00087794" w:rsidP="002E0E5A">
      <w:pPr>
        <w:spacing w:line="276" w:lineRule="auto"/>
        <w:jc w:val="both"/>
        <w:rPr>
          <w:rFonts w:asciiTheme="minorHAnsi" w:hAnsiTheme="minorHAnsi" w:cstheme="minorHAnsi"/>
          <w:lang w:val="ro-RO"/>
        </w:rPr>
      </w:pPr>
    </w:p>
    <w:p w:rsidR="002B5E06" w:rsidRDefault="002B5E06" w:rsidP="000D005D">
      <w:pPr>
        <w:pStyle w:val="Titlu1"/>
        <w:rPr>
          <w:b w:val="0"/>
          <w:bCs w:val="0"/>
          <w:kern w:val="0"/>
          <w:sz w:val="24"/>
          <w:szCs w:val="24"/>
          <w:lang w:eastAsia="en-US"/>
        </w:rPr>
      </w:pPr>
      <w:bookmarkStart w:id="72" w:name="_Toc504987137"/>
    </w:p>
    <w:p w:rsidR="004D0426" w:rsidRPr="004D0426" w:rsidRDefault="004D0426" w:rsidP="004D0426">
      <w:pPr>
        <w:rPr>
          <w:lang w:val="ro-RO"/>
        </w:rPr>
      </w:pPr>
    </w:p>
    <w:p w:rsidR="00122527" w:rsidRDefault="00122527" w:rsidP="000D005D">
      <w:pPr>
        <w:pStyle w:val="Titlu1"/>
      </w:pPr>
      <w:r>
        <w:t>CAPITOLUL IV</w:t>
      </w:r>
    </w:p>
    <w:p w:rsidR="00D024F1" w:rsidRDefault="004A6CF6" w:rsidP="000D005D">
      <w:pPr>
        <w:pStyle w:val="Titlu1"/>
      </w:pPr>
      <w:r w:rsidRPr="002E0E5A">
        <w:t>Date statistice referitoare la resursele umane la nivelul parchetelor</w:t>
      </w:r>
      <w:bookmarkEnd w:id="72"/>
    </w:p>
    <w:p w:rsidR="00122527" w:rsidRPr="00122527" w:rsidRDefault="00122527" w:rsidP="00122527">
      <w:pPr>
        <w:rPr>
          <w:lang w:val="ro-RO" w:eastAsia="x-none"/>
        </w:rPr>
      </w:pPr>
    </w:p>
    <w:p w:rsidR="00625F9B" w:rsidRPr="002E0E5A" w:rsidRDefault="00450FA7" w:rsidP="002E0E5A">
      <w:pPr>
        <w:pStyle w:val="Titlu2"/>
        <w:rPr>
          <w:rFonts w:asciiTheme="minorHAnsi" w:hAnsiTheme="minorHAnsi" w:cstheme="minorHAnsi"/>
        </w:rPr>
      </w:pPr>
      <w:bookmarkStart w:id="73" w:name="_Toc504987138"/>
      <w:r w:rsidRPr="002E0E5A">
        <w:rPr>
          <w:rFonts w:asciiTheme="minorHAnsi" w:hAnsiTheme="minorHAnsi" w:cstheme="minorHAnsi"/>
        </w:rPr>
        <w:t>I</w:t>
      </w:r>
      <w:r w:rsidR="00590D14" w:rsidRPr="002E0E5A">
        <w:rPr>
          <w:rFonts w:asciiTheme="minorHAnsi" w:hAnsiTheme="minorHAnsi" w:cstheme="minorHAnsi"/>
        </w:rPr>
        <w:t xml:space="preserve">V.1. </w:t>
      </w:r>
      <w:r w:rsidR="004A6CF6" w:rsidRPr="002E0E5A">
        <w:rPr>
          <w:rFonts w:asciiTheme="minorHAnsi" w:hAnsiTheme="minorHAnsi" w:cstheme="minorHAnsi"/>
        </w:rPr>
        <w:t>Situaţia posturilor (de procuror</w:t>
      </w:r>
      <w:r w:rsidRPr="002E0E5A">
        <w:rPr>
          <w:rFonts w:asciiTheme="minorHAnsi" w:hAnsiTheme="minorHAnsi" w:cstheme="minorHAnsi"/>
        </w:rPr>
        <w:t>,</w:t>
      </w:r>
      <w:r w:rsidR="004A6CF6" w:rsidRPr="002E0E5A">
        <w:rPr>
          <w:rFonts w:asciiTheme="minorHAnsi" w:hAnsiTheme="minorHAnsi" w:cstheme="minorHAnsi"/>
        </w:rPr>
        <w:t xml:space="preserve"> personal auxiliar)</w:t>
      </w:r>
      <w:bookmarkEnd w:id="73"/>
    </w:p>
    <w:p w:rsidR="002E7B42" w:rsidRPr="002E0E5A" w:rsidRDefault="002E7B42" w:rsidP="002E0E5A">
      <w:pPr>
        <w:spacing w:line="276" w:lineRule="auto"/>
        <w:ind w:firstLine="708"/>
        <w:jc w:val="both"/>
        <w:rPr>
          <w:rFonts w:asciiTheme="minorHAnsi" w:hAnsiTheme="minorHAnsi" w:cstheme="minorHAnsi"/>
          <w:lang w:val="ro-RO"/>
        </w:rPr>
      </w:pPr>
      <w:r w:rsidRPr="002E0E5A">
        <w:rPr>
          <w:rFonts w:asciiTheme="minorHAnsi" w:hAnsiTheme="minorHAnsi" w:cstheme="minorHAnsi"/>
          <w:lang w:val="ro-RO"/>
        </w:rPr>
        <w:t xml:space="preserve">La data de 1 ianuarie 2017, </w:t>
      </w:r>
      <w:r w:rsidRPr="002E0E5A">
        <w:rPr>
          <w:rFonts w:asciiTheme="minorHAnsi" w:hAnsiTheme="minorHAnsi" w:cstheme="minorHAnsi"/>
          <w:b/>
          <w:lang w:val="ro-RO"/>
        </w:rPr>
        <w:t>la nivelul parchetelor, din totalul de 3016 posturi de procuror</w:t>
      </w:r>
      <w:r w:rsidRPr="002E0E5A">
        <w:rPr>
          <w:rFonts w:asciiTheme="minorHAnsi" w:hAnsiTheme="minorHAnsi" w:cstheme="minorHAnsi"/>
          <w:lang w:val="ro-RO"/>
        </w:rPr>
        <w:t xml:space="preserve">, (au fost incluse şi cele 47 de posturi acordate potrivit art.134¹ din Legea nr.304/2004, republicată, cu modificările şi completările ulterioare), </w:t>
      </w:r>
      <w:r w:rsidRPr="002E0E5A">
        <w:rPr>
          <w:rFonts w:asciiTheme="minorHAnsi" w:hAnsiTheme="minorHAnsi" w:cstheme="minorHAnsi"/>
          <w:b/>
          <w:lang w:val="ro-RO"/>
        </w:rPr>
        <w:t>erau ocupate 2622 posturi</w:t>
      </w:r>
      <w:r w:rsidRPr="002E0E5A">
        <w:rPr>
          <w:rFonts w:asciiTheme="minorHAnsi" w:hAnsiTheme="minorHAnsi" w:cstheme="minorHAnsi"/>
          <w:lang w:val="ro-RO"/>
        </w:rPr>
        <w:t xml:space="preserve"> (sunt incluse şi 34 de posturi acordate potrivit art.134¹ din Legea nr.304/2004, republicată, cu modificările şi completările ulterioare – 17 la parchetele de pe lângă curţile de apel, 9 la parchetele de pe lângă tribunale şi 8 la parchetele de pe lângă judecătorii) </w:t>
      </w:r>
      <w:r w:rsidRPr="002E0E5A">
        <w:rPr>
          <w:rFonts w:asciiTheme="minorHAnsi" w:hAnsiTheme="minorHAnsi" w:cstheme="minorHAnsi"/>
          <w:b/>
          <w:lang w:val="ro-RO"/>
        </w:rPr>
        <w:t>şi vacante 435 de posturi</w:t>
      </w:r>
      <w:r w:rsidRPr="002E0E5A">
        <w:rPr>
          <w:rFonts w:asciiTheme="minorHAnsi" w:hAnsiTheme="minorHAnsi" w:cstheme="minorHAnsi"/>
          <w:lang w:val="ro-RO"/>
        </w:rPr>
        <w:t xml:space="preserve"> ((sunt incluse şi 13 posturi acordate potrivit art.134¹ din Legea nr.304/2004, republicată, cu modificările şi completările ulterioare), din care 221 erau corespunzătoare funcţiilor de execuţie, iar 201, funcţiilor de conducere.</w:t>
      </w:r>
    </w:p>
    <w:p w:rsidR="002E7B42" w:rsidRPr="002E0E5A" w:rsidRDefault="002E7B42"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Din totalul celor 2622 posturi de procuror ocupate, 41 de procurori funcţionau peste schema prevăzută (5 procurori la Parchetul de pe lângă Înalta Curte de Casaţie şi Justiţie, 9 procurori la parchetele de pe lângă curţile de apel, 14 procurori la parchetele de pe lângă tribunale şi 13 procurori la parchetele de pe lângă judecătorii).</w:t>
      </w:r>
    </w:p>
    <w:p w:rsidR="002E7B42" w:rsidRPr="002E0E5A" w:rsidRDefault="002E7B42" w:rsidP="002E0E5A">
      <w:pPr>
        <w:spacing w:line="276" w:lineRule="auto"/>
        <w:jc w:val="both"/>
        <w:rPr>
          <w:rFonts w:asciiTheme="minorHAnsi" w:hAnsiTheme="minorHAnsi" w:cstheme="minorHAnsi"/>
          <w:lang w:val="ro-RO"/>
        </w:rPr>
      </w:pPr>
      <w:r w:rsidRPr="002E0E5A">
        <w:rPr>
          <w:rFonts w:asciiTheme="minorHAnsi" w:hAnsiTheme="minorHAnsi" w:cstheme="minorHAnsi"/>
          <w:lang w:val="ro-RO"/>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2E7B42" w:rsidRPr="002E0E5A" w:rsidRDefault="002E7B42" w:rsidP="002E0E5A">
      <w:pPr>
        <w:spacing w:line="276" w:lineRule="auto"/>
        <w:jc w:val="both"/>
        <w:rPr>
          <w:rFonts w:asciiTheme="minorHAnsi" w:hAnsiTheme="minorHAnsi" w:cstheme="minorHAnsi"/>
          <w:i/>
          <w:lang w:val="ro-RO"/>
        </w:rPr>
      </w:pPr>
      <w:r w:rsidRPr="002E0E5A">
        <w:rPr>
          <w:rFonts w:asciiTheme="minorHAnsi" w:hAnsiTheme="minorHAnsi" w:cstheme="minorHAnsi"/>
          <w:i/>
          <w:lang w:val="ro-RO"/>
        </w:rPr>
        <w:tab/>
      </w:r>
    </w:p>
    <w:p w:rsidR="002E7B42" w:rsidRPr="002E0E5A" w:rsidRDefault="002E7B42" w:rsidP="002E0E5A">
      <w:pPr>
        <w:numPr>
          <w:ilvl w:val="1"/>
          <w:numId w:val="0"/>
        </w:numPr>
        <w:spacing w:after="180" w:line="276" w:lineRule="auto"/>
        <w:ind w:right="48" w:firstLine="709"/>
        <w:jc w:val="both"/>
        <w:rPr>
          <w:rFonts w:asciiTheme="minorHAnsi" w:hAnsiTheme="minorHAnsi" w:cstheme="minorHAnsi"/>
          <w:b/>
          <w:color w:val="000000"/>
          <w:lang w:val="ro-RO"/>
        </w:rPr>
      </w:pPr>
      <w:r w:rsidRPr="002E0E5A">
        <w:rPr>
          <w:rFonts w:asciiTheme="minorHAnsi" w:hAnsiTheme="minorHAnsi" w:cstheme="minorHAnsi"/>
          <w:b/>
          <w:color w:val="000000"/>
          <w:lang w:val="ro-RO"/>
        </w:rPr>
        <w:t>Distribuţia posturilor vacante, pe grade de jurisdicţie, la data de 01.01.2017, se prezenta astfel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2E7B42" w:rsidRPr="00087794" w:rsidTr="00B818F3">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firstLine="709"/>
              <w:jc w:val="center"/>
              <w:rPr>
                <w:rFonts w:asciiTheme="minorHAnsi" w:hAnsiTheme="minorHAnsi" w:cstheme="minorHAnsi"/>
                <w:b/>
                <w:color w:val="000000"/>
                <w:lang w:val="ro-RO"/>
              </w:rPr>
            </w:pPr>
            <w:r w:rsidRPr="00087794">
              <w:rPr>
                <w:rFonts w:asciiTheme="minorHAnsi" w:hAnsiTheme="minorHAnsi" w:cstheme="minorHAnsi"/>
                <w:b/>
                <w:color w:val="000000"/>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b/>
                <w:color w:val="000000"/>
                <w:lang w:val="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b/>
                <w:color w:val="000000"/>
                <w:lang w:val="ro-RO"/>
              </w:rPr>
              <w:t>Posturi de procuror vacante</w:t>
            </w:r>
          </w:p>
        </w:tc>
      </w:tr>
      <w:tr w:rsidR="002E7B42" w:rsidRPr="00087794" w:rsidTr="00B818F3">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rPr>
                <w:rFonts w:asciiTheme="minorHAnsi" w:hAnsiTheme="minorHAnsi" w:cstheme="minorHAnsi"/>
                <w:b/>
                <w:color w:val="000000"/>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Cond.</w:t>
            </w:r>
          </w:p>
        </w:tc>
      </w:tr>
      <w:tr w:rsidR="002E7B42" w:rsidRPr="00087794" w:rsidTr="00B818F3">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firstLine="709"/>
              <w:jc w:val="both"/>
              <w:rPr>
                <w:rFonts w:asciiTheme="minorHAnsi" w:hAnsiTheme="minorHAnsi" w:cstheme="minorHAnsi"/>
                <w:color w:val="000000"/>
                <w:lang w:val="ro-RO"/>
              </w:rPr>
            </w:pPr>
            <w:r w:rsidRPr="00087794">
              <w:rPr>
                <w:rFonts w:asciiTheme="minorHAnsi" w:hAnsiTheme="minorHAnsi" w:cstheme="minorHAnsi"/>
                <w:color w:val="000000"/>
                <w:lang w:val="ro-RO"/>
              </w:rPr>
              <w:t>PÎCCJ (</w:t>
            </w:r>
            <w:r w:rsidRPr="00087794">
              <w:rPr>
                <w:rFonts w:asciiTheme="minorHAnsi" w:hAnsiTheme="minorHAnsi" w:cstheme="minorHAnsi"/>
                <w:i/>
                <w:color w:val="000000"/>
                <w:lang w:val="ro-RO"/>
              </w:rPr>
              <w:t>inclusiv DNA, DIICOT şi Secţia parchetelor militare</w:t>
            </w:r>
            <w:r w:rsidRPr="00087794">
              <w:rPr>
                <w:rFonts w:asciiTheme="minorHAnsi" w:hAnsiTheme="minorHAnsi" w:cstheme="minorHAnsi"/>
                <w:color w:val="000000"/>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both"/>
              <w:rPr>
                <w:rFonts w:asciiTheme="minorHAnsi" w:hAnsiTheme="minorHAnsi" w:cstheme="minorHAnsi"/>
                <w:b/>
                <w:color w:val="000000"/>
                <w:lang w:val="ro-RO"/>
              </w:rPr>
            </w:pPr>
            <w:r w:rsidRPr="00087794">
              <w:rPr>
                <w:rFonts w:asciiTheme="minorHAnsi" w:hAnsiTheme="minorHAnsi" w:cstheme="minorHAnsi"/>
                <w:b/>
                <w:color w:val="000000"/>
                <w:lang w:val="ro-RO"/>
              </w:rPr>
              <w:t>647</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lang w:val="ro-RO"/>
              </w:rPr>
            </w:pPr>
            <w:r w:rsidRPr="00087794">
              <w:rPr>
                <w:rFonts w:asciiTheme="minorHAnsi" w:hAnsiTheme="minorHAnsi" w:cstheme="minorHAnsi"/>
                <w:lang w:val="ro-RO"/>
              </w:rPr>
              <w:t>510</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lang w:val="ro-RO"/>
              </w:rPr>
            </w:pPr>
            <w:r w:rsidRPr="00087794">
              <w:rPr>
                <w:rFonts w:asciiTheme="minorHAnsi" w:hAnsiTheme="minorHAnsi" w:cstheme="minorHAnsi"/>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lang w:val="ro-RO"/>
              </w:rPr>
            </w:pPr>
            <w:r w:rsidRPr="00087794">
              <w:rPr>
                <w:rFonts w:asciiTheme="minorHAnsi" w:hAnsiTheme="minorHAnsi" w:cstheme="minorHAnsi"/>
                <w:lang w:val="ro-RO"/>
              </w:rPr>
              <w:t>137</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116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55</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61</w:t>
            </w:r>
          </w:p>
        </w:tc>
      </w:tr>
      <w:tr w:rsidR="002E7B42" w:rsidRPr="00087794" w:rsidTr="00B818F3">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firstLine="709"/>
              <w:jc w:val="both"/>
              <w:rPr>
                <w:rFonts w:asciiTheme="minorHAnsi" w:hAnsiTheme="minorHAnsi" w:cstheme="minorHAnsi"/>
                <w:color w:val="000000"/>
                <w:lang w:val="ro-RO"/>
              </w:rPr>
            </w:pPr>
            <w:r w:rsidRPr="00087794">
              <w:rPr>
                <w:rFonts w:asciiTheme="minorHAnsi" w:hAnsiTheme="minorHAnsi" w:cstheme="minorHAnsi"/>
                <w:color w:val="000000"/>
                <w:lang w:val="ro-RO"/>
              </w:rPr>
              <w:t>Parchetele de pe lângă curţile de apel (</w:t>
            </w:r>
            <w:r w:rsidRPr="00087794">
              <w:rPr>
                <w:rFonts w:asciiTheme="minorHAnsi" w:hAnsiTheme="minorHAnsi" w:cstheme="minorHAnsi"/>
                <w:i/>
                <w:color w:val="000000"/>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264</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189</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18</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21</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18</w:t>
            </w:r>
          </w:p>
        </w:tc>
      </w:tr>
      <w:tr w:rsidR="002E7B42" w:rsidRPr="00087794"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firstLine="709"/>
              <w:jc w:val="both"/>
              <w:rPr>
                <w:rFonts w:asciiTheme="minorHAnsi" w:hAnsiTheme="minorHAnsi" w:cstheme="minorHAnsi"/>
                <w:color w:val="000000"/>
                <w:lang w:val="ro-RO"/>
              </w:rPr>
            </w:pPr>
            <w:r w:rsidRPr="00087794">
              <w:rPr>
                <w:rFonts w:asciiTheme="minorHAnsi" w:hAnsiTheme="minorHAnsi" w:cstheme="minorHAnsi"/>
                <w:color w:val="000000"/>
                <w:lang w:val="ro-RO"/>
              </w:rPr>
              <w:t>Parchetele de pe lângă  tribunale (</w:t>
            </w:r>
            <w:r w:rsidRPr="00087794">
              <w:rPr>
                <w:rFonts w:asciiTheme="minorHAnsi" w:hAnsiTheme="minorHAnsi" w:cstheme="minorHAnsi"/>
                <w:i/>
                <w:color w:val="000000"/>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713</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521</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13</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192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95</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51</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4</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44</w:t>
            </w:r>
          </w:p>
        </w:tc>
      </w:tr>
      <w:tr w:rsidR="002E7B42" w:rsidRPr="00087794"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firstLine="709"/>
              <w:jc w:val="both"/>
              <w:rPr>
                <w:rFonts w:asciiTheme="minorHAnsi" w:hAnsiTheme="minorHAnsi" w:cstheme="minorHAnsi"/>
                <w:color w:val="000000"/>
                <w:lang w:val="ro-RO"/>
              </w:rPr>
            </w:pPr>
            <w:r w:rsidRPr="00087794">
              <w:rPr>
                <w:rFonts w:asciiTheme="minorHAnsi" w:hAnsiTheme="minorHAnsi" w:cstheme="minorHAnsi"/>
                <w:color w:val="000000"/>
                <w:lang w:val="ro-RO"/>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1345</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1122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223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190</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112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8</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color w:val="000000"/>
                <w:lang w:val="ro-RO"/>
              </w:rPr>
            </w:pPr>
            <w:r w:rsidRPr="00087794">
              <w:rPr>
                <w:rFonts w:asciiTheme="minorHAnsi" w:hAnsiTheme="minorHAnsi" w:cstheme="minorHAnsi"/>
                <w:color w:val="000000"/>
                <w:lang w:val="ro-RO"/>
              </w:rPr>
              <w:t>78</w:t>
            </w:r>
          </w:p>
        </w:tc>
      </w:tr>
      <w:tr w:rsidR="002E7B42" w:rsidRPr="00087794"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firstLine="709"/>
              <w:jc w:val="both"/>
              <w:rPr>
                <w:rFonts w:asciiTheme="minorHAnsi" w:hAnsiTheme="minorHAnsi" w:cstheme="minorHAnsi"/>
                <w:b/>
                <w:color w:val="000000"/>
                <w:lang w:val="ro-RO"/>
              </w:rPr>
            </w:pPr>
            <w:r w:rsidRPr="00087794">
              <w:rPr>
                <w:rFonts w:asciiTheme="minorHAnsi" w:hAnsiTheme="minorHAnsi" w:cstheme="minorHAnsi"/>
                <w:b/>
                <w:color w:val="000000"/>
                <w:lang w:val="ro-RO"/>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3016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2342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47</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627</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435</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lang w:val="ro-RO"/>
              </w:rPr>
            </w:pPr>
            <w:r w:rsidRPr="00087794">
              <w:rPr>
                <w:rFonts w:asciiTheme="minorHAnsi" w:hAnsiTheme="minorHAnsi" w:cstheme="minorHAnsi"/>
                <w:b/>
                <w:lang w:val="ro-RO"/>
              </w:rPr>
              <w:t>221</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13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087794" w:rsidRDefault="002E7B42" w:rsidP="00B818F3">
            <w:pPr>
              <w:numPr>
                <w:ilvl w:val="1"/>
                <w:numId w:val="0"/>
              </w:numPr>
              <w:spacing w:after="180"/>
              <w:ind w:right="48"/>
              <w:jc w:val="center"/>
              <w:rPr>
                <w:rFonts w:asciiTheme="minorHAnsi" w:hAnsiTheme="minorHAnsi" w:cstheme="minorHAnsi"/>
                <w:b/>
                <w:color w:val="000000"/>
                <w:lang w:val="ro-RO"/>
              </w:rPr>
            </w:pPr>
            <w:r w:rsidRPr="00087794">
              <w:rPr>
                <w:rFonts w:asciiTheme="minorHAnsi" w:hAnsiTheme="minorHAnsi" w:cstheme="minorHAnsi"/>
                <w:b/>
                <w:color w:val="000000"/>
                <w:lang w:val="ro-RO"/>
              </w:rPr>
              <w:t>201</w:t>
            </w:r>
          </w:p>
        </w:tc>
      </w:tr>
    </w:tbl>
    <w:p w:rsidR="002E7B42" w:rsidRPr="00860724" w:rsidRDefault="002E7B42" w:rsidP="002E7B42">
      <w:pPr>
        <w:jc w:val="both"/>
        <w:rPr>
          <w:i/>
          <w:lang w:val="ro-RO"/>
        </w:rPr>
      </w:pPr>
    </w:p>
    <w:p w:rsidR="002E7B42" w:rsidRPr="00860724" w:rsidRDefault="002E7B42" w:rsidP="002E7B42">
      <w:pPr>
        <w:ind w:firstLine="1560"/>
        <w:jc w:val="both"/>
        <w:rPr>
          <w:i/>
          <w:lang w:val="ro-RO"/>
        </w:rPr>
      </w:pPr>
      <w:r w:rsidRPr="00860724">
        <w:rPr>
          <w:noProof/>
          <w:lang w:val="ro-RO" w:eastAsia="ro-RO"/>
        </w:rPr>
        <w:drawing>
          <wp:inline distT="0" distB="0" distL="0" distR="0" wp14:anchorId="6CEB76C3" wp14:editId="2037FE78">
            <wp:extent cx="5082540" cy="2758440"/>
            <wp:effectExtent l="0" t="0" r="3810" b="3810"/>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2E7B42" w:rsidRPr="00860724" w:rsidRDefault="002E7B42" w:rsidP="002E7B42">
      <w:pPr>
        <w:pStyle w:val="AddParagraf"/>
        <w:spacing w:after="0"/>
        <w:ind w:right="45"/>
        <w:rPr>
          <w:color w:val="C00000"/>
        </w:rPr>
      </w:pPr>
    </w:p>
    <w:p w:rsidR="002E7B42" w:rsidRPr="00860724" w:rsidRDefault="002E7B42" w:rsidP="00860724">
      <w:pPr>
        <w:keepNext/>
        <w:spacing w:line="276" w:lineRule="auto"/>
        <w:ind w:firstLine="708"/>
        <w:jc w:val="both"/>
        <w:rPr>
          <w:b/>
          <w:i/>
          <w:lang w:val="ro-RO"/>
        </w:rPr>
      </w:pPr>
      <w:r w:rsidRPr="00860724">
        <w:rPr>
          <w:b/>
          <w:i/>
          <w:lang w:val="ro-RO"/>
        </w:rPr>
        <w:t>Ocuparea posturilor de execuţie vacante de procuror</w:t>
      </w:r>
    </w:p>
    <w:p w:rsidR="002E7B42" w:rsidRPr="00860724" w:rsidRDefault="002E7B42" w:rsidP="00087794">
      <w:pPr>
        <w:spacing w:line="276" w:lineRule="auto"/>
        <w:ind w:firstLine="708"/>
        <w:jc w:val="both"/>
        <w:rPr>
          <w:lang w:val="ro-RO"/>
        </w:rPr>
      </w:pPr>
      <w:r w:rsidRPr="00860724">
        <w:rPr>
          <w:lang w:val="ro-RO"/>
        </w:rPr>
        <w:t>În cursul anului 2017, ocuparea posturilor de execuţie vacante s-a realizat prin următoarele modalităţi:</w:t>
      </w:r>
    </w:p>
    <w:p w:rsidR="002E7B42" w:rsidRPr="00860724" w:rsidRDefault="002E7B42" w:rsidP="00087794">
      <w:pPr>
        <w:pStyle w:val="NormalWeb"/>
        <w:numPr>
          <w:ilvl w:val="0"/>
          <w:numId w:val="4"/>
        </w:numPr>
        <w:tabs>
          <w:tab w:val="num" w:pos="0"/>
        </w:tabs>
        <w:spacing w:before="0" w:beforeAutospacing="0" w:after="0" w:afterAutospacing="0" w:line="276" w:lineRule="auto"/>
        <w:ind w:left="0" w:firstLine="684"/>
        <w:jc w:val="both"/>
        <w:rPr>
          <w:rFonts w:ascii="Calibri" w:hAnsi="Calibri"/>
          <w:b/>
          <w:i/>
          <w:lang w:val="ro-RO"/>
        </w:rPr>
      </w:pPr>
      <w:r w:rsidRPr="00860724">
        <w:rPr>
          <w:rFonts w:ascii="Calibri" w:hAnsi="Calibri"/>
          <w:b/>
          <w:i/>
          <w:lang w:val="ro-RO"/>
        </w:rPr>
        <w:t xml:space="preserve">Repartizarea absolvenţilor Institutului Naţional al Magistraturii, promoţia 2017 </w:t>
      </w:r>
    </w:p>
    <w:p w:rsidR="002E7B42" w:rsidRPr="00860724" w:rsidRDefault="002E7B42" w:rsidP="00087794">
      <w:pPr>
        <w:spacing w:line="276" w:lineRule="auto"/>
        <w:ind w:firstLine="684"/>
        <w:jc w:val="both"/>
        <w:outlineLvl w:val="3"/>
        <w:rPr>
          <w:lang w:val="ro-RO"/>
        </w:rPr>
      </w:pPr>
      <w:r w:rsidRPr="00860724">
        <w:rPr>
          <w:lang w:val="ro-RO"/>
        </w:rPr>
        <w:t>Potrivit rezultatelor finale ale examenului de absolvire a Institutului Naţional al Magistraturii pentru promoţia 2017, în şedinţa din data de 19 decembrie 2017 a Plenului Consiliului Superior al Magistraturii s-a dispus numirea în funcţia de procuror stagiar a unui număr de 72 de absolvenţi, începând cu data de 01.01.2018.</w:t>
      </w:r>
    </w:p>
    <w:p w:rsidR="002E7B42" w:rsidRPr="00860724" w:rsidRDefault="002E7B42" w:rsidP="00087794">
      <w:pPr>
        <w:pStyle w:val="Default"/>
        <w:spacing w:line="276" w:lineRule="auto"/>
        <w:ind w:firstLine="568"/>
        <w:jc w:val="both"/>
        <w:rPr>
          <w:rFonts w:ascii="Calibri" w:hAnsi="Calibri" w:cs="Calibri"/>
        </w:rPr>
      </w:pPr>
      <w:r w:rsidRPr="00860724">
        <w:rPr>
          <w:rFonts w:ascii="Calibri" w:hAnsi="Calibri" w:cs="Calibri"/>
        </w:rPr>
        <w:t xml:space="preserve"> </w:t>
      </w:r>
    </w:p>
    <w:p w:rsidR="002E7B42" w:rsidRPr="00860724" w:rsidRDefault="002E7B42" w:rsidP="00087794">
      <w:pPr>
        <w:pStyle w:val="NormalWeb"/>
        <w:numPr>
          <w:ilvl w:val="0"/>
          <w:numId w:val="4"/>
        </w:numPr>
        <w:tabs>
          <w:tab w:val="num" w:pos="0"/>
        </w:tabs>
        <w:spacing w:before="0" w:beforeAutospacing="0" w:after="0" w:afterAutospacing="0" w:line="276" w:lineRule="auto"/>
        <w:ind w:left="0" w:firstLine="684"/>
        <w:jc w:val="both"/>
        <w:rPr>
          <w:rFonts w:ascii="Calibri" w:hAnsi="Calibri"/>
          <w:b/>
          <w:i/>
          <w:lang w:val="ro-RO"/>
        </w:rPr>
      </w:pPr>
      <w:r w:rsidRPr="00860724">
        <w:rPr>
          <w:rFonts w:ascii="Calibri" w:hAnsi="Calibri"/>
          <w:b/>
          <w:i/>
          <w:lang w:val="ro-RO"/>
        </w:rPr>
        <w:t>Numirea în magistratură pe bază de concurs, conform dispoziţiilor art. 33 alin. (1)-(4) din Legea nr. 303/2004 republicată, cu modificările şi completările ulterioare</w:t>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rFonts w:cs="Calibri"/>
          <w:color w:val="000000"/>
          <w:lang w:val="ro-RO" w:eastAsia="ro-RO"/>
        </w:rPr>
        <w:t>În cursul anului 2017, Plenul Consiliului Superior al Magistraturii a aprobat organizarea a două concursuri de admitere în magistratură în condiţiile art. 33 alin. (1) din Legea nr. 303/2004, republicată, cu modificările şi completările ulterioare.</w:t>
      </w:r>
      <w:r w:rsidRPr="00860724">
        <w:rPr>
          <w:rFonts w:cs="Calibri"/>
          <w:color w:val="000000"/>
          <w:lang w:val="ro-RO" w:eastAsia="ro-RO"/>
        </w:rPr>
        <w:tab/>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rFonts w:cs="Calibri"/>
          <w:color w:val="000000"/>
          <w:lang w:val="ro-RO" w:eastAsia="ro-RO"/>
        </w:rPr>
        <w:t xml:space="preserve">În perioada 7 februarie – 22 mai 2017 s-a desfăşurat primul concurs, căruia i-au fost alocate </w:t>
      </w:r>
      <w:r w:rsidRPr="00860724">
        <w:rPr>
          <w:rFonts w:cs="Calibri"/>
          <w:lang w:val="ro-RO" w:eastAsia="ro-RO"/>
        </w:rPr>
        <w:t xml:space="preserve">un număr de 43 de posturi de procuror la parchetele de pe lângă judecătorii. Pe baza rezultatelor acestui concurs, </w:t>
      </w:r>
      <w:r w:rsidRPr="00860724">
        <w:rPr>
          <w:rFonts w:cs="Calibri"/>
          <w:b/>
          <w:lang w:val="ro-RO" w:eastAsia="ro-RO"/>
        </w:rPr>
        <w:t>au fost ocupate 23 de posturi de procuror</w:t>
      </w:r>
      <w:r w:rsidRPr="00860724">
        <w:rPr>
          <w:rFonts w:cs="Calibri"/>
          <w:b/>
          <w:bCs/>
          <w:lang w:val="ro-RO" w:eastAsia="ro-RO"/>
        </w:rPr>
        <w:t>.</w:t>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rFonts w:cs="Calibri"/>
          <w:bCs/>
          <w:lang w:val="ro-RO" w:eastAsia="ro-RO"/>
        </w:rPr>
        <w:t xml:space="preserve">De asemenea, în perioada 4 iulie – 12 octombrie 2017 s-a desfăşurat cel de-al doilea concurs de admitere în magistratură, căruia i-au fost alocate </w:t>
      </w:r>
      <w:r w:rsidRPr="00860724">
        <w:rPr>
          <w:rFonts w:cs="Calibri"/>
          <w:lang w:val="ro-RO" w:eastAsia="ro-RO"/>
        </w:rPr>
        <w:t>un număr de 35 de posturi de procuror la parchetele de pe lângă judecătorii.</w:t>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bCs/>
          <w:color w:val="000000"/>
          <w:lang w:val="ro-RO"/>
        </w:rPr>
        <w:t>Ulterior, prin Hotărârea nr. 1127/26.10.2017, Plenul Consiliului Superior al Magistraturii a dispus suplimentarea numărului de posturi anterior menţionat cu un post de procuror la Parchetul de pe lângă Judecătoria Galaţi, în ordinea stabilită în lista aprobată prin Hotărârea Plenului nr. 751 din data de 4 iulie 2017, în funcţie de posturile vacante la data adoptării hotărârii.</w:t>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bCs/>
          <w:color w:val="000000"/>
          <w:lang w:val="ro-RO"/>
        </w:rPr>
        <w:t xml:space="preserve">După finalizarea concursului, prin Hotărârea nr. 1286/14.12.2017 a Plenului s-a propus Preşedintelui României </w:t>
      </w:r>
      <w:r w:rsidRPr="00860724">
        <w:rPr>
          <w:b/>
          <w:bCs/>
          <w:color w:val="000000"/>
          <w:lang w:val="ro-RO"/>
        </w:rPr>
        <w:t>numirea în funcţia de procuror a 33 de persoane</w:t>
      </w:r>
      <w:r w:rsidRPr="00860724">
        <w:rPr>
          <w:bCs/>
          <w:color w:val="000000"/>
          <w:lang w:val="ro-RO"/>
        </w:rPr>
        <w:t>.</w:t>
      </w:r>
    </w:p>
    <w:p w:rsidR="002E7B42" w:rsidRPr="00860724" w:rsidRDefault="002E7B42" w:rsidP="00087794">
      <w:pPr>
        <w:autoSpaceDE w:val="0"/>
        <w:autoSpaceDN w:val="0"/>
        <w:adjustRightInd w:val="0"/>
        <w:spacing w:line="276" w:lineRule="auto"/>
        <w:ind w:firstLine="684"/>
        <w:jc w:val="both"/>
        <w:rPr>
          <w:rFonts w:cs="Calibri"/>
          <w:color w:val="000000"/>
          <w:lang w:val="ro-RO" w:eastAsia="ro-RO"/>
        </w:rPr>
      </w:pPr>
      <w:r w:rsidRPr="00860724">
        <w:rPr>
          <w:b/>
          <w:bCs/>
          <w:lang w:val="ro-RO"/>
        </w:rPr>
        <w:t>Aşadar, ca urmare a celor două concursuri de admitere în magistratură organizate în anul 2017 au fost ocupate 56 de posturi de procuror.</w:t>
      </w:r>
    </w:p>
    <w:p w:rsidR="002E7B42" w:rsidRPr="00860724" w:rsidRDefault="002E7B42" w:rsidP="00087794">
      <w:pPr>
        <w:spacing w:line="276" w:lineRule="auto"/>
        <w:ind w:firstLine="708"/>
        <w:jc w:val="both"/>
        <w:rPr>
          <w:lang w:val="ro-RO"/>
        </w:rPr>
      </w:pPr>
    </w:p>
    <w:p w:rsidR="002E7B42" w:rsidRPr="00860724" w:rsidRDefault="002E7B42" w:rsidP="00087794">
      <w:pPr>
        <w:pStyle w:val="NormalWeb"/>
        <w:numPr>
          <w:ilvl w:val="0"/>
          <w:numId w:val="4"/>
        </w:numPr>
        <w:tabs>
          <w:tab w:val="num" w:pos="0"/>
        </w:tabs>
        <w:spacing w:before="0" w:beforeAutospacing="0" w:after="0" w:afterAutospacing="0" w:line="276" w:lineRule="auto"/>
        <w:ind w:left="0" w:firstLine="684"/>
        <w:jc w:val="both"/>
        <w:rPr>
          <w:b/>
          <w:i/>
          <w:lang w:val="ro-RO"/>
        </w:rPr>
      </w:pPr>
      <w:r w:rsidRPr="00860724">
        <w:rPr>
          <w:rFonts w:ascii="Calibri" w:hAnsi="Calibri"/>
          <w:b/>
          <w:i/>
          <w:lang w:val="ro-RO"/>
        </w:rPr>
        <w:t>Numirea, la cerere, a procurorilor în funcţia de judecător şi a judecătorilor în funcţia de procuror</w:t>
      </w:r>
    </w:p>
    <w:p w:rsidR="002E7B42" w:rsidRPr="00860724" w:rsidRDefault="002E7B42" w:rsidP="00087794">
      <w:pPr>
        <w:pStyle w:val="AddParagraf"/>
        <w:spacing w:after="0" w:line="276" w:lineRule="auto"/>
        <w:ind w:right="45" w:firstLine="684"/>
      </w:pPr>
      <w:r w:rsidRPr="00860724">
        <w:t xml:space="preserve">În anul 2017, la cerere, a fost eliberată din funcţia de judecător şi numită în funcţia de procuror </w:t>
      </w:r>
      <w:r w:rsidRPr="00860724">
        <w:rPr>
          <w:b/>
        </w:rPr>
        <w:t>1 persoană</w:t>
      </w:r>
      <w:r w:rsidRPr="00860724">
        <w:t xml:space="preserve">, în temeiul art. 61 din Legea nr. 303/2004, republicată, cu modificările şi completările ulterioare. </w:t>
      </w:r>
    </w:p>
    <w:p w:rsidR="002E7B42" w:rsidRPr="00860724" w:rsidRDefault="002E7B42" w:rsidP="00087794">
      <w:pPr>
        <w:spacing w:line="276" w:lineRule="auto"/>
        <w:ind w:firstLine="708"/>
        <w:jc w:val="both"/>
        <w:rPr>
          <w:lang w:val="ro-RO"/>
        </w:rPr>
      </w:pPr>
    </w:p>
    <w:p w:rsidR="002E7B42" w:rsidRPr="00860724" w:rsidRDefault="002E7B42" w:rsidP="00087794">
      <w:pPr>
        <w:pStyle w:val="NormalWeb"/>
        <w:numPr>
          <w:ilvl w:val="0"/>
          <w:numId w:val="5"/>
        </w:numPr>
        <w:tabs>
          <w:tab w:val="num" w:pos="0"/>
        </w:tabs>
        <w:spacing w:before="0" w:beforeAutospacing="0" w:after="0" w:afterAutospacing="0" w:line="276" w:lineRule="auto"/>
        <w:ind w:left="0" w:firstLine="360"/>
        <w:jc w:val="both"/>
        <w:rPr>
          <w:rFonts w:ascii="Calibri" w:hAnsi="Calibri"/>
          <w:b/>
          <w:i/>
          <w:lang w:val="ro-RO"/>
        </w:rPr>
      </w:pPr>
      <w:r w:rsidRPr="00860724">
        <w:rPr>
          <w:rFonts w:ascii="Calibri" w:hAnsi="Calibri"/>
          <w:b/>
          <w:i/>
          <w:lang w:val="ro-RO"/>
        </w:rPr>
        <w:t xml:space="preserve">        Numirea în funcţia de procuror, după promovarea examenului de capacitate, a judecătorilor care au optat în acest sens şi reîncadrarea în funcţia de procuror a foştilor procurori</w:t>
      </w:r>
    </w:p>
    <w:p w:rsidR="002E7B42" w:rsidRPr="00860724" w:rsidRDefault="002E7B42" w:rsidP="00087794">
      <w:pPr>
        <w:pStyle w:val="NormalWeb"/>
        <w:tabs>
          <w:tab w:val="left" w:pos="709"/>
        </w:tabs>
        <w:spacing w:before="0" w:beforeAutospacing="0" w:after="0" w:afterAutospacing="0" w:line="276" w:lineRule="auto"/>
        <w:ind w:firstLine="720"/>
        <w:jc w:val="both"/>
        <w:rPr>
          <w:rStyle w:val="rvts11"/>
          <w:rFonts w:asciiTheme="minorHAnsi" w:hAnsiTheme="minorHAnsi"/>
          <w:lang w:val="ro-RO"/>
        </w:rPr>
      </w:pPr>
      <w:r w:rsidRPr="00860724">
        <w:rPr>
          <w:rStyle w:val="rvts7"/>
          <w:rFonts w:asciiTheme="minorHAnsi" w:hAnsiTheme="minorHAnsi"/>
          <w:lang w:val="ro-RO"/>
        </w:rPr>
        <w:t>Potrivit art. 25 alin.</w:t>
      </w:r>
      <w:r w:rsidRPr="00860724">
        <w:rPr>
          <w:rStyle w:val="rvts11"/>
          <w:rFonts w:asciiTheme="minorHAnsi" w:hAnsiTheme="minorHAnsi"/>
          <w:lang w:val="ro-RO"/>
        </w:rPr>
        <w:t xml:space="preserve">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2E7B42" w:rsidRPr="00860724" w:rsidRDefault="002E7B42" w:rsidP="00087794">
      <w:pPr>
        <w:pStyle w:val="NormalWeb"/>
        <w:spacing w:before="0" w:beforeAutospacing="0" w:after="0" w:afterAutospacing="0" w:line="276" w:lineRule="auto"/>
        <w:ind w:firstLine="720"/>
        <w:jc w:val="both"/>
        <w:rPr>
          <w:rStyle w:val="rvts11"/>
          <w:rFonts w:asciiTheme="minorHAnsi" w:hAnsiTheme="minorHAnsi"/>
          <w:lang w:val="ro-RO"/>
        </w:rPr>
      </w:pPr>
      <w:r w:rsidRPr="00860724">
        <w:rPr>
          <w:rStyle w:val="rvts11"/>
          <w:rFonts w:asciiTheme="minorHAnsi" w:hAnsiTheme="minorHAnsi"/>
          <w:lang w:val="ro-RO"/>
        </w:rPr>
        <w:t>În anul 2017, nici un judecător stagiar nu a optat pentru funcţia de procuror.</w:t>
      </w:r>
    </w:p>
    <w:p w:rsidR="002E7B42" w:rsidRPr="00860724" w:rsidRDefault="002E7B42" w:rsidP="00087794">
      <w:pPr>
        <w:spacing w:line="276" w:lineRule="auto"/>
        <w:ind w:firstLine="708"/>
        <w:jc w:val="both"/>
        <w:rPr>
          <w:rFonts w:asciiTheme="minorHAnsi" w:hAnsiTheme="minorHAnsi"/>
          <w:sz w:val="30"/>
          <w:szCs w:val="30"/>
          <w:lang w:val="ro-RO" w:eastAsia="ro-RO"/>
        </w:rPr>
      </w:pPr>
      <w:r w:rsidRPr="00860724">
        <w:rPr>
          <w:rFonts w:asciiTheme="minorHAnsi" w:hAnsiTheme="minorHAnsi"/>
          <w:lang w:val="ro-RO"/>
        </w:rPr>
        <w:t>În ceea ce priveşte examenul de capacitate</w:t>
      </w:r>
      <w:r w:rsidRPr="00860724">
        <w:rPr>
          <w:rFonts w:asciiTheme="minorHAnsi" w:hAnsiTheme="minorHAnsi"/>
          <w:b/>
          <w:bCs/>
          <w:color w:val="000000"/>
          <w:lang w:val="ro-RO"/>
        </w:rPr>
        <w:t xml:space="preserve"> </w:t>
      </w:r>
      <w:r w:rsidRPr="00860724">
        <w:rPr>
          <w:rFonts w:asciiTheme="minorHAnsi" w:hAnsiTheme="minorHAnsi"/>
          <w:bCs/>
          <w:color w:val="000000"/>
          <w:lang w:val="ro-RO"/>
        </w:rPr>
        <w:t xml:space="preserve">al judecătorilor stagiari şi procurorilor stagiari, desfăşurat în perioada 30 iunie - 13 noiembrie 2017, menţionăm </w:t>
      </w:r>
      <w:r w:rsidRPr="00860724">
        <w:rPr>
          <w:rFonts w:asciiTheme="minorHAnsi" w:hAnsiTheme="minorHAnsi"/>
          <w:bCs/>
          <w:lang w:val="ro-RO"/>
        </w:rPr>
        <w:t xml:space="preserve">că, prin hotărârea nr. 1455 din 19.12.2017, Plenul Consiliului Superior al Magistraturii </w:t>
      </w:r>
      <w:r w:rsidRPr="00860724">
        <w:rPr>
          <w:rFonts w:asciiTheme="minorHAnsi" w:hAnsiTheme="minorHAnsi"/>
          <w:lang w:val="ro-RO" w:eastAsia="ro-RO"/>
        </w:rPr>
        <w:t xml:space="preserve">a hotărât validarea rezultatelor examenului de capacitate al judecătorilor şi al procurorilor stagiari, desfăşurat în perioada menţionată mai sus, </w:t>
      </w:r>
      <w:r w:rsidRPr="00860724">
        <w:rPr>
          <w:rFonts w:asciiTheme="minorHAnsi" w:hAnsiTheme="minorHAnsi"/>
          <w:lang w:val="ro-RO"/>
        </w:rPr>
        <w:t>fiind exercitate opţiunile pentru 56 de posturi de procurori.</w:t>
      </w:r>
    </w:p>
    <w:p w:rsidR="002E7B42" w:rsidRPr="00860724" w:rsidRDefault="002E7B42" w:rsidP="00087794">
      <w:pPr>
        <w:pStyle w:val="AddParagraf"/>
        <w:spacing w:after="0" w:line="276" w:lineRule="auto"/>
        <w:ind w:right="45"/>
        <w:rPr>
          <w:rFonts w:asciiTheme="minorHAnsi" w:hAnsiTheme="minorHAnsi"/>
        </w:rPr>
      </w:pPr>
      <w:r w:rsidRPr="00860724">
        <w:rPr>
          <w:rFonts w:asciiTheme="minorHAnsi" w:hAnsiTheme="minorHAnsi"/>
        </w:rPr>
        <w:t>Totodată, menţionăm că în cursul anului 2017 nu a fost reîncadrată în funcţia de procuror nici o persoană.</w:t>
      </w:r>
    </w:p>
    <w:p w:rsidR="002E7B42" w:rsidRPr="00860724" w:rsidRDefault="002E7B42" w:rsidP="00087794">
      <w:pPr>
        <w:pStyle w:val="AddParagraf"/>
        <w:spacing w:after="0" w:line="276" w:lineRule="auto"/>
        <w:ind w:right="45"/>
        <w:rPr>
          <w:rFonts w:asciiTheme="minorHAnsi" w:hAnsiTheme="minorHAnsi"/>
        </w:rPr>
      </w:pPr>
      <w:r w:rsidRPr="00860724">
        <w:rPr>
          <w:rFonts w:asciiTheme="minorHAnsi" w:hAnsiTheme="minorHAnsi"/>
        </w:rPr>
        <w:t xml:space="preserve">În acord cu datele prezentate mai sus, urmare a procedurilor derulate în anul 2017 au fost numite în funcţia de procuror la parchetele de pe lângă judecătorii un număr de </w:t>
      </w:r>
      <w:r w:rsidRPr="00860724">
        <w:rPr>
          <w:rFonts w:asciiTheme="minorHAnsi" w:hAnsiTheme="minorHAnsi"/>
          <w:b/>
        </w:rPr>
        <w:t xml:space="preserve">129 de persoane, </w:t>
      </w:r>
      <w:r w:rsidRPr="00860724">
        <w:rPr>
          <w:rFonts w:asciiTheme="minorHAnsi" w:hAnsiTheme="minorHAnsi"/>
        </w:rPr>
        <w:t>dinamica ocupării posturilor fiind prezentată în graficul alăturat:</w:t>
      </w:r>
    </w:p>
    <w:p w:rsidR="002E7B42" w:rsidRPr="00860724" w:rsidRDefault="002E7B42" w:rsidP="002E7B42">
      <w:pPr>
        <w:pStyle w:val="NormalWeb"/>
        <w:spacing w:before="0" w:beforeAutospacing="0" w:after="0" w:afterAutospacing="0"/>
        <w:ind w:firstLine="1843"/>
        <w:jc w:val="both"/>
        <w:rPr>
          <w:rFonts w:ascii="Calibri" w:hAnsi="Calibri"/>
          <w:b/>
          <w:lang w:val="ro-RO"/>
        </w:rPr>
      </w:pPr>
      <w:r w:rsidRPr="00860724">
        <w:rPr>
          <w:noProof/>
          <w:lang w:val="ro-RO" w:eastAsia="ro-RO"/>
        </w:rPr>
        <w:drawing>
          <wp:inline distT="0" distB="0" distL="0" distR="0" wp14:anchorId="1F29FD2A" wp14:editId="28E1F73F">
            <wp:extent cx="4739640" cy="3985260"/>
            <wp:effectExtent l="0" t="0" r="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2E7B42" w:rsidRDefault="002E7B42" w:rsidP="002E7B42">
      <w:pPr>
        <w:pStyle w:val="NormalWeb"/>
        <w:spacing w:before="0" w:beforeAutospacing="0" w:after="0" w:afterAutospacing="0"/>
        <w:ind w:firstLine="1276"/>
        <w:jc w:val="both"/>
        <w:rPr>
          <w:rFonts w:ascii="Calibri" w:hAnsi="Calibri"/>
          <w:b/>
          <w:lang w:val="ro-RO"/>
        </w:rPr>
      </w:pPr>
    </w:p>
    <w:p w:rsidR="00087794" w:rsidRDefault="00087794" w:rsidP="002E7B42">
      <w:pPr>
        <w:pStyle w:val="NormalWeb"/>
        <w:spacing w:before="0" w:beforeAutospacing="0" w:after="0" w:afterAutospacing="0"/>
        <w:ind w:firstLine="1276"/>
        <w:jc w:val="both"/>
        <w:rPr>
          <w:rFonts w:ascii="Calibri" w:hAnsi="Calibri"/>
          <w:b/>
          <w:lang w:val="ro-RO"/>
        </w:rPr>
      </w:pPr>
    </w:p>
    <w:p w:rsidR="00087794" w:rsidRDefault="00087794" w:rsidP="002E7B42">
      <w:pPr>
        <w:pStyle w:val="NormalWeb"/>
        <w:spacing w:before="0" w:beforeAutospacing="0" w:after="0" w:afterAutospacing="0"/>
        <w:ind w:firstLine="1276"/>
        <w:jc w:val="both"/>
        <w:rPr>
          <w:rFonts w:ascii="Calibri" w:hAnsi="Calibri"/>
          <w:b/>
          <w:lang w:val="ro-RO"/>
        </w:rPr>
      </w:pPr>
    </w:p>
    <w:p w:rsidR="00087794" w:rsidRDefault="00087794" w:rsidP="002E7B42">
      <w:pPr>
        <w:pStyle w:val="NormalWeb"/>
        <w:spacing w:before="0" w:beforeAutospacing="0" w:after="0" w:afterAutospacing="0"/>
        <w:ind w:firstLine="1276"/>
        <w:jc w:val="both"/>
        <w:rPr>
          <w:rFonts w:ascii="Calibri" w:hAnsi="Calibri"/>
          <w:b/>
          <w:lang w:val="ro-RO"/>
        </w:rPr>
      </w:pPr>
    </w:p>
    <w:p w:rsidR="00087794" w:rsidRPr="00860724" w:rsidRDefault="00087794" w:rsidP="002E7B42">
      <w:pPr>
        <w:pStyle w:val="NormalWeb"/>
        <w:spacing w:before="0" w:beforeAutospacing="0" w:after="0" w:afterAutospacing="0"/>
        <w:ind w:firstLine="1276"/>
        <w:jc w:val="both"/>
        <w:rPr>
          <w:rFonts w:ascii="Calibri" w:hAnsi="Calibri"/>
          <w:b/>
          <w:lang w:val="ro-RO"/>
        </w:rPr>
      </w:pPr>
    </w:p>
    <w:p w:rsidR="002E7B42" w:rsidRPr="00860724" w:rsidRDefault="002E7B42" w:rsidP="00087794">
      <w:pPr>
        <w:pStyle w:val="NormalWeb"/>
        <w:spacing w:before="0" w:beforeAutospacing="0" w:after="0" w:afterAutospacing="0" w:line="276" w:lineRule="auto"/>
        <w:ind w:firstLine="708"/>
        <w:jc w:val="both"/>
        <w:rPr>
          <w:rFonts w:ascii="Calibri" w:hAnsi="Calibri"/>
          <w:b/>
          <w:lang w:val="ro-RO"/>
        </w:rPr>
      </w:pPr>
      <w:r w:rsidRPr="00860724">
        <w:rPr>
          <w:rFonts w:ascii="Calibri" w:hAnsi="Calibri"/>
          <w:b/>
          <w:lang w:val="ro-RO"/>
        </w:rPr>
        <w:t xml:space="preserve"> Numirea  procurorilor în funcţii de conducere </w:t>
      </w:r>
    </w:p>
    <w:p w:rsidR="002E7B42" w:rsidRPr="00860724" w:rsidRDefault="002E7B42" w:rsidP="00087794">
      <w:pPr>
        <w:pStyle w:val="NormalWeb"/>
        <w:spacing w:before="0" w:beforeAutospacing="0" w:after="0" w:afterAutospacing="0" w:line="276" w:lineRule="auto"/>
        <w:ind w:firstLine="708"/>
        <w:jc w:val="both"/>
        <w:rPr>
          <w:rFonts w:ascii="Calibri" w:hAnsi="Calibri"/>
          <w:b/>
          <w:lang w:val="ro-RO"/>
        </w:rPr>
      </w:pPr>
    </w:p>
    <w:p w:rsidR="002E7B42" w:rsidRPr="00860724" w:rsidRDefault="002E7B42" w:rsidP="00087794">
      <w:pPr>
        <w:pStyle w:val="NormalWeb"/>
        <w:numPr>
          <w:ilvl w:val="0"/>
          <w:numId w:val="6"/>
        </w:numPr>
        <w:spacing w:before="0" w:beforeAutospacing="0" w:after="0" w:afterAutospacing="0" w:line="276" w:lineRule="auto"/>
        <w:jc w:val="both"/>
        <w:rPr>
          <w:rFonts w:ascii="Calibri" w:hAnsi="Calibri"/>
          <w:b/>
          <w:lang w:val="ro-RO"/>
        </w:rPr>
      </w:pPr>
      <w:r w:rsidRPr="00860724">
        <w:rPr>
          <w:rFonts w:ascii="Calibri" w:hAnsi="Calibri"/>
          <w:b/>
          <w:lang w:val="ro-RO"/>
        </w:rPr>
        <w:t>Numirea procurorilor în funcţiile de procuror general, procuror general adjunct, prim procuror şi prim procuror adjunct la parchetele de pe lângă curţile de apel, tribunale şi judecătorii</w:t>
      </w:r>
    </w:p>
    <w:p w:rsidR="002E7B42" w:rsidRPr="00860724" w:rsidRDefault="002E7B42" w:rsidP="00087794">
      <w:pPr>
        <w:spacing w:line="276" w:lineRule="auto"/>
        <w:ind w:firstLine="567"/>
        <w:jc w:val="both"/>
        <w:rPr>
          <w:sz w:val="16"/>
          <w:szCs w:val="16"/>
          <w:lang w:val="ro-RO"/>
        </w:rPr>
      </w:pPr>
    </w:p>
    <w:p w:rsidR="002E7B42" w:rsidRPr="00860724" w:rsidRDefault="002E7B42" w:rsidP="00087794">
      <w:pPr>
        <w:spacing w:line="276" w:lineRule="auto"/>
        <w:ind w:firstLine="567"/>
        <w:jc w:val="both"/>
        <w:rPr>
          <w:lang w:val="ro-RO"/>
        </w:rPr>
      </w:pPr>
      <w:r w:rsidRPr="00860724">
        <w:rPr>
          <w:lang w:val="ro-RO"/>
        </w:rPr>
        <w:t>În perioada 24 martie – 28 iunie 2017 s-a desfășurat concursul/examenul pentru numirea în funcții de conducere a procurorilor pentru ocuparea a 138 de funcţii vacante de procuror general, procuror general adjunct, prim procuror şi prim procuror adjunct de la parchetele de pe lângă curţile de apel, tribunale şi judecătorii.</w:t>
      </w:r>
    </w:p>
    <w:p w:rsidR="002E7B42" w:rsidRPr="00860724" w:rsidRDefault="002E7B42" w:rsidP="00087794">
      <w:pPr>
        <w:spacing w:line="276" w:lineRule="auto"/>
        <w:ind w:firstLine="567"/>
        <w:jc w:val="both"/>
        <w:rPr>
          <w:lang w:val="ro-RO"/>
        </w:rPr>
      </w:pPr>
      <w:r w:rsidRPr="00860724">
        <w:rPr>
          <w:lang w:val="ro-RO"/>
        </w:rPr>
        <w:t xml:space="preserve">După finalizarea acestui concurs, </w:t>
      </w:r>
      <w:r w:rsidRPr="00860724">
        <w:rPr>
          <w:b/>
          <w:lang w:val="ro-RO"/>
        </w:rPr>
        <w:t>s-au ocupat 65 dintre funcţiile scoase la concurs</w:t>
      </w:r>
      <w:r w:rsidRPr="00860724">
        <w:rPr>
          <w:lang w:val="ro-RO"/>
        </w:rPr>
        <w:t>.</w:t>
      </w:r>
    </w:p>
    <w:p w:rsidR="002E7B42" w:rsidRPr="00860724" w:rsidRDefault="002E7B42" w:rsidP="00087794">
      <w:pPr>
        <w:spacing w:line="276" w:lineRule="auto"/>
        <w:ind w:firstLine="567"/>
        <w:jc w:val="both"/>
        <w:rPr>
          <w:lang w:val="ro-RO"/>
        </w:rPr>
      </w:pPr>
    </w:p>
    <w:p w:rsidR="002E7B42" w:rsidRPr="00860724" w:rsidRDefault="002E7B42" w:rsidP="00087794">
      <w:pPr>
        <w:spacing w:line="276" w:lineRule="auto"/>
        <w:ind w:firstLine="567"/>
        <w:jc w:val="both"/>
        <w:rPr>
          <w:lang w:val="ro-RO"/>
        </w:rPr>
      </w:pPr>
      <w:r w:rsidRPr="00860724">
        <w:rPr>
          <w:lang w:val="ro-RO"/>
        </w:rPr>
        <w:t xml:space="preserve">Ca urmare a neocupării tuturor funcţiilor de conducere vacante la concursul arătat şi a expirării mandatelor în cursul anului 2017, prin Hotărârea nr.943 /21.09.2017 , Plenul Consiliului Superior al Magistraturii a aprobat organizarea unui concurs sau examen, în perioada </w:t>
      </w:r>
      <w:r w:rsidRPr="00860724">
        <w:rPr>
          <w:bCs/>
          <w:lang w:val="ro-RO"/>
        </w:rPr>
        <w:t>22 septembrie - 19 decembrie 2017</w:t>
      </w:r>
      <w:r w:rsidRPr="00860724">
        <w:rPr>
          <w:lang w:val="ro-RO"/>
        </w:rPr>
        <w:t xml:space="preserve">, pentru ocuparea unui număr de 132 de funcţii vacante de procuror general, procuror general adjunct, prim procuror şi prim procuror adjunct la parchetele de pe lângă curţile de apel, tribunale şi judecătorii. </w:t>
      </w:r>
    </w:p>
    <w:p w:rsidR="002E7B42" w:rsidRPr="00860724" w:rsidRDefault="002E7B42" w:rsidP="00087794">
      <w:pPr>
        <w:spacing w:line="276" w:lineRule="auto"/>
        <w:ind w:firstLine="567"/>
        <w:jc w:val="both"/>
        <w:rPr>
          <w:lang w:val="ro-RO"/>
        </w:rPr>
      </w:pPr>
      <w:r w:rsidRPr="00860724">
        <w:rPr>
          <w:lang w:val="ro-RO"/>
        </w:rPr>
        <w:t xml:space="preserve">După finalizarea acestui concurs, </w:t>
      </w:r>
      <w:r w:rsidRPr="00860724">
        <w:rPr>
          <w:b/>
          <w:lang w:val="ro-RO"/>
        </w:rPr>
        <w:t>s-au ocupat 48 dintre funcţiile scoase la concurs</w:t>
      </w:r>
      <w:r w:rsidRPr="00860724">
        <w:rPr>
          <w:lang w:val="ro-RO"/>
        </w:rPr>
        <w:t>.</w:t>
      </w:r>
    </w:p>
    <w:p w:rsidR="002E7B42" w:rsidRPr="00860724" w:rsidRDefault="002E7B42" w:rsidP="00087794">
      <w:pPr>
        <w:spacing w:line="276" w:lineRule="auto"/>
        <w:ind w:firstLine="567"/>
        <w:jc w:val="both"/>
        <w:rPr>
          <w:bCs/>
          <w:lang w:val="ro-RO"/>
        </w:rPr>
      </w:pPr>
      <w:r w:rsidRPr="00860724">
        <w:rPr>
          <w:lang w:val="ro-RO"/>
        </w:rPr>
        <w:t xml:space="preserve">Pe baza datelor anterior prezentate rezultă că la concursul organizat în prima parte a anului 2017 </w:t>
      </w:r>
      <w:r w:rsidRPr="00860724">
        <w:rPr>
          <w:bCs/>
          <w:lang w:val="ro-RO"/>
        </w:rPr>
        <w:t>gradul de ocupare a fost de 47,10%,  iar la cel organizat în cea de-a doua parte a anului gradul de ocupare a fost de 36,36%.</w:t>
      </w:r>
    </w:p>
    <w:p w:rsidR="002E7B42" w:rsidRPr="00860724" w:rsidRDefault="002E7B42" w:rsidP="00087794">
      <w:pPr>
        <w:spacing w:line="276" w:lineRule="auto"/>
        <w:ind w:firstLine="708"/>
        <w:jc w:val="both"/>
        <w:rPr>
          <w:bCs/>
          <w:lang w:val="ro-RO"/>
        </w:rPr>
      </w:pPr>
      <w:r w:rsidRPr="00860724">
        <w:rPr>
          <w:lang w:val="ro-RO"/>
        </w:rPr>
        <w:t xml:space="preserve">Comparativ cu anul anterior, la concursul organizat în prima parte a anului 2016, </w:t>
      </w:r>
      <w:r w:rsidRPr="00860724">
        <w:rPr>
          <w:bCs/>
          <w:lang w:val="ro-RO"/>
        </w:rPr>
        <w:t>gradul de ocupare a fost de 45%, iar la cel organizat în cea de-a doua parte a anului gradul de ocupare a fost de 35,6%.</w:t>
      </w:r>
    </w:p>
    <w:p w:rsidR="002E7B42" w:rsidRPr="00860724" w:rsidRDefault="002E7B42" w:rsidP="00860724">
      <w:pPr>
        <w:spacing w:line="276" w:lineRule="auto"/>
        <w:ind w:firstLine="708"/>
        <w:jc w:val="both"/>
        <w:rPr>
          <w:bCs/>
          <w:lang w:val="ro-RO"/>
        </w:rPr>
      </w:pPr>
    </w:p>
    <w:p w:rsidR="002E7B42" w:rsidRPr="00860724" w:rsidRDefault="002E7B42" w:rsidP="002E7B42">
      <w:pPr>
        <w:jc w:val="both"/>
        <w:rPr>
          <w:bCs/>
          <w:lang w:val="ro-RO"/>
        </w:rPr>
      </w:pPr>
    </w:p>
    <w:p w:rsidR="002E7B42" w:rsidRPr="00860724" w:rsidRDefault="002E7B42" w:rsidP="002E7B42">
      <w:pPr>
        <w:ind w:firstLine="1985"/>
        <w:jc w:val="both"/>
        <w:rPr>
          <w:bCs/>
          <w:lang w:val="ro-RO"/>
        </w:rPr>
      </w:pPr>
      <w:r w:rsidRPr="00860724">
        <w:rPr>
          <w:noProof/>
          <w:lang w:val="ro-RO" w:eastAsia="ro-RO"/>
        </w:rPr>
        <w:drawing>
          <wp:inline distT="0" distB="0" distL="0" distR="0" wp14:anchorId="7FD6EE32" wp14:editId="737CEAD9">
            <wp:extent cx="4343400" cy="2941320"/>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2E7B42" w:rsidRPr="00860724" w:rsidRDefault="002E7B42" w:rsidP="002E7B42">
      <w:pPr>
        <w:ind w:firstLine="567"/>
        <w:jc w:val="both"/>
        <w:rPr>
          <w:bCs/>
          <w:color w:val="FF0000"/>
          <w:lang w:val="ro-RO"/>
        </w:rPr>
      </w:pPr>
    </w:p>
    <w:p w:rsidR="002E7B42" w:rsidRPr="00860724" w:rsidRDefault="002E7B42" w:rsidP="002E7B42">
      <w:pPr>
        <w:ind w:firstLine="1134"/>
        <w:jc w:val="both"/>
        <w:rPr>
          <w:bCs/>
          <w:lang w:val="ro-RO"/>
        </w:rPr>
      </w:pPr>
    </w:p>
    <w:p w:rsidR="002E7B42" w:rsidRPr="00860724" w:rsidRDefault="002E7B42" w:rsidP="002E7B42">
      <w:pPr>
        <w:ind w:firstLine="567"/>
        <w:jc w:val="both"/>
        <w:rPr>
          <w:bCs/>
          <w:lang w:val="ro-RO"/>
        </w:rPr>
      </w:pPr>
    </w:p>
    <w:p w:rsidR="002E7B42" w:rsidRPr="00087794" w:rsidRDefault="002E7B42" w:rsidP="00087794">
      <w:pPr>
        <w:pStyle w:val="AddParagraf"/>
        <w:numPr>
          <w:ilvl w:val="0"/>
          <w:numId w:val="6"/>
        </w:numPr>
        <w:spacing w:line="276" w:lineRule="auto"/>
        <w:rPr>
          <w:rFonts w:asciiTheme="minorHAnsi" w:hAnsiTheme="minorHAnsi" w:cstheme="minorHAnsi"/>
          <w:b/>
        </w:rPr>
      </w:pPr>
      <w:r w:rsidRPr="00087794">
        <w:rPr>
          <w:rFonts w:asciiTheme="minorHAnsi" w:hAnsiTheme="minorHAnsi" w:cstheme="minorHAnsi"/>
          <w:b/>
        </w:rPr>
        <w:t>Numirea şi avizarea numirii procurorilor în alte funcţii de conducere, în temeiul dispoziţiilor art. 49 alin. (9), art. 54, respectiv art. 55 din Legea nr. 303/2004, republicată cu modificările şi completările ulterioare</w:t>
      </w:r>
    </w:p>
    <w:p w:rsidR="002E7B42" w:rsidRPr="00087794" w:rsidRDefault="002E7B42" w:rsidP="00087794">
      <w:pPr>
        <w:pStyle w:val="AddParagraf"/>
        <w:spacing w:after="0" w:line="276" w:lineRule="auto"/>
        <w:rPr>
          <w:rFonts w:asciiTheme="minorHAnsi" w:hAnsiTheme="minorHAnsi" w:cstheme="minorHAnsi"/>
        </w:rPr>
      </w:pPr>
      <w:r w:rsidRPr="00087794">
        <w:rPr>
          <w:rFonts w:asciiTheme="minorHAnsi" w:hAnsiTheme="minorHAnsi" w:cstheme="minorHAnsi"/>
        </w:rPr>
        <w:t xml:space="preserve">În conformitate cu </w:t>
      </w:r>
      <w:r w:rsidRPr="00087794">
        <w:rPr>
          <w:rFonts w:asciiTheme="minorHAnsi" w:hAnsiTheme="minorHAnsi" w:cstheme="minorHAnsi"/>
          <w:b/>
        </w:rPr>
        <w:t>dispoziţiile  art. 49 alin. 9</w:t>
      </w:r>
      <w:r w:rsidRPr="00087794">
        <w:rPr>
          <w:rFonts w:asciiTheme="minorHAnsi" w:hAnsiTheme="minorHAnsi" w:cstheme="minorHAnsi"/>
        </w:rPr>
        <w:t xml:space="preserve"> din Legea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Consiliul Superior al Magistraturii, la propunerea procurorului general al Parchetului de pe lângă Înalta Curte de Casaţie şi Justiţie.</w:t>
      </w:r>
    </w:p>
    <w:p w:rsidR="002E7B42" w:rsidRPr="00087794" w:rsidRDefault="002E7B42" w:rsidP="00087794">
      <w:pPr>
        <w:pStyle w:val="AddParagraf"/>
        <w:spacing w:after="0" w:line="276" w:lineRule="auto"/>
        <w:rPr>
          <w:rFonts w:asciiTheme="minorHAnsi" w:hAnsiTheme="minorHAnsi" w:cstheme="minorHAnsi"/>
        </w:rPr>
      </w:pPr>
      <w:r w:rsidRPr="00087794">
        <w:rPr>
          <w:rFonts w:asciiTheme="minorHAnsi" w:hAnsiTheme="minorHAnsi" w:cstheme="minorHAnsi"/>
        </w:rPr>
        <w:t>În cursul anului 2017</w:t>
      </w:r>
      <w:r w:rsidRPr="00087794">
        <w:rPr>
          <w:rFonts w:asciiTheme="minorHAnsi" w:hAnsiTheme="minorHAnsi" w:cstheme="minorHAnsi"/>
          <w:i/>
        </w:rPr>
        <w:t>,</w:t>
      </w:r>
      <w:r w:rsidRPr="00087794">
        <w:rPr>
          <w:rFonts w:asciiTheme="minorHAnsi" w:hAnsiTheme="minorHAnsi" w:cstheme="minorHAnsi"/>
        </w:rPr>
        <w:t xml:space="preserve"> Secţia pentru procurori a Consiliului Superior al Magistraturii a numit, în temeiul art. 49 alin.9 și art.55 alin.1 din Legea 303/2004 republicată, cu modificările și completările ulterioare un număr de</w:t>
      </w:r>
      <w:r w:rsidRPr="00087794">
        <w:rPr>
          <w:rFonts w:asciiTheme="minorHAnsi" w:hAnsiTheme="minorHAnsi" w:cstheme="minorHAnsi"/>
          <w:b/>
        </w:rPr>
        <w:t xml:space="preserve"> 59  de procurori </w:t>
      </w:r>
      <w:r w:rsidRPr="00087794">
        <w:rPr>
          <w:rFonts w:asciiTheme="minorHAnsi" w:hAnsiTheme="minorHAnsi" w:cstheme="minorHAnsi"/>
        </w:rPr>
        <w:t>în alte funcţii de conducere decât cele de procuror general, procuror general adjunct, prim procuror şi prim procuror adjunct, respectiv în funcţii de procurori şefi secţie.</w:t>
      </w:r>
    </w:p>
    <w:p w:rsidR="002E7B42" w:rsidRPr="00087794" w:rsidRDefault="002E7B42" w:rsidP="00087794">
      <w:pPr>
        <w:pStyle w:val="Default"/>
        <w:spacing w:line="276" w:lineRule="auto"/>
        <w:ind w:firstLine="708"/>
        <w:jc w:val="both"/>
        <w:rPr>
          <w:rFonts w:asciiTheme="minorHAnsi" w:hAnsiTheme="minorHAnsi" w:cstheme="minorHAnsi"/>
          <w:bCs/>
        </w:rPr>
      </w:pPr>
      <w:r w:rsidRPr="00087794">
        <w:rPr>
          <w:rFonts w:asciiTheme="minorHAnsi" w:hAnsiTheme="minorHAnsi" w:cstheme="minorHAnsi"/>
          <w:bCs/>
        </w:rPr>
        <w:t>Totodată, în temeiul dispoziţiilor art. 54 alin. (1) din Legea nr. 303/2004, republicată, cu modificările şi completările ulterioare, a fost avizată numirea a 3 procurori în funcțiile de procuror șef secție, procuror militar șef secție, respectiv procuror militar sef adjunct secție din cadrul Parchetului de pe lângă Înalta Curte de Casaţie şi Justiţie.</w:t>
      </w:r>
    </w:p>
    <w:p w:rsidR="002E7B42" w:rsidRPr="00087794" w:rsidRDefault="002E7B42" w:rsidP="00087794">
      <w:pPr>
        <w:spacing w:line="276" w:lineRule="auto"/>
        <w:ind w:firstLine="567"/>
        <w:jc w:val="both"/>
        <w:rPr>
          <w:rFonts w:asciiTheme="minorHAnsi" w:hAnsiTheme="minorHAnsi" w:cstheme="minorHAnsi"/>
          <w:lang w:val="ro-RO"/>
        </w:rPr>
      </w:pPr>
    </w:p>
    <w:p w:rsidR="002E7B42" w:rsidRPr="00087794" w:rsidRDefault="002E7B42" w:rsidP="00087794">
      <w:pPr>
        <w:keepNext/>
        <w:spacing w:line="276" w:lineRule="auto"/>
        <w:ind w:left="349" w:firstLine="360"/>
        <w:jc w:val="both"/>
        <w:rPr>
          <w:rFonts w:asciiTheme="minorHAnsi" w:hAnsiTheme="minorHAnsi" w:cstheme="minorHAnsi"/>
          <w:b/>
          <w:lang w:val="ro-RO"/>
        </w:rPr>
      </w:pPr>
      <w:r w:rsidRPr="00087794">
        <w:rPr>
          <w:rFonts w:asciiTheme="minorHAnsi" w:hAnsiTheme="minorHAnsi" w:cstheme="minorHAnsi"/>
          <w:color w:val="FF0000"/>
          <w:lang w:val="ro-RO"/>
        </w:rPr>
        <w:t xml:space="preserve"> </w:t>
      </w:r>
      <w:r w:rsidRPr="00087794">
        <w:rPr>
          <w:rFonts w:asciiTheme="minorHAnsi" w:hAnsiTheme="minorHAnsi" w:cstheme="minorHAnsi"/>
          <w:b/>
          <w:lang w:val="ro-RO"/>
        </w:rPr>
        <w:t>Promovarea  procurorilor în funcţii de execuţie</w:t>
      </w:r>
    </w:p>
    <w:p w:rsidR="002E7B42" w:rsidRPr="00087794" w:rsidRDefault="002E7B42" w:rsidP="00087794">
      <w:pPr>
        <w:keepNext/>
        <w:spacing w:line="276" w:lineRule="auto"/>
        <w:ind w:firstLine="360"/>
        <w:jc w:val="both"/>
        <w:rPr>
          <w:rFonts w:asciiTheme="minorHAnsi" w:hAnsiTheme="minorHAnsi" w:cstheme="minorHAnsi"/>
          <w:b/>
          <w:lang w:val="ro-RO"/>
        </w:rPr>
      </w:pPr>
    </w:p>
    <w:p w:rsidR="002E7B42" w:rsidRPr="00087794" w:rsidRDefault="002E7B42" w:rsidP="00087794">
      <w:pPr>
        <w:tabs>
          <w:tab w:val="left" w:pos="709"/>
        </w:tabs>
        <w:spacing w:line="276" w:lineRule="auto"/>
        <w:jc w:val="both"/>
        <w:rPr>
          <w:rFonts w:asciiTheme="minorHAnsi" w:hAnsiTheme="minorHAnsi" w:cstheme="minorHAnsi"/>
          <w:lang w:val="ro-RO"/>
        </w:rPr>
      </w:pPr>
      <w:r w:rsidRPr="00087794">
        <w:rPr>
          <w:rFonts w:asciiTheme="minorHAnsi" w:hAnsiTheme="minorHAnsi" w:cstheme="minorHAnsi"/>
          <w:lang w:val="ro-RO"/>
        </w:rPr>
        <w:tab/>
        <w:t>Prin Hotărârea nr.</w:t>
      </w:r>
      <w:r w:rsidRPr="00087794">
        <w:rPr>
          <w:rFonts w:asciiTheme="minorHAnsi" w:hAnsiTheme="minorHAnsi" w:cstheme="minorHAnsi"/>
          <w:color w:val="FF0000"/>
          <w:lang w:val="ro-RO"/>
        </w:rPr>
        <w:t xml:space="preserve"> </w:t>
      </w:r>
      <w:r w:rsidRPr="00087794">
        <w:rPr>
          <w:rFonts w:asciiTheme="minorHAnsi" w:hAnsiTheme="minorHAnsi" w:cstheme="minorHAnsi"/>
          <w:lang w:val="ro-RO"/>
        </w:rPr>
        <w:t>941/21.09.2017, Plenul Consiliului Superior al Magistraturii a aprobat organizarea unui concurs de promovare în funcţii de execuţie, efectivă şi pe loc, a judecătorilor şi procurorilor la data de 26.11.2017.</w:t>
      </w:r>
    </w:p>
    <w:p w:rsidR="002E7B42" w:rsidRPr="00087794" w:rsidRDefault="002E7B42" w:rsidP="00087794">
      <w:pPr>
        <w:tabs>
          <w:tab w:val="left" w:pos="709"/>
        </w:tabs>
        <w:spacing w:line="276" w:lineRule="auto"/>
        <w:ind w:firstLine="360"/>
        <w:jc w:val="both"/>
        <w:rPr>
          <w:rFonts w:asciiTheme="minorHAnsi" w:hAnsiTheme="minorHAnsi" w:cstheme="minorHAnsi"/>
          <w:lang w:val="ro-RO"/>
        </w:rPr>
      </w:pPr>
      <w:r w:rsidRPr="00087794">
        <w:rPr>
          <w:rFonts w:asciiTheme="minorHAnsi" w:hAnsiTheme="minorHAnsi" w:cstheme="minorHAnsi"/>
          <w:lang w:val="ro-RO"/>
        </w:rPr>
        <w:tab/>
        <w:t xml:space="preserve">Pentru </w:t>
      </w:r>
      <w:r w:rsidRPr="00087794">
        <w:rPr>
          <w:rFonts w:asciiTheme="minorHAnsi" w:hAnsiTheme="minorHAnsi" w:cstheme="minorHAnsi"/>
          <w:b/>
          <w:lang w:val="ro-RO"/>
        </w:rPr>
        <w:t>promovarea efectivă</w:t>
      </w:r>
      <w:r w:rsidRPr="00087794">
        <w:rPr>
          <w:rFonts w:asciiTheme="minorHAnsi" w:hAnsiTheme="minorHAnsi" w:cstheme="minorHAnsi"/>
          <w:lang w:val="ro-RO"/>
        </w:rPr>
        <w:t xml:space="preserve">, au fost scoase la concurs 70 de funcţii de execuţie vacante la nivelul parchetelor de pe lângă instanţele judecătoreşti, dintre care 62 la parchetele de pe lângă tribunale şi 8 la parchetele de pe lângă curţile de apel. Pentru </w:t>
      </w:r>
      <w:r w:rsidRPr="00087794">
        <w:rPr>
          <w:rFonts w:asciiTheme="minorHAnsi" w:hAnsiTheme="minorHAnsi" w:cstheme="minorHAnsi"/>
          <w:b/>
          <w:lang w:val="ro-RO"/>
        </w:rPr>
        <w:t xml:space="preserve">promovarea pe loc, </w:t>
      </w:r>
      <w:r w:rsidRPr="00087794">
        <w:rPr>
          <w:rFonts w:asciiTheme="minorHAnsi" w:hAnsiTheme="minorHAnsi" w:cstheme="minorHAnsi"/>
          <w:lang w:val="ro-RO"/>
        </w:rPr>
        <w:t>concursul s-a organizat sub condiţia finanţării posturilor, pentru ocuparea unui număr de 30 de locuri la Parchetul de pe lângă Înalta Curte de Casaţie şi Justiţie, 70 de locuri la parchetele de pe lângă curţile de apel şi 200 de locuri la parchetele de pe lângă tribunale.</w:t>
      </w:r>
    </w:p>
    <w:p w:rsidR="002E7B42" w:rsidRPr="00087794" w:rsidRDefault="002E7B42" w:rsidP="00087794">
      <w:pPr>
        <w:spacing w:line="276" w:lineRule="auto"/>
        <w:ind w:firstLine="720"/>
        <w:jc w:val="both"/>
        <w:rPr>
          <w:rFonts w:asciiTheme="minorHAnsi" w:hAnsiTheme="minorHAnsi" w:cstheme="minorHAnsi"/>
          <w:lang w:val="ro-RO"/>
        </w:rPr>
      </w:pPr>
      <w:r w:rsidRPr="00087794">
        <w:rPr>
          <w:rFonts w:asciiTheme="minorHAnsi" w:hAnsiTheme="minorHAnsi" w:cstheme="minorHAnsi"/>
          <w:lang w:val="ro-RO"/>
        </w:rPr>
        <w:t xml:space="preserve">După finalizarea concursului, Plenul Consiliului Superior al Magistraturii a dispus promovarea efectivă a </w:t>
      </w:r>
      <w:r w:rsidRPr="00087794">
        <w:rPr>
          <w:rFonts w:asciiTheme="minorHAnsi" w:hAnsiTheme="minorHAnsi" w:cstheme="minorHAnsi"/>
          <w:b/>
          <w:lang w:val="ro-RO"/>
        </w:rPr>
        <w:t>57 de procurori</w:t>
      </w:r>
      <w:r w:rsidRPr="00087794">
        <w:rPr>
          <w:rFonts w:asciiTheme="minorHAnsi" w:hAnsiTheme="minorHAnsi" w:cstheme="minorHAnsi"/>
          <w:lang w:val="ro-RO"/>
        </w:rPr>
        <w:t xml:space="preserve"> (8 la parchetele de pe lângă curţile de apel şi 49 la parchetele de pe lângă tribunale) </w:t>
      </w:r>
      <w:r w:rsidRPr="00087794">
        <w:rPr>
          <w:rFonts w:asciiTheme="minorHAnsi" w:hAnsiTheme="minorHAnsi" w:cstheme="minorHAnsi"/>
          <w:b/>
          <w:lang w:val="ro-RO"/>
        </w:rPr>
        <w:t xml:space="preserve">şi au obţinut grade profesionale în cadrul promovării pe loc 308 procurori </w:t>
      </w:r>
      <w:r w:rsidRPr="00087794">
        <w:rPr>
          <w:rFonts w:asciiTheme="minorHAnsi" w:hAnsiTheme="minorHAnsi" w:cstheme="minorHAnsi"/>
          <w:lang w:val="ro-RO"/>
        </w:rPr>
        <w:t>(31 de procurori grad corespunzător Parchetului de pe lângă Înalta Curte de Casaţie şi Justiţie, 74 de procurori grad corespunzător parchetului de pe lângă curtea de apel şi 203 procurori grad corespunzător parchetului de pe lângă tribunal).</w:t>
      </w:r>
    </w:p>
    <w:p w:rsidR="002E7B42" w:rsidRPr="00087794" w:rsidRDefault="002E7B42" w:rsidP="00087794">
      <w:pPr>
        <w:tabs>
          <w:tab w:val="left" w:pos="709"/>
        </w:tabs>
        <w:spacing w:line="276" w:lineRule="auto"/>
        <w:jc w:val="both"/>
        <w:rPr>
          <w:rFonts w:asciiTheme="minorHAnsi" w:hAnsiTheme="minorHAnsi" w:cstheme="minorHAnsi"/>
          <w:lang w:val="ro-RO"/>
        </w:rPr>
      </w:pPr>
    </w:p>
    <w:p w:rsidR="002E7B42" w:rsidRPr="00860724" w:rsidRDefault="002E7B42" w:rsidP="00860724">
      <w:pPr>
        <w:tabs>
          <w:tab w:val="left" w:pos="709"/>
        </w:tabs>
        <w:spacing w:line="276" w:lineRule="auto"/>
        <w:jc w:val="both"/>
        <w:rPr>
          <w:lang w:val="ro-RO"/>
        </w:rPr>
      </w:pPr>
    </w:p>
    <w:p w:rsidR="002E7B42" w:rsidRPr="00860724" w:rsidRDefault="002E7B42" w:rsidP="002E7B42">
      <w:pPr>
        <w:ind w:firstLine="1560"/>
        <w:jc w:val="both"/>
        <w:rPr>
          <w:b/>
          <w:lang w:val="ro-RO"/>
        </w:rPr>
      </w:pPr>
      <w:r w:rsidRPr="00860724">
        <w:rPr>
          <w:noProof/>
          <w:lang w:val="ro-RO" w:eastAsia="ro-RO"/>
        </w:rPr>
        <w:drawing>
          <wp:inline distT="0" distB="0" distL="0" distR="0" wp14:anchorId="1A4A7C3F" wp14:editId="368D48A4">
            <wp:extent cx="4724400" cy="2514600"/>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2E7B42" w:rsidRPr="00860724" w:rsidRDefault="002E7B42" w:rsidP="002E7B42">
      <w:pPr>
        <w:ind w:left="428" w:firstLine="706"/>
        <w:jc w:val="both"/>
        <w:rPr>
          <w:b/>
          <w:lang w:val="ro-RO"/>
        </w:rPr>
      </w:pPr>
    </w:p>
    <w:p w:rsidR="002E7B42" w:rsidRPr="00860724" w:rsidRDefault="002E7B42" w:rsidP="002E7B42">
      <w:pPr>
        <w:ind w:hanging="567"/>
        <w:jc w:val="center"/>
        <w:rPr>
          <w:b/>
          <w:lang w:val="ro-RO"/>
        </w:rPr>
      </w:pPr>
    </w:p>
    <w:p w:rsidR="002E7B42" w:rsidRPr="00860724" w:rsidRDefault="002E7B42" w:rsidP="002E7B42">
      <w:pPr>
        <w:jc w:val="center"/>
        <w:rPr>
          <w:b/>
          <w:lang w:val="ro-RO"/>
        </w:rPr>
      </w:pPr>
    </w:p>
    <w:p w:rsidR="002E7B42" w:rsidRPr="00860724" w:rsidRDefault="002E7B42" w:rsidP="002E7B42">
      <w:pPr>
        <w:tabs>
          <w:tab w:val="left" w:pos="709"/>
        </w:tabs>
        <w:ind w:firstLine="1560"/>
        <w:jc w:val="both"/>
        <w:rPr>
          <w:lang w:val="ro-RO"/>
        </w:rPr>
      </w:pPr>
      <w:r w:rsidRPr="00860724">
        <w:rPr>
          <w:noProof/>
          <w:lang w:val="ro-RO" w:eastAsia="ro-RO"/>
        </w:rPr>
        <w:drawing>
          <wp:inline distT="0" distB="0" distL="0" distR="0" wp14:anchorId="6528878E" wp14:editId="5EE53377">
            <wp:extent cx="4724400" cy="25146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2E7B42" w:rsidRPr="00860724" w:rsidRDefault="002E7B42" w:rsidP="002E7B42">
      <w:pPr>
        <w:tabs>
          <w:tab w:val="left" w:pos="709"/>
        </w:tabs>
        <w:jc w:val="both"/>
        <w:rPr>
          <w:b/>
          <w:lang w:val="ro-RO"/>
        </w:rPr>
      </w:pPr>
    </w:p>
    <w:p w:rsidR="002E7B42" w:rsidRPr="00860724" w:rsidRDefault="002E7B42" w:rsidP="002E7B42">
      <w:pPr>
        <w:ind w:firstLine="567"/>
        <w:jc w:val="both"/>
        <w:rPr>
          <w:lang w:val="ro-RO"/>
        </w:rPr>
      </w:pPr>
    </w:p>
    <w:p w:rsidR="002E7B42" w:rsidRPr="00860724" w:rsidRDefault="002E7B42" w:rsidP="00087794">
      <w:pPr>
        <w:keepNext/>
        <w:spacing w:line="276" w:lineRule="auto"/>
        <w:ind w:firstLine="709"/>
        <w:jc w:val="both"/>
        <w:rPr>
          <w:rFonts w:asciiTheme="minorHAnsi" w:hAnsiTheme="minorHAnsi"/>
          <w:b/>
          <w:lang w:val="ro-RO"/>
        </w:rPr>
      </w:pPr>
      <w:r w:rsidRPr="00860724">
        <w:rPr>
          <w:rFonts w:ascii="Times New Roman" w:hAnsi="Times New Roman"/>
          <w:b/>
          <w:lang w:val="ro-RO"/>
        </w:rPr>
        <w:t xml:space="preserve"> </w:t>
      </w:r>
      <w:r w:rsidRPr="00860724">
        <w:rPr>
          <w:rFonts w:asciiTheme="minorHAnsi" w:hAnsiTheme="minorHAnsi"/>
          <w:b/>
          <w:lang w:val="ro-RO"/>
        </w:rPr>
        <w:t>Eliberări din funcţia de  procuror</w:t>
      </w:r>
    </w:p>
    <w:p w:rsidR="002E7B42" w:rsidRPr="00860724" w:rsidRDefault="002E7B42" w:rsidP="00087794">
      <w:pPr>
        <w:spacing w:line="276" w:lineRule="auto"/>
        <w:ind w:firstLine="708"/>
        <w:jc w:val="both"/>
        <w:rPr>
          <w:rFonts w:asciiTheme="minorHAnsi" w:hAnsiTheme="minorHAnsi"/>
          <w:sz w:val="18"/>
          <w:szCs w:val="18"/>
          <w:lang w:val="ro-RO"/>
        </w:rPr>
      </w:pPr>
    </w:p>
    <w:p w:rsidR="002E7B42" w:rsidRPr="00860724" w:rsidRDefault="002E7B42" w:rsidP="00087794">
      <w:pPr>
        <w:spacing w:line="276" w:lineRule="auto"/>
        <w:ind w:firstLine="708"/>
        <w:jc w:val="both"/>
        <w:rPr>
          <w:rFonts w:asciiTheme="minorHAnsi" w:hAnsiTheme="minorHAnsi"/>
          <w:lang w:val="ro-RO"/>
        </w:rPr>
      </w:pPr>
      <w:r w:rsidRPr="00860724">
        <w:rPr>
          <w:rFonts w:asciiTheme="minorHAnsi" w:hAnsiTheme="minorHAnsi"/>
          <w:lang w:val="ro-RO"/>
        </w:rPr>
        <w:t xml:space="preserve">Prin decrete ale Preşedintelui României au fost </w:t>
      </w:r>
      <w:r w:rsidRPr="00860724">
        <w:rPr>
          <w:rFonts w:asciiTheme="minorHAnsi" w:hAnsiTheme="minorHAnsi"/>
          <w:b/>
          <w:lang w:val="ro-RO"/>
        </w:rPr>
        <w:t xml:space="preserve">eliberate din funcţia de procuror 107 persoane, </w:t>
      </w:r>
      <w:r w:rsidRPr="00860724">
        <w:rPr>
          <w:rFonts w:asciiTheme="minorHAnsi" w:hAnsiTheme="minorHAnsi"/>
          <w:lang w:val="ro-RO"/>
        </w:rPr>
        <w:t>după cum urmează:</w:t>
      </w:r>
    </w:p>
    <w:p w:rsidR="002E7B42" w:rsidRPr="00860724" w:rsidRDefault="002E7B42" w:rsidP="00087794">
      <w:pPr>
        <w:numPr>
          <w:ilvl w:val="0"/>
          <w:numId w:val="7"/>
        </w:numPr>
        <w:spacing w:line="276" w:lineRule="auto"/>
        <w:contextualSpacing/>
        <w:jc w:val="both"/>
        <w:rPr>
          <w:rFonts w:asciiTheme="minorHAnsi" w:eastAsia="Calibri" w:hAnsiTheme="minorHAnsi"/>
          <w:lang w:val="ro-RO"/>
        </w:rPr>
      </w:pPr>
      <w:r w:rsidRPr="00860724">
        <w:rPr>
          <w:rFonts w:asciiTheme="minorHAnsi" w:eastAsia="Calibri" w:hAnsiTheme="minorHAnsi"/>
          <w:b/>
          <w:lang w:val="ro-RO"/>
        </w:rPr>
        <w:t>89</w:t>
      </w:r>
      <w:r w:rsidRPr="00860724">
        <w:rPr>
          <w:rFonts w:asciiTheme="minorHAnsi" w:eastAsia="Calibri" w:hAnsiTheme="minorHAnsi"/>
          <w:lang w:val="ro-RO"/>
        </w:rPr>
        <w:t xml:space="preserve"> de persoane, ca urmare a pensionării;</w:t>
      </w:r>
    </w:p>
    <w:p w:rsidR="002E7B42" w:rsidRPr="00860724" w:rsidRDefault="002E7B42" w:rsidP="00087794">
      <w:pPr>
        <w:numPr>
          <w:ilvl w:val="0"/>
          <w:numId w:val="7"/>
        </w:numPr>
        <w:spacing w:line="276" w:lineRule="auto"/>
        <w:contextualSpacing/>
        <w:jc w:val="both"/>
        <w:rPr>
          <w:rFonts w:asciiTheme="minorHAnsi" w:eastAsia="Calibri" w:hAnsiTheme="minorHAnsi"/>
          <w:lang w:val="ro-RO"/>
        </w:rPr>
      </w:pPr>
      <w:r w:rsidRPr="00860724">
        <w:rPr>
          <w:rFonts w:asciiTheme="minorHAnsi" w:eastAsia="Calibri" w:hAnsiTheme="minorHAnsi"/>
          <w:b/>
          <w:lang w:val="ro-RO"/>
        </w:rPr>
        <w:t>3</w:t>
      </w:r>
      <w:r w:rsidRPr="00860724">
        <w:rPr>
          <w:rFonts w:asciiTheme="minorHAnsi" w:eastAsia="Calibri" w:hAnsiTheme="minorHAnsi"/>
          <w:lang w:val="ro-RO"/>
        </w:rPr>
        <w:t xml:space="preserve"> persoane, ca urmare a condamnării definitive;</w:t>
      </w:r>
    </w:p>
    <w:p w:rsidR="002E7B42" w:rsidRPr="00860724" w:rsidRDefault="002E7B42" w:rsidP="00087794">
      <w:pPr>
        <w:numPr>
          <w:ilvl w:val="0"/>
          <w:numId w:val="7"/>
        </w:numPr>
        <w:spacing w:line="276" w:lineRule="auto"/>
        <w:contextualSpacing/>
        <w:jc w:val="both"/>
        <w:rPr>
          <w:rFonts w:asciiTheme="minorHAnsi" w:eastAsia="Calibri" w:hAnsiTheme="minorHAnsi"/>
          <w:lang w:val="ro-RO"/>
        </w:rPr>
      </w:pPr>
      <w:r w:rsidRPr="00860724">
        <w:rPr>
          <w:rFonts w:asciiTheme="minorHAnsi" w:eastAsia="Calibri" w:hAnsiTheme="minorHAnsi"/>
          <w:b/>
          <w:lang w:val="ro-RO"/>
        </w:rPr>
        <w:t>1</w:t>
      </w:r>
      <w:r w:rsidRPr="00860724">
        <w:rPr>
          <w:rFonts w:asciiTheme="minorHAnsi" w:eastAsia="Calibri" w:hAnsiTheme="minorHAnsi"/>
          <w:lang w:val="ro-RO"/>
        </w:rPr>
        <w:t xml:space="preserve"> persoană, ca urmare a demisiei;</w:t>
      </w:r>
    </w:p>
    <w:p w:rsidR="002E7B42" w:rsidRPr="00860724" w:rsidRDefault="002E7B42" w:rsidP="00087794">
      <w:pPr>
        <w:numPr>
          <w:ilvl w:val="0"/>
          <w:numId w:val="7"/>
        </w:numPr>
        <w:spacing w:line="276" w:lineRule="auto"/>
        <w:contextualSpacing/>
        <w:jc w:val="both"/>
        <w:rPr>
          <w:rFonts w:asciiTheme="minorHAnsi" w:eastAsia="Calibri" w:hAnsiTheme="minorHAnsi"/>
          <w:lang w:val="ro-RO"/>
        </w:rPr>
      </w:pPr>
      <w:r w:rsidRPr="00860724">
        <w:rPr>
          <w:rFonts w:asciiTheme="minorHAnsi" w:eastAsia="Calibri" w:hAnsiTheme="minorHAnsi"/>
          <w:b/>
          <w:lang w:val="ro-RO"/>
        </w:rPr>
        <w:t>14</w:t>
      </w:r>
      <w:r w:rsidRPr="00860724">
        <w:rPr>
          <w:rFonts w:asciiTheme="minorHAnsi" w:eastAsia="Calibri" w:hAnsiTheme="minorHAnsi"/>
          <w:lang w:val="ro-RO"/>
        </w:rPr>
        <w:t xml:space="preserve"> persoane, ca urmare a eliberării din funcţia de procuror şi numirii în funcţia de judecător.</w:t>
      </w:r>
    </w:p>
    <w:p w:rsidR="00461AF3" w:rsidRPr="00860724" w:rsidRDefault="002E7B42" w:rsidP="00087794">
      <w:pPr>
        <w:spacing w:line="276" w:lineRule="auto"/>
        <w:ind w:firstLine="708"/>
        <w:jc w:val="both"/>
        <w:rPr>
          <w:lang w:val="ro-RO"/>
        </w:rPr>
      </w:pPr>
      <w:r w:rsidRPr="00860724">
        <w:rPr>
          <w:lang w:val="ro-RO"/>
        </w:rPr>
        <w:t xml:space="preserve">Totodată, s-a vacantat </w:t>
      </w:r>
      <w:r w:rsidRPr="00860724">
        <w:rPr>
          <w:b/>
          <w:lang w:val="ro-RO"/>
        </w:rPr>
        <w:t>un post</w:t>
      </w:r>
      <w:r w:rsidRPr="00860724">
        <w:rPr>
          <w:lang w:val="ro-RO"/>
        </w:rPr>
        <w:t>, ca urmare a decesului unui procuror.</w:t>
      </w:r>
    </w:p>
    <w:p w:rsidR="002E7B42" w:rsidRPr="00860724" w:rsidRDefault="002E7B42" w:rsidP="00087794">
      <w:pPr>
        <w:spacing w:line="276" w:lineRule="auto"/>
        <w:ind w:firstLine="708"/>
        <w:jc w:val="both"/>
        <w:rPr>
          <w:lang w:val="ro-RO"/>
        </w:rPr>
      </w:pPr>
    </w:p>
    <w:p w:rsidR="002E7B42" w:rsidRPr="00860724" w:rsidRDefault="002E7B42" w:rsidP="00087794">
      <w:pPr>
        <w:spacing w:line="276" w:lineRule="auto"/>
        <w:ind w:firstLine="708"/>
        <w:jc w:val="both"/>
        <w:rPr>
          <w:b/>
          <w:lang w:val="ro-RO"/>
        </w:rPr>
      </w:pPr>
      <w:r w:rsidRPr="00860724">
        <w:rPr>
          <w:b/>
          <w:lang w:val="ro-RO"/>
        </w:rPr>
        <w:t>Situaţia posturilor de procuror pe grade de jurisdicţie la data de 01.01.2018</w:t>
      </w:r>
    </w:p>
    <w:p w:rsidR="002E7B42" w:rsidRPr="00860724" w:rsidRDefault="002E7B42" w:rsidP="002E7B42">
      <w:pPr>
        <w:ind w:firstLine="708"/>
        <w:jc w:val="both"/>
        <w:rPr>
          <w:b/>
          <w:lang w:val="ro-RO"/>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2E7B42" w:rsidRPr="00461AF3" w:rsidTr="00B818F3">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firstLine="709"/>
              <w:jc w:val="center"/>
              <w:rPr>
                <w:rFonts w:asciiTheme="minorHAnsi" w:hAnsiTheme="minorHAnsi" w:cstheme="minorHAnsi"/>
                <w:b/>
                <w:lang w:val="ro-RO"/>
              </w:rPr>
            </w:pPr>
            <w:r w:rsidRPr="00461AF3">
              <w:rPr>
                <w:rFonts w:asciiTheme="minorHAnsi" w:hAnsiTheme="minorHAnsi" w:cstheme="minorHAnsi"/>
                <w:b/>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b/>
                <w:lang w:val="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b/>
                <w:lang w:val="ro-RO"/>
              </w:rPr>
              <w:t>Posturi de procuror vacante</w:t>
            </w:r>
          </w:p>
        </w:tc>
      </w:tr>
      <w:tr w:rsidR="002E7B42" w:rsidRPr="00461AF3" w:rsidTr="00B818F3">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rPr>
                <w:rFonts w:asciiTheme="minorHAnsi" w:hAnsiTheme="minorHAnsi" w:cstheme="minorHAnsi"/>
                <w:b/>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Cond.</w:t>
            </w:r>
          </w:p>
        </w:tc>
      </w:tr>
      <w:tr w:rsidR="002E7B42" w:rsidRPr="00461AF3" w:rsidTr="00B818F3">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firstLine="709"/>
              <w:jc w:val="both"/>
              <w:rPr>
                <w:rFonts w:asciiTheme="minorHAnsi" w:hAnsiTheme="minorHAnsi" w:cstheme="minorHAnsi"/>
                <w:lang w:val="ro-RO"/>
              </w:rPr>
            </w:pPr>
            <w:r w:rsidRPr="00461AF3">
              <w:rPr>
                <w:rFonts w:asciiTheme="minorHAnsi" w:hAnsiTheme="minorHAnsi" w:cstheme="minorHAnsi"/>
                <w:lang w:val="ro-RO"/>
              </w:rPr>
              <w:t>PÎCCJ (</w:t>
            </w:r>
            <w:r w:rsidRPr="00461AF3">
              <w:rPr>
                <w:rFonts w:asciiTheme="minorHAnsi" w:hAnsiTheme="minorHAnsi" w:cstheme="minorHAnsi"/>
                <w:i/>
                <w:lang w:val="ro-RO"/>
              </w:rPr>
              <w:t>inclusiv DNA, DIICOT şi Secţia parchetelor militare</w:t>
            </w:r>
            <w:r w:rsidRPr="00461AF3">
              <w:rPr>
                <w:rFonts w:asciiTheme="minorHAnsi" w:hAnsiTheme="minorHAnsi" w:cstheme="minorHAnsi"/>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both"/>
              <w:rPr>
                <w:rFonts w:asciiTheme="minorHAnsi" w:hAnsiTheme="minorHAnsi" w:cstheme="minorHAnsi"/>
                <w:b/>
                <w:lang w:val="ro-RO"/>
              </w:rPr>
            </w:pPr>
            <w:r w:rsidRPr="00461AF3">
              <w:rPr>
                <w:rFonts w:asciiTheme="minorHAnsi" w:hAnsiTheme="minorHAnsi" w:cstheme="minorHAnsi"/>
                <w:b/>
                <w:lang w:val="ro-RO"/>
              </w:rPr>
              <w:t>647</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510</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137</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83</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28</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55</w:t>
            </w:r>
          </w:p>
        </w:tc>
      </w:tr>
      <w:tr w:rsidR="002E7B42" w:rsidRPr="00461AF3" w:rsidTr="00B818F3">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firstLine="709"/>
              <w:jc w:val="both"/>
              <w:rPr>
                <w:rFonts w:asciiTheme="minorHAnsi" w:hAnsiTheme="minorHAnsi" w:cstheme="minorHAnsi"/>
                <w:lang w:val="ro-RO"/>
              </w:rPr>
            </w:pPr>
            <w:r w:rsidRPr="00461AF3">
              <w:rPr>
                <w:rFonts w:asciiTheme="minorHAnsi" w:hAnsiTheme="minorHAnsi" w:cstheme="minorHAnsi"/>
                <w:lang w:val="ro-RO"/>
              </w:rPr>
              <w:t>Parchetele de pe lângă curţile de apel (</w:t>
            </w:r>
            <w:r w:rsidRPr="00461AF3">
              <w:rPr>
                <w:rFonts w:asciiTheme="minorHAnsi" w:hAnsiTheme="minorHAnsi" w:cstheme="minorHAnsi"/>
                <w:i/>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281</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190</w:t>
            </w:r>
            <w:r w:rsidRPr="00461AF3">
              <w:rPr>
                <w:rFonts w:asciiTheme="minorHAnsi" w:hAnsiTheme="minorHAnsi" w:cstheme="minorHAnsi"/>
                <w:vertAlign w:val="superscript"/>
                <w:lang w:val="ro-RO"/>
              </w:rPr>
              <w:footnoteReference w:id="3"/>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19</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6</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4</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9</w:t>
            </w:r>
          </w:p>
        </w:tc>
      </w:tr>
      <w:tr w:rsidR="002E7B42" w:rsidRPr="00461AF3"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firstLine="709"/>
              <w:jc w:val="both"/>
              <w:rPr>
                <w:rFonts w:asciiTheme="minorHAnsi" w:hAnsiTheme="minorHAnsi" w:cstheme="minorHAnsi"/>
                <w:lang w:val="ro-RO"/>
              </w:rPr>
            </w:pPr>
            <w:r w:rsidRPr="00461AF3">
              <w:rPr>
                <w:rFonts w:asciiTheme="minorHAnsi" w:hAnsiTheme="minorHAnsi" w:cstheme="minorHAnsi"/>
                <w:lang w:val="ro-RO"/>
              </w:rPr>
              <w:t>Parchetele de pe lângă  tribunale (</w:t>
            </w:r>
            <w:r w:rsidRPr="00461AF3">
              <w:rPr>
                <w:rFonts w:asciiTheme="minorHAnsi" w:hAnsiTheme="minorHAnsi" w:cstheme="minorHAnsi"/>
                <w:i/>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724</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521</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11</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192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94</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44</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5</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45</w:t>
            </w:r>
          </w:p>
        </w:tc>
      </w:tr>
      <w:tr w:rsidR="002E7B42" w:rsidRPr="00461AF3"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firstLine="709"/>
              <w:jc w:val="both"/>
              <w:rPr>
                <w:rFonts w:asciiTheme="minorHAnsi" w:hAnsiTheme="minorHAnsi" w:cstheme="minorHAnsi"/>
                <w:lang w:val="ro-RO"/>
              </w:rPr>
            </w:pPr>
            <w:r w:rsidRPr="00461AF3">
              <w:rPr>
                <w:rFonts w:asciiTheme="minorHAnsi" w:hAnsiTheme="minorHAnsi" w:cstheme="minorHAnsi"/>
                <w:lang w:val="ro-RO"/>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1364</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1122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19</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223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228</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132</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14</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lang w:val="ro-RO"/>
              </w:rPr>
            </w:pPr>
            <w:r w:rsidRPr="00461AF3">
              <w:rPr>
                <w:rFonts w:asciiTheme="minorHAnsi" w:hAnsiTheme="minorHAnsi" w:cstheme="minorHAnsi"/>
                <w:lang w:val="ro-RO"/>
              </w:rPr>
              <w:t>82</w:t>
            </w:r>
          </w:p>
        </w:tc>
      </w:tr>
      <w:tr w:rsidR="002E7B42" w:rsidRPr="00461AF3" w:rsidTr="00B818F3">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firstLine="709"/>
              <w:jc w:val="both"/>
              <w:rPr>
                <w:rFonts w:asciiTheme="minorHAnsi" w:hAnsiTheme="minorHAnsi" w:cstheme="minorHAnsi"/>
                <w:b/>
                <w:lang w:val="ro-RO"/>
              </w:rPr>
            </w:pPr>
            <w:r w:rsidRPr="00461AF3">
              <w:rPr>
                <w:rFonts w:asciiTheme="minorHAnsi" w:hAnsiTheme="minorHAnsi" w:cstheme="minorHAnsi"/>
                <w:b/>
                <w:lang w:val="ro-RO"/>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3016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2343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46</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627</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424</w:t>
            </w:r>
          </w:p>
        </w:tc>
        <w:tc>
          <w:tcPr>
            <w:tcW w:w="851"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210</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23</w:t>
            </w:r>
          </w:p>
        </w:tc>
        <w:tc>
          <w:tcPr>
            <w:tcW w:w="850" w:type="dxa"/>
            <w:tcBorders>
              <w:top w:val="single" w:sz="4" w:space="0" w:color="auto"/>
              <w:left w:val="single" w:sz="4" w:space="0" w:color="auto"/>
              <w:bottom w:val="single" w:sz="4" w:space="0" w:color="auto"/>
              <w:right w:val="single" w:sz="4" w:space="0" w:color="auto"/>
            </w:tcBorders>
            <w:vAlign w:val="center"/>
          </w:tcPr>
          <w:p w:rsidR="002E7B42" w:rsidRPr="00461AF3" w:rsidRDefault="002E7B42" w:rsidP="00B818F3">
            <w:pPr>
              <w:numPr>
                <w:ilvl w:val="1"/>
                <w:numId w:val="0"/>
              </w:numPr>
              <w:spacing w:after="180"/>
              <w:ind w:right="48"/>
              <w:jc w:val="center"/>
              <w:rPr>
                <w:rFonts w:asciiTheme="minorHAnsi" w:hAnsiTheme="minorHAnsi" w:cstheme="minorHAnsi"/>
                <w:b/>
                <w:lang w:val="ro-RO"/>
              </w:rPr>
            </w:pPr>
            <w:r w:rsidRPr="00461AF3">
              <w:rPr>
                <w:rFonts w:asciiTheme="minorHAnsi" w:hAnsiTheme="minorHAnsi" w:cstheme="minorHAnsi"/>
                <w:b/>
                <w:lang w:val="ro-RO"/>
              </w:rPr>
              <w:t>191</w:t>
            </w:r>
          </w:p>
        </w:tc>
      </w:tr>
    </w:tbl>
    <w:p w:rsidR="002E7B42" w:rsidRPr="00860724" w:rsidRDefault="002E7B42" w:rsidP="002E7B42">
      <w:pPr>
        <w:ind w:firstLine="708"/>
        <w:jc w:val="both"/>
        <w:rPr>
          <w:lang w:val="ro-RO"/>
        </w:rPr>
      </w:pPr>
    </w:p>
    <w:p w:rsidR="002E7B42" w:rsidRPr="00860724" w:rsidRDefault="002E7B42" w:rsidP="00461AF3">
      <w:pPr>
        <w:spacing w:line="276" w:lineRule="auto"/>
        <w:ind w:firstLine="708"/>
        <w:jc w:val="both"/>
        <w:rPr>
          <w:lang w:val="ro-RO"/>
        </w:rPr>
      </w:pPr>
      <w:r w:rsidRPr="00860724">
        <w:rPr>
          <w:lang w:val="ro-RO"/>
        </w:rPr>
        <w:t xml:space="preserve">La data de 1 ianuarie 2018, </w:t>
      </w:r>
      <w:r w:rsidRPr="00860724">
        <w:rPr>
          <w:b/>
          <w:lang w:val="ro-RO"/>
        </w:rPr>
        <w:t>la nivelul parchetelor, din totalul de 3016 posturi de procuror</w:t>
      </w:r>
      <w:r w:rsidRPr="00860724">
        <w:rPr>
          <w:lang w:val="ro-RO"/>
        </w:rPr>
        <w:t xml:space="preserve"> (au fost incluse şi cele 46 de posturi acordate potrivit art.134¹ din Legea nr.304/2004) </w:t>
      </w:r>
      <w:r w:rsidRPr="00860724">
        <w:rPr>
          <w:b/>
          <w:lang w:val="ro-RO"/>
        </w:rPr>
        <w:t>erau ocupate 2591 de posturi</w:t>
      </w:r>
      <w:r w:rsidRPr="00860724">
        <w:rPr>
          <w:lang w:val="ro-RO"/>
        </w:rPr>
        <w:t xml:space="preserve"> (sunt incluse şi 23 de posturi acordate potrivit art.134¹ din Legea nr.304/2004– 12 la parchetele de pe lângă curţile de apel, 6 la parchetele de pe lângă tribunale şi 5 la parchetele de pe lângă judecătorii) </w:t>
      </w:r>
      <w:r w:rsidRPr="00860724">
        <w:rPr>
          <w:b/>
          <w:lang w:val="ro-RO"/>
        </w:rPr>
        <w:t>şi vacante 424 posturi</w:t>
      </w:r>
      <w:r w:rsidRPr="00860724">
        <w:rPr>
          <w:lang w:val="ro-RO"/>
        </w:rPr>
        <w:t xml:space="preserve"> (sunt incluse şi 23 de posturi acordate potrivit art.134¹ din Legea nr.304/2004), din care 233 erau corespunzătoare funcţiilor de execuţie, iar 191 funcţiilor de conducere.</w:t>
      </w:r>
    </w:p>
    <w:p w:rsidR="002E7B42" w:rsidRPr="00860724" w:rsidRDefault="002E7B42" w:rsidP="00461AF3">
      <w:pPr>
        <w:spacing w:line="276" w:lineRule="auto"/>
        <w:jc w:val="both"/>
        <w:rPr>
          <w:lang w:val="ro-RO"/>
        </w:rPr>
      </w:pPr>
      <w:r w:rsidRPr="00860724">
        <w:rPr>
          <w:lang w:val="ro-RO"/>
        </w:rPr>
        <w:tab/>
        <w:t>Din totalul celor 2591 posturi de procuror ocupate, 28 de procurori funcţionau peste schema prevăzută (4 procurori la Parchetul de pe lângă Înalta Curte de Casaţie şi Justiţie, 5 procurori la parchetele de pe lângă curţile de apel, 12  procurori la parchetele de pe lângă tribunale şi 7 procurori la parchetele de pe lângă judecătorii).</w:t>
      </w:r>
    </w:p>
    <w:p w:rsidR="002E7B42" w:rsidRPr="00860724" w:rsidRDefault="002E7B42" w:rsidP="00461AF3">
      <w:pPr>
        <w:spacing w:line="276" w:lineRule="auto"/>
        <w:jc w:val="both"/>
        <w:rPr>
          <w:lang w:val="ro-RO"/>
        </w:rPr>
      </w:pPr>
    </w:p>
    <w:p w:rsidR="002E7B42" w:rsidRPr="00860724" w:rsidRDefault="002E7B42" w:rsidP="00461AF3">
      <w:pPr>
        <w:spacing w:line="276" w:lineRule="auto"/>
        <w:jc w:val="both"/>
        <w:rPr>
          <w:lang w:val="ro-RO"/>
        </w:rPr>
      </w:pPr>
      <w:r w:rsidRPr="00860724">
        <w:rPr>
          <w:lang w:val="ro-RO"/>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2E7B42" w:rsidRDefault="002E7B42" w:rsidP="00461AF3">
      <w:pPr>
        <w:spacing w:line="276" w:lineRule="auto"/>
        <w:jc w:val="both"/>
        <w:rPr>
          <w:lang w:val="ro-RO"/>
        </w:rPr>
      </w:pPr>
    </w:p>
    <w:p w:rsidR="00461AF3" w:rsidRPr="00860724" w:rsidRDefault="00461AF3" w:rsidP="00461AF3">
      <w:pPr>
        <w:spacing w:line="276" w:lineRule="auto"/>
        <w:jc w:val="both"/>
        <w:rPr>
          <w:lang w:val="ro-RO"/>
        </w:rPr>
      </w:pPr>
    </w:p>
    <w:p w:rsidR="002E7B42" w:rsidRPr="00860724" w:rsidRDefault="002E7B42" w:rsidP="00461AF3">
      <w:pPr>
        <w:spacing w:line="276" w:lineRule="auto"/>
        <w:jc w:val="both"/>
        <w:rPr>
          <w:rFonts w:cs="Calibri"/>
          <w:b/>
          <w:i/>
          <w:lang w:val="ro-RO"/>
        </w:rPr>
      </w:pPr>
      <w:r w:rsidRPr="00860724">
        <w:rPr>
          <w:rFonts w:cs="Calibri"/>
          <w:lang w:val="ro-RO"/>
        </w:rPr>
        <w:tab/>
      </w:r>
      <w:r w:rsidRPr="00860724">
        <w:rPr>
          <w:rFonts w:cs="Calibri"/>
          <w:b/>
          <w:i/>
          <w:lang w:val="ro-RO"/>
        </w:rPr>
        <w:t>Aspecte relevante privind personalul auxiliar</w:t>
      </w:r>
    </w:p>
    <w:p w:rsidR="002E7B42" w:rsidRPr="00860724" w:rsidRDefault="002E7B42" w:rsidP="00461AF3">
      <w:pPr>
        <w:spacing w:line="276" w:lineRule="auto"/>
        <w:jc w:val="both"/>
        <w:rPr>
          <w:rFonts w:cs="Calibri"/>
          <w:b/>
          <w:i/>
          <w:lang w:val="ro-RO"/>
        </w:rPr>
      </w:pPr>
    </w:p>
    <w:p w:rsidR="002E7B42" w:rsidRPr="00860724" w:rsidRDefault="002E7B42" w:rsidP="00461AF3">
      <w:pPr>
        <w:spacing w:line="276" w:lineRule="auto"/>
        <w:ind w:firstLine="720"/>
        <w:jc w:val="both"/>
        <w:rPr>
          <w:lang w:val="ro-RO"/>
        </w:rPr>
      </w:pPr>
      <w:r w:rsidRPr="00860724">
        <w:rPr>
          <w:lang w:val="ro-RO"/>
        </w:rPr>
        <w:t xml:space="preserve">Potrivit datelor comunicate de parchetele de pe lângă curţile de apel, la sfârşitul anului 2017, în statele de funcţii şi de personal ale acestor parchete erau prevăzute un număr total de </w:t>
      </w:r>
      <w:r w:rsidRPr="00860724">
        <w:rPr>
          <w:b/>
          <w:lang w:val="ro-RO"/>
        </w:rPr>
        <w:t>1672</w:t>
      </w:r>
      <w:r w:rsidRPr="00860724">
        <w:rPr>
          <w:lang w:val="ro-RO"/>
        </w:rPr>
        <w:t xml:space="preserve"> posturi (grefier, grefier statistician, grefier documentarist, grefier arhivar, grefier registrator şi specialist IT) ,din care </w:t>
      </w:r>
      <w:r w:rsidRPr="00860724">
        <w:rPr>
          <w:b/>
          <w:lang w:val="ro-RO"/>
        </w:rPr>
        <w:t xml:space="preserve">1592 </w:t>
      </w:r>
      <w:r w:rsidRPr="00860724">
        <w:rPr>
          <w:lang w:val="ro-RO"/>
        </w:rPr>
        <w:t xml:space="preserve">posturi erau ocupate, iar </w:t>
      </w:r>
      <w:r w:rsidRPr="00860724">
        <w:rPr>
          <w:b/>
          <w:lang w:val="ro-RO"/>
        </w:rPr>
        <w:t xml:space="preserve">80 </w:t>
      </w:r>
      <w:r w:rsidRPr="00860724">
        <w:rPr>
          <w:lang w:val="ro-RO"/>
        </w:rPr>
        <w:t xml:space="preserve"> vacante. Detaliat, din cele 1467 de posturi de grefier prevăzute, 1408 erau ocupate, iar 59 vacante, 1 post de grefier documentarist prevăzut era ocupat, din cele 45 posturi de grefier arhivar, 43 erau ocupate, iar 2 vacante şi din cele 159 de posturi de specialist IT, 140 erau ocupate, iar 19 vacante.</w:t>
      </w:r>
    </w:p>
    <w:p w:rsidR="002E7B42" w:rsidRPr="00860724" w:rsidRDefault="002E7B42" w:rsidP="00461AF3">
      <w:pPr>
        <w:spacing w:line="276" w:lineRule="auto"/>
        <w:ind w:firstLine="720"/>
        <w:jc w:val="both"/>
        <w:rPr>
          <w:lang w:val="ro-RO"/>
        </w:rPr>
      </w:pPr>
    </w:p>
    <w:p w:rsidR="002E7B42" w:rsidRPr="00860724" w:rsidRDefault="002E7B42" w:rsidP="00461AF3">
      <w:pPr>
        <w:spacing w:line="276" w:lineRule="auto"/>
        <w:ind w:firstLine="720"/>
        <w:jc w:val="both"/>
        <w:rPr>
          <w:lang w:val="ro-RO"/>
        </w:rPr>
      </w:pPr>
      <w:r w:rsidRPr="00860724">
        <w:rPr>
          <w:lang w:val="ro-RO"/>
        </w:rPr>
        <w:t xml:space="preserve">La Parchetul de pe lângă Înalta Curte de Casaţie şi Justiţie (inclusiv Secţia parchetelor militare, Direcţia Naţională Anticorupţie şi Direcţia de Investigare a Infracţiunilor de Criminalitate Organizată şi Terorism ) erau prevăzute </w:t>
      </w:r>
      <w:r w:rsidRPr="00860724">
        <w:rPr>
          <w:b/>
          <w:lang w:val="ro-RO"/>
        </w:rPr>
        <w:t>446</w:t>
      </w:r>
      <w:r w:rsidRPr="00860724">
        <w:rPr>
          <w:lang w:val="ro-RO"/>
        </w:rPr>
        <w:t xml:space="preserve"> posturi (grefier, grefier statistician, grefier documentarist, grefier arhivar, grefier registrator şi specialist IT) din care </w:t>
      </w:r>
      <w:r w:rsidRPr="00860724">
        <w:rPr>
          <w:b/>
          <w:lang w:val="ro-RO"/>
        </w:rPr>
        <w:t xml:space="preserve">411 </w:t>
      </w:r>
      <w:r w:rsidRPr="00860724">
        <w:rPr>
          <w:lang w:val="ro-RO"/>
        </w:rPr>
        <w:t xml:space="preserve">erau ocupate şi </w:t>
      </w:r>
      <w:r w:rsidRPr="00860724">
        <w:rPr>
          <w:b/>
          <w:lang w:val="ro-RO"/>
        </w:rPr>
        <w:t>35</w:t>
      </w:r>
      <w:r w:rsidRPr="00860724">
        <w:rPr>
          <w:lang w:val="ro-RO"/>
        </w:rPr>
        <w:t xml:space="preserve"> vacante. </w:t>
      </w:r>
    </w:p>
    <w:p w:rsidR="00625F9B" w:rsidRPr="00860724" w:rsidRDefault="00625F9B" w:rsidP="00461AF3">
      <w:pPr>
        <w:pStyle w:val="Frspaiere"/>
        <w:spacing w:line="276" w:lineRule="auto"/>
        <w:jc w:val="both"/>
        <w:rPr>
          <w:sz w:val="24"/>
          <w:szCs w:val="24"/>
          <w:lang w:val="ro-RO"/>
        </w:rPr>
      </w:pPr>
    </w:p>
    <w:p w:rsidR="00625F9B" w:rsidRPr="00860724" w:rsidRDefault="00450FA7" w:rsidP="00461AF3">
      <w:pPr>
        <w:pStyle w:val="Titlu2"/>
        <w:rPr>
          <w:lang w:eastAsia="ro-RO"/>
        </w:rPr>
      </w:pPr>
      <w:bookmarkStart w:id="74" w:name="_Toc504987139"/>
      <w:r w:rsidRPr="00860724">
        <w:t>IV.2</w:t>
      </w:r>
      <w:r w:rsidR="00590D14" w:rsidRPr="00860724">
        <w:t xml:space="preserve">. </w:t>
      </w:r>
      <w:r w:rsidR="004A6CF6" w:rsidRPr="00860724">
        <w:t>Situaţia sancţiunilor disciplinare şi penal</w:t>
      </w:r>
      <w:r w:rsidRPr="00860724">
        <w:t>e aplicate în cursul anului 2017</w:t>
      </w:r>
      <w:r w:rsidR="004A6CF6" w:rsidRPr="00860724">
        <w:t xml:space="preserve"> pe fiecare categorie</w:t>
      </w:r>
      <w:r w:rsidR="004A6CF6" w:rsidRPr="00860724">
        <w:rPr>
          <w:lang w:eastAsia="ro-RO"/>
        </w:rPr>
        <w:t xml:space="preserve"> de personal</w:t>
      </w:r>
      <w:bookmarkEnd w:id="74"/>
    </w:p>
    <w:p w:rsidR="007C572E" w:rsidRPr="00860724" w:rsidRDefault="007C572E" w:rsidP="00461AF3">
      <w:pPr>
        <w:numPr>
          <w:ilvl w:val="1"/>
          <w:numId w:val="0"/>
        </w:numPr>
        <w:spacing w:line="276" w:lineRule="auto"/>
        <w:ind w:right="48" w:firstLine="540"/>
        <w:jc w:val="both"/>
        <w:rPr>
          <w:rFonts w:asciiTheme="minorHAnsi" w:hAnsiTheme="minorHAnsi" w:cs="Arial"/>
          <w:b/>
          <w:lang w:val="ro-RO"/>
        </w:rPr>
      </w:pPr>
      <w:r w:rsidRPr="00860724">
        <w:rPr>
          <w:rFonts w:asciiTheme="minorHAnsi" w:hAnsiTheme="minorHAnsi" w:cs="Arial"/>
          <w:b/>
          <w:lang w:val="ro-RO"/>
        </w:rPr>
        <w:t>În cursul anului 2017, pe rolul Secţiei pentru procurori în materie disciplinară s-au înregistrat 11 cauze noi, iar în stoc, la data de 01.01.2017, se aflau 9 dosare.</w:t>
      </w:r>
    </w:p>
    <w:p w:rsidR="007C572E" w:rsidRPr="00860724" w:rsidRDefault="007C572E" w:rsidP="00461AF3">
      <w:pPr>
        <w:numPr>
          <w:ilvl w:val="1"/>
          <w:numId w:val="0"/>
        </w:numPr>
        <w:spacing w:line="276" w:lineRule="auto"/>
        <w:ind w:right="48" w:firstLine="540"/>
        <w:jc w:val="both"/>
        <w:rPr>
          <w:rFonts w:asciiTheme="minorHAnsi" w:hAnsiTheme="minorHAnsi" w:cs="Arial"/>
          <w:lang w:val="ro-RO"/>
        </w:rPr>
      </w:pPr>
      <w:r w:rsidRPr="00860724">
        <w:rPr>
          <w:rFonts w:asciiTheme="minorHAnsi" w:hAnsiTheme="minorHAnsi" w:cs="Arial"/>
          <w:lang w:val="ro-RO"/>
        </w:rPr>
        <w:tab/>
        <w:t xml:space="preserve">În urma soluţionării acţiunilor disciplinare, </w:t>
      </w:r>
      <w:r w:rsidRPr="00860724">
        <w:rPr>
          <w:rFonts w:asciiTheme="minorHAnsi" w:hAnsiTheme="minorHAnsi" w:cs="Arial"/>
          <w:b/>
          <w:lang w:val="ro-RO"/>
        </w:rPr>
        <w:t>Secţia pentru procurori în materie disciplinară</w:t>
      </w:r>
      <w:r w:rsidRPr="00860724">
        <w:rPr>
          <w:rFonts w:asciiTheme="minorHAnsi" w:hAnsiTheme="minorHAnsi" w:cs="Arial"/>
          <w:lang w:val="ro-RO"/>
        </w:rPr>
        <w:t xml:space="preserve">  a aplicat, în cursul anului 2017, </w:t>
      </w:r>
      <w:r w:rsidRPr="00860724">
        <w:rPr>
          <w:rFonts w:asciiTheme="minorHAnsi" w:hAnsiTheme="minorHAnsi" w:cs="Arial"/>
          <w:b/>
          <w:lang w:val="ro-RO"/>
        </w:rPr>
        <w:t>10 sancţiuni disciplinare</w:t>
      </w:r>
      <w:r w:rsidRPr="00860724">
        <w:rPr>
          <w:rFonts w:asciiTheme="minorHAnsi" w:hAnsiTheme="minorHAnsi" w:cs="Arial"/>
          <w:lang w:val="ro-RO"/>
        </w:rPr>
        <w:t xml:space="preserve"> (o excludere din magistratură, 5 sancţiuni de diminuare a indemnizaţiei de încadrare brute lunare şi 4 avertismente), situaţia detaliată a acestor sancţiuni fiind următoarea:</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lang w:val="ro-RO"/>
        </w:rPr>
        <w:t xml:space="preserve">- </w:t>
      </w:r>
      <w:r w:rsidRPr="00860724">
        <w:rPr>
          <w:rFonts w:asciiTheme="minorHAnsi" w:hAnsiTheme="minorHAnsi" w:cs="Arial"/>
          <w:b/>
          <w:lang w:val="ro-RO"/>
        </w:rPr>
        <w:t xml:space="preserve">„diminuarea indemnizaţiei de încadrare lunare brute cu 20% pe o perioadă de 6 luni” </w:t>
      </w:r>
      <w:r w:rsidRPr="00860724">
        <w:rPr>
          <w:rFonts w:asciiTheme="minorHAnsi" w:hAnsiTheme="minorHAnsi" w:cs="Arial"/>
          <w:lang w:val="ro-RO"/>
        </w:rPr>
        <w:t>aplicată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s) din Legea nr. 303/2004 – Hotărârea Secţiei pentru procurori în materie disciplinară a Consiliului Superior al Magistraturii nr. 2P/9.02.2017; hotărârea nu este definitivă.</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 „avertisment” </w:t>
      </w:r>
      <w:r w:rsidRPr="00860724">
        <w:rPr>
          <w:rFonts w:asciiTheme="minorHAnsi" w:hAnsiTheme="minorHAnsi" w:cs="Arial"/>
          <w:lang w:val="ro-RO"/>
        </w:rPr>
        <w:t>aplicat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m) şi k) din Legea nr. 303/2004, fiind respinsă acţiunea disciplinară pentru săvârşirea abaterilor disciplinare prev. de art. 99 lit.h) şi t) din acelaşi act normativ – Hotărârea Secţiei pentru procurori în materie disciplinară a Consiliului Superior al Magistraturii nr. 4P/26.04.2017; hotărârea nu este definitivă.</w:t>
      </w:r>
      <w:r w:rsidRPr="00860724">
        <w:rPr>
          <w:rFonts w:asciiTheme="minorHAnsi" w:hAnsiTheme="minorHAnsi" w:cs="Arial"/>
          <w:lang w:val="ro-RO"/>
        </w:rPr>
        <w:tab/>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„diminuarea indemnizaţiei de încadrare lunare brute cu 20% pe o perioadă de 2 luni” </w:t>
      </w:r>
      <w:r w:rsidRPr="00860724">
        <w:rPr>
          <w:rFonts w:asciiTheme="minorHAnsi" w:hAnsiTheme="minorHAnsi" w:cs="Arial"/>
          <w:lang w:val="ro-RO"/>
        </w:rPr>
        <w:t>aplicată procurorului</w:t>
      </w:r>
      <w:r w:rsidRPr="00860724">
        <w:rPr>
          <w:rFonts w:asciiTheme="minorHAnsi" w:hAnsiTheme="minorHAnsi" w:cs="Arial"/>
          <w:b/>
          <w:lang w:val="ro-RO"/>
        </w:rPr>
        <w:t xml:space="preserve"> X </w:t>
      </w:r>
      <w:r w:rsidRPr="00860724">
        <w:rPr>
          <w:rFonts w:asciiTheme="minorHAnsi" w:hAnsiTheme="minorHAnsi" w:cs="Arial"/>
          <w:lang w:val="ro-RO"/>
        </w:rPr>
        <w:t>de la D.I.I.C.O.T., pentru săvârşirea abaterii disciplinare prev. de art. 99 lit. a) şi n) din Legea nr. 303/2004 – Hotărârea Secţiei pentru procurori în materie disciplinară a Consiliului Superior al Magistraturii nr. 5P/26.04.2017; hotărârea nu este definitivă.</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„diminuarea indemnizaţiei de încadrare lunare brute cu 10% pe o perioadă de 2 luni” </w:t>
      </w:r>
      <w:r w:rsidRPr="00860724">
        <w:rPr>
          <w:rFonts w:asciiTheme="minorHAnsi" w:hAnsiTheme="minorHAnsi" w:cs="Arial"/>
          <w:lang w:val="ro-RO"/>
        </w:rPr>
        <w:t>aplicată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h) din Legea nr. 303/2004 – Hotărârea Secţiei pentru procurori în materie disciplinară a Consiliului Superior al Magistraturii nr. 6P/26.05.2017; hotărârea nu este definitivă.</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„excludere din magistratură” </w:t>
      </w:r>
      <w:r w:rsidRPr="00860724">
        <w:rPr>
          <w:rFonts w:asciiTheme="minorHAnsi" w:hAnsiTheme="minorHAnsi" w:cs="Arial"/>
          <w:lang w:val="ro-RO"/>
        </w:rPr>
        <w:t>aplicată procurorului</w:t>
      </w:r>
      <w:r w:rsidRPr="00860724">
        <w:rPr>
          <w:rFonts w:asciiTheme="minorHAnsi" w:hAnsiTheme="minorHAnsi" w:cs="Arial"/>
          <w:b/>
          <w:lang w:val="ro-RO"/>
        </w:rPr>
        <w:t xml:space="preserve"> X </w:t>
      </w:r>
      <w:r w:rsidRPr="00860724">
        <w:rPr>
          <w:rFonts w:asciiTheme="minorHAnsi" w:hAnsiTheme="minorHAnsi" w:cs="Arial"/>
          <w:lang w:val="ro-RO"/>
        </w:rPr>
        <w:t>de la Parchetul Y, pentru săvârşirea abaterilor disciplinare prev. de art. 99 lit. s) teza a II-a şi t) teza I din Legea nr. 303/2004– Hotărârea Secţiei pentru procurori în materie disciplinară a Consiliului Superior al Magistraturii nr. 8P/28.06.2017; hotărârea nu este definitivă.</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„avertisment” </w:t>
      </w:r>
      <w:r w:rsidRPr="00860724">
        <w:rPr>
          <w:rFonts w:asciiTheme="minorHAnsi" w:hAnsiTheme="minorHAnsi" w:cs="Arial"/>
          <w:lang w:val="ro-RO"/>
        </w:rPr>
        <w:t>aplicat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a) din Legea nr. 303/2004– Hotărârea Secţiei pentru procurori în materie disciplinară a Consiliului Superior al Magistraturii nr. 9P/5.07.2017; hotărârea nu este definitivă.</w:t>
      </w:r>
      <w:r w:rsidRPr="00860724">
        <w:rPr>
          <w:rFonts w:asciiTheme="minorHAnsi" w:hAnsiTheme="minorHAnsi" w:cs="Arial"/>
          <w:lang w:val="ro-RO"/>
        </w:rPr>
        <w:tab/>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„diminuarea indemnizaţiei de încadrare lunare brute cu 10% pe o perioadă de 2 luni” </w:t>
      </w:r>
      <w:r w:rsidRPr="00860724">
        <w:rPr>
          <w:rFonts w:asciiTheme="minorHAnsi" w:hAnsiTheme="minorHAnsi" w:cs="Arial"/>
          <w:lang w:val="ro-RO"/>
        </w:rPr>
        <w:t>aplicată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g) şi h) din Legea nr. 303/2004 – Hotărârea Secţiei pentru procurori în materie disciplinară a Consiliului Superior al Magistraturii nr. 10P/20.09.2017; hotărârea nu este definitivă.</w:t>
      </w:r>
    </w:p>
    <w:p w:rsidR="007C572E" w:rsidRPr="00860724" w:rsidRDefault="007C572E" w:rsidP="00461AF3">
      <w:pPr>
        <w:spacing w:line="276" w:lineRule="auto"/>
        <w:ind w:firstLine="540"/>
        <w:jc w:val="both"/>
        <w:rPr>
          <w:rFonts w:asciiTheme="minorHAnsi" w:hAnsiTheme="minorHAnsi" w:cs="Arial"/>
          <w:b/>
          <w:lang w:val="ro-RO"/>
        </w:rPr>
      </w:pPr>
      <w:r w:rsidRPr="00860724">
        <w:rPr>
          <w:rFonts w:asciiTheme="minorHAnsi" w:hAnsiTheme="minorHAnsi" w:cs="Arial"/>
          <w:b/>
          <w:lang w:val="ro-RO"/>
        </w:rPr>
        <w:t xml:space="preserve">- „diminuarea indemnizaţiei de încadrare lunare brute cu 20% pe o perioadă de 4 luni” </w:t>
      </w:r>
      <w:r w:rsidRPr="00860724">
        <w:rPr>
          <w:rFonts w:asciiTheme="minorHAnsi" w:hAnsiTheme="minorHAnsi" w:cs="Arial"/>
          <w:lang w:val="ro-RO"/>
        </w:rPr>
        <w:t>aplicată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a) din Legea nr. 303/2004 – Hotărârea Secţiei pentru procurori în materie disciplinară a Consiliului Superior al Magistraturii nr. 11P/20.09.2017; hotărârea nu este definitivă.</w:t>
      </w:r>
    </w:p>
    <w:p w:rsidR="007C572E" w:rsidRPr="00860724" w:rsidRDefault="007C572E" w:rsidP="00461AF3">
      <w:pPr>
        <w:spacing w:line="276" w:lineRule="auto"/>
        <w:ind w:firstLine="360"/>
        <w:jc w:val="both"/>
        <w:rPr>
          <w:rFonts w:asciiTheme="minorHAnsi" w:hAnsiTheme="minorHAnsi" w:cs="Arial"/>
          <w:b/>
          <w:lang w:val="ro-RO"/>
        </w:rPr>
      </w:pPr>
      <w:r w:rsidRPr="00860724">
        <w:rPr>
          <w:rFonts w:asciiTheme="minorHAnsi" w:hAnsiTheme="minorHAnsi" w:cs="Arial"/>
          <w:b/>
          <w:lang w:val="ro-RO"/>
        </w:rPr>
        <w:t xml:space="preserve">- „avertisment” </w:t>
      </w:r>
      <w:r w:rsidRPr="00860724">
        <w:rPr>
          <w:rFonts w:asciiTheme="minorHAnsi" w:hAnsiTheme="minorHAnsi" w:cs="Arial"/>
          <w:lang w:val="ro-RO"/>
        </w:rPr>
        <w:t>aplicat procurorului</w:t>
      </w:r>
      <w:r w:rsidRPr="00860724">
        <w:rPr>
          <w:rFonts w:asciiTheme="minorHAnsi" w:hAnsiTheme="minorHAnsi" w:cs="Arial"/>
          <w:b/>
          <w:lang w:val="ro-RO"/>
        </w:rPr>
        <w:tab/>
        <w:t xml:space="preserve"> X </w:t>
      </w:r>
      <w:r w:rsidRPr="00860724">
        <w:rPr>
          <w:rFonts w:asciiTheme="minorHAnsi" w:hAnsiTheme="minorHAnsi" w:cs="Arial"/>
          <w:lang w:val="ro-RO"/>
        </w:rPr>
        <w:t>de la Parchetul Y, pentru săvârşirea abaterii disciplinare prev. de art. 99 lit. h) teza a II-a din Legea nr. 303/2004 – Hotărârea Secţiei pentru procurori în materie disciplinară a Consiliului Superior al Magistraturii nr.  12P/17.10.2017; hotărârea nu este definitivă.</w:t>
      </w:r>
    </w:p>
    <w:p w:rsidR="007C572E" w:rsidRPr="00860724" w:rsidRDefault="007C572E" w:rsidP="00461AF3">
      <w:pPr>
        <w:spacing w:after="160" w:line="276" w:lineRule="auto"/>
        <w:ind w:firstLine="360"/>
        <w:jc w:val="both"/>
        <w:rPr>
          <w:rFonts w:asciiTheme="minorHAnsi" w:hAnsiTheme="minorHAnsi" w:cs="Arial"/>
          <w:b/>
          <w:lang w:val="ro-RO"/>
        </w:rPr>
      </w:pPr>
      <w:r w:rsidRPr="00860724">
        <w:rPr>
          <w:rFonts w:asciiTheme="minorHAnsi" w:hAnsiTheme="minorHAnsi" w:cs="Arial"/>
          <w:b/>
          <w:lang w:val="ro-RO"/>
        </w:rPr>
        <w:t xml:space="preserve">- „avertisment” </w:t>
      </w:r>
      <w:r w:rsidRPr="00860724">
        <w:rPr>
          <w:rFonts w:asciiTheme="minorHAnsi" w:hAnsiTheme="minorHAnsi" w:cs="Arial"/>
          <w:lang w:val="ro-RO"/>
        </w:rPr>
        <w:t>aplicată procurorului</w:t>
      </w:r>
      <w:r w:rsidRPr="00860724">
        <w:rPr>
          <w:rFonts w:asciiTheme="minorHAnsi" w:hAnsiTheme="minorHAnsi" w:cs="Arial"/>
          <w:lang w:val="ro-RO"/>
        </w:rPr>
        <w:tab/>
        <w:t xml:space="preserve"> X de la Parchetul Y, pentru săvârşirea abaterii disciplinare prev. de art. 99 lit. b), g) şi m)  din Legea nr. 303/2004, privind statutul judecătorilor şi procurorilor, republicată cu modificările şi completările ulterioare– Hotărârea Secţiei pentru procurori în materie disciplinară a Consiliului Superior al Magistraturii nr. 13P/13.12.2017; hotărârea nu este definitivă.</w:t>
      </w:r>
    </w:p>
    <w:p w:rsidR="007C572E" w:rsidRPr="00860724" w:rsidRDefault="007C572E" w:rsidP="00461AF3">
      <w:pPr>
        <w:spacing w:line="276" w:lineRule="auto"/>
        <w:ind w:firstLine="540"/>
        <w:jc w:val="both"/>
        <w:rPr>
          <w:rFonts w:asciiTheme="minorHAnsi" w:hAnsiTheme="minorHAnsi" w:cs="Arial"/>
          <w:lang w:val="ro-RO"/>
        </w:rPr>
      </w:pPr>
      <w:r w:rsidRPr="00860724">
        <w:rPr>
          <w:rFonts w:asciiTheme="minorHAnsi" w:hAnsiTheme="minorHAnsi" w:cs="Arial"/>
          <w:lang w:val="ro-RO"/>
        </w:rPr>
        <w:t xml:space="preserve">Într-un dosar, prin încheierea din 28.02.2017, s-a dispus </w:t>
      </w:r>
      <w:r w:rsidRPr="00860724">
        <w:rPr>
          <w:rFonts w:asciiTheme="minorHAnsi" w:hAnsiTheme="minorHAnsi" w:cs="Arial"/>
          <w:b/>
          <w:lang w:val="ro-RO"/>
        </w:rPr>
        <w:t xml:space="preserve">„suspendarea din funcţia de procuror” </w:t>
      </w:r>
      <w:r w:rsidRPr="00860724">
        <w:rPr>
          <w:rFonts w:asciiTheme="minorHAnsi" w:hAnsiTheme="minorHAnsi" w:cs="Arial"/>
          <w:lang w:val="ro-RO"/>
        </w:rPr>
        <w:t>în temeiul art. 52 alin. (1) teza a II-a din Legea nr. 317/2004, până la soluţionarea definitivă a acţiunii disciplinare ce face obiectul dosarului nr. 6/P/2017; încheierea este definitivă ca urmare a deciziei civile nr.270/23.10.2017, prin care s-a respins, ca nefondat, recursul.</w:t>
      </w:r>
    </w:p>
    <w:p w:rsidR="007C572E" w:rsidRPr="00860724" w:rsidRDefault="007C572E" w:rsidP="00461AF3">
      <w:pPr>
        <w:spacing w:line="276" w:lineRule="auto"/>
        <w:ind w:firstLine="540"/>
        <w:jc w:val="both"/>
        <w:rPr>
          <w:rFonts w:asciiTheme="minorHAnsi" w:hAnsiTheme="minorHAnsi"/>
          <w:lang w:val="ro-RO"/>
        </w:rPr>
      </w:pPr>
      <w:r w:rsidRPr="00860724">
        <w:rPr>
          <w:rFonts w:asciiTheme="minorHAnsi" w:hAnsiTheme="minorHAnsi" w:cs="Arial"/>
          <w:lang w:val="ro-RO"/>
        </w:rPr>
        <w:t xml:space="preserve">De asemenea, Secţia pentru procurori în materie disciplinară,  în cursul anului 2017 a respins un număr de 3 acţiuni disciplinare </w:t>
      </w:r>
      <w:r w:rsidRPr="00860724">
        <w:rPr>
          <w:rFonts w:asciiTheme="minorHAnsi" w:eastAsiaTheme="minorHAnsi" w:hAnsiTheme="minorHAnsi" w:cs="Arial"/>
          <w:b/>
          <w:i/>
          <w:lang w:val="ro-RO"/>
        </w:rPr>
        <w:t>şi a constatat nulitatea acţiunii disciplinare într-o singura cauză</w:t>
      </w:r>
      <w:r w:rsidRPr="00860724">
        <w:rPr>
          <w:rFonts w:asciiTheme="minorHAnsi" w:hAnsiTheme="minorHAnsi" w:cs="Arial"/>
          <w:lang w:val="ro-RO"/>
        </w:rPr>
        <w:t>.</w:t>
      </w:r>
    </w:p>
    <w:p w:rsidR="00B25D2C" w:rsidRPr="00860724" w:rsidRDefault="00B25D2C" w:rsidP="00461AF3">
      <w:pPr>
        <w:pStyle w:val="AddParagraf"/>
        <w:spacing w:line="276" w:lineRule="auto"/>
      </w:pPr>
    </w:p>
    <w:p w:rsidR="002E7B42" w:rsidRPr="00860724" w:rsidRDefault="002E7B42" w:rsidP="00461AF3">
      <w:pPr>
        <w:pStyle w:val="AddParagraf"/>
        <w:spacing w:line="276" w:lineRule="auto"/>
      </w:pPr>
      <w:r w:rsidRPr="00860724">
        <w:t>În cursul aceluiaşi an, au fost condamnați definitiv pentru infracţiuni de corupţie sau infracţiuni asimilate celor de corupţie 3 inculpați având calitatea de procuror.</w:t>
      </w:r>
    </w:p>
    <w:p w:rsidR="002E7B42" w:rsidRPr="00860724" w:rsidRDefault="002E7B42" w:rsidP="00461AF3">
      <w:pPr>
        <w:pStyle w:val="AddParagraf"/>
        <w:spacing w:line="276" w:lineRule="auto"/>
      </w:pPr>
      <w:r w:rsidRPr="00860724">
        <w:t xml:space="preserve">Totodată, Secţia pentru procurori a Consiliului Superior al Magistraturii  a hotărât  suspendarea din funcţie a </w:t>
      </w:r>
      <w:r w:rsidRPr="00860724">
        <w:rPr>
          <w:b/>
        </w:rPr>
        <w:t>8 procurori</w:t>
      </w:r>
      <w:r w:rsidRPr="00860724">
        <w:t xml:space="preserve"> (ca urmare a dispunerii faţă de aceştia a măsurii arestării preventive, a trimiterii în judecată pentru săvârşirea unor infracţiuni cu intenţie şi în conformitate cu prevederile art. 62 alin. 1 lit. b din Legea nr. 303/2004, republicată cu modificările şi completările ulterioare).</w:t>
      </w:r>
    </w:p>
    <w:p w:rsidR="002E7B42" w:rsidRPr="00860724" w:rsidRDefault="002E7B42" w:rsidP="00461AF3">
      <w:pPr>
        <w:pStyle w:val="AddParagraf"/>
        <w:spacing w:line="276" w:lineRule="auto"/>
      </w:pPr>
      <w:r w:rsidRPr="00860724">
        <w:t xml:space="preserve">În perioada de referinţă au fost aplicate personalului auxiliar din cadrul Ministerului Public </w:t>
      </w:r>
      <w:r w:rsidRPr="00860724">
        <w:rPr>
          <w:b/>
        </w:rPr>
        <w:t>5 sancţiuni disciplinare</w:t>
      </w:r>
      <w:r w:rsidRPr="00860724">
        <w:t>, după cum urmează:</w:t>
      </w:r>
    </w:p>
    <w:p w:rsidR="002E7B42" w:rsidRPr="00860724" w:rsidRDefault="002E7B42" w:rsidP="00461AF3">
      <w:pPr>
        <w:pStyle w:val="AddParagraf"/>
        <w:spacing w:line="276" w:lineRule="auto"/>
      </w:pPr>
      <w:r w:rsidRPr="00860724">
        <w:t>- 1 excludere din profesie, 2 sancţiuni cu avertisment şi 2 sancţiuni vizând reducerea drepturilor salariale.</w:t>
      </w:r>
    </w:p>
    <w:p w:rsidR="002E7B42" w:rsidRPr="00860724" w:rsidRDefault="002E7B42" w:rsidP="00461AF3">
      <w:pPr>
        <w:pStyle w:val="AddParagraf"/>
        <w:spacing w:line="276" w:lineRule="auto"/>
      </w:pPr>
      <w:r w:rsidRPr="00860724">
        <w:t>În 2017 nu s-au înregistrat trimiteri în judecată sau condamnări definitive pentru fapte penale aflate în legătură cu exerciţiul atribuţiilor de serviciu săvârşite de personalul auxiliar de specialitate din cadrul parchetelor.</w:t>
      </w:r>
    </w:p>
    <w:p w:rsidR="00625F9B" w:rsidRDefault="00625F9B"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122527" w:rsidP="00860724">
      <w:pPr>
        <w:pStyle w:val="Frspaiere"/>
        <w:spacing w:line="276" w:lineRule="auto"/>
        <w:jc w:val="both"/>
        <w:rPr>
          <w:sz w:val="24"/>
          <w:szCs w:val="24"/>
          <w:lang w:val="ro-RO"/>
        </w:rPr>
      </w:pPr>
    </w:p>
    <w:p w:rsidR="00122527" w:rsidRDefault="00264959" w:rsidP="000D005D">
      <w:pPr>
        <w:pStyle w:val="Titlu1"/>
      </w:pPr>
      <w:bookmarkStart w:id="75" w:name="_Toc504987140"/>
      <w:r w:rsidRPr="00860724">
        <w:t>Capitolul</w:t>
      </w:r>
      <w:r w:rsidR="00450FA7" w:rsidRPr="00860724">
        <w:t xml:space="preserve"> V</w:t>
      </w:r>
      <w:r w:rsidR="00590D14" w:rsidRPr="00860724">
        <w:t xml:space="preserve"> </w:t>
      </w:r>
    </w:p>
    <w:p w:rsidR="00625F9B" w:rsidRPr="00860724" w:rsidRDefault="00450FA7" w:rsidP="000D005D">
      <w:pPr>
        <w:pStyle w:val="Titlu1"/>
      </w:pPr>
      <w:r w:rsidRPr="00860724">
        <w:t>Formarea profesională a personalului</w:t>
      </w:r>
      <w:bookmarkEnd w:id="75"/>
    </w:p>
    <w:p w:rsidR="00FC422B" w:rsidRPr="00860724" w:rsidRDefault="00FC422B" w:rsidP="00461AF3">
      <w:pPr>
        <w:spacing w:line="276" w:lineRule="auto"/>
        <w:ind w:firstLine="720"/>
        <w:jc w:val="both"/>
        <w:rPr>
          <w:rFonts w:asciiTheme="minorHAnsi" w:hAnsiTheme="minorHAnsi"/>
          <w:b/>
          <w:i/>
          <w:lang w:val="ro-RO"/>
        </w:rPr>
      </w:pPr>
      <w:r w:rsidRPr="00860724">
        <w:rPr>
          <w:rFonts w:asciiTheme="minorHAnsi" w:hAnsiTheme="minorHAnsi"/>
          <w:b/>
          <w:i/>
          <w:lang w:val="ro-RO"/>
        </w:rPr>
        <w:t>A. judecători, procurori, magistraţi asistenţi, consilieri juridici asimilaţi judecătorilor şi procurorilor</w:t>
      </w:r>
    </w:p>
    <w:p w:rsidR="00FC422B" w:rsidRPr="00860724" w:rsidRDefault="00FC422B" w:rsidP="00461AF3">
      <w:pPr>
        <w:pStyle w:val="Listparagraf"/>
        <w:numPr>
          <w:ilvl w:val="0"/>
          <w:numId w:val="28"/>
        </w:numPr>
        <w:spacing w:line="276" w:lineRule="auto"/>
        <w:jc w:val="both"/>
        <w:rPr>
          <w:rFonts w:asciiTheme="minorHAnsi" w:hAnsiTheme="minorHAnsi" w:cs="Calibri"/>
          <w:b/>
          <w:lang w:val="ro-RO"/>
        </w:rPr>
      </w:pPr>
      <w:r w:rsidRPr="00860724">
        <w:rPr>
          <w:rFonts w:asciiTheme="minorHAnsi" w:hAnsiTheme="minorHAnsi" w:cs="Calibri"/>
          <w:b/>
          <w:lang w:val="ro-RO"/>
        </w:rPr>
        <w:t>Date referitoare la formarea inițială realizată de INM în cursul anului 2017</w:t>
      </w:r>
    </w:p>
    <w:p w:rsidR="00FC422B" w:rsidRPr="00860724" w:rsidRDefault="00FC422B" w:rsidP="00461AF3">
      <w:pPr>
        <w:spacing w:line="276" w:lineRule="auto"/>
        <w:ind w:right="43" w:firstLine="720"/>
        <w:jc w:val="both"/>
        <w:rPr>
          <w:rFonts w:asciiTheme="minorHAnsi" w:hAnsiTheme="minorHAnsi" w:cs="Calibri"/>
          <w:lang w:val="ro-RO"/>
        </w:rPr>
      </w:pPr>
      <w:bookmarkStart w:id="76" w:name="_Toc383085362"/>
      <w:bookmarkStart w:id="77" w:name="_Toc383085227"/>
    </w:p>
    <w:p w:rsidR="00FC422B" w:rsidRPr="00860724" w:rsidRDefault="00FC422B" w:rsidP="00461AF3">
      <w:pPr>
        <w:spacing w:line="276" w:lineRule="auto"/>
        <w:ind w:right="43" w:firstLine="720"/>
        <w:jc w:val="both"/>
        <w:rPr>
          <w:rFonts w:asciiTheme="minorHAnsi" w:hAnsiTheme="minorHAnsi" w:cs="Calibri"/>
          <w:lang w:val="ro-RO"/>
        </w:rPr>
      </w:pPr>
      <w:r w:rsidRPr="00860724">
        <w:rPr>
          <w:rFonts w:asciiTheme="minorHAnsi" w:hAnsiTheme="minorHAnsi" w:cs="Calibri"/>
          <w:lang w:val="ro-RO"/>
        </w:rPr>
        <w:t>Departamentul de formare inițială realizează procesul de formare inițială a viitorilor judecători și procurori, prin intermediul programului de formare aferent anului I de studiu și al programului de stagiu aferent anului al II-lea, programe aprobate de CSM, la propunerea Consiliului Științific al INM.</w:t>
      </w:r>
    </w:p>
    <w:p w:rsidR="00FC422B" w:rsidRPr="00860724" w:rsidRDefault="00FC422B" w:rsidP="00461AF3">
      <w:pPr>
        <w:spacing w:line="276" w:lineRule="auto"/>
        <w:ind w:right="43" w:firstLine="720"/>
        <w:jc w:val="both"/>
        <w:rPr>
          <w:rFonts w:asciiTheme="minorHAnsi" w:hAnsiTheme="minorHAnsi" w:cs="Calibri"/>
          <w:lang w:val="ro-RO"/>
        </w:rPr>
      </w:pPr>
      <w:r w:rsidRPr="00860724">
        <w:rPr>
          <w:rFonts w:asciiTheme="minorHAnsi" w:hAnsiTheme="minorHAnsi" w:cs="Calibri"/>
          <w:lang w:val="ro-RO"/>
        </w:rPr>
        <w:t xml:space="preserve">Activitatea auditorilor de justiție de anul I este centrată pe aprofundarea cunoștințelor teoretice prin aplicații practice și pe dezvoltarea abilităților specifice necesare profesiilor de judecător și procuror, conform programelor de studiu. </w:t>
      </w:r>
    </w:p>
    <w:p w:rsidR="00FC422B" w:rsidRPr="00860724" w:rsidRDefault="00FC422B" w:rsidP="00461AF3">
      <w:pPr>
        <w:spacing w:line="276" w:lineRule="auto"/>
        <w:ind w:right="43" w:firstLine="720"/>
        <w:jc w:val="both"/>
        <w:rPr>
          <w:rFonts w:asciiTheme="minorHAnsi" w:hAnsiTheme="minorHAnsi" w:cs="Calibri"/>
          <w:lang w:val="ro-RO"/>
        </w:rPr>
      </w:pPr>
      <w:r w:rsidRPr="00860724">
        <w:rPr>
          <w:rFonts w:asciiTheme="minorHAnsi" w:hAnsiTheme="minorHAnsi" w:cs="Calibri"/>
          <w:lang w:val="ro-RO"/>
        </w:rPr>
        <w:t>Formarea profesională aferentă anului al II-lea este axată pe activitatea desfășurată de auditorii de justiție în cadrul instanțelor și parchetelor, îmbinată cu module teoretice și dezbateri tematice, în conformitate cu programul de practică.</w:t>
      </w:r>
    </w:p>
    <w:p w:rsidR="00FC422B" w:rsidRPr="00860724" w:rsidRDefault="00FC422B" w:rsidP="00461AF3">
      <w:pPr>
        <w:spacing w:after="180" w:line="276" w:lineRule="auto"/>
        <w:ind w:right="43" w:firstLine="720"/>
        <w:jc w:val="both"/>
        <w:rPr>
          <w:rFonts w:asciiTheme="minorHAnsi" w:hAnsiTheme="minorHAnsi" w:cs="Calibri"/>
          <w:b/>
          <w:lang w:val="ro-RO"/>
        </w:rPr>
      </w:pPr>
      <w:r w:rsidRPr="00860724">
        <w:rPr>
          <w:rFonts w:asciiTheme="minorHAnsi" w:hAnsiTheme="minorHAnsi" w:cs="Calibri"/>
          <w:b/>
          <w:lang w:val="ro-RO"/>
        </w:rPr>
        <w:t>1.1. Programele de formare inițială</w:t>
      </w:r>
    </w:p>
    <w:p w:rsidR="00FC422B" w:rsidRPr="00860724" w:rsidRDefault="00FC422B" w:rsidP="00461AF3">
      <w:pPr>
        <w:spacing w:line="276" w:lineRule="auto"/>
        <w:ind w:right="43" w:firstLine="720"/>
        <w:jc w:val="both"/>
        <w:rPr>
          <w:rFonts w:asciiTheme="minorHAnsi" w:hAnsiTheme="minorHAnsi" w:cs="Calibri"/>
          <w:lang w:val="ro-RO"/>
        </w:rPr>
      </w:pPr>
      <w:r w:rsidRPr="00860724">
        <w:rPr>
          <w:rFonts w:asciiTheme="minorHAnsi" w:hAnsiTheme="minorHAnsi" w:cs="Calibri"/>
          <w:lang w:val="ro-RO"/>
        </w:rPr>
        <w:t>Pe parcursul anului 2017, formarea profesională a auditorilor de justiție din anii I și al II-lea de studiu admiși în sesiunile concursurilor de admitere la INM din 2015 și 2016, s-a desfășurat conform Programului de formare inițială aprobat prin Hotărârea Plenului CSM nr. 1153/06.10.2016, completată prin Hotărârea Plenului CSM nr. 772/04.07.2017.</w:t>
      </w:r>
    </w:p>
    <w:p w:rsidR="00FC422B" w:rsidRPr="00860724" w:rsidRDefault="00FC422B" w:rsidP="00461AF3">
      <w:pPr>
        <w:pStyle w:val="AddParagraf"/>
        <w:spacing w:after="0" w:line="276" w:lineRule="auto"/>
        <w:ind w:right="43" w:firstLine="720"/>
        <w:rPr>
          <w:rFonts w:asciiTheme="minorHAnsi" w:hAnsiTheme="minorHAnsi" w:cs="Calibri"/>
        </w:rPr>
      </w:pPr>
      <w:r w:rsidRPr="00860724">
        <w:rPr>
          <w:rFonts w:asciiTheme="minorHAnsi" w:hAnsiTheme="minorHAnsi" w:cs="Calibri"/>
        </w:rPr>
        <w:t xml:space="preserve">În anul 2017 au fost formați </w:t>
      </w:r>
      <w:r w:rsidRPr="00860724">
        <w:rPr>
          <w:rFonts w:asciiTheme="minorHAnsi" w:hAnsiTheme="minorHAnsi" w:cs="Calibri"/>
          <w:b/>
        </w:rPr>
        <w:t>189 auditori de justiție în anul I</w:t>
      </w:r>
      <w:r w:rsidRPr="00860724">
        <w:rPr>
          <w:rFonts w:asciiTheme="minorHAnsi" w:hAnsiTheme="minorHAnsi" w:cs="Calibri"/>
        </w:rPr>
        <w:t xml:space="preserve"> și </w:t>
      </w:r>
      <w:r w:rsidRPr="00860724">
        <w:rPr>
          <w:rFonts w:asciiTheme="minorHAnsi" w:hAnsiTheme="minorHAnsi" w:cs="Calibri"/>
          <w:b/>
        </w:rPr>
        <w:t>142 auditori de justiție în anul al II-Iea</w:t>
      </w:r>
      <w:r w:rsidRPr="00860724">
        <w:rPr>
          <w:rFonts w:asciiTheme="minorHAnsi" w:hAnsiTheme="minorHAnsi" w:cs="Calibri"/>
        </w:rPr>
        <w:t>.</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Programul de formare inițială pentru anul I de studiu aferent promoției de auditori de justiție 2016 – 2018 a debutat la data de 9 ianuarie 2017 și a urmărit structura și calendarul anului de formare anterior (2016), cu următoarele modificări:</w:t>
      </w:r>
    </w:p>
    <w:p w:rsidR="00FC422B" w:rsidRPr="00860724" w:rsidRDefault="00FC422B" w:rsidP="00461AF3">
      <w:pPr>
        <w:pStyle w:val="AddParagraf"/>
        <w:spacing w:after="0" w:line="276" w:lineRule="auto"/>
        <w:ind w:right="43" w:firstLine="706"/>
        <w:rPr>
          <w:rFonts w:asciiTheme="minorHAnsi" w:hAnsiTheme="minorHAnsi" w:cs="Calibri"/>
        </w:rPr>
      </w:pP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1.</w:t>
      </w:r>
      <w:r w:rsidRPr="00860724">
        <w:rPr>
          <w:rFonts w:asciiTheme="minorHAnsi" w:hAnsiTheme="minorHAnsi" w:cs="Calibri"/>
        </w:rPr>
        <w:tab/>
        <w:t xml:space="preserve">În ceea ce privește conținutul: </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 xml:space="preserve">evidențierea proceselor simulate - metodă preponderentă de formare în cadrul seminarelor organizate la disciplinele Drept civil și Drept penal - prin indicarea unui procent din numărul total de ore alocat seminarelor ca fiind dedicat exercițiilor practice, respectiv 50%. Distribuirea efectivă a acestor activități practice pe parcursul anului de formare a rezultat din conținutul planurilor de seminar; </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consolidarea componentei de pregătire profesională adresată viitorilor procurori pe parcursul primului an de formare. În acest sens, curricula aferentă disciplinei Drept civil a inclus și activități specifice profesiei de procuror (e.g. întocmirea de concluzii scrise în materie civilă);</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menținerea numărului de ore alocat fiecărei discipline, cu luarea în calcul a orelor incluse suplimentar, pe parcursul anului de formare 2016, respectiv în cazul disciplinei Etică și organizare judiciară 2 ore (de la 20 la 22 ore fizice),  iar în cazul disciplinei Criminalistică 4 ore (de la 8 la 12 ore fizice);</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majorarea cu 2 ore a numărului de ore stabilit pentru disciplina Psihologie judiciară, de la 8 la 10 ore fizice, motivat de necesitatea prezentării în cadrul orelor dedicate disciplinei a unui nou tip de expertiză – raportul de expertiză în materia psihologiei clinice judiciare. Corelativ, pentru o viziune completă a problematicii, abordarea din punct de vedere al dreptului procesual penal a acestui nou tip de expertiză a fost inclusă în tematica dezbaterilor de la disciplina Drept penal;</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convertirea, la disciplina CEDO, a unui număr de 4 ore alocat în programul anterior conferințelor, în ore de seminar;</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creșterea, la disciplina Dreptul familiei, a numărului de ore alocat conferințelor, de la 4 la 6 ore;</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includerea unor seminare având ca tematică „violența domestică” (4 ore fizice), abordarea acestei tematici urmând a se realiza interdisciplinar.</w:t>
      </w:r>
    </w:p>
    <w:p w:rsidR="00FC422B" w:rsidRPr="00860724" w:rsidRDefault="00FC422B" w:rsidP="00461AF3">
      <w:pPr>
        <w:pStyle w:val="AddParagraf"/>
        <w:spacing w:after="0" w:line="276" w:lineRule="auto"/>
        <w:ind w:right="43" w:firstLine="706"/>
        <w:rPr>
          <w:rFonts w:asciiTheme="minorHAnsi" w:hAnsiTheme="minorHAnsi" w:cs="Calibri"/>
        </w:rPr>
      </w:pP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2.</w:t>
      </w:r>
      <w:r w:rsidRPr="00860724">
        <w:rPr>
          <w:rFonts w:asciiTheme="minorHAnsi" w:hAnsiTheme="minorHAnsi" w:cs="Calibri"/>
        </w:rPr>
        <w:tab/>
        <w:t xml:space="preserve">În ceea ce privește structura și calendarul: </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echilibrarea numărului de ore aferent fiecărui modul, prin planificarea seminarelor de case management și scriere juridică în materie civilă și penală, desfășurate anterior în modulul I, pe parcursul celorlalte două module;</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w:t>
      </w:r>
      <w:r w:rsidRPr="00860724">
        <w:rPr>
          <w:rFonts w:asciiTheme="minorHAnsi" w:hAnsiTheme="minorHAnsi" w:cs="Calibri"/>
        </w:rPr>
        <w:tab/>
        <w:t>desfășurarea activităților practice pe parcursul a trei săptămâni, având alocat, pe durata acestora, un număr de 90 de ore; pe lângă acest modul dedicat exclusiv activităților practice, nevoia de formare a auditorilor de justiție prin intermediul acestui tip de activități a fost acoperită pe durata întregului program de pregătire profesională prin realizarea de procese, secvențe simulate și exerciții, incluse în planurile de seminar aferente disciplinelor de studiu.</w:t>
      </w:r>
    </w:p>
    <w:p w:rsidR="00FC422B" w:rsidRPr="00860724" w:rsidRDefault="00FC422B" w:rsidP="00461AF3">
      <w:pPr>
        <w:pStyle w:val="AddParagraf"/>
        <w:tabs>
          <w:tab w:val="left" w:pos="900"/>
        </w:tabs>
        <w:spacing w:after="0" w:line="276" w:lineRule="auto"/>
        <w:ind w:left="-90" w:right="43" w:firstLine="0"/>
        <w:rPr>
          <w:rFonts w:asciiTheme="minorHAnsi" w:hAnsiTheme="minorHAnsi" w:cs="Calibri"/>
        </w:rPr>
      </w:pPr>
      <w:r w:rsidRPr="00860724">
        <w:rPr>
          <w:rFonts w:asciiTheme="minorHAnsi" w:hAnsiTheme="minorHAnsi" w:cs="Calibri"/>
        </w:rPr>
        <w:tab/>
        <w:t>În perioada 6 noiembrie – 3 decembrie 2017 auditorii de justiție efectuează cea de a doua etapă a stagiului practic în instanțe și parchete, intervalul 4 – 22 decembrie 2017 fiind dedicat exclusiv unor activități practice, desfășurate sub coordonarea formatorilor Institutului în domeniile drept civil (inclusiv dreptul familiei) și drept penal, cu accent pe aspecte de comunicare și etică. Activitățile constau în procese simulate, mini-secvențe simulate, exerciții practice și au ca scop exersarea abilităților specifice necesare exercitării profesiei.</w:t>
      </w:r>
    </w:p>
    <w:p w:rsidR="00FC422B" w:rsidRPr="00860724" w:rsidRDefault="00FC422B" w:rsidP="00461AF3">
      <w:pPr>
        <w:pStyle w:val="AddParagraf"/>
        <w:tabs>
          <w:tab w:val="left" w:pos="900"/>
        </w:tabs>
        <w:spacing w:after="0" w:line="276" w:lineRule="auto"/>
        <w:ind w:left="-90" w:right="43" w:firstLine="0"/>
        <w:rPr>
          <w:rFonts w:asciiTheme="minorHAnsi" w:hAnsiTheme="minorHAnsi" w:cs="Calibri"/>
        </w:rPr>
      </w:pPr>
      <w:r w:rsidRPr="00860724">
        <w:rPr>
          <w:rFonts w:asciiTheme="minorHAnsi" w:hAnsiTheme="minorHAnsi" w:cs="Calibri"/>
        </w:rPr>
        <w:tab/>
        <w:t>La data de 20 decembrie 2017, auditorii de justiție ai promoției 2016 - 2018, absolvenți ai anului I, au optat pentru profesia de judecător/procuror și au fost repartizați în vederea desfășurării activității practice în cel de-al doilea an de studiu. Prin Hotărârea Plenului Consiliului Superior al Magistraturii nr.427/2017 acestora le-au fost puse la dispoziție 123 de posturi în cadrul instanțelor, respectiv 66 de posturi în cadrul parchetelor.</w:t>
      </w:r>
    </w:p>
    <w:p w:rsidR="00FC422B" w:rsidRPr="00860724" w:rsidRDefault="00FC422B" w:rsidP="00461AF3">
      <w:pPr>
        <w:pStyle w:val="AddParagraf"/>
        <w:tabs>
          <w:tab w:val="left" w:pos="900"/>
        </w:tabs>
        <w:spacing w:after="0" w:line="276" w:lineRule="auto"/>
        <w:ind w:left="-90" w:right="43" w:firstLine="0"/>
        <w:rPr>
          <w:rFonts w:asciiTheme="minorHAnsi" w:hAnsiTheme="minorHAnsi" w:cs="Calibri"/>
        </w:rPr>
      </w:pPr>
    </w:p>
    <w:p w:rsidR="00FC422B" w:rsidRPr="00860724" w:rsidRDefault="00FC422B" w:rsidP="00461AF3">
      <w:pPr>
        <w:spacing w:line="276" w:lineRule="auto"/>
        <w:ind w:right="43" w:firstLine="708"/>
        <w:jc w:val="both"/>
        <w:rPr>
          <w:rFonts w:asciiTheme="minorHAnsi" w:hAnsiTheme="minorHAnsi" w:cs="Calibri"/>
          <w:lang w:val="ro-RO"/>
        </w:rPr>
      </w:pPr>
      <w:r w:rsidRPr="00860724">
        <w:rPr>
          <w:rFonts w:asciiTheme="minorHAnsi" w:hAnsiTheme="minorHAnsi" w:cs="Calibri"/>
          <w:lang w:val="ro-RO"/>
        </w:rPr>
        <w:t>În ceea ce priveşte programul de formare iniţială pentru anul al II-lea (promoția 2015 – 2017), modificările implementate în programul de formare inițială aferent anului al II-lea de formare anterior se regăsesc și în programul de formare inițială pentru anul al II-lea 2017, fiind completate de următoarele elemente de noutate:</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desfășurarea celui de-al doilea an de formare pe parcursul anului calendaristic, respectiv în perioada 9 ianuarie – 22 decembrie 2017;</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alocarea unei săptămâni din stagiul practic participării la activitatea grefierului de ședință (pentru judecători)/grefa parchetului (pentru procurori);</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modificarea calendarului de formare în scopul evitării fragmentării stagiului desfășurat în cadrul instanțelor sau parchetelor prin: planificarea tuturor stagiilor în cadrul altor instituții la debutul anului de formare, pe parcursul unei săptămâni, reducerea stagiului la instanțele/parchetele ierarhic superioare de la 2 la 1 săptămână, plasarea primei etape a modulului înainte de desfășurarea stagiului practic, iar a celei de-a doua etape după parcurgerea unui număr de 21 săptămâni de stagiu în instanțe și parchete;</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organizarea sesiunilor de exerciții practice pe parcursul stagiului și nu la finalul acestuia;</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xml:space="preserve">- reducerea duratei stagiului încrucișat la 2 săptămâni, motivat de împrejurarea că nevoia de formare prin intermediul acestui tip de activități (stagii în instanțe și parchete) este acoperită pe parcursul întregului program de formare, prin planificarea acestora pentru toți auditorii de justiție încă din anul I de studiu, fiind alocate în acest scop un număr de 6 săptămâni; </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adaptarea conținutului modulului după cum urmează:</w:t>
      </w:r>
    </w:p>
    <w:p w:rsidR="00FC422B" w:rsidRPr="00860724" w:rsidRDefault="00FC422B" w:rsidP="00461AF3">
      <w:pPr>
        <w:pStyle w:val="Listparagraf"/>
        <w:numPr>
          <w:ilvl w:val="0"/>
          <w:numId w:val="29"/>
        </w:numPr>
        <w:spacing w:after="180" w:line="276" w:lineRule="auto"/>
        <w:ind w:left="360" w:right="43"/>
        <w:jc w:val="both"/>
        <w:rPr>
          <w:rFonts w:asciiTheme="minorHAnsi" w:hAnsiTheme="minorHAnsi" w:cs="Calibri"/>
          <w:lang w:val="ro-RO"/>
        </w:rPr>
      </w:pPr>
      <w:r w:rsidRPr="00860724">
        <w:rPr>
          <w:rFonts w:asciiTheme="minorHAnsi" w:hAnsiTheme="minorHAnsi" w:cs="Calibri"/>
          <w:lang w:val="ro-RO"/>
        </w:rPr>
        <w:t>corelativ introducerii în programul de formare începând cu anul anterior a stagiului la instanțele superioare, pentru o mai bună înțelegere a activității specifice desfășurate pe parcursul acestuia, în 2017 au fost incluse în prima etapă a modulului seminare privind judecata în căile de atac, după cum urmează: 6 ore în materie civilă, respectiv 6 ore în materie penală (pentru judecători) și 6 ore în materie penală pentru procurori;</w:t>
      </w:r>
    </w:p>
    <w:p w:rsidR="00FC422B" w:rsidRPr="00860724" w:rsidRDefault="00FC422B" w:rsidP="00461AF3">
      <w:pPr>
        <w:pStyle w:val="Listparagraf"/>
        <w:numPr>
          <w:ilvl w:val="0"/>
          <w:numId w:val="29"/>
        </w:numPr>
        <w:spacing w:after="180" w:line="276" w:lineRule="auto"/>
        <w:ind w:left="360" w:right="43"/>
        <w:jc w:val="both"/>
        <w:rPr>
          <w:rFonts w:asciiTheme="minorHAnsi" w:hAnsiTheme="minorHAnsi" w:cs="Calibri"/>
          <w:lang w:val="ro-RO"/>
        </w:rPr>
      </w:pPr>
      <w:r w:rsidRPr="00860724">
        <w:rPr>
          <w:rFonts w:asciiTheme="minorHAnsi" w:hAnsiTheme="minorHAnsi" w:cs="Calibri"/>
          <w:lang w:val="ro-RO"/>
        </w:rPr>
        <w:t>includerea în conținutul modulului a unui număr de 6 ore dedicate studiului dispozițiilor privind executarea silită în materie civilă – partea specială (pentru judecători);</w:t>
      </w:r>
    </w:p>
    <w:p w:rsidR="00FC422B" w:rsidRPr="00860724" w:rsidRDefault="00FC422B" w:rsidP="00461AF3">
      <w:pPr>
        <w:pStyle w:val="Listparagraf"/>
        <w:numPr>
          <w:ilvl w:val="0"/>
          <w:numId w:val="29"/>
        </w:numPr>
        <w:spacing w:after="180" w:line="276" w:lineRule="auto"/>
        <w:ind w:left="360" w:right="43"/>
        <w:jc w:val="both"/>
        <w:rPr>
          <w:rFonts w:asciiTheme="minorHAnsi" w:hAnsiTheme="minorHAnsi" w:cs="Calibri"/>
          <w:lang w:val="ro-RO"/>
        </w:rPr>
      </w:pPr>
      <w:r w:rsidRPr="00860724">
        <w:rPr>
          <w:rFonts w:asciiTheme="minorHAnsi" w:hAnsiTheme="minorHAnsi" w:cs="Calibri"/>
          <w:lang w:val="ro-RO"/>
        </w:rPr>
        <w:t xml:space="preserve">introducerea unui număr de 2 ore de seminar dedicate studiului unor aspecte controversate în materia dreptului familiei, în etapa a doua a modulului (pentru judecători); </w:t>
      </w:r>
    </w:p>
    <w:p w:rsidR="00FC422B" w:rsidRPr="00860724" w:rsidRDefault="00FC422B" w:rsidP="00461AF3">
      <w:pPr>
        <w:pStyle w:val="Listparagraf"/>
        <w:numPr>
          <w:ilvl w:val="0"/>
          <w:numId w:val="29"/>
        </w:numPr>
        <w:spacing w:after="180" w:line="276" w:lineRule="auto"/>
        <w:ind w:left="360" w:right="43"/>
        <w:jc w:val="both"/>
        <w:rPr>
          <w:rFonts w:asciiTheme="minorHAnsi" w:hAnsiTheme="minorHAnsi" w:cs="Calibri"/>
          <w:lang w:val="ro-RO"/>
        </w:rPr>
      </w:pPr>
      <w:r w:rsidRPr="00860724">
        <w:rPr>
          <w:rFonts w:asciiTheme="minorHAnsi" w:hAnsiTheme="minorHAnsi" w:cs="Calibri"/>
          <w:lang w:val="ro-RO"/>
        </w:rPr>
        <w:t>creșterea de la 3 la 6 a numărului de ore alocat în cadrul modulului pentru studiul dispozițiilor privind insolvența persoanei fizice, pe parcursul cărora au fost abordate și aspecte privind Legea nr. 77/2016 privind darea în plată a unor bunuri imobile în vederea stingerii obligațiilor asumate prin credite (pentru judecători);</w:t>
      </w:r>
    </w:p>
    <w:p w:rsidR="00FC422B" w:rsidRPr="00860724" w:rsidRDefault="00FC422B" w:rsidP="00461AF3">
      <w:pPr>
        <w:pStyle w:val="Listparagraf"/>
        <w:numPr>
          <w:ilvl w:val="0"/>
          <w:numId w:val="29"/>
        </w:numPr>
        <w:spacing w:after="180" w:line="276" w:lineRule="auto"/>
        <w:ind w:left="360" w:right="43"/>
        <w:jc w:val="both"/>
        <w:rPr>
          <w:rFonts w:asciiTheme="minorHAnsi" w:hAnsiTheme="minorHAnsi" w:cs="Calibri"/>
          <w:lang w:val="ro-RO"/>
        </w:rPr>
      </w:pPr>
      <w:r w:rsidRPr="00860724">
        <w:rPr>
          <w:rFonts w:asciiTheme="minorHAnsi" w:hAnsiTheme="minorHAnsi" w:cs="Calibri"/>
          <w:lang w:val="ro-RO"/>
        </w:rPr>
        <w:t>restructurarea activităților de formare la disciplina Etică și organizare judiciară în sensul organizării a câte două întâlniri pe grupă, cu durata de 1.30 ore fiecare și a unei conferințe cu o durată de 2 ore, pe tema relației profesionale dintre magistrat și avocat.</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ca o consecință a adaptării conținutului modulului, a rezultat, în mod corelativ, necesitatea creșterii duratei totale alocate acestuia, de la 4 la 5 săptămâni;</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xml:space="preserve">- adaptarea numărului și tipurilor de acte de inserat în caietul de practică; </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majorarea numărului maxim de pagini ale caietului de practică cu 50, rezultând un număr maxim de pagini de 350 pentru judecători, respectiv 300 pentru procurori;</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reducerea volumului de activitate și a auditorilor de justiție viitori procurori, de la 100% (în anul anterior) la 50% din activitatea procurorilor cu care colaborează pe parcursul stagiului în cadrul parchetului;</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introducerea, pentru unitate de abordare în evaluare, a încă unei evaluări în materie civilă pentru procurori;</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 regândirea formatului dezbaterilor organizate în anii anteriori prealabil sesiunilor de evaluare, în sensul planificării acestora sub forma unor sesiuni de consultare de tip întrebări/răspunsuri la distanță, prin intermediul departamentului de formare inițială și al formatorilor implicați în procesul de monitorizare.</w:t>
      </w:r>
    </w:p>
    <w:p w:rsidR="00FC422B" w:rsidRPr="00860724" w:rsidRDefault="00FC422B" w:rsidP="00461AF3">
      <w:pPr>
        <w:spacing w:line="276" w:lineRule="auto"/>
        <w:ind w:right="43" w:firstLine="706"/>
        <w:jc w:val="both"/>
        <w:rPr>
          <w:rFonts w:asciiTheme="minorHAnsi" w:hAnsiTheme="minorHAnsi" w:cs="Calibri"/>
          <w:lang w:val="ro-RO"/>
        </w:rPr>
      </w:pPr>
      <w:r w:rsidRPr="00860724">
        <w:rPr>
          <w:rFonts w:asciiTheme="minorHAnsi" w:hAnsiTheme="minorHAnsi" w:cs="Calibri"/>
          <w:lang w:val="ro-RO"/>
        </w:rPr>
        <w:t>Monitorizarea stagiului practic s-a desfășurat și în 2017 pe parcursul întregului an de formare, fiind conceput ca un proces continuu, în vederea asigurării unei evaluări complete a activității de formare. Activitatea de monitorizare presupune observarea de către formatorii cu normă întreagă desemnați de INM a modului în care este organizat și se desfășoară stagiul auditorilor de justiție, rezultând informații deosebit de utile pentru o mai bună elaborare și implementare a programului de stagiu.</w:t>
      </w:r>
    </w:p>
    <w:p w:rsidR="00FC422B" w:rsidRPr="00860724" w:rsidRDefault="00FC422B" w:rsidP="00461AF3">
      <w:pPr>
        <w:tabs>
          <w:tab w:val="left" w:pos="900"/>
        </w:tabs>
        <w:spacing w:after="180" w:line="276" w:lineRule="auto"/>
        <w:ind w:right="43"/>
        <w:jc w:val="both"/>
        <w:rPr>
          <w:rFonts w:asciiTheme="minorHAnsi" w:hAnsiTheme="minorHAnsi" w:cs="Calibri"/>
          <w:lang w:val="ro-RO"/>
        </w:rPr>
      </w:pPr>
      <w:r w:rsidRPr="00860724">
        <w:rPr>
          <w:rFonts w:asciiTheme="minorHAnsi" w:hAnsiTheme="minorHAnsi" w:cs="Calibri"/>
          <w:lang w:val="ro-RO"/>
        </w:rPr>
        <w:tab/>
        <w:t>Pe parcursul programului de formare aferent anului al II-lea s-au desfășurat următoarele tipuri de activități, conform calendarului:</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I.   Stagiile opționale în cadrul altor instituții – 1 săptămână (9 – 15 ianuarie 2017)</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II.  Stagiul în cadrul formelor de exercitare a profesiei de avocat – 4 săptămâni (16 ianuarie – 12 februarie 2017)</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III. Modulul – etapa I: 3 săptămâni (13 februarie – 5 martie 2017), etapa a II-a: 2 săptămâni (28 august – 8 septembrie 2017)</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IV. Stagiul în instanțe și parchete – 25 săptămâni (6 martie – 8 octombrie 2017), din care:</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ab/>
      </w:r>
      <w:r w:rsidRPr="00860724">
        <w:rPr>
          <w:rFonts w:asciiTheme="minorHAnsi" w:hAnsiTheme="minorHAnsi" w:cs="Calibri"/>
          <w:lang w:val="ro-RO"/>
        </w:rPr>
        <w:tab/>
        <w:t>1. Stagiul în cadrul instanței/parchetului – 22 săptămâni</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 xml:space="preserve">                          2. Stagiul „încrucișat” (în cadrul parchetului/instanței) – 2 săptămâni (29 mai – 11 iunie 2017)</w:t>
      </w:r>
    </w:p>
    <w:p w:rsidR="00FC422B" w:rsidRPr="00860724" w:rsidRDefault="00FC422B" w:rsidP="00461AF3">
      <w:pPr>
        <w:tabs>
          <w:tab w:val="left" w:pos="900"/>
        </w:tabs>
        <w:spacing w:line="276" w:lineRule="auto"/>
        <w:ind w:right="43"/>
        <w:jc w:val="both"/>
        <w:rPr>
          <w:rFonts w:asciiTheme="minorHAnsi" w:hAnsiTheme="minorHAnsi" w:cs="Calibri"/>
          <w:lang w:val="ro-RO"/>
        </w:rPr>
      </w:pPr>
      <w:r w:rsidRPr="00860724">
        <w:rPr>
          <w:rFonts w:asciiTheme="minorHAnsi" w:hAnsiTheme="minorHAnsi" w:cs="Calibri"/>
          <w:lang w:val="ro-RO"/>
        </w:rPr>
        <w:t xml:space="preserve">                       </w:t>
      </w:r>
      <w:r w:rsidRPr="00860724">
        <w:rPr>
          <w:rFonts w:asciiTheme="minorHAnsi" w:hAnsiTheme="minorHAnsi" w:cs="Calibri"/>
          <w:lang w:val="ro-RO"/>
        </w:rPr>
        <w:tab/>
        <w:t>3. Stagiul în cadrul tribunalului și curții de apel (viitorii judecători), respectiv în cadrul parchetelor de pe lângă tribunale (viitorii procurori) – 1 săptămână</w:t>
      </w:r>
    </w:p>
    <w:p w:rsidR="00FC422B" w:rsidRPr="00860724" w:rsidRDefault="00FC422B" w:rsidP="00461AF3">
      <w:pPr>
        <w:pStyle w:val="AddParagraf"/>
        <w:spacing w:line="276" w:lineRule="auto"/>
        <w:ind w:right="43" w:firstLine="708"/>
        <w:rPr>
          <w:rFonts w:asciiTheme="minorHAnsi" w:hAnsiTheme="minorHAnsi" w:cs="Calibri"/>
        </w:rPr>
      </w:pPr>
      <w:bookmarkStart w:id="78" w:name="_Toc383085363"/>
      <w:bookmarkStart w:id="79" w:name="_Toc383085228"/>
      <w:bookmarkEnd w:id="76"/>
      <w:bookmarkEnd w:id="77"/>
      <w:r w:rsidRPr="00860724">
        <w:rPr>
          <w:rFonts w:asciiTheme="minorHAnsi" w:hAnsiTheme="minorHAnsi" w:cs="Calibri"/>
        </w:rPr>
        <w:t xml:space="preserve">În vederea realizării unei formări complete și complexe, auditorii de justiție de anul al II-lea au efectuat stagii opționale în cadrul altor instituții cu activitate relevantă pentru profesie, după cum urmează: 30 auditori de justiție au efectuat un stagiu la Institutul Național de Criminalistică din cadrul </w:t>
      </w:r>
      <w:r w:rsidR="00E53EDD" w:rsidRPr="00860724">
        <w:rPr>
          <w:rFonts w:asciiTheme="minorHAnsi" w:hAnsiTheme="minorHAnsi" w:cs="Calibri"/>
        </w:rPr>
        <w:t>I</w:t>
      </w:r>
      <w:r w:rsidR="00E53EDD">
        <w:rPr>
          <w:rFonts w:asciiTheme="minorHAnsi" w:hAnsiTheme="minorHAnsi" w:cs="Calibri"/>
        </w:rPr>
        <w:t>nstectoratul General al Poliţiei Române</w:t>
      </w:r>
      <w:r w:rsidRPr="00860724">
        <w:rPr>
          <w:rFonts w:asciiTheme="minorHAnsi" w:hAnsiTheme="minorHAnsi" w:cs="Calibri"/>
        </w:rPr>
        <w:t>,  87 de auditori de justiție au participat la stagii în cadrul I</w:t>
      </w:r>
      <w:r w:rsidR="00E53EDD">
        <w:rPr>
          <w:rFonts w:asciiTheme="minorHAnsi" w:hAnsiTheme="minorHAnsi" w:cs="Calibri"/>
        </w:rPr>
        <w:t>nstectoratul General al Poliţiei Române</w:t>
      </w:r>
      <w:r w:rsidRPr="00860724">
        <w:rPr>
          <w:rFonts w:asciiTheme="minorHAnsi" w:hAnsiTheme="minorHAnsi" w:cs="Calibri"/>
        </w:rPr>
        <w:t>, 9 auditori de justiție au beneficiat de un stagiu în cadrul Administrației Naționale a Penitenciarelor, iar alți 15 auditori de justiție au efectuat un stagiu în cadrul serviciilor de probațiune.</w:t>
      </w:r>
    </w:p>
    <w:p w:rsidR="00FC422B" w:rsidRPr="00860724" w:rsidRDefault="00FC422B" w:rsidP="00461AF3">
      <w:pPr>
        <w:pStyle w:val="AddParagraf"/>
        <w:spacing w:after="0" w:line="276" w:lineRule="auto"/>
        <w:ind w:right="43" w:firstLine="706"/>
        <w:rPr>
          <w:rFonts w:asciiTheme="minorHAnsi" w:hAnsiTheme="minorHAnsi" w:cs="Calibri"/>
        </w:rPr>
      </w:pPr>
      <w:r w:rsidRPr="00860724">
        <w:rPr>
          <w:rFonts w:asciiTheme="minorHAnsi" w:hAnsiTheme="minorHAnsi" w:cs="Calibri"/>
        </w:rPr>
        <w:t xml:space="preserve">La data de 9 noiembrie 2017, Plenul Consiliului Superior al Magistraturii a aprobat Programul de formare profesională inițială – 2018 pentru anul I și anul II de studiu (Hotărârea nr.1167/2017). </w:t>
      </w:r>
    </w:p>
    <w:p w:rsidR="00FC422B" w:rsidRPr="00860724" w:rsidRDefault="00FC422B" w:rsidP="00461AF3">
      <w:pPr>
        <w:spacing w:line="276" w:lineRule="auto"/>
        <w:ind w:firstLine="706"/>
        <w:jc w:val="both"/>
        <w:rPr>
          <w:rFonts w:asciiTheme="minorHAnsi" w:hAnsiTheme="minorHAnsi" w:cs="Calibri"/>
          <w:lang w:val="ro-RO"/>
        </w:rPr>
      </w:pPr>
      <w:r w:rsidRPr="00860724">
        <w:rPr>
          <w:rFonts w:asciiTheme="minorHAnsi" w:hAnsiTheme="minorHAnsi" w:cs="Calibri"/>
          <w:lang w:val="ro-RO"/>
        </w:rPr>
        <w:t>Programul de formare aprobat vine în întâmpinarea nevoilor exprimate de auditorii de justiție, în special în ceea ce privește necesitatea unui studiu aprofundat al disciplinelor fundamentale, cu precădere al dreptului substanțial.</w:t>
      </w:r>
    </w:p>
    <w:p w:rsidR="00FC422B" w:rsidRPr="00860724" w:rsidRDefault="00FC422B" w:rsidP="00461AF3">
      <w:pPr>
        <w:spacing w:line="276" w:lineRule="auto"/>
        <w:ind w:firstLine="706"/>
        <w:jc w:val="both"/>
        <w:rPr>
          <w:rFonts w:asciiTheme="minorHAnsi" w:hAnsiTheme="minorHAnsi" w:cs="Calibri"/>
          <w:lang w:val="ro-RO"/>
        </w:rPr>
      </w:pPr>
    </w:p>
    <w:p w:rsidR="00FC422B" w:rsidRPr="00860724" w:rsidRDefault="00FC422B" w:rsidP="00461AF3">
      <w:pPr>
        <w:spacing w:line="276" w:lineRule="auto"/>
        <w:ind w:firstLine="706"/>
        <w:jc w:val="both"/>
        <w:rPr>
          <w:rFonts w:asciiTheme="minorHAnsi" w:hAnsiTheme="minorHAnsi" w:cs="Calibri"/>
          <w:lang w:val="ro-RO"/>
        </w:rPr>
      </w:pPr>
      <w:r w:rsidRPr="00860724">
        <w:rPr>
          <w:rFonts w:asciiTheme="minorHAnsi" w:hAnsiTheme="minorHAnsi" w:cs="Calibri"/>
          <w:lang w:val="ro-RO"/>
        </w:rPr>
        <w:t>Principalele elemente de noutate în ceea ce privește formarea inițială pentru anul 2018 vizează:</w:t>
      </w:r>
    </w:p>
    <w:p w:rsidR="00FC422B" w:rsidRPr="00860724" w:rsidRDefault="00FC422B" w:rsidP="00461AF3">
      <w:pPr>
        <w:spacing w:line="276" w:lineRule="auto"/>
        <w:ind w:firstLine="706"/>
        <w:jc w:val="both"/>
        <w:rPr>
          <w:rFonts w:asciiTheme="minorHAnsi" w:hAnsiTheme="minorHAnsi" w:cs="Calibri"/>
          <w:lang w:val="ro-RO"/>
        </w:rPr>
      </w:pPr>
    </w:p>
    <w:p w:rsidR="00FC422B" w:rsidRPr="00860724" w:rsidRDefault="00FC422B" w:rsidP="00461AF3">
      <w:pPr>
        <w:pStyle w:val="Listparagraf"/>
        <w:numPr>
          <w:ilvl w:val="0"/>
          <w:numId w:val="30"/>
        </w:numPr>
        <w:spacing w:line="276" w:lineRule="auto"/>
        <w:jc w:val="both"/>
        <w:rPr>
          <w:rFonts w:asciiTheme="minorHAnsi" w:hAnsiTheme="minorHAnsi" w:cs="Calibri"/>
          <w:lang w:val="ro-RO"/>
        </w:rPr>
      </w:pPr>
      <w:r w:rsidRPr="00860724">
        <w:rPr>
          <w:rFonts w:asciiTheme="minorHAnsi" w:hAnsiTheme="minorHAnsi" w:cs="Calibri"/>
          <w:lang w:val="ro-RO"/>
        </w:rPr>
        <w:t>Pentru anul I de studiu:</w:t>
      </w:r>
    </w:p>
    <w:p w:rsidR="00FC422B" w:rsidRPr="00860724" w:rsidRDefault="00FC422B" w:rsidP="00461AF3">
      <w:pPr>
        <w:spacing w:line="276" w:lineRule="auto"/>
        <w:ind w:firstLine="714"/>
        <w:jc w:val="both"/>
        <w:rPr>
          <w:rFonts w:asciiTheme="minorHAnsi" w:hAnsiTheme="minorHAnsi" w:cs="Calibri"/>
          <w:lang w:val="ro-RO"/>
        </w:rPr>
      </w:pPr>
      <w:r w:rsidRPr="00860724">
        <w:rPr>
          <w:rFonts w:asciiTheme="minorHAnsi" w:hAnsiTheme="minorHAnsi" w:cs="Calibri"/>
          <w:lang w:val="ro-RO"/>
        </w:rPr>
        <w:t>- disjungerea disciplinelor de drept substanțial de cele de drept procesual și studiul lor separat în cadrul seminarelor;</w:t>
      </w:r>
    </w:p>
    <w:p w:rsidR="00FC422B" w:rsidRPr="00860724" w:rsidRDefault="00FC422B" w:rsidP="00461AF3">
      <w:pPr>
        <w:spacing w:line="276" w:lineRule="auto"/>
        <w:ind w:firstLine="714"/>
        <w:jc w:val="both"/>
        <w:rPr>
          <w:rFonts w:asciiTheme="minorHAnsi" w:hAnsiTheme="minorHAnsi" w:cs="Calibri"/>
          <w:lang w:val="ro-RO"/>
        </w:rPr>
      </w:pPr>
      <w:r w:rsidRPr="00860724">
        <w:rPr>
          <w:rFonts w:asciiTheme="minorHAnsi" w:hAnsiTheme="minorHAnsi" w:cs="Calibri"/>
          <w:lang w:val="ro-RO"/>
        </w:rPr>
        <w:t>- studiul disciplinelor fundamentale pe parcursul ambelor semestre ale anului I de studiu, studiu finalizat cu susținerea de examene la finalul anului I. Pentru toate celelalte discipline se prevede studiul pe parcursul unui semestru;</w:t>
      </w:r>
    </w:p>
    <w:p w:rsidR="00FC422B" w:rsidRPr="00860724" w:rsidRDefault="00FC422B" w:rsidP="00461AF3">
      <w:pPr>
        <w:spacing w:line="276" w:lineRule="auto"/>
        <w:ind w:firstLine="714"/>
        <w:jc w:val="both"/>
        <w:rPr>
          <w:rFonts w:asciiTheme="minorHAnsi" w:hAnsiTheme="minorHAnsi" w:cs="Calibri"/>
          <w:lang w:val="ro-RO"/>
        </w:rPr>
      </w:pPr>
      <w:r w:rsidRPr="00860724">
        <w:rPr>
          <w:rFonts w:asciiTheme="minorHAnsi" w:hAnsiTheme="minorHAnsi" w:cs="Calibri"/>
          <w:lang w:val="ro-RO"/>
        </w:rPr>
        <w:t>- clasificarea disciplinelor de studiu într-o ordine de importanță și alocarea pentru disciplinele de studiu similare ca importanță a unui număr egal de ore de studiu;</w:t>
      </w:r>
    </w:p>
    <w:p w:rsidR="00FC422B" w:rsidRPr="00860724" w:rsidRDefault="00FC422B" w:rsidP="00461AF3">
      <w:pPr>
        <w:spacing w:line="276" w:lineRule="auto"/>
        <w:ind w:firstLine="714"/>
        <w:jc w:val="both"/>
        <w:rPr>
          <w:rFonts w:asciiTheme="minorHAnsi" w:hAnsiTheme="minorHAnsi" w:cs="Calibri"/>
          <w:lang w:val="ro-RO"/>
        </w:rPr>
      </w:pPr>
      <w:r w:rsidRPr="00860724">
        <w:rPr>
          <w:rFonts w:asciiTheme="minorHAnsi" w:hAnsiTheme="minorHAnsi" w:cs="Calibri"/>
          <w:lang w:val="ro-RO"/>
        </w:rPr>
        <w:t>- stabilirea unui orar de formare previzibil și echilibrat, atât sub aspectul disciplinelor, cât și din punct de vedere al ponderii orelor de studiu în cadrul INM raportat la cele alocate studiului individual; standardizarea, pentru cea mai mare parte a disciplinelor, a duratei unui curs și seminar la 3 ore.</w:t>
      </w:r>
    </w:p>
    <w:p w:rsidR="00FC422B" w:rsidRPr="00860724" w:rsidRDefault="00FC422B" w:rsidP="00461AF3">
      <w:pPr>
        <w:spacing w:line="276" w:lineRule="auto"/>
        <w:ind w:firstLine="714"/>
        <w:jc w:val="both"/>
        <w:rPr>
          <w:rFonts w:asciiTheme="minorHAnsi" w:hAnsiTheme="minorHAnsi" w:cs="Calibri"/>
          <w:lang w:val="ro-RO"/>
        </w:rPr>
      </w:pPr>
    </w:p>
    <w:p w:rsidR="00FC422B" w:rsidRDefault="00FC422B" w:rsidP="00461AF3">
      <w:pPr>
        <w:spacing w:line="276" w:lineRule="auto"/>
        <w:ind w:firstLine="714"/>
        <w:jc w:val="both"/>
        <w:rPr>
          <w:rFonts w:asciiTheme="minorHAnsi" w:hAnsiTheme="minorHAnsi" w:cs="Calibri"/>
          <w:lang w:val="ro-RO"/>
        </w:rPr>
      </w:pPr>
      <w:r w:rsidRPr="00860724">
        <w:rPr>
          <w:rFonts w:asciiTheme="minorHAnsi" w:hAnsiTheme="minorHAnsi" w:cs="Calibri"/>
          <w:lang w:val="ro-RO"/>
        </w:rPr>
        <w:t>2.  Pentru anul al II-lea de studiu s-a propus integrarea în programul de stagiu a două module cu caracter preponderent practic. Primul modul cuprinde cursuri și seminare având ca scop completarea cunoștințelor auditorilor de justiție cu aspecte care nu au fost abordate în anul I (executare silită, drept administrativ, insolvență și societăți comerciale etc.). Cel de al doilea va fi dedicat lămuririi aspectelor controversate întâlnite în practică la disciplinele fundamentale la care se susține examenul de absolvire.</w:t>
      </w:r>
    </w:p>
    <w:p w:rsidR="00122527" w:rsidRPr="00860724" w:rsidRDefault="00122527" w:rsidP="00461AF3">
      <w:pPr>
        <w:spacing w:line="276" w:lineRule="auto"/>
        <w:ind w:firstLine="714"/>
        <w:jc w:val="both"/>
        <w:rPr>
          <w:rFonts w:asciiTheme="minorHAnsi" w:hAnsiTheme="minorHAnsi" w:cs="Calibri"/>
          <w:lang w:val="ro-RO"/>
        </w:rPr>
      </w:pPr>
    </w:p>
    <w:p w:rsidR="00FC422B" w:rsidRPr="00860724" w:rsidRDefault="00FC422B" w:rsidP="00461AF3">
      <w:pPr>
        <w:spacing w:line="276" w:lineRule="auto"/>
        <w:rPr>
          <w:rFonts w:asciiTheme="minorHAnsi" w:hAnsiTheme="minorHAnsi" w:cs="Calibri"/>
          <w:lang w:val="ro-RO"/>
        </w:rPr>
      </w:pPr>
    </w:p>
    <w:p w:rsidR="00FC422B" w:rsidRPr="00860724" w:rsidRDefault="00FC422B" w:rsidP="00461AF3">
      <w:pPr>
        <w:pStyle w:val="AddParagraf"/>
        <w:tabs>
          <w:tab w:val="left" w:pos="1080"/>
          <w:tab w:val="left" w:pos="1440"/>
        </w:tabs>
        <w:spacing w:line="276" w:lineRule="auto"/>
        <w:ind w:right="43" w:firstLine="720"/>
        <w:rPr>
          <w:rFonts w:asciiTheme="minorHAnsi" w:hAnsiTheme="minorHAnsi" w:cs="Calibri"/>
          <w:b/>
        </w:rPr>
      </w:pPr>
      <w:r w:rsidRPr="00860724">
        <w:rPr>
          <w:rFonts w:asciiTheme="minorHAnsi" w:hAnsiTheme="minorHAnsi" w:cs="Calibri"/>
          <w:b/>
        </w:rPr>
        <w:t>1.2.</w:t>
      </w:r>
      <w:r w:rsidRPr="00860724">
        <w:rPr>
          <w:rFonts w:asciiTheme="minorHAnsi" w:hAnsiTheme="minorHAnsi" w:cs="Calibri"/>
          <w:b/>
        </w:rPr>
        <w:tab/>
      </w:r>
      <w:bookmarkStart w:id="80" w:name="_Toc383085364"/>
      <w:bookmarkStart w:id="81" w:name="_Toc383085229"/>
      <w:bookmarkStart w:id="82" w:name="_Toc260061150"/>
      <w:bookmarkEnd w:id="78"/>
      <w:bookmarkEnd w:id="79"/>
      <w:r w:rsidRPr="00860724">
        <w:rPr>
          <w:rFonts w:asciiTheme="minorHAnsi" w:hAnsiTheme="minorHAnsi" w:cs="Calibri"/>
          <w:b/>
        </w:rPr>
        <w:t>Examenul de absolvire</w:t>
      </w:r>
      <w:bookmarkEnd w:id="80"/>
      <w:bookmarkEnd w:id="81"/>
      <w:bookmarkEnd w:id="82"/>
      <w:r w:rsidRPr="00860724">
        <w:rPr>
          <w:rFonts w:asciiTheme="minorHAnsi" w:hAnsiTheme="minorHAnsi" w:cs="Calibri"/>
          <w:b/>
        </w:rPr>
        <w:t xml:space="preserve"> </w:t>
      </w:r>
    </w:p>
    <w:p w:rsidR="00FC422B" w:rsidRPr="00860724" w:rsidRDefault="00FC422B" w:rsidP="00461AF3">
      <w:pPr>
        <w:pStyle w:val="AddParagraf"/>
        <w:tabs>
          <w:tab w:val="left" w:pos="900"/>
        </w:tabs>
        <w:spacing w:after="0" w:line="276" w:lineRule="auto"/>
        <w:ind w:right="43" w:firstLine="0"/>
        <w:rPr>
          <w:rFonts w:asciiTheme="minorHAnsi" w:hAnsiTheme="minorHAnsi" w:cs="Calibri"/>
        </w:rPr>
      </w:pPr>
      <w:r w:rsidRPr="00860724">
        <w:rPr>
          <w:rFonts w:asciiTheme="minorHAnsi" w:hAnsiTheme="minorHAnsi" w:cs="Calibri"/>
        </w:rPr>
        <w:tab/>
        <w:t xml:space="preserve">Prin Hotărârea nr. 694/27.06.2017, Plenul Consiliului Superior al Magistraturii a aprobat tematica, bibliografia, modalitatea de examinare și calendarul de desfășurare a examenului de absolvire a INM, sesiunea august-noiembrie 2017. Datele examenului de absolvire au fost următoarele: 23 octombrie – proba scrisă la drept civil și drept procesual civil; 25 octombrie – proba scrisă la drept penal și drept procesual penal; 27 octombrie – proba scrisă la organizare judiciară. Rezultatele finale ale examenului au fost afișate la data de 21 noiembrie 2017, examenul fiind promovat de către toți candidații. </w:t>
      </w:r>
    </w:p>
    <w:p w:rsidR="00FC422B" w:rsidRPr="00860724" w:rsidRDefault="00FC422B" w:rsidP="00461AF3">
      <w:pPr>
        <w:pStyle w:val="AddParagraf"/>
        <w:tabs>
          <w:tab w:val="left" w:pos="900"/>
        </w:tabs>
        <w:spacing w:after="0" w:line="276" w:lineRule="auto"/>
        <w:ind w:right="43"/>
        <w:rPr>
          <w:rFonts w:asciiTheme="minorHAnsi" w:hAnsiTheme="minorHAnsi" w:cs="Calibri"/>
        </w:rPr>
      </w:pPr>
      <w:r w:rsidRPr="00860724">
        <w:rPr>
          <w:rFonts w:asciiTheme="minorHAnsi" w:hAnsiTheme="minorHAnsi" w:cs="Calibri"/>
        </w:rPr>
        <w:tab/>
        <w:t>Prin Hotărârea Consiliului Științific al INM nr. 18/02.11.2017 s-a decis ca numele promoției de auditori de justiție 2017 să fie “Viorel Mihai Ciobanu”.</w:t>
      </w:r>
    </w:p>
    <w:p w:rsidR="00FC422B" w:rsidRPr="00860724" w:rsidRDefault="00FC422B" w:rsidP="00461AF3">
      <w:pPr>
        <w:pStyle w:val="AddParagraf"/>
        <w:tabs>
          <w:tab w:val="left" w:pos="900"/>
        </w:tabs>
        <w:spacing w:line="276" w:lineRule="auto"/>
        <w:ind w:right="43" w:firstLine="0"/>
        <w:rPr>
          <w:rFonts w:asciiTheme="minorHAnsi" w:hAnsiTheme="minorHAnsi" w:cs="Calibri"/>
        </w:rPr>
      </w:pPr>
      <w:r w:rsidRPr="00860724">
        <w:rPr>
          <w:rFonts w:asciiTheme="minorHAnsi" w:hAnsiTheme="minorHAnsi" w:cs="Calibri"/>
        </w:rPr>
        <w:tab/>
        <w:t>La data de 18 decembrie 2017, cei 143 de absolvenți ai Institutului Național al Magistraturii (71 de judecători și 72 de procurori) au fost repartizați pe posturi de judecător și procuror stagiar, urmând să desfășoare activitate în această calitate începând cu data de 1 ianuarie 2018.</w:t>
      </w:r>
    </w:p>
    <w:p w:rsidR="00FC422B" w:rsidRPr="00860724" w:rsidRDefault="00FC422B" w:rsidP="00461AF3">
      <w:pPr>
        <w:pStyle w:val="Listparagraf"/>
        <w:spacing w:line="276" w:lineRule="auto"/>
        <w:ind w:left="1080"/>
        <w:jc w:val="both"/>
        <w:rPr>
          <w:rFonts w:asciiTheme="minorHAnsi" w:hAnsiTheme="minorHAnsi" w:cs="Calibri"/>
          <w:lang w:val="ro-RO"/>
        </w:rPr>
      </w:pPr>
    </w:p>
    <w:p w:rsidR="00FC422B" w:rsidRPr="00860724" w:rsidRDefault="00FC422B" w:rsidP="00461AF3">
      <w:pPr>
        <w:pStyle w:val="Listparagraf"/>
        <w:numPr>
          <w:ilvl w:val="0"/>
          <w:numId w:val="28"/>
        </w:numPr>
        <w:spacing w:line="276" w:lineRule="auto"/>
        <w:jc w:val="both"/>
        <w:rPr>
          <w:rFonts w:asciiTheme="minorHAnsi" w:hAnsiTheme="minorHAnsi" w:cs="Calibri"/>
          <w:b/>
          <w:lang w:val="ro-RO"/>
        </w:rPr>
      </w:pPr>
      <w:r w:rsidRPr="00860724">
        <w:rPr>
          <w:rFonts w:asciiTheme="minorHAnsi" w:hAnsiTheme="minorHAnsi" w:cs="Calibri"/>
          <w:b/>
          <w:lang w:val="ro-RO"/>
        </w:rPr>
        <w:t>Date referitoare la formarea continuă realizată de INM în cursul anului 2017</w:t>
      </w:r>
    </w:p>
    <w:p w:rsidR="00FC422B" w:rsidRPr="00860724" w:rsidRDefault="00FC422B" w:rsidP="00461AF3">
      <w:pPr>
        <w:spacing w:line="276" w:lineRule="auto"/>
        <w:ind w:firstLine="709"/>
        <w:jc w:val="both"/>
        <w:rPr>
          <w:rFonts w:asciiTheme="minorHAnsi" w:hAnsiTheme="minorHAnsi"/>
          <w:lang w:val="ro-RO"/>
        </w:rPr>
      </w:pPr>
      <w:r w:rsidRPr="00860724">
        <w:rPr>
          <w:rFonts w:asciiTheme="minorHAnsi" w:hAnsiTheme="minorHAnsi"/>
          <w:lang w:val="ro-RO"/>
        </w:rPr>
        <w:t xml:space="preserve">Două mari provocări au marcat formarea continuă realizată de Institutul Naţional al Magistraturii în ultimii ani: pe plan intern - adoptarea a patru noi coduri și a altor acte normative cu impact asupra activităţii judiciare, iar pe plan extern - nevoia crescândă de cooperare judiciară internaţională. Printr-o abordare instituţională consecventă și graduală au fost obţinute progrese constante în formarea continuă, cât privește ambele direcţii de acţiune. </w:t>
      </w:r>
    </w:p>
    <w:p w:rsidR="00FC422B" w:rsidRPr="00860724" w:rsidRDefault="00FC422B" w:rsidP="00461AF3">
      <w:pPr>
        <w:spacing w:line="276" w:lineRule="auto"/>
        <w:ind w:firstLine="709"/>
        <w:jc w:val="both"/>
        <w:rPr>
          <w:rFonts w:asciiTheme="minorHAnsi" w:hAnsiTheme="minorHAnsi"/>
          <w:lang w:val="ro-RO"/>
        </w:rPr>
      </w:pPr>
      <w:r w:rsidRPr="00860724">
        <w:rPr>
          <w:rFonts w:asciiTheme="minorHAnsi" w:hAnsiTheme="minorHAnsi"/>
          <w:lang w:val="ro-RO"/>
        </w:rPr>
        <w:t xml:space="preserve">Strategia din ultimii ani a fost una de consolidare și dezvoltare instituţională. Pornind de la strategiile naţionale, sectoriale sau interne relevante, INM a încercat să-și atingă obiectivele asumate și, </w:t>
      </w:r>
      <w:bookmarkStart w:id="83" w:name="OLE_LINK59"/>
      <w:bookmarkStart w:id="84" w:name="OLE_LINK55"/>
      <w:r w:rsidRPr="00860724">
        <w:rPr>
          <w:rFonts w:asciiTheme="minorHAnsi" w:hAnsiTheme="minorHAnsi"/>
          <w:lang w:val="ro-RO"/>
        </w:rPr>
        <w:t>în</w:t>
      </w:r>
      <w:bookmarkEnd w:id="83"/>
      <w:bookmarkEnd w:id="84"/>
      <w:r w:rsidRPr="00860724">
        <w:rPr>
          <w:rFonts w:asciiTheme="minorHAnsi" w:hAnsiTheme="minorHAnsi"/>
          <w:lang w:val="ro-RO"/>
        </w:rPr>
        <w:t xml:space="preserve"> același timp, s-a concentrat pe crearea de noi instrumente și oportunităţi de formare, răspunzând cu promptitudine și uneori chiar anticipând nevoile specifice ale sistemului judiciar.</w:t>
      </w:r>
    </w:p>
    <w:p w:rsidR="00FC422B" w:rsidRPr="00860724" w:rsidRDefault="00FC422B" w:rsidP="00461AF3">
      <w:pPr>
        <w:spacing w:line="276" w:lineRule="auto"/>
        <w:ind w:right="43" w:firstLine="709"/>
        <w:jc w:val="both"/>
        <w:rPr>
          <w:rFonts w:asciiTheme="minorHAnsi" w:hAnsiTheme="minorHAnsi"/>
          <w:lang w:val="ro-RO"/>
        </w:rPr>
      </w:pPr>
      <w:r w:rsidRPr="00860724">
        <w:rPr>
          <w:rFonts w:asciiTheme="minorHAnsi" w:hAnsiTheme="minorHAnsi"/>
          <w:lang w:val="ro-RO"/>
        </w:rPr>
        <w:t>Resursele umane și materiale necesare au fost asigurate prin finanţări de la bugetul de stat, prin încheierea de parteneriate interinstituţionale, la nivel naţional și internaţional, precum și prin participarea în programe internaţionale de anvergură. În acest sens, amintim proiectele ample derulate în ultimii ani în cadrul Programului de cooperare elveţiano - român pentru reducerea disparităţilor economice și sociale în cadrul Uniunii Europene extinse și în cadrul Mecanismului Financiar Norvegian.</w:t>
      </w:r>
    </w:p>
    <w:p w:rsidR="00FC422B" w:rsidRPr="00860724" w:rsidRDefault="00FC422B" w:rsidP="00461AF3">
      <w:pPr>
        <w:spacing w:line="276" w:lineRule="auto"/>
        <w:ind w:right="43" w:firstLine="709"/>
        <w:jc w:val="both"/>
        <w:rPr>
          <w:rFonts w:asciiTheme="minorHAnsi" w:hAnsiTheme="minorHAnsi"/>
          <w:lang w:val="ro-RO"/>
        </w:rPr>
      </w:pPr>
      <w:r w:rsidRPr="00860724">
        <w:rPr>
          <w:rFonts w:asciiTheme="minorHAnsi" w:hAnsiTheme="minorHAnsi"/>
          <w:lang w:val="ro-RO"/>
        </w:rPr>
        <w:t>Ca o caracteristică generală, anul de formare 2017 a reprezentat un an cu o activitate intensă a INM, materializată în volumul mare și în diversitatea acţiunilor de formare judiciară. Deși a înregistrat o ușoară scădere faţă de anul 2016, activitatea a fost orientată spre creșterea calităţii actului de formare, spre aprofundarea tematicii, spre acoperirea imediată a nevoilor de formare apărute.</w:t>
      </w:r>
    </w:p>
    <w:p w:rsidR="00FC422B" w:rsidRPr="00860724" w:rsidRDefault="00FC422B" w:rsidP="00461AF3">
      <w:pPr>
        <w:spacing w:line="276" w:lineRule="auto"/>
        <w:ind w:firstLine="709"/>
        <w:jc w:val="both"/>
        <w:rPr>
          <w:rFonts w:asciiTheme="minorHAnsi" w:hAnsiTheme="minorHAnsi"/>
          <w:lang w:val="ro-RO"/>
        </w:rPr>
      </w:pPr>
      <w:r w:rsidRPr="00860724">
        <w:rPr>
          <w:rFonts w:asciiTheme="minorHAnsi" w:hAnsiTheme="minorHAnsi"/>
          <w:lang w:val="ro-RO"/>
        </w:rPr>
        <w:t xml:space="preserve">Anul 2017 a confirmat implicarea Institutului pe plan internaţional, preocupare </w:t>
      </w:r>
      <w:r w:rsidR="00E53EDD">
        <w:rPr>
          <w:rFonts w:asciiTheme="minorHAnsi" w:hAnsiTheme="minorHAnsi"/>
          <w:lang w:val="ro-RO"/>
        </w:rPr>
        <w:t xml:space="preserve">ce </w:t>
      </w:r>
      <w:r w:rsidRPr="00860724">
        <w:rPr>
          <w:rFonts w:asciiTheme="minorHAnsi" w:hAnsiTheme="minorHAnsi"/>
          <w:lang w:val="ro-RO"/>
        </w:rPr>
        <w:t>s-a concretizat în diferite colaborări cu instituţii sau organizaţii internaţionale, în participarea INM la programe de cooperare europeană sau regională, precum și la o serie de conferinţe sau seminarii internaţionale.</w:t>
      </w:r>
    </w:p>
    <w:p w:rsidR="00FC422B" w:rsidRPr="00860724" w:rsidRDefault="00FC422B" w:rsidP="00461AF3">
      <w:pPr>
        <w:spacing w:line="276" w:lineRule="auto"/>
        <w:ind w:firstLine="709"/>
        <w:jc w:val="both"/>
        <w:rPr>
          <w:rFonts w:asciiTheme="minorHAnsi" w:hAnsiTheme="minorHAnsi"/>
          <w:lang w:val="ro-RO"/>
        </w:rPr>
      </w:pPr>
      <w:r w:rsidRPr="00860724">
        <w:rPr>
          <w:rFonts w:asciiTheme="minorHAnsi" w:hAnsiTheme="minorHAnsi"/>
          <w:lang w:val="ro-RO"/>
        </w:rPr>
        <w:t xml:space="preserve">Dezvoltarea culturii judiciare europene se bazează nu doar pe legislaţia Uniunii Europene, ci și pe familiarizarea judecătorilor și a procurorilor cu instrumentele juridice europene, pe cunoașterea și înţelegerea reciprocă de către aceștia a sistemelor judiciare naţionale, precum și pe utilizarea limbilor străine. În acest context, le revine, în primul rând, instituțiilor din cadrul statelor membre misiunea de a integra pe deplin dimensiunea europeană în cadrul activităţilor proprii de formare judiciară. </w:t>
      </w:r>
    </w:p>
    <w:p w:rsidR="00FC422B" w:rsidRPr="00860724" w:rsidRDefault="00FC422B" w:rsidP="00461AF3">
      <w:pPr>
        <w:spacing w:line="276" w:lineRule="auto"/>
        <w:ind w:firstLine="709"/>
        <w:jc w:val="both"/>
        <w:rPr>
          <w:rFonts w:asciiTheme="minorHAnsi" w:hAnsiTheme="minorHAnsi"/>
          <w:lang w:val="ro-RO"/>
        </w:rPr>
      </w:pPr>
      <w:r w:rsidRPr="00860724">
        <w:rPr>
          <w:rFonts w:asciiTheme="minorHAnsi" w:hAnsiTheme="minorHAnsi"/>
          <w:lang w:val="ro-RO"/>
        </w:rPr>
        <w:t>Dezvoltarea componentei internaţionale a formării judecătorilor și procurorilor români a fost posibilă prin participarea INM în cadrul activităţilor EJTN, prin parteneriatele dezvoltate de INM cu alte școli și instituţii de formare europene, precum și prin deschiderea unor seminarii naţionale participării magistraţilor străini prin intermediul Catalogului EJTN și al Catalogului EJTN Plus.</w:t>
      </w:r>
    </w:p>
    <w:p w:rsidR="00FC422B" w:rsidRPr="00860724" w:rsidRDefault="00FC422B" w:rsidP="00461AF3">
      <w:pPr>
        <w:spacing w:line="276" w:lineRule="auto"/>
        <w:ind w:firstLine="720"/>
        <w:jc w:val="both"/>
        <w:rPr>
          <w:rFonts w:asciiTheme="minorHAnsi" w:hAnsiTheme="minorHAnsi"/>
          <w:lang w:val="ro-RO"/>
        </w:rPr>
      </w:pPr>
      <w:r w:rsidRPr="00860724">
        <w:rPr>
          <w:rFonts w:asciiTheme="minorHAnsi" w:hAnsiTheme="minorHAnsi"/>
          <w:lang w:val="ro-RO"/>
        </w:rPr>
        <w:t xml:space="preserve">În afara celor două direcţii de acţiune menţionate,  INM  a acţionat și în cursul anului 2017 pentru atingerea altor obiective importante ale formării continue, cum sunt: dezvoltarea abilităților non-juridice ale magistraților sau asigurarea pregătirii judecătorilor și procurorilor admiși în magistratură în condiţiile art. 33 din Legea nr. 303/2004. </w:t>
      </w:r>
    </w:p>
    <w:p w:rsidR="00FC422B" w:rsidRPr="00860724" w:rsidRDefault="00FC422B" w:rsidP="00461AF3">
      <w:pPr>
        <w:spacing w:line="276" w:lineRule="auto"/>
        <w:ind w:firstLine="851"/>
        <w:rPr>
          <w:rFonts w:asciiTheme="minorHAnsi" w:hAnsiTheme="minorHAnsi"/>
          <w:lang w:val="ro-RO"/>
        </w:rPr>
      </w:pP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Ca o caracteristică generală, anul de formare 2017 a reprezentat un an cu o activitate intensă a INM, materializată în volumul mare și în diversitatea acțiunilor de formare judiciară. </w:t>
      </w: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În cadrul calendarului din anul 2017 s-au desfășurat </w:t>
      </w:r>
      <w:r w:rsidRPr="00860724">
        <w:rPr>
          <w:rFonts w:asciiTheme="minorHAnsi" w:hAnsiTheme="minorHAnsi"/>
          <w:b/>
          <w:lang w:val="ro-RO"/>
        </w:rPr>
        <w:t>213 activități de formare</w:t>
      </w:r>
      <w:r w:rsidRPr="00860724">
        <w:rPr>
          <w:rFonts w:asciiTheme="minorHAnsi" w:hAnsiTheme="minorHAnsi"/>
          <w:lang w:val="ro-RO"/>
        </w:rPr>
        <w:t xml:space="preserve"> deschise participării judecătorilor si procurorilor, însumând </w:t>
      </w:r>
      <w:r w:rsidRPr="00860724">
        <w:rPr>
          <w:rFonts w:asciiTheme="minorHAnsi" w:hAnsiTheme="minorHAnsi"/>
          <w:b/>
          <w:lang w:val="ro-RO"/>
        </w:rPr>
        <w:t>4.331 de participări</w:t>
      </w:r>
      <w:r w:rsidRPr="00860724">
        <w:rPr>
          <w:rFonts w:asciiTheme="minorHAnsi" w:hAnsiTheme="minorHAnsi"/>
          <w:lang w:val="ro-RO"/>
        </w:rPr>
        <w:t xml:space="preserve"> la aceste activități. Au fost avute în vedere domenii variate, destinate formării specializate a magistraților și unificării practicii judiciare: au fost organizate activități de formare în domeniul noilor coduri civil, penal, de procedură civilă și procedură penală, în domeniul dreptului financiar-fiscal, al dreptului administrativ, al dreptul muncii, dreptul familiei. </w:t>
      </w:r>
      <w:r w:rsidR="00E53EDD">
        <w:rPr>
          <w:rFonts w:asciiTheme="minorHAnsi" w:hAnsiTheme="minorHAnsi"/>
          <w:lang w:val="ro-RO"/>
        </w:rPr>
        <w:t>Au fost prevăzute</w:t>
      </w:r>
      <w:r w:rsidRPr="00860724">
        <w:rPr>
          <w:rFonts w:asciiTheme="minorHAnsi" w:hAnsiTheme="minorHAnsi"/>
          <w:lang w:val="ro-RO"/>
        </w:rPr>
        <w:t xml:space="preserve"> activități de formare în domeniul dreptului consumatorului, al achizițiilor publice, al insolvenței. Au fost incluse activități de formare care pun în dezbatere aspecte de practică care vizează infracțiunile economico-financiare, criminalitatea informatică, criminalistica. </w:t>
      </w: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Ca și în anii anteriori, au fost incluse activități de formare în domeniul dreptului Uniunii Europene, al cooperării judiciare internaționale în materie civilă si penală și al drepturilor omului. În afară de seminariile dedicate acestor domenii, aspecte de drept UE sau de drepturile omului au fost incluse și în alte seminarii, acolo unde tematica a impus astfel de trimiteri.</w:t>
      </w: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 Un număr important de seminarii a fost organizat in domeniul dezvoltărilor abilitaților non-juridice ale magistraților. S-a avut în vedere organizarea de seminarii în domeniul </w:t>
      </w:r>
      <w:r w:rsidR="00E53EDD">
        <w:rPr>
          <w:rFonts w:asciiTheme="minorHAnsi" w:hAnsiTheme="minorHAnsi"/>
          <w:lang w:val="ro-RO"/>
        </w:rPr>
        <w:t xml:space="preserve">limbii </w:t>
      </w:r>
      <w:r w:rsidRPr="00860724">
        <w:rPr>
          <w:rFonts w:asciiTheme="minorHAnsi" w:hAnsiTheme="minorHAnsi"/>
          <w:lang w:val="ro-RO"/>
        </w:rPr>
        <w:t xml:space="preserve">engleze și al </w:t>
      </w:r>
      <w:r w:rsidR="00E53EDD">
        <w:rPr>
          <w:rFonts w:asciiTheme="minorHAnsi" w:hAnsiTheme="minorHAnsi"/>
          <w:lang w:val="ro-RO"/>
        </w:rPr>
        <w:t xml:space="preserve">limbii </w:t>
      </w:r>
      <w:r w:rsidRPr="00860724">
        <w:rPr>
          <w:rFonts w:asciiTheme="minorHAnsi" w:hAnsiTheme="minorHAnsi"/>
          <w:lang w:val="ro-RO"/>
        </w:rPr>
        <w:t xml:space="preserve">franceze juridice, al comunicării, al dezvoltării personale, al combaterii discriminării, medierii. O atenție specială </w:t>
      </w:r>
      <w:r w:rsidR="00E53EDD">
        <w:rPr>
          <w:rFonts w:asciiTheme="minorHAnsi" w:hAnsiTheme="minorHAnsi"/>
          <w:lang w:val="ro-RO"/>
        </w:rPr>
        <w:t xml:space="preserve">s-a </w:t>
      </w:r>
      <w:r w:rsidRPr="00860724">
        <w:rPr>
          <w:rFonts w:asciiTheme="minorHAnsi" w:hAnsiTheme="minorHAnsi"/>
          <w:lang w:val="ro-RO"/>
        </w:rPr>
        <w:t xml:space="preserve">acordat, și în acest an, eticii și deontologiei, în cadrul unui program de colaborare cu formarea continuă descentralizată, fiecare curte de apel și fiecare parchet de pe lângă curțile de apel beneficiind de cate un seminar în acest domeniu. </w:t>
      </w:r>
    </w:p>
    <w:p w:rsidR="00FC422B" w:rsidRPr="00860724" w:rsidRDefault="00FC422B" w:rsidP="00461AF3">
      <w:pPr>
        <w:spacing w:line="276" w:lineRule="auto"/>
        <w:ind w:firstLine="720"/>
        <w:jc w:val="both"/>
        <w:rPr>
          <w:rFonts w:asciiTheme="minorHAnsi" w:hAnsiTheme="minorHAnsi"/>
          <w:lang w:val="ro-RO"/>
        </w:rPr>
      </w:pPr>
      <w:r w:rsidRPr="00860724">
        <w:rPr>
          <w:rFonts w:asciiTheme="minorHAnsi" w:hAnsiTheme="minorHAnsi"/>
          <w:lang w:val="ro-RO"/>
        </w:rPr>
        <w:t xml:space="preserve">Realizarea integrală a activităților prevăzute în Programul de Formare continuă pentru anul 2017 nu a fost posibilă, întrucât, urmare a Ordonanței de urgență nr.63/2017 cu privire la rectificarea bugetului de stat pe anul 2017, bugetul Institutului Național al Magistraturii aprobat pentru anul 2017 a fost diminuat cu suma de 757 000 lei la capitolul ”Cheltuieli cu bunuri și servicii”, fapt ce a pus institutul în imposibilitatea de a mai organiza activitățile de formare planificate începând cu data de 1 octombrie 2017. În consecință, au fost anulate 25 de activități de formare planificate la nivel centralizat. De asemenea, au fost amânate pentru 2018 cursurile dedicate magistraților recrutați în condițiile art. 33 din legea nr. 303/2004, în cadrul examenului de admitere în magistratură sesiunea februarie –mai 2017, care urmau să parcurgă în perioada septembrie –decembrie 2017 modulul II din programul lor de formare (2 grupe, câte 6 săptămâni de formare fiecare grupă). </w:t>
      </w:r>
    </w:p>
    <w:p w:rsidR="00FC422B" w:rsidRPr="00860724" w:rsidRDefault="00FC422B" w:rsidP="00461AF3">
      <w:pPr>
        <w:spacing w:line="276" w:lineRule="auto"/>
        <w:ind w:firstLine="720"/>
        <w:jc w:val="both"/>
        <w:rPr>
          <w:rFonts w:asciiTheme="minorHAnsi" w:hAnsiTheme="minorHAnsi"/>
          <w:lang w:val="ro-RO"/>
        </w:rPr>
      </w:pPr>
      <w:r w:rsidRPr="00860724">
        <w:rPr>
          <w:rFonts w:asciiTheme="minorHAnsi" w:hAnsiTheme="minorHAnsi"/>
          <w:lang w:val="ro-RO"/>
        </w:rPr>
        <w:t>Totodată, mare parte din cele 40 de activități de formare obligatorii programate să se desfășoare la nivel descentralizat cu sprijinul financiar al INM (activități pentru care INM asigură, în conformitate cu Programul de formare continuă la nivel descentralizat pentru anul 2017, plata, cazarea, masa și transportul formatorilor INM care susțin aceste activități) au fost anulate, instanțele și parchetele neavând posibilitatea de a prelua finanțarea acestora.</w:t>
      </w: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 Menționăm și că în cursul anului 2017 INM a derulat două sesiuni de formare prin  cursuri e-learning dezvoltate în materia noilor coduri, deschise participării judecătorilor si procurorilor.  </w:t>
      </w:r>
    </w:p>
    <w:p w:rsidR="00FC422B" w:rsidRPr="00860724" w:rsidRDefault="00FC422B" w:rsidP="00461AF3">
      <w:pPr>
        <w:spacing w:line="276" w:lineRule="auto"/>
        <w:ind w:firstLine="851"/>
        <w:jc w:val="both"/>
        <w:rPr>
          <w:rFonts w:asciiTheme="minorHAnsi" w:hAnsiTheme="minorHAnsi"/>
          <w:lang w:val="ro-RO"/>
        </w:rPr>
      </w:pP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Exprimată în cifre, toată această activitate din anul 2017 poate fi sintetizată astfel:</w:t>
      </w:r>
    </w:p>
    <w:p w:rsidR="00FC422B" w:rsidRPr="00860724" w:rsidRDefault="00FC422B" w:rsidP="00461AF3">
      <w:pPr>
        <w:spacing w:line="276" w:lineRule="auto"/>
        <w:ind w:firstLine="851"/>
        <w:jc w:val="both"/>
        <w:rPr>
          <w:rFonts w:asciiTheme="minorHAnsi" w:hAnsiTheme="minorHAnsi"/>
          <w:lang w:val="ro-RO"/>
        </w:rPr>
      </w:pP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INM a organizat un număr de </w:t>
      </w:r>
      <w:r w:rsidRPr="00860724">
        <w:rPr>
          <w:rFonts w:asciiTheme="minorHAnsi" w:hAnsiTheme="minorHAnsi"/>
          <w:b/>
          <w:lang w:val="ro-RO"/>
        </w:rPr>
        <w:t>213 seminarii</w:t>
      </w:r>
      <w:r w:rsidRPr="00860724">
        <w:rPr>
          <w:rFonts w:asciiTheme="minorHAnsi" w:hAnsiTheme="minorHAnsi"/>
          <w:lang w:val="ro-RO"/>
        </w:rPr>
        <w:t xml:space="preserve"> de formare continuă, la care s-a înregistrat un număr de </w:t>
      </w:r>
      <w:r w:rsidRPr="00860724">
        <w:rPr>
          <w:rFonts w:asciiTheme="minorHAnsi" w:hAnsiTheme="minorHAnsi"/>
          <w:b/>
          <w:lang w:val="ro-RO"/>
        </w:rPr>
        <w:t>4.324 de participări</w:t>
      </w:r>
      <w:r w:rsidRPr="00860724">
        <w:rPr>
          <w:rFonts w:asciiTheme="minorHAnsi" w:hAnsiTheme="minorHAnsi"/>
          <w:lang w:val="ro-RO"/>
        </w:rPr>
        <w:t xml:space="preserve"> din partea judecătorilor, procurorilor și a personalului de specialitate juridică asimilat magistraților (participări efective). Un număr de </w:t>
      </w:r>
      <w:r w:rsidRPr="00860724">
        <w:rPr>
          <w:rFonts w:asciiTheme="minorHAnsi" w:hAnsiTheme="minorHAnsi"/>
          <w:b/>
          <w:lang w:val="ro-RO"/>
        </w:rPr>
        <w:t>3.359 de magistrați</w:t>
      </w:r>
      <w:r w:rsidRPr="00860724">
        <w:rPr>
          <w:rFonts w:asciiTheme="minorHAnsi" w:hAnsiTheme="minorHAnsi"/>
          <w:lang w:val="ro-RO"/>
        </w:rPr>
        <w:t xml:space="preserve"> au participat la seminarii (diferența între numărul de participanți și numărul de participări efective este motivată de faptul că unii magistrați au participat la mai multe acțiuni de formare în cursul anului 2017). </w:t>
      </w:r>
    </w:p>
    <w:p w:rsidR="00FC422B" w:rsidRPr="00860724" w:rsidRDefault="00FC422B" w:rsidP="00461AF3">
      <w:pPr>
        <w:spacing w:line="276" w:lineRule="auto"/>
        <w:ind w:firstLine="851"/>
        <w:jc w:val="both"/>
        <w:rPr>
          <w:rFonts w:asciiTheme="minorHAnsi" w:hAnsiTheme="minorHAnsi"/>
          <w:lang w:val="ro-RO"/>
        </w:rPr>
      </w:pPr>
      <w:r w:rsidRPr="00860724">
        <w:rPr>
          <w:rFonts w:asciiTheme="minorHAnsi" w:hAnsiTheme="minorHAnsi"/>
          <w:lang w:val="ro-RO"/>
        </w:rPr>
        <w:t xml:space="preserve">La aceste activități de formare se adaugă </w:t>
      </w:r>
      <w:r w:rsidRPr="00860724">
        <w:rPr>
          <w:rFonts w:asciiTheme="minorHAnsi" w:hAnsiTheme="minorHAnsi"/>
          <w:b/>
          <w:lang w:val="ro-RO"/>
        </w:rPr>
        <w:t>54 de cursuri e-learning</w:t>
      </w:r>
      <w:r w:rsidRPr="00860724">
        <w:rPr>
          <w:rFonts w:asciiTheme="minorHAnsi" w:hAnsiTheme="minorHAnsi"/>
          <w:lang w:val="ro-RO"/>
        </w:rPr>
        <w:t xml:space="preserve"> (corespunzător a două sesiuni de formare bazate pe cele 27 de cursuri e-learning elaborate de INM în materia Codului civil, a Codului de procedură civilă, a Codului penal și a Codului de procedură penală), la care au participat, în varianta coordonată de un formator INM, </w:t>
      </w:r>
      <w:r w:rsidRPr="00860724">
        <w:rPr>
          <w:rFonts w:asciiTheme="minorHAnsi" w:hAnsiTheme="minorHAnsi"/>
          <w:b/>
          <w:lang w:val="ro-RO"/>
        </w:rPr>
        <w:t>70 de magistrați</w:t>
      </w:r>
      <w:r w:rsidRPr="00860724">
        <w:rPr>
          <w:rFonts w:asciiTheme="minorHAnsi" w:hAnsiTheme="minorHAnsi"/>
          <w:lang w:val="ro-RO"/>
        </w:rPr>
        <w:t xml:space="preserve"> (51 pentru prima sesiune, 19 pentru sesiunea din toamnă), cu un total de </w:t>
      </w:r>
      <w:r w:rsidRPr="00860724">
        <w:rPr>
          <w:rFonts w:asciiTheme="minorHAnsi" w:hAnsiTheme="minorHAnsi"/>
          <w:b/>
          <w:lang w:val="ro-RO"/>
        </w:rPr>
        <w:t xml:space="preserve">416 participări </w:t>
      </w:r>
      <w:r w:rsidRPr="00860724">
        <w:rPr>
          <w:rFonts w:asciiTheme="minorHAnsi" w:hAnsiTheme="minorHAnsi"/>
          <w:lang w:val="ro-RO"/>
        </w:rPr>
        <w:t xml:space="preserve">(335 pentru prima sesiune și 81 pentru sesiunea din toamnă) (fiecare magistrat a optat, în medie, pentru 5 - 6 cursuri e-learning). </w:t>
      </w:r>
    </w:p>
    <w:p w:rsidR="00FC422B" w:rsidRPr="00860724" w:rsidRDefault="00FC422B" w:rsidP="00FC422B">
      <w:pPr>
        <w:spacing w:line="360" w:lineRule="auto"/>
        <w:ind w:firstLine="851"/>
        <w:jc w:val="both"/>
        <w:rPr>
          <w:rFonts w:ascii="Arial Narrow" w:hAnsi="Arial Narrow"/>
          <w:lang w:val="ro-RO"/>
        </w:rPr>
      </w:pPr>
      <w:r w:rsidRPr="00860724">
        <w:rPr>
          <w:rFonts w:ascii="Times New Roman" w:hAnsi="Times New Roman"/>
          <w:noProof/>
          <w:lang w:val="ro-RO" w:eastAsia="ro-RO"/>
        </w:rPr>
        <w:drawing>
          <wp:inline distT="0" distB="0" distL="0" distR="0">
            <wp:extent cx="5446644" cy="2655736"/>
            <wp:effectExtent l="57150" t="0" r="59055" b="106680"/>
            <wp:docPr id="32"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FC422B" w:rsidRPr="00461AF3" w:rsidRDefault="00FC422B" w:rsidP="00461AF3">
      <w:pPr>
        <w:spacing w:line="276" w:lineRule="auto"/>
        <w:ind w:firstLine="851"/>
        <w:jc w:val="both"/>
        <w:rPr>
          <w:rFonts w:asciiTheme="minorHAnsi" w:hAnsiTheme="minorHAnsi" w:cstheme="minorHAnsi"/>
          <w:lang w:val="ro-RO"/>
        </w:rPr>
      </w:pPr>
      <w:r w:rsidRPr="00461AF3">
        <w:rPr>
          <w:rFonts w:asciiTheme="minorHAnsi" w:hAnsiTheme="minorHAnsi" w:cstheme="minorHAnsi"/>
          <w:lang w:val="ro-RO"/>
        </w:rPr>
        <w:t xml:space="preserve">În ceea ce privește numărul participărilor la acțiunile de formare continuă, evoluția în timp a acestora poate fi ilustrată astfel: </w:t>
      </w:r>
    </w:p>
    <w:p w:rsidR="00FC422B" w:rsidRPr="00860724" w:rsidRDefault="00461AF3" w:rsidP="00461AF3">
      <w:pPr>
        <w:spacing w:line="360" w:lineRule="auto"/>
        <w:ind w:firstLine="851"/>
        <w:jc w:val="both"/>
        <w:rPr>
          <w:rFonts w:ascii="Arial Narrow" w:hAnsi="Arial Narrow"/>
          <w:lang w:val="ro-RO"/>
        </w:rPr>
      </w:pPr>
      <w:r w:rsidRPr="00860724">
        <w:rPr>
          <w:rFonts w:ascii="Times New Roman" w:hAnsi="Times New Roman"/>
          <w:noProof/>
          <w:lang w:val="ro-RO" w:eastAsia="ro-RO"/>
        </w:rPr>
        <w:drawing>
          <wp:anchor distT="0" distB="0" distL="114300" distR="114300" simplePos="0" relativeHeight="251663360" behindDoc="0" locked="0" layoutInCell="1" allowOverlap="1" wp14:anchorId="44FD1525" wp14:editId="3C20F619">
            <wp:simplePos x="0" y="0"/>
            <wp:positionH relativeFrom="column">
              <wp:posOffset>578485</wp:posOffset>
            </wp:positionH>
            <wp:positionV relativeFrom="paragraph">
              <wp:posOffset>0</wp:posOffset>
            </wp:positionV>
            <wp:extent cx="5518150" cy="2994660"/>
            <wp:effectExtent l="57150" t="0" r="63500" b="110490"/>
            <wp:wrapSquare wrapText="bothSides"/>
            <wp:docPr id="33" name="Chart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H relativeFrom="page">
              <wp14:pctWidth>0</wp14:pctWidth>
            </wp14:sizeRelH>
            <wp14:sizeRelV relativeFrom="page">
              <wp14:pctHeight>0</wp14:pctHeight>
            </wp14:sizeRelV>
          </wp:anchor>
        </w:drawing>
      </w:r>
      <w:r w:rsidR="00FC422B" w:rsidRPr="00860724">
        <w:rPr>
          <w:rFonts w:ascii="Arial Narrow" w:hAnsi="Arial Narrow"/>
          <w:lang w:val="ro-RO"/>
        </w:rPr>
        <w:tab/>
      </w:r>
    </w:p>
    <w:p w:rsidR="00FC422B" w:rsidRPr="00860724" w:rsidRDefault="00FC422B" w:rsidP="00461AF3">
      <w:pPr>
        <w:spacing w:line="276" w:lineRule="auto"/>
        <w:ind w:firstLine="993"/>
        <w:jc w:val="both"/>
        <w:rPr>
          <w:rFonts w:asciiTheme="minorHAnsi" w:hAnsiTheme="minorHAnsi"/>
          <w:lang w:val="ro-RO"/>
        </w:rPr>
      </w:pPr>
      <w:r w:rsidRPr="00860724">
        <w:rPr>
          <w:rFonts w:asciiTheme="minorHAnsi" w:hAnsiTheme="minorHAnsi"/>
          <w:lang w:val="ro-RO"/>
        </w:rPr>
        <w:t xml:space="preserve">Așadar, în 2017 INM a format </w:t>
      </w:r>
      <w:r w:rsidRPr="00860724">
        <w:rPr>
          <w:rFonts w:asciiTheme="minorHAnsi" w:hAnsiTheme="minorHAnsi"/>
          <w:b/>
          <w:lang w:val="ro-RO"/>
        </w:rPr>
        <w:t>47% din numărul magistraților din sistem</w:t>
      </w:r>
      <w:r w:rsidRPr="00860724">
        <w:rPr>
          <w:rFonts w:asciiTheme="minorHAnsi" w:hAnsiTheme="minorHAnsi"/>
          <w:lang w:val="ro-RO"/>
        </w:rPr>
        <w:t xml:space="preserve">, procent obținut prin raportarea numărului de 3.359 participanți la seminariile de formare continuă la numărul de 7.129 judecători și procurori din sistem. </w:t>
      </w:r>
    </w:p>
    <w:p w:rsidR="00FC422B" w:rsidRPr="00860724" w:rsidRDefault="00FC422B" w:rsidP="00FC422B">
      <w:pPr>
        <w:spacing w:line="360" w:lineRule="auto"/>
        <w:ind w:firstLine="851"/>
        <w:jc w:val="both"/>
        <w:rPr>
          <w:rFonts w:ascii="Arial Narrow" w:hAnsi="Arial Narrow"/>
          <w:lang w:val="ro-RO"/>
        </w:rPr>
      </w:pPr>
    </w:p>
    <w:p w:rsidR="00FC422B" w:rsidRPr="00860724" w:rsidRDefault="00FC422B" w:rsidP="00FC422B">
      <w:pPr>
        <w:spacing w:line="360" w:lineRule="auto"/>
        <w:ind w:firstLine="851"/>
        <w:jc w:val="both"/>
        <w:rPr>
          <w:rFonts w:ascii="Arial Narrow" w:hAnsi="Arial Narrow"/>
          <w:lang w:val="ro-RO"/>
        </w:rPr>
      </w:pPr>
      <w:r w:rsidRPr="00860724">
        <w:rPr>
          <w:rFonts w:ascii="Times New Roman" w:hAnsi="Times New Roman"/>
          <w:noProof/>
          <w:lang w:val="ro-RO" w:eastAsia="ro-RO"/>
        </w:rPr>
        <w:drawing>
          <wp:inline distT="0" distB="0" distL="0" distR="0">
            <wp:extent cx="4846320" cy="2103120"/>
            <wp:effectExtent l="0" t="0" r="0" b="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FC422B" w:rsidRPr="00860724" w:rsidRDefault="00FC422B" w:rsidP="00FC422B">
      <w:pPr>
        <w:spacing w:line="360" w:lineRule="auto"/>
        <w:ind w:firstLine="851"/>
        <w:jc w:val="both"/>
        <w:rPr>
          <w:rFonts w:ascii="Arial Narrow" w:hAnsi="Arial Narrow"/>
          <w:lang w:val="ro-RO"/>
        </w:rPr>
      </w:pPr>
    </w:p>
    <w:p w:rsidR="00FC422B" w:rsidRPr="00860724" w:rsidRDefault="00FC422B" w:rsidP="00E02B53">
      <w:pPr>
        <w:spacing w:line="276" w:lineRule="auto"/>
        <w:ind w:firstLine="851"/>
        <w:jc w:val="both"/>
        <w:rPr>
          <w:lang w:val="ro-RO"/>
        </w:rPr>
      </w:pPr>
      <w:r w:rsidRPr="00860724">
        <w:rPr>
          <w:lang w:val="ro-RO"/>
        </w:rPr>
        <w:t xml:space="preserve">Dintre cele  </w:t>
      </w:r>
      <w:r w:rsidRPr="00860724">
        <w:rPr>
          <w:b/>
          <w:lang w:val="ro-RO"/>
        </w:rPr>
        <w:t>4.324 de participări</w:t>
      </w:r>
      <w:r w:rsidRPr="00860724">
        <w:rPr>
          <w:lang w:val="ro-RO"/>
        </w:rPr>
        <w:t xml:space="preserve"> ale magistraților și personalului din sistemul judiciar formați în cadrul seminariilor </w:t>
      </w:r>
      <w:r w:rsidRPr="00860724">
        <w:rPr>
          <w:b/>
          <w:lang w:val="ro-RO"/>
        </w:rPr>
        <w:t>2.860 au fost efectuate de judecători, 1.366 de procurori, 23 de magistrați asistenți din cadrul ICCJ, 75 personal de specialitate juridică</w:t>
      </w:r>
      <w:r w:rsidRPr="00860724">
        <w:rPr>
          <w:lang w:val="ro-RO"/>
        </w:rPr>
        <w:t xml:space="preserve"> asimilat magistr</w:t>
      </w:r>
      <w:r w:rsidR="00860724" w:rsidRPr="00860724">
        <w:rPr>
          <w:lang w:val="ro-RO"/>
        </w:rPr>
        <w:t>aţilor din cadrul MJ,  CSM și PI</w:t>
      </w:r>
      <w:r w:rsidRPr="00860724">
        <w:rPr>
          <w:lang w:val="ro-RO"/>
        </w:rPr>
        <w:t xml:space="preserve">CCJ </w:t>
      </w:r>
    </w:p>
    <w:p w:rsidR="00FC422B" w:rsidRPr="00860724" w:rsidRDefault="00FC422B" w:rsidP="00FC422B">
      <w:pPr>
        <w:spacing w:line="360" w:lineRule="auto"/>
        <w:ind w:firstLine="851"/>
        <w:jc w:val="both"/>
        <w:rPr>
          <w:rFonts w:ascii="Arial Narrow" w:hAnsi="Arial Narrow"/>
          <w:lang w:val="ro-RO"/>
        </w:rPr>
      </w:pPr>
      <w:r w:rsidRPr="00860724">
        <w:rPr>
          <w:rFonts w:ascii="Times New Roman" w:hAnsi="Times New Roman"/>
          <w:noProof/>
          <w:lang w:val="ro-RO" w:eastAsia="ro-RO"/>
        </w:rPr>
        <w:drawing>
          <wp:inline distT="0" distB="0" distL="0" distR="0">
            <wp:extent cx="4838700" cy="2095500"/>
            <wp:effectExtent l="0" t="0" r="0" b="0"/>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FC422B" w:rsidRPr="00860724" w:rsidRDefault="00FC422B" w:rsidP="00E02B53">
      <w:pPr>
        <w:spacing w:line="276" w:lineRule="auto"/>
        <w:ind w:firstLine="851"/>
        <w:jc w:val="both"/>
        <w:rPr>
          <w:lang w:val="ro-RO"/>
        </w:rPr>
      </w:pPr>
      <w:r w:rsidRPr="00860724">
        <w:rPr>
          <w:lang w:val="ro-RO"/>
        </w:rPr>
        <w:t xml:space="preserve">În ceea ce privește numărul opțiunilor formulate de magistrați la momentul transmiterii listelor de seminarii la începutul anului 2017, </w:t>
      </w:r>
      <w:r w:rsidRPr="00860724">
        <w:rPr>
          <w:b/>
          <w:lang w:val="ro-RO"/>
        </w:rPr>
        <w:t>6.186</w:t>
      </w:r>
      <w:r w:rsidRPr="00860724">
        <w:rPr>
          <w:lang w:val="ro-RO"/>
        </w:rPr>
        <w:t xml:space="preserve"> dintre aceștia (reprezentând </w:t>
      </w:r>
      <w:r w:rsidRPr="00860724">
        <w:rPr>
          <w:b/>
          <w:lang w:val="ro-RO"/>
        </w:rPr>
        <w:t>86% din sistemul judiciar</w:t>
      </w:r>
      <w:r w:rsidRPr="00860724">
        <w:rPr>
          <w:lang w:val="ro-RO"/>
        </w:rPr>
        <w:t>) au formulat opțiuni de a participa la cel puțin una dintre acțiunile organizate de INM.</w:t>
      </w:r>
    </w:p>
    <w:p w:rsidR="00FC422B" w:rsidRPr="00860724" w:rsidRDefault="00FC422B" w:rsidP="00E02B53">
      <w:pPr>
        <w:spacing w:line="276" w:lineRule="auto"/>
        <w:ind w:firstLine="851"/>
        <w:jc w:val="both"/>
        <w:rPr>
          <w:lang w:val="ro-RO"/>
        </w:rPr>
      </w:pPr>
      <w:r w:rsidRPr="00860724">
        <w:rPr>
          <w:lang w:val="ro-RO"/>
        </w:rPr>
        <w:t xml:space="preserve">Un număr total de </w:t>
      </w:r>
      <w:r w:rsidRPr="00860724">
        <w:rPr>
          <w:b/>
          <w:lang w:val="ro-RO"/>
        </w:rPr>
        <w:t>3.051 (49,3%)</w:t>
      </w:r>
      <w:r w:rsidRPr="00860724">
        <w:rPr>
          <w:lang w:val="ro-RO"/>
        </w:rPr>
        <w:t xml:space="preserve"> dintre magistrații care au formulat opțiuni au participat la seminarii de formare continuă. Cum </w:t>
      </w:r>
      <w:r w:rsidR="00B80F17">
        <w:rPr>
          <w:lang w:val="ro-RO"/>
        </w:rPr>
        <w:t>s-a prezentat</w:t>
      </w:r>
      <w:r w:rsidRPr="00860724">
        <w:rPr>
          <w:lang w:val="ro-RO"/>
        </w:rPr>
        <w:t xml:space="preserve">, un număr de 25 de seminarii programate inițial pentru acest an și pentru care au fost formulate opțiuni au fost anulate, din lipsă de fonduri. Trebuie menționat faptul că numărul participărilor este diminuat și de scăderea numărului activităților de formare organizate, în fiecare an fiind organizate activitățile permise de capacitatea instituțională a INM și de fondurile disponibile, provenite de la bugetul de stat sau din surse extrabugetare. </w:t>
      </w:r>
    </w:p>
    <w:p w:rsidR="00FC422B" w:rsidRPr="00860724" w:rsidRDefault="00FC422B" w:rsidP="00E02B53">
      <w:pPr>
        <w:spacing w:line="276" w:lineRule="auto"/>
        <w:ind w:firstLine="851"/>
        <w:jc w:val="both"/>
        <w:rPr>
          <w:lang w:val="ro-RO"/>
        </w:rPr>
      </w:pPr>
      <w:r w:rsidRPr="00860724">
        <w:rPr>
          <w:lang w:val="ro-RO"/>
        </w:rPr>
        <w:t xml:space="preserve">De asemenea, dintre magistrații care au fost selectați și invitați să participe în urma opțiunilor formulate, unii nu au răspuns invitației, aflându-se, în general din motive obiective, în imposibilitate de a se prezenta. </w:t>
      </w:r>
    </w:p>
    <w:p w:rsidR="00FC422B" w:rsidRPr="00860724" w:rsidRDefault="00FC422B" w:rsidP="00FC422B">
      <w:pPr>
        <w:spacing w:line="360" w:lineRule="auto"/>
        <w:ind w:firstLine="851"/>
        <w:jc w:val="both"/>
        <w:rPr>
          <w:rFonts w:ascii="Arial Narrow" w:hAnsi="Arial Narrow"/>
          <w:lang w:val="ro-RO"/>
        </w:rPr>
      </w:pPr>
      <w:r w:rsidRPr="00860724">
        <w:rPr>
          <w:rFonts w:ascii="Times New Roman" w:hAnsi="Times New Roman"/>
          <w:noProof/>
          <w:lang w:val="ro-RO" w:eastAsia="ro-RO"/>
        </w:rPr>
        <w:drawing>
          <wp:inline distT="0" distB="0" distL="0" distR="0">
            <wp:extent cx="5349240" cy="2423160"/>
            <wp:effectExtent l="0" t="0" r="3810" b="0"/>
            <wp:docPr id="29"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sidRPr="00860724">
        <w:rPr>
          <w:rFonts w:ascii="Arial Narrow" w:hAnsi="Arial Narrow"/>
          <w:lang w:val="ro-RO"/>
        </w:rPr>
        <w:tab/>
      </w:r>
    </w:p>
    <w:p w:rsidR="00FC422B" w:rsidRPr="00860724" w:rsidRDefault="00FC422B" w:rsidP="00E02B53">
      <w:pPr>
        <w:spacing w:line="276" w:lineRule="auto"/>
        <w:ind w:firstLine="851"/>
        <w:jc w:val="both"/>
        <w:rPr>
          <w:lang w:val="ro-RO"/>
        </w:rPr>
      </w:pPr>
      <w:r w:rsidRPr="00860724">
        <w:rPr>
          <w:lang w:val="ro-RO"/>
        </w:rPr>
        <w:t xml:space="preserve">În ceea ce privește domeniile în care INM a asigurat formare, accentul a fost pus și în 2017 pe formarea în materia </w:t>
      </w:r>
      <w:r w:rsidRPr="00860724">
        <w:rPr>
          <w:b/>
          <w:lang w:val="ro-RO"/>
        </w:rPr>
        <w:t>noilor coduri</w:t>
      </w:r>
      <w:r w:rsidRPr="00860724">
        <w:rPr>
          <w:lang w:val="ro-RO"/>
        </w:rPr>
        <w:t xml:space="preserve">: </w:t>
      </w:r>
      <w:r w:rsidRPr="00860724">
        <w:rPr>
          <w:b/>
          <w:lang w:val="ro-RO"/>
        </w:rPr>
        <w:t>19 de seminarii și conferințe</w:t>
      </w:r>
      <w:r w:rsidRPr="00860724">
        <w:rPr>
          <w:lang w:val="ro-RO"/>
        </w:rPr>
        <w:t xml:space="preserve"> au fost dedicate acestui obiectiv, rezultatul fiind un număr de </w:t>
      </w:r>
      <w:r w:rsidRPr="00860724">
        <w:rPr>
          <w:b/>
          <w:lang w:val="ro-RO"/>
        </w:rPr>
        <w:t xml:space="preserve">1.006 de magistrați </w:t>
      </w:r>
      <w:r w:rsidRPr="00860724">
        <w:rPr>
          <w:lang w:val="ro-RO"/>
        </w:rPr>
        <w:t xml:space="preserve">formați (648 judecători și 356 procurori, 1 magistrat asistent și 1 personal de specialitate juridică asimilat magistraților) </w:t>
      </w:r>
      <w:r w:rsidRPr="00860724">
        <w:rPr>
          <w:b/>
          <w:lang w:val="ro-RO"/>
        </w:rPr>
        <w:t>1.051 participări</w:t>
      </w:r>
      <w:r w:rsidRPr="00860724">
        <w:rPr>
          <w:lang w:val="ro-RO"/>
        </w:rPr>
        <w:t xml:space="preserve"> (676 judecători și 373 procurori, 1 magistrat asistent și 1 personal de specialitate juridică asimilat magistraților). </w:t>
      </w:r>
    </w:p>
    <w:p w:rsidR="00FC422B" w:rsidRPr="00860724" w:rsidRDefault="00FC422B" w:rsidP="00E02B53">
      <w:pPr>
        <w:spacing w:line="276" w:lineRule="auto"/>
        <w:ind w:firstLine="851"/>
        <w:jc w:val="both"/>
        <w:rPr>
          <w:lang w:val="ro-RO"/>
        </w:rPr>
      </w:pPr>
      <w:r w:rsidRPr="00860724">
        <w:rPr>
          <w:lang w:val="ro-RO"/>
        </w:rPr>
        <w:t xml:space="preserve">Subliniem interesul ridicat și succesul pe care conferințele organizate în materia noilor coduri îl suscită încă, înregistrările video ale conferințelor organizate în perioada septembrie – decembrie 2017 înregistrând, în câteva săptămâni, un număr de </w:t>
      </w:r>
      <w:r w:rsidRPr="00860724">
        <w:rPr>
          <w:b/>
          <w:lang w:val="ro-RO"/>
        </w:rPr>
        <w:t>11.549 de utilizatori unici</w:t>
      </w:r>
      <w:r w:rsidRPr="00860724">
        <w:rPr>
          <w:lang w:val="ro-RO"/>
        </w:rPr>
        <w:t xml:space="preserve">, cu un total de 31.931 de vizualizări. De asemenea, canalul You Tube al INM, unde prezentările din cadrul conferințelor au fost de asemenea încărcate, are, în prezent, </w:t>
      </w:r>
      <w:r w:rsidRPr="00860724">
        <w:rPr>
          <w:b/>
          <w:lang w:val="ro-RO"/>
        </w:rPr>
        <w:t>622 de abonați</w:t>
      </w:r>
      <w:r w:rsidRPr="00860724">
        <w:rPr>
          <w:lang w:val="ro-RO"/>
        </w:rPr>
        <w:t xml:space="preserve">. </w:t>
      </w:r>
    </w:p>
    <w:p w:rsidR="00FC422B" w:rsidRPr="00860724" w:rsidRDefault="00FC422B" w:rsidP="00E02B53">
      <w:pPr>
        <w:spacing w:line="276" w:lineRule="auto"/>
        <w:ind w:firstLine="851"/>
        <w:jc w:val="both"/>
        <w:rPr>
          <w:lang w:val="ro-RO"/>
        </w:rPr>
      </w:pPr>
      <w:r w:rsidRPr="00860724">
        <w:rPr>
          <w:lang w:val="ro-RO"/>
        </w:rPr>
        <w:t xml:space="preserve">Precizăm că </w:t>
      </w:r>
      <w:r w:rsidRPr="00860724">
        <w:rPr>
          <w:b/>
          <w:lang w:val="ro-RO"/>
        </w:rPr>
        <w:t>6.319</w:t>
      </w:r>
      <w:r w:rsidRPr="00860724">
        <w:rPr>
          <w:lang w:val="ro-RO"/>
        </w:rPr>
        <w:t xml:space="preserve"> din judecătorii si procurorii din sistem (</w:t>
      </w:r>
      <w:r w:rsidRPr="00860724">
        <w:rPr>
          <w:b/>
          <w:lang w:val="ro-RO"/>
        </w:rPr>
        <w:t>88,6%</w:t>
      </w:r>
      <w:r w:rsidRPr="00860724">
        <w:rPr>
          <w:lang w:val="ro-RO"/>
        </w:rPr>
        <w:t xml:space="preserve">) au participat, de la adoptarea noilor coduri și până în prezent, la cel puțin o acțiune de formare în materia noilor coduri. </w:t>
      </w:r>
    </w:p>
    <w:p w:rsidR="00FC422B" w:rsidRPr="00860724" w:rsidRDefault="00FC422B" w:rsidP="00FC422B">
      <w:pPr>
        <w:spacing w:line="360" w:lineRule="auto"/>
        <w:ind w:firstLine="851"/>
        <w:jc w:val="both"/>
        <w:rPr>
          <w:rFonts w:ascii="Arial Narrow" w:hAnsi="Arial Narrow"/>
          <w:lang w:val="ro-RO"/>
        </w:rPr>
      </w:pPr>
    </w:p>
    <w:p w:rsidR="00FC422B" w:rsidRPr="00860724" w:rsidRDefault="00FC422B" w:rsidP="00FC422B">
      <w:pPr>
        <w:spacing w:line="360" w:lineRule="auto"/>
        <w:ind w:firstLine="851"/>
        <w:jc w:val="both"/>
        <w:rPr>
          <w:rFonts w:ascii="Arial Narrow" w:hAnsi="Arial Narrow"/>
          <w:lang w:val="ro-RO"/>
        </w:rPr>
      </w:pPr>
      <w:r w:rsidRPr="00860724">
        <w:rPr>
          <w:rFonts w:ascii="Times New Roman" w:hAnsi="Times New Roman"/>
          <w:noProof/>
          <w:lang w:val="ro-RO" w:eastAsia="ro-RO"/>
        </w:rPr>
        <w:drawing>
          <wp:inline distT="0" distB="0" distL="0" distR="0">
            <wp:extent cx="5280660" cy="2087880"/>
            <wp:effectExtent l="0" t="0" r="0" b="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FC422B" w:rsidRPr="00860724" w:rsidRDefault="00FC422B" w:rsidP="00FC422B">
      <w:pPr>
        <w:spacing w:line="360" w:lineRule="auto"/>
        <w:ind w:firstLine="851"/>
        <w:jc w:val="both"/>
        <w:rPr>
          <w:rFonts w:ascii="Arial Narrow" w:hAnsi="Arial Narrow"/>
          <w:lang w:val="ro-RO"/>
        </w:rPr>
      </w:pPr>
    </w:p>
    <w:p w:rsidR="00FC422B" w:rsidRPr="00E02B53" w:rsidRDefault="00FC422B" w:rsidP="00E02B53">
      <w:pPr>
        <w:spacing w:line="276" w:lineRule="auto"/>
        <w:ind w:firstLine="851"/>
        <w:jc w:val="both"/>
        <w:rPr>
          <w:rFonts w:asciiTheme="minorHAnsi" w:hAnsiTheme="minorHAnsi" w:cstheme="minorHAnsi"/>
          <w:lang w:val="ro-RO"/>
        </w:rPr>
      </w:pPr>
      <w:r w:rsidRPr="00E02B53">
        <w:rPr>
          <w:rFonts w:asciiTheme="minorHAnsi" w:hAnsiTheme="minorHAnsi" w:cstheme="minorHAnsi"/>
          <w:lang w:val="ro-RO"/>
        </w:rPr>
        <w:t xml:space="preserve">Activitățile de formare continuă au fost interconectate cu un alt demers realizat de INM - întâlnirile președinților secțiilor specializate din cadrul ICCJ și curților de apel, dedicate identificării și dezbaterii aspectelor de practică judiciară neunitară. Exercițiu inițiat în cadrul anului 2014 cu sprijinul CSM, aceste întâlniri s-au bucurat de o largă apreciere, fapt ce a determinat </w:t>
      </w:r>
      <w:r w:rsidR="00B80F17">
        <w:rPr>
          <w:rFonts w:asciiTheme="minorHAnsi" w:hAnsiTheme="minorHAnsi" w:cstheme="minorHAnsi"/>
          <w:lang w:val="ro-RO"/>
        </w:rPr>
        <w:t>INM să crească</w:t>
      </w:r>
      <w:r w:rsidRPr="00E02B53">
        <w:rPr>
          <w:rFonts w:asciiTheme="minorHAnsi" w:hAnsiTheme="minorHAnsi" w:cstheme="minorHAnsi"/>
          <w:lang w:val="ro-RO"/>
        </w:rPr>
        <w:t xml:space="preserve"> numărul acestora la 9 în anul 2015, 10 întâlniri în 2016, respectiv 11 întâlniri în 2017 (9 întâlniri au fost programate pentru instanțe, o întâlnire pentru parchete și una comună, în materie penală). Eficiența ambelor programe a fost potențată de contribuția formatorilor INM, care au adus în discuție în cadrul întâlnirilor președinților secțiilor specializate aspectele semnalate de magistrați la seminariile organizate la nivel descentralizat. Pe de altă parte, concluziile acestor întâlniri nu au fost doar publicate pe site-ul INM și comunicate de participanți în cadrul instanțelor și parchetelor proprii, dar au fost și diseminate în cadrul seminariilor și conferințelor organizate. Din păcate, din cauza rectificării bugetare, 5 din aceste întâlniri au fost anulate la finalul </w:t>
      </w:r>
      <w:r w:rsidR="00B80F17">
        <w:rPr>
          <w:rFonts w:asciiTheme="minorHAnsi" w:hAnsiTheme="minorHAnsi" w:cstheme="minorHAnsi"/>
          <w:lang w:val="ro-RO"/>
        </w:rPr>
        <w:t>anului 2017</w:t>
      </w:r>
      <w:r w:rsidRPr="00E02B53">
        <w:rPr>
          <w:rFonts w:asciiTheme="minorHAnsi" w:hAnsiTheme="minorHAnsi" w:cstheme="minorHAnsi"/>
          <w:lang w:val="ro-RO"/>
        </w:rPr>
        <w:t>.</w:t>
      </w:r>
    </w:p>
    <w:p w:rsidR="00FC422B" w:rsidRPr="00E02B53" w:rsidRDefault="00FC422B" w:rsidP="00E02B53">
      <w:pPr>
        <w:spacing w:line="276" w:lineRule="auto"/>
        <w:ind w:right="43" w:firstLine="720"/>
        <w:jc w:val="both"/>
        <w:rPr>
          <w:rFonts w:asciiTheme="minorHAnsi" w:hAnsiTheme="minorHAnsi" w:cstheme="minorHAnsi"/>
          <w:lang w:val="ro-RO"/>
        </w:rPr>
      </w:pPr>
      <w:r w:rsidRPr="00E02B53">
        <w:rPr>
          <w:rFonts w:asciiTheme="minorHAnsi" w:hAnsiTheme="minorHAnsi" w:cstheme="minorHAnsi"/>
          <w:lang w:val="ro-RO"/>
        </w:rPr>
        <w:t xml:space="preserve">Menționăm că în cursul anului 2015 au fost finalizate 27 de cursuri e-learning, elaborate în domeniul noilor coduri, în cadrul proiectului Asistență pentru consolidarea capacității instituționale în domeniul formării judecătorilor și procurorilor pentru aplicarea noilor coduri, derulat prin Programul de Cooperare Elveţiano - Român pentru reducerea disparităților economice și sociale în cadrul Uniunii Europene extinse. Magistrații au avut posibilitatea să opteze, și în 2017, pentru accesarea acestor cursuri în mod organizat, beneficiind de coordonarea unui formator INM. În cele două sesiuni din acest an 70 de magistrați au formulat opțiuni de înscriere la cursurile e-learning. Faptul că fiecare din acești magistrați s-a înscris la 5 - 6 cursuri e-learning a avut drept consecință înregistrarea unui număr de 416 de înscrieri. </w:t>
      </w:r>
    </w:p>
    <w:p w:rsidR="00FC422B" w:rsidRPr="00E02B53" w:rsidRDefault="00FC422B" w:rsidP="00E02B53">
      <w:pPr>
        <w:spacing w:line="276" w:lineRule="auto"/>
        <w:ind w:firstLine="851"/>
        <w:jc w:val="both"/>
        <w:rPr>
          <w:rFonts w:asciiTheme="minorHAnsi" w:hAnsiTheme="minorHAnsi" w:cstheme="minorHAnsi"/>
          <w:lang w:val="ro-RO"/>
        </w:rPr>
      </w:pPr>
      <w:r w:rsidRPr="00E02B53">
        <w:rPr>
          <w:rFonts w:asciiTheme="minorHAnsi" w:hAnsiTheme="minorHAnsi" w:cstheme="minorHAnsi"/>
          <w:lang w:val="ro-RO"/>
        </w:rPr>
        <w:t xml:space="preserve">Totodată, cursurile au fost postate de platforma e-learning a INM, fiind deschise accesului public. Astfel, nu doar magistrații, dar și orice altă persoană interesată au posibilitatea de a urma cursurile în mod individual, direct pe platforma INM, prin introducerea unui user name și a unei parole anunțate public. </w:t>
      </w:r>
    </w:p>
    <w:p w:rsidR="00122527" w:rsidRDefault="00122527" w:rsidP="00122527">
      <w:pPr>
        <w:spacing w:line="276" w:lineRule="auto"/>
        <w:jc w:val="both"/>
        <w:rPr>
          <w:rFonts w:asciiTheme="minorHAnsi" w:hAnsiTheme="minorHAnsi" w:cstheme="minorHAnsi"/>
          <w:b/>
          <w:lang w:val="ro-RO"/>
        </w:rPr>
      </w:pPr>
    </w:p>
    <w:p w:rsidR="00FC422B" w:rsidRPr="00122527" w:rsidRDefault="00122527" w:rsidP="00122527">
      <w:pPr>
        <w:spacing w:line="276" w:lineRule="auto"/>
        <w:jc w:val="both"/>
        <w:rPr>
          <w:rFonts w:asciiTheme="minorHAnsi" w:hAnsiTheme="minorHAnsi" w:cstheme="minorHAnsi"/>
          <w:b/>
          <w:lang w:val="ro-RO"/>
        </w:rPr>
      </w:pPr>
      <w:r>
        <w:rPr>
          <w:rFonts w:asciiTheme="minorHAnsi" w:hAnsiTheme="minorHAnsi" w:cstheme="minorHAnsi"/>
          <w:b/>
          <w:lang w:val="ro-RO"/>
        </w:rPr>
        <w:tab/>
        <w:t xml:space="preserve">3. </w:t>
      </w:r>
      <w:r w:rsidR="00FC422B" w:rsidRPr="00122527">
        <w:rPr>
          <w:rFonts w:asciiTheme="minorHAnsi" w:hAnsiTheme="minorHAnsi" w:cstheme="minorHAnsi"/>
          <w:b/>
          <w:lang w:val="ro-RO"/>
        </w:rPr>
        <w:t xml:space="preserve">Date cu privire la </w:t>
      </w:r>
      <w:bookmarkStart w:id="85" w:name="_Toc373762913"/>
      <w:r w:rsidR="00FC422B" w:rsidRPr="00122527">
        <w:rPr>
          <w:rFonts w:asciiTheme="minorHAnsi" w:hAnsiTheme="minorHAnsi" w:cstheme="minorHAnsi"/>
          <w:b/>
          <w:lang w:val="ro-RO"/>
        </w:rPr>
        <w:t xml:space="preserve">activitățile de formare cu caracter internațional și contribuția INM la dezvoltarea spațiului judiciar comun european </w:t>
      </w:r>
      <w:bookmarkEnd w:id="85"/>
    </w:p>
    <w:p w:rsidR="00FC422B" w:rsidRPr="00E02B53" w:rsidRDefault="00FC422B" w:rsidP="00E02B53">
      <w:pPr>
        <w:spacing w:after="180" w:line="276" w:lineRule="auto"/>
        <w:ind w:right="43" w:firstLine="709"/>
        <w:jc w:val="both"/>
        <w:rPr>
          <w:rFonts w:asciiTheme="minorHAnsi" w:hAnsiTheme="minorHAnsi" w:cstheme="minorHAnsi"/>
          <w:lang w:val="ro-RO"/>
        </w:rPr>
      </w:pPr>
      <w:r w:rsidRPr="00E02B53">
        <w:rPr>
          <w:rFonts w:asciiTheme="minorHAnsi" w:hAnsiTheme="minorHAnsi" w:cstheme="minorHAnsi"/>
          <w:lang w:val="ro-RO"/>
        </w:rPr>
        <w:t>Și în anul 2017, preocuparea INM de a contribui la crearea unui spațiu juridic european bazat pe încredere, s-a concretizat în colaborări cu instituții sau organizații internaționale, precum și în participarea INM într-o serie de conferințe internaționale, programe de cooperare europeană sau regională.</w:t>
      </w:r>
    </w:p>
    <w:p w:rsidR="00FC422B" w:rsidRPr="00E02B53" w:rsidRDefault="00FC422B" w:rsidP="00E02B53">
      <w:pPr>
        <w:numPr>
          <w:ilvl w:val="0"/>
          <w:numId w:val="31"/>
        </w:numPr>
        <w:tabs>
          <w:tab w:val="left" w:pos="360"/>
          <w:tab w:val="left" w:pos="993"/>
          <w:tab w:val="left" w:pos="2843"/>
        </w:tabs>
        <w:spacing w:line="276" w:lineRule="auto"/>
        <w:ind w:left="0" w:firstLine="709"/>
        <w:jc w:val="both"/>
        <w:rPr>
          <w:rFonts w:asciiTheme="minorHAnsi" w:hAnsiTheme="minorHAnsi" w:cstheme="minorHAnsi"/>
          <w:lang w:val="ro-RO"/>
        </w:rPr>
      </w:pPr>
      <w:r w:rsidRPr="00E02B53">
        <w:rPr>
          <w:rFonts w:asciiTheme="minorHAnsi" w:hAnsiTheme="minorHAnsi" w:cstheme="minorHAnsi"/>
          <w:lang w:val="ro-RO"/>
        </w:rPr>
        <w:t xml:space="preserve">Astfel, INM a fost reprezentat la întâlnirile organelor de conducere și de lucru ale Rețelei Europene de Formare Judiciară/European Judicial Training Network (EJTN), respectiv: Adunarea Generală a Rețelei, întrunirile Comitetului de Pilotaj al Rețelei (Steering Commitee), întâlnirile grupului de lucru „Programe”, ale grupului de lucru „Programul de schimb”, ale grupului de lucru “Metodologii de formare judiciară”, ale sub-grupului de lucru „Drepturile omului” și ale sub-grupului de lucru „Drept administrativ”. De asemenea, experții și formatorii INM au participat, în calitate de reprezentanți sau moderatori, la seminariile și întrunirile organizate de către EJTN care au avut loc în cursul anului 2017, respectiv, în cadrul Programului lingvistic EJTN, în cadrul Programului Drept penal, ale grupului de lucru Metode Judiciare de Formare (Judicial Training Methods), ale sub-grupului de lucru Drept administrativ, ale sub-grupului de lucru Civil și la întâlnirile organizate de EJTN cu reprezentanți ai altor instituții sau agenții europene. Astfel, INM a fost reprezentat la întâlnirea cu tema “Exchange of EJTN Members practices on organising training projects with the external funding”, organizată de către Rețeaua Europeană de Formare Judiciară la Bruxelles – Belgia. </w:t>
      </w:r>
    </w:p>
    <w:p w:rsidR="00FC422B" w:rsidRPr="00E02B53" w:rsidRDefault="00FC422B" w:rsidP="00E02B53">
      <w:pPr>
        <w:pStyle w:val="Listparagraf"/>
        <w:numPr>
          <w:ilvl w:val="0"/>
          <w:numId w:val="31"/>
        </w:numPr>
        <w:shd w:val="clear" w:color="auto" w:fill="FFFFFF"/>
        <w:tabs>
          <w:tab w:val="left" w:pos="360"/>
          <w:tab w:val="num" w:pos="990"/>
        </w:tabs>
        <w:spacing w:after="180" w:line="276" w:lineRule="auto"/>
        <w:ind w:left="0" w:right="43" w:firstLine="720"/>
        <w:jc w:val="both"/>
        <w:rPr>
          <w:rFonts w:asciiTheme="minorHAnsi" w:hAnsiTheme="minorHAnsi" w:cstheme="minorHAnsi"/>
          <w:lang w:val="ro-RO"/>
        </w:rPr>
      </w:pPr>
      <w:r w:rsidRPr="00E02B53">
        <w:rPr>
          <w:rFonts w:asciiTheme="minorHAnsi" w:hAnsiTheme="minorHAnsi" w:cstheme="minorHAnsi"/>
          <w:lang w:val="ro-RO"/>
        </w:rPr>
        <w:t xml:space="preserve">INM a participat la Adunarea Generală a Rețelei de Formare Euro-Arabe (European- Arab Judicial Training Network – EAJTN). </w:t>
      </w:r>
    </w:p>
    <w:p w:rsidR="00FC422B" w:rsidRPr="00E02B53" w:rsidRDefault="00FC422B" w:rsidP="00E02B53">
      <w:pPr>
        <w:numPr>
          <w:ilvl w:val="0"/>
          <w:numId w:val="31"/>
        </w:numPr>
        <w:tabs>
          <w:tab w:val="left" w:pos="360"/>
          <w:tab w:val="left" w:pos="993"/>
          <w:tab w:val="left" w:pos="2843"/>
        </w:tabs>
        <w:spacing w:line="276" w:lineRule="auto"/>
        <w:ind w:left="0" w:firstLine="709"/>
        <w:jc w:val="both"/>
        <w:rPr>
          <w:rFonts w:asciiTheme="minorHAnsi" w:hAnsiTheme="minorHAnsi" w:cstheme="minorHAnsi"/>
          <w:lang w:val="ro-RO"/>
        </w:rPr>
      </w:pPr>
      <w:r w:rsidRPr="00E02B53">
        <w:rPr>
          <w:rFonts w:asciiTheme="minorHAnsi" w:hAnsiTheme="minorHAnsi" w:cstheme="minorHAnsi"/>
          <w:lang w:val="ro-RO"/>
        </w:rPr>
        <w:t>INM a participat la Conferința cu tema ”Towards a digital single market: Competition law has parts to play”, organizată de către Asociația judecătorilor europeni specializați în dreptul concurenței și Comisia Europeană, cu sprijinul Ministerul Federal de Justiție din Austria și Asociației ”Studienvereinigung Kartellrecht”.</w:t>
      </w:r>
    </w:p>
    <w:p w:rsidR="00FC422B" w:rsidRPr="00E02B53" w:rsidRDefault="00FC422B" w:rsidP="00E02B53">
      <w:pPr>
        <w:pStyle w:val="Listparagra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3.1. Implicarea Institutului Național al Magistraturii ca partener în cadrul unor proiecte finanțate de Comisia Europeană</w:t>
      </w:r>
    </w:p>
    <w:p w:rsidR="00FC422B" w:rsidRPr="00E02B53" w:rsidRDefault="00FC422B" w:rsidP="00E02B53">
      <w:pPr>
        <w:pStyle w:val="Listparagra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Și în anul 2017 INM  a început sau a continuat derularea activităților în cadrul unor proiecte cu finanțare externă nerambursabilă, coordonate de instituții partenere din țară și din Europa, cum sunt: Ministerul Justiției, IGPR, Banca Europeană pentru Reconstrucție și Dezvoltare (BERD), Biroul Înaltului Comisar ONU pentru Refugiați (UNCHR), Asociația Pro Refugiu Romania, Freedom House, Centrul Român de Politici Europene (CRPE), Școala Națională de Magistratură din Franța (ENM), S.S.R. Internațional - Centrul pentru pregătire și cercetare pentru sistemul judiciar din Olanda, Academia de Drept European de la Trier (ERA), Institutului Universitar European de la Florența (EUI), Universitatea din Trento și Ludwig Boltzmann Institut of Human Rights (BIM) – Austria.</w:t>
      </w:r>
    </w:p>
    <w:p w:rsidR="00FC422B" w:rsidRPr="00E02B53" w:rsidRDefault="00FC422B" w:rsidP="00E02B53">
      <w:pPr>
        <w:pStyle w:val="Listparagra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În 2017 INM a avut în derulare un număr de 19 proiecte, aflate în diferite stadii de implementare. Astfel, în anul 2017 au continuat 16 proiecte finanțate prin granturi de la Comisia Europeană, 2 proiecte în cadrul mecanismului elvețian, coordonate și cofinanțate de către CSM și un proiect din fonduri structurale, în colaborare cu Direcția Generală Anticorupție (DGA.</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3.2. Contribuția Elvețiană pentru Uniunea Europeană extinsă</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Ca urmare a economiilor realizate în perioada 2012 – 2015, Consiliul Federal Elvețian a decis aprobarea finanțării continuării a două proiecte, cu o perioadă de implementare de 18 luni, Institutul Național al Magistraturii fiind unul dintre beneficiarii celor două proiecte, respectiv: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a) „Asistență pentru consolidarea capacității instituționale în domeniul formării judecătorilor și procurorilor pentru aplicarea noilor legi” (beneficiarii finali ai proiectului fiind INM și Școala Națională pentru Grefieri): în cadrul proiectului au fost prevăzute activități de formare profesională adresate cu prioritate judecătorilor și procurorilor români: 8 conferințe naționale în domeniul unificării practici judiciare, 10 seminarii în materia executării pedepselor, 5 seminarii în domeniul comunicării, 6 seminarii în domeniul managementului, 6 seminarii în domeniul achizițiilor publice, 6 seminarii în domeniul executării silite, 6 seminarii în materia dreptului familiei și 6 seminarii în materia insolvenței. De asemenea, proiectul și-a propus completarea modelelor elaborate în cadrul ghidului de acte procesuale elaborat în cadrul proiectului anterior, prin adaptarea și integrarea acestor acte în ECRIS precum și dezvoltarea ghidului de cereri de chemare în judecată. </w:t>
      </w:r>
    </w:p>
    <w:p w:rsidR="00FC422B" w:rsidRPr="00E02B53" w:rsidRDefault="00FC422B" w:rsidP="00E02B53">
      <w:pPr>
        <w:pStyle w:val="Listparagraf"/>
        <w:shd w:val="clear" w:color="auto" w:fill="FFFFFF"/>
        <w:tabs>
          <w:tab w:val="left" w:pos="360"/>
          <w:tab w:val="left" w:pos="99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b) „Îmbunătățirea capacității de formare profesională pentru judecătorii  și procurorii români în domeniul luptei împotriva corupției și a criminalității economice și financiare”, ai cărui beneficiari finali sunt: Direcția Națională Anticorupție, Parchetul de pe lângă Înalta Curte de Casație și Justiție, Direcția de Investigare a Infracțiunilor de Criminalitate Organizată și Terorism și INM.   </w:t>
      </w:r>
    </w:p>
    <w:p w:rsidR="00FC422B" w:rsidRPr="00E02B53" w:rsidRDefault="00FC422B" w:rsidP="00E02B53">
      <w:pPr>
        <w:pStyle w:val="Listparagraf"/>
        <w:shd w:val="clear" w:color="auto" w:fill="FFFFFF"/>
        <w:tabs>
          <w:tab w:val="left" w:pos="360"/>
          <w:tab w:val="left" w:pos="99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Activitățile preconizate în cadrul celor două proiecte – 8 conferințe și 45 de seminarii în cadrul proiectului „Asistență pentru consolidarea capacității instituționale în domeniul formării judecătorilor și procurorilor pentru aplicarea noilor legi”, respectiv 4 seminarii în materia perchezițiilor informatice, în cadrul proiectului „Îmbunătățirea capacității de formare profesională pentru judecătorii  și procurorii români în domeniul luptei împotriva corupției și a criminalității economice și financiare” au fost organizate în întregime în cursul anului 2017.</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3.3. Mecanismul Financiar Norvegian</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Proiectul „Asistență pentru consolidarea capacității sistemului judiciar din România de a face față noilor provocări legislative și instituționale” a demarat în cursul anului 2014.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Începând cu data de 26 aprilie 2016, durata acordului de parteneriat încheiat în cadrul proiectului a fost prelungită până la data de 30 aprilie 2017, în acest an fiind organizate 45 de seminarii în domeniul noilor coduri, 1 conferință internațională în domeniul dreptului fiscal și 2 seminarii în domeniul dreptului consumatorului.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3.4. Programul de schimb al autorităților judiciare coordonat de EJTN</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Programul presupune un schimb de magistrați și formatori între statele implicate, în cadrul unor stagii cu o durată de 10 zile lucrătoare.</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Astfel, 175 de magistrați români au fost selectați să participe la diversele componente ale programului de schimb: stagii de 2 săptămâni (102 de magistrați), vizite la CEDO (9 magistrați), vizite la CJUE (9 magistrați), vizite de studiu la diferite instituții europene din Bruxelles (3 magistrați), vizite EUROJUST (2 magistrați), vizite FRA (3 magistrați), vizite de studiu în cadrul formării inițiale (30 de auditori), schimb de formatori (2 formatori). De asemenea, 3 magistrați au participat în stagii dedicate conducătorilor de instanțe și parchete, iar alți 11 magistrați au fost propuși pentru stagii specializate. Un alt judecător a fost selectat pentru un stagiu de lungă durată (10 luni) la CJUE.</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Totodată, 136 magistrați, auditori de justiție și formatori din țările membre EJTN au participat la stagii organizate de INM în România.</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3.5. Catalogul EJTN</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Rețeaua Europeană de Formare Judiciară întocmește, în fiecare an, un catalog al acțiunilor cu participare internațională realizate de instituțiile partenere, magistrații din statele membre având posibilitatea să se înscrie la oricare din acțiunile cuprinse în catalog. INM a inclus 20 de seminarii proprii în Catalogul EJTN și Catalogul EJTN Plus în anul 2017. </w:t>
      </w:r>
      <w:r w:rsidRPr="00E02B53">
        <w:rPr>
          <w:rFonts w:asciiTheme="minorHAnsi" w:hAnsiTheme="minorHAnsi" w:cstheme="minorHAnsi"/>
          <w:b/>
          <w:lang w:val="ro-RO"/>
        </w:rPr>
        <w:t>61 de judecători și procurori europeni</w:t>
      </w:r>
      <w:r w:rsidRPr="00E02B53">
        <w:rPr>
          <w:rFonts w:asciiTheme="minorHAnsi" w:hAnsiTheme="minorHAnsi" w:cstheme="minorHAnsi"/>
          <w:lang w:val="ro-RO"/>
        </w:rPr>
        <w:t xml:space="preserve"> au participat la seminarii deschise de INM participării internaționale; similar, </w:t>
      </w:r>
      <w:r w:rsidRPr="00E02B53">
        <w:rPr>
          <w:rFonts w:asciiTheme="minorHAnsi" w:hAnsiTheme="minorHAnsi" w:cstheme="minorHAnsi"/>
          <w:b/>
          <w:lang w:val="ro-RO"/>
        </w:rPr>
        <w:t>42 de magistrați români</w:t>
      </w:r>
      <w:r w:rsidRPr="00E02B53">
        <w:rPr>
          <w:rFonts w:asciiTheme="minorHAnsi" w:hAnsiTheme="minorHAnsi" w:cstheme="minorHAnsi"/>
          <w:lang w:val="ro-RO"/>
        </w:rPr>
        <w:t xml:space="preserve"> au participat în anul 2017 la seminariile incluse de alte școli de magistratură în Catalogul EJTN sau Catalogul EJTN Plus.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 xml:space="preserve">3.6. Programe de formare și seminarii organizate în cadrul EJTN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EJTN derulează cu sprijinul statelor membre o serie de programe proprii de formare, care beneficiază de sprijin financiar de la Comisia Europeană. În acest mod, </w:t>
      </w:r>
      <w:r w:rsidRPr="00E02B53">
        <w:rPr>
          <w:rFonts w:asciiTheme="minorHAnsi" w:hAnsiTheme="minorHAnsi" w:cstheme="minorHAnsi"/>
          <w:b/>
          <w:lang w:val="ro-RO"/>
        </w:rPr>
        <w:t>92 magistrați români</w:t>
      </w:r>
      <w:r w:rsidRPr="00E02B53">
        <w:rPr>
          <w:rFonts w:asciiTheme="minorHAnsi" w:hAnsiTheme="minorHAnsi" w:cstheme="minorHAnsi"/>
          <w:lang w:val="ro-RO"/>
        </w:rPr>
        <w:t xml:space="preserve"> au participat la seminarii organizate de EJTN în cursul anului 2017, aceștia beneficiind de finanțare din partea EJTN.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În cadrul colaborării cu EJTN, INM a găzduit, în decembrie 2017, o conferință organizată de grupul de lucru Judicial Training Methods a EJTN, la care au participat </w:t>
      </w:r>
      <w:r w:rsidRPr="00E02B53">
        <w:rPr>
          <w:rFonts w:asciiTheme="minorHAnsi" w:hAnsiTheme="minorHAnsi" w:cstheme="minorHAnsi"/>
          <w:b/>
          <w:lang w:val="ro-RO"/>
        </w:rPr>
        <w:t xml:space="preserve">40 de magistrați </w:t>
      </w:r>
      <w:r w:rsidRPr="00E02B53">
        <w:rPr>
          <w:rFonts w:asciiTheme="minorHAnsi" w:hAnsiTheme="minorHAnsi" w:cstheme="minorHAnsi"/>
          <w:lang w:val="ro-RO"/>
        </w:rPr>
        <w:t xml:space="preserve">din alte state membre EJTN.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În același context, un procuror român a participat ca expert în cadrul seminariilor sub-grupului de lucru Drept penal, un formator INM și doi lingviști români au fost experți în proiectul lingvistic, un formator INM a fost expert în cadrul unui seminar organizat de sub-grupul Drept administrativ. În plus, specialistul în științele educației INM a fost formator în cadrul seminariilor organizate de grupul de lucru JTM.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3.7. Cooperarea cu Scoala de Magistratură din Franța (Ecole Nationale de la Magistrature - ENM)</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În acest an a fost finalizat proiectul JUST/2014/JCOO/AG/CIVI/7724 “Research on the implementation of Brussels IIa regulation in first instance courts of the EU”, coordonat de Școala Națională de magistratură din Franța (ENM). Astfel, atât studiul propus în cadrul proiectului, cât și conferința de final au fost realizate cu sprijinul nemijlocit al experților români. Reprezentanții și formatorii INM au participat la întâlnirile coordonatorilor organizate în cadrul proiectului și în acest an, contribuind la finalizarea acestuia. Mai mult, 20 de magistrați români au participat la conferința de final organizată în cadrul proiectului.</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O altă expresie a relației dintre INM și ENM a fost vizita pe care directorul și directorul adjunct responsabil cu formarea continuă au realizat-o în toamna anului 2017 la Școala de Magistratură din Franța.</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 xml:space="preserve">3.8. Cooperarea cu Școala de Magistratură din Olanda (SSR) </w:t>
      </w:r>
    </w:p>
    <w:p w:rsidR="00FC422B" w:rsidRPr="00E02B53" w:rsidRDefault="00FC422B" w:rsidP="00E02B53">
      <w:pPr>
        <w:spacing w:line="276" w:lineRule="auto"/>
        <w:ind w:firstLine="720"/>
        <w:jc w:val="both"/>
        <w:rPr>
          <w:rFonts w:asciiTheme="minorHAnsi" w:hAnsiTheme="minorHAnsi" w:cstheme="minorHAnsi"/>
          <w:lang w:val="ro-RO"/>
        </w:rPr>
      </w:pPr>
      <w:r w:rsidRPr="00E02B53">
        <w:rPr>
          <w:rFonts w:asciiTheme="minorHAnsi" w:hAnsiTheme="minorHAnsi" w:cstheme="minorHAnsi"/>
          <w:lang w:val="ro-RO"/>
        </w:rPr>
        <w:t xml:space="preserve">INM a participat, în calitate de partener, alături de Institutul Național Judiciar din Bulgaria într-un proiect dedicat formării profesioniștilor români și bulgari în domeniul criminalisticii (JUST/2014/JTRA/AG/EJTR/6820 Improving forensic expertise and awareness among the judiciary in Bulgaria and Romania), coordonat de către S.S.R. Internațional - Centrul pentru pregătire și cercetare pentru sistemul judiciar din Olanda. </w:t>
      </w:r>
    </w:p>
    <w:p w:rsidR="00FC422B" w:rsidRPr="00E02B53" w:rsidRDefault="00FC422B" w:rsidP="00E02B53">
      <w:pPr>
        <w:spacing w:line="276" w:lineRule="auto"/>
        <w:ind w:firstLine="720"/>
        <w:jc w:val="both"/>
        <w:rPr>
          <w:rFonts w:asciiTheme="minorHAnsi" w:hAnsiTheme="minorHAnsi" w:cstheme="minorHAnsi"/>
          <w:lang w:val="ro-RO"/>
        </w:rPr>
      </w:pPr>
      <w:r w:rsidRPr="00E02B53">
        <w:rPr>
          <w:rFonts w:asciiTheme="minorHAnsi" w:hAnsiTheme="minorHAnsi" w:cstheme="minorHAnsi"/>
          <w:lang w:val="ro-RO"/>
        </w:rPr>
        <w:t>Obiectivele proiectului au fost: sensibilizarea sistemului judiciar cu privire la importanța expertizelor criminalistice, creșterea nivelului de cunoștințe în domeniul criminalisticii la nivelul sistemului judiciar, asigurarea unei căi de comunicare între experții criminaliști și sistemul judiciar în scopul unei mai bune cooperări și dezvoltarea unei curricule pentru formarea în domeniul criminalisticii pentru instituțiile de formare a magistraților din Bulgaria și România. În cadrul proiectului au fost realizate 6 seminarii de formare continuă, 3 dintre acestea desfășurându-se în 2017.</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122527" w:rsidRDefault="00122527" w:rsidP="00122527">
      <w:pPr>
        <w:shd w:val="clear" w:color="auto" w:fill="FFFFFF"/>
        <w:tabs>
          <w:tab w:val="left" w:pos="360"/>
        </w:tabs>
        <w:spacing w:after="180" w:line="276" w:lineRule="auto"/>
        <w:ind w:left="720" w:right="43"/>
        <w:jc w:val="both"/>
        <w:rPr>
          <w:rFonts w:asciiTheme="minorHAnsi" w:hAnsiTheme="minorHAnsi" w:cstheme="minorHAnsi"/>
          <w:b/>
          <w:lang w:val="ro-RO"/>
        </w:rPr>
      </w:pPr>
      <w:r>
        <w:rPr>
          <w:rFonts w:asciiTheme="minorHAnsi" w:hAnsiTheme="minorHAnsi" w:cstheme="minorHAnsi"/>
          <w:b/>
          <w:lang w:val="ro-RO"/>
        </w:rPr>
        <w:t>3.9.</w:t>
      </w:r>
      <w:r w:rsidR="00FC422B" w:rsidRPr="00122527">
        <w:rPr>
          <w:rFonts w:asciiTheme="minorHAnsi" w:hAnsiTheme="minorHAnsi" w:cstheme="minorHAnsi"/>
          <w:b/>
          <w:lang w:val="ro-RO"/>
        </w:rPr>
        <w:t>Cooperarea cu Ambasada SUA la București</w:t>
      </w:r>
    </w:p>
    <w:p w:rsidR="00FC422B" w:rsidRPr="00E02B53" w:rsidRDefault="00FC422B" w:rsidP="00E02B53">
      <w:pPr>
        <w:spacing w:line="276" w:lineRule="auto"/>
        <w:ind w:right="289" w:firstLine="720"/>
        <w:jc w:val="both"/>
        <w:rPr>
          <w:rFonts w:asciiTheme="minorHAnsi" w:hAnsiTheme="minorHAnsi" w:cstheme="minorHAnsi"/>
          <w:lang w:val="ro-RO"/>
        </w:rPr>
      </w:pPr>
      <w:r w:rsidRPr="00E02B53">
        <w:rPr>
          <w:rFonts w:asciiTheme="minorHAnsi" w:hAnsiTheme="minorHAnsi" w:cstheme="minorHAnsi"/>
          <w:lang w:val="ro-RO"/>
        </w:rPr>
        <w:t>În luna octombrie, la solicitarea Ambasadei SUA la București, INM a primit vizita unui grup de 13 judecători de la curțile supreme din SUA. Cu această ocazie le-a fost prezentată activitatea INM și au participat într-un seminar de engleză juridică.</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3.10. Cooperarea cu Academia de Drept European (ERA)</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Colaborarea cu ERA a continuat și în 2017: 36 de magistrați români au participat prin intermediul INM la 19 dintre seminariile organizate de această instituție. Mai mult, INM a găzduit la București trei seminarii ERA, care au prilejuit participare a 57 de magistrați romani și a 61 de magistrați străini. 8 formatori români au fost implicați ca experți în desfășurarea acestor seminarii.</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Menționăm și participarea directorului INM conferința care a marcat împlinirea a 25 de ani de activitate a ERA, "The Authority of EU Law - Do we still believe in it?", ca expresie a relației dintre cele două instituții.</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3.11. Cooperarea cu Programul HELP al Consiliului Europei</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INM a fost reprezentat la  seminarul European organizat în cadrul proiectului ”HELP in 28”, coordonat de către Consiliul Europei și finanțat de Comisia Europeană.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INM a participat la Conferința Anuală a Programului HELP din cadrul Consiliului Europei, eveniment organizat la Strasbourg.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 xml:space="preserve">3.12. Cooperarea cu Republica Moldova </w:t>
      </w:r>
    </w:p>
    <w:p w:rsidR="00FC422B" w:rsidRPr="00E02B53" w:rsidRDefault="00FC422B" w:rsidP="00E02B53">
      <w:pPr>
        <w:tabs>
          <w:tab w:val="left" w:pos="360"/>
          <w:tab w:val="left" w:pos="993"/>
          <w:tab w:val="left" w:pos="2843"/>
        </w:tabs>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Directorul INM a participat la Chișinău, în Republica Moldova, la cea de a patra reuniune a Comisiei interguvernamentale România – Republica Moldova pentru integrare europeană.</w:t>
      </w:r>
    </w:p>
    <w:p w:rsidR="00FC422B" w:rsidRPr="00E02B53" w:rsidRDefault="00FC422B" w:rsidP="00E02B53">
      <w:pPr>
        <w:tabs>
          <w:tab w:val="left" w:pos="360"/>
          <w:tab w:val="left" w:pos="993"/>
          <w:tab w:val="left" w:pos="2843"/>
        </w:tabs>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Totodată, directorul INM a participat la Chișinău, în Republica Moldova, la ”Hexagonul Facultăților de Drept”, eveniment organizat în perioada 26 – 29 aprilie 2017.</w:t>
      </w:r>
    </w:p>
    <w:p w:rsidR="00FC422B" w:rsidRPr="00E02B53" w:rsidRDefault="00FC422B" w:rsidP="00E02B53">
      <w:pPr>
        <w:tabs>
          <w:tab w:val="left" w:pos="360"/>
          <w:tab w:val="left" w:pos="993"/>
          <w:tab w:val="left" w:pos="2843"/>
        </w:tabs>
        <w:spacing w:line="276" w:lineRule="auto"/>
        <w:ind w:firstLine="709"/>
        <w:jc w:val="both"/>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b/>
          <w:lang w:val="ro-RO"/>
        </w:rPr>
      </w:pPr>
      <w:r w:rsidRPr="00E02B53">
        <w:rPr>
          <w:rFonts w:asciiTheme="minorHAnsi" w:hAnsiTheme="minorHAnsi" w:cstheme="minorHAnsi"/>
          <w:b/>
          <w:lang w:val="ro-RO"/>
        </w:rPr>
        <w:t xml:space="preserve">3.13.Cooperarea cu Asociația Europeana a Judecătorilor Administrativi (AEAJ) </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În 2017 INM a organizat două seminarii de formare continuă în colaborare cu AEAJ, la care au participat 3 judecători străini, identificați cu sprijinul AEAJ.</w:t>
      </w:r>
    </w:p>
    <w:p w:rsidR="00FC422B" w:rsidRPr="00E02B53" w:rsidRDefault="00FC422B" w:rsidP="00E02B53">
      <w:pPr>
        <w:spacing w:line="276" w:lineRule="auto"/>
        <w:ind w:firstLine="709"/>
        <w:jc w:val="both"/>
        <w:rPr>
          <w:rFonts w:asciiTheme="minorHAnsi" w:hAnsiTheme="minorHAnsi" w:cstheme="minorHAnsi"/>
          <w:b/>
          <w:lang w:val="ro-RO"/>
        </w:rPr>
      </w:pPr>
    </w:p>
    <w:p w:rsidR="00FC422B" w:rsidRPr="00E02B53" w:rsidRDefault="00FC422B" w:rsidP="00E02B53">
      <w:pPr>
        <w:spacing w:line="276" w:lineRule="auto"/>
        <w:ind w:firstLine="709"/>
        <w:jc w:val="both"/>
        <w:rPr>
          <w:rFonts w:asciiTheme="minorHAnsi" w:hAnsiTheme="minorHAnsi" w:cstheme="minorHAnsi"/>
          <w:b/>
          <w:lang w:val="ro-RO"/>
        </w:rPr>
      </w:pPr>
      <w:r w:rsidRPr="00E02B53">
        <w:rPr>
          <w:rFonts w:asciiTheme="minorHAnsi" w:hAnsiTheme="minorHAnsi" w:cstheme="minorHAnsi"/>
          <w:b/>
          <w:lang w:val="ro-RO"/>
        </w:rPr>
        <w:t xml:space="preserve">3.14. Cooperarea cu Institutul Universitar European (EUI) </w:t>
      </w:r>
    </w:p>
    <w:p w:rsidR="00FC422B" w:rsidRPr="00E02B53" w:rsidRDefault="00FC422B" w:rsidP="00E02B53">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 xml:space="preserve">Această cooperare a luat forma unui proiect finanțat de Comisia Europeană “ACTIONES – Active Charter Training through Interaction of National Experiences”. </w:t>
      </w:r>
    </w:p>
    <w:p w:rsidR="00FC422B" w:rsidRPr="00E02B53" w:rsidRDefault="00FC422B" w:rsidP="00E02B53">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În acest cadru, în 2017, a avut loc un seminar transnațional organizat în domeniul protecției jurisdicționale efective, la care au participat și doi judecători din România.</w:t>
      </w:r>
    </w:p>
    <w:p w:rsidR="00FC422B" w:rsidRPr="00E02B53" w:rsidRDefault="00FC422B" w:rsidP="00E02B53">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Totodată, INM a găzduit evenimentul național pentru diseminarea rezultatelor proiectului organizat de INM împreună cu UNBR și cu sprijinul coordonatorilor de proiect EUI. Evenimentul a avut ca beneficiari un număr de 17 judecători, 9 procurori și 26 de avocați.</w:t>
      </w: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De asemenea, reprezentanții INM au participat la întâlnirea comitetului director, organizată în cadrul proiectului și în acest an, contribuind la finalizarea acestuia. </w:t>
      </w:r>
    </w:p>
    <w:p w:rsidR="00FC422B" w:rsidRPr="00E02B53" w:rsidRDefault="00FC422B" w:rsidP="00E02B53">
      <w:pPr>
        <w:spacing w:after="160" w:line="276" w:lineRule="auto"/>
        <w:ind w:firstLine="709"/>
        <w:contextualSpacing/>
        <w:jc w:val="both"/>
        <w:rPr>
          <w:rFonts w:asciiTheme="minorHAnsi" w:hAnsiTheme="minorHAnsi" w:cstheme="minorHAnsi"/>
          <w:b/>
          <w:lang w:val="ro-RO"/>
        </w:rPr>
      </w:pPr>
    </w:p>
    <w:p w:rsidR="00FC422B" w:rsidRPr="00E02B53" w:rsidRDefault="00FC422B" w:rsidP="00E02B53">
      <w:pPr>
        <w:spacing w:after="160" w:line="276" w:lineRule="auto"/>
        <w:ind w:firstLine="709"/>
        <w:contextualSpacing/>
        <w:jc w:val="both"/>
        <w:rPr>
          <w:rFonts w:asciiTheme="minorHAnsi" w:hAnsiTheme="minorHAnsi" w:cstheme="minorHAnsi"/>
          <w:b/>
          <w:lang w:val="ro-RO"/>
        </w:rPr>
      </w:pPr>
      <w:r w:rsidRPr="00E02B53">
        <w:rPr>
          <w:rFonts w:asciiTheme="minorHAnsi" w:hAnsiTheme="minorHAnsi" w:cstheme="minorHAnsi"/>
          <w:b/>
          <w:lang w:val="ro-RO"/>
        </w:rPr>
        <w:t>3.15. Cooperarea cu Universitatea din Trento</w:t>
      </w:r>
    </w:p>
    <w:p w:rsidR="00FC422B" w:rsidRPr="00122527" w:rsidRDefault="00FC422B" w:rsidP="00122527">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În cadrul proiectului “</w:t>
      </w:r>
      <w:r w:rsidRPr="00E02B53">
        <w:rPr>
          <w:rFonts w:asciiTheme="minorHAnsi" w:hAnsiTheme="minorHAnsi" w:cstheme="minorHAnsi"/>
          <w:i/>
          <w:lang w:val="ro-RO"/>
        </w:rPr>
        <w:t>RE-JUS - Judicial training ensuring effective redress to fundamental rights violations</w:t>
      </w:r>
      <w:r w:rsidRPr="00E02B53">
        <w:rPr>
          <w:rFonts w:asciiTheme="minorHAnsi" w:hAnsiTheme="minorHAnsi" w:cstheme="minorHAnsi"/>
          <w:lang w:val="ro-RO"/>
        </w:rPr>
        <w:t xml:space="preserve">”, au fost organizate în 2017 trei seminarii transnaționale, la care au participat 9 judecători români. </w:t>
      </w:r>
    </w:p>
    <w:p w:rsidR="00FC422B" w:rsidRPr="00E02B53" w:rsidRDefault="00FC422B" w:rsidP="00E02B53">
      <w:pPr>
        <w:spacing w:after="160" w:line="276" w:lineRule="auto"/>
        <w:ind w:firstLine="709"/>
        <w:contextualSpacing/>
        <w:rPr>
          <w:rFonts w:asciiTheme="minorHAnsi" w:hAnsiTheme="minorHAnsi" w:cstheme="minorHAnsi"/>
          <w:b/>
          <w:lang w:val="ro-RO"/>
        </w:rPr>
      </w:pPr>
    </w:p>
    <w:p w:rsidR="00FC422B" w:rsidRPr="00E02B53" w:rsidRDefault="00FC422B" w:rsidP="00E02B53">
      <w:pPr>
        <w:spacing w:after="160" w:line="276" w:lineRule="auto"/>
        <w:ind w:firstLine="709"/>
        <w:contextualSpacing/>
        <w:rPr>
          <w:rFonts w:asciiTheme="minorHAnsi" w:hAnsiTheme="minorHAnsi" w:cstheme="minorHAnsi"/>
          <w:b/>
          <w:lang w:val="ro-RO"/>
        </w:rPr>
      </w:pPr>
      <w:r w:rsidRPr="00E02B53">
        <w:rPr>
          <w:rFonts w:asciiTheme="minorHAnsi" w:hAnsiTheme="minorHAnsi" w:cstheme="minorHAnsi"/>
          <w:b/>
          <w:lang w:val="ro-RO"/>
        </w:rPr>
        <w:t>3.16. Cooperarea cu Institutul pentru Drepturile Omului Ludwig Boltzmann</w:t>
      </w:r>
    </w:p>
    <w:p w:rsidR="00FC422B" w:rsidRPr="00E02B53" w:rsidRDefault="00FC422B" w:rsidP="00E02B53">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 xml:space="preserve">În cadrul proiectului „Judging the Charter” au fost organizate în anul 2017 două conferințe cu tema aplicabilității Cartei drepturilor fundamentale în practica judiciară a statelor partenere, la care au participat 4 reprezentanți ai INM, formatori INM în domeniul drepturilor omului sau al dreptului UE. </w:t>
      </w:r>
    </w:p>
    <w:p w:rsidR="00FC422B" w:rsidRPr="00E02B53" w:rsidRDefault="00FC422B" w:rsidP="00E02B53">
      <w:pPr>
        <w:spacing w:line="276" w:lineRule="auto"/>
        <w:ind w:firstLine="709"/>
        <w:jc w:val="both"/>
        <w:rPr>
          <w:rFonts w:asciiTheme="minorHAnsi" w:hAnsiTheme="minorHAnsi" w:cstheme="minorHAnsi"/>
          <w:lang w:val="ro-RO"/>
        </w:rPr>
      </w:pPr>
      <w:r w:rsidRPr="00E02B53">
        <w:rPr>
          <w:rFonts w:asciiTheme="minorHAnsi" w:hAnsiTheme="minorHAnsi" w:cstheme="minorHAnsi"/>
          <w:lang w:val="ro-RO"/>
        </w:rPr>
        <w:t>INM a organizat, în cadrul aceluiași proiect, la București, un seminar local dedicat judecătorilor din România (25 de judecători), în cadrul căruia au fost diseminate rezultatele proiectului.</w:t>
      </w:r>
    </w:p>
    <w:p w:rsidR="00FC422B" w:rsidRPr="00E02B53" w:rsidRDefault="00FC422B" w:rsidP="00E02B53">
      <w:pPr>
        <w:spacing w:line="276" w:lineRule="auto"/>
        <w:jc w:val="center"/>
        <w:rPr>
          <w:rFonts w:asciiTheme="minorHAnsi" w:hAnsiTheme="minorHAnsi" w:cstheme="minorHAnsi"/>
          <w:lang w:val="ro-RO"/>
        </w:rPr>
      </w:pPr>
    </w:p>
    <w:p w:rsidR="00FC422B" w:rsidRPr="00E02B53" w:rsidRDefault="00FC422B" w:rsidP="00E02B53">
      <w:pPr>
        <w:pStyle w:val="Listparagraf"/>
        <w:shd w:val="clear" w:color="auto" w:fill="FFFFFF"/>
        <w:tabs>
          <w:tab w:val="left" w:pos="360"/>
        </w:tabs>
        <w:spacing w:after="180" w:line="276" w:lineRule="auto"/>
        <w:ind w:left="0" w:right="43" w:firstLine="709"/>
        <w:jc w:val="both"/>
        <w:rPr>
          <w:rFonts w:asciiTheme="minorHAnsi" w:hAnsiTheme="minorHAnsi" w:cstheme="minorHAnsi"/>
          <w:lang w:val="ro-RO"/>
        </w:rPr>
      </w:pPr>
      <w:r w:rsidRPr="00E02B53">
        <w:rPr>
          <w:rFonts w:asciiTheme="minorHAnsi" w:hAnsiTheme="minorHAnsi" w:cstheme="minorHAnsi"/>
          <w:lang w:val="ro-RO"/>
        </w:rPr>
        <w:t xml:space="preserve">În concluzie, în anul 2017 un număr total de </w:t>
      </w:r>
      <w:r w:rsidRPr="00E02B53">
        <w:rPr>
          <w:rFonts w:asciiTheme="minorHAnsi" w:hAnsiTheme="minorHAnsi" w:cstheme="minorHAnsi"/>
          <w:b/>
          <w:lang w:val="ro-RO"/>
        </w:rPr>
        <w:t xml:space="preserve">374 judecători și procurori români </w:t>
      </w:r>
      <w:r w:rsidRPr="00E02B53">
        <w:rPr>
          <w:rFonts w:asciiTheme="minorHAnsi" w:hAnsiTheme="minorHAnsi" w:cstheme="minorHAnsi"/>
          <w:lang w:val="ro-RO"/>
        </w:rPr>
        <w:t xml:space="preserve">au participat în străinătate la diverse forme de pregătire profesională, iar </w:t>
      </w:r>
      <w:r w:rsidRPr="00E02B53">
        <w:rPr>
          <w:rFonts w:asciiTheme="minorHAnsi" w:hAnsiTheme="minorHAnsi" w:cstheme="minorHAnsi"/>
          <w:b/>
          <w:lang w:val="ro-RO"/>
        </w:rPr>
        <w:t>314 judecători și procurori străini</w:t>
      </w:r>
      <w:r w:rsidRPr="00E02B53">
        <w:rPr>
          <w:rFonts w:asciiTheme="minorHAnsi" w:hAnsiTheme="minorHAnsi" w:cstheme="minorHAnsi"/>
          <w:lang w:val="ro-RO"/>
        </w:rPr>
        <w:t xml:space="preserve"> au venit în România prin intermediul programelor în care INM este partener. </w:t>
      </w:r>
    </w:p>
    <w:p w:rsidR="001459D0" w:rsidRDefault="001459D0" w:rsidP="00860724">
      <w:pPr>
        <w:pStyle w:val="Listparagraf"/>
        <w:shd w:val="clear" w:color="auto" w:fill="FFFFFF"/>
        <w:tabs>
          <w:tab w:val="left" w:pos="360"/>
        </w:tabs>
        <w:spacing w:after="180" w:line="276" w:lineRule="auto"/>
        <w:ind w:left="0" w:right="43" w:firstLine="709"/>
        <w:jc w:val="both"/>
        <w:rPr>
          <w:rFonts w:ascii="Calibri" w:hAnsi="Calibri"/>
          <w:lang w:val="ro-RO"/>
        </w:rPr>
      </w:pPr>
    </w:p>
    <w:p w:rsidR="00122527" w:rsidRDefault="00122527"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Din datele comunicate de instanțe, rezultă că, în perioada de referință, au avut loc mai multe programe de formare continuă </w:t>
      </w:r>
      <w:r w:rsidR="00717714">
        <w:rPr>
          <w:rFonts w:ascii="Calibri" w:hAnsi="Calibri"/>
          <w:lang w:val="ro-RO"/>
        </w:rPr>
        <w:t>, în marea majoritate pe următoarele teme:</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Noul Cod penal și noul Cod de procedură pena</w:t>
      </w:r>
      <w:r w:rsidR="00D57529">
        <w:rPr>
          <w:rFonts w:ascii="Calibri" w:hAnsi="Calibri"/>
          <w:lang w:val="ro-RO"/>
        </w:rPr>
        <w:t>lă</w:t>
      </w:r>
      <w:r>
        <w:rPr>
          <w:rFonts w:ascii="Calibri" w:hAnsi="Calibri"/>
          <w:lang w:val="ro-RO"/>
        </w:rPr>
        <w:t>;</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Etică și deontologie;</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 Cooperare judiciară în materie civilă și comercială;</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executarea silită, aspecte practice;</w:t>
      </w:r>
    </w:p>
    <w:p w:rsidR="00122527"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Insolvenţa persoanei fizice;</w:t>
      </w:r>
      <w:r w:rsidR="00122527" w:rsidRPr="00C676F4">
        <w:rPr>
          <w:rFonts w:ascii="Calibri" w:hAnsi="Calibri"/>
          <w:lang w:val="ro-RO"/>
        </w:rPr>
        <w:t xml:space="preserve"> </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A</w:t>
      </w:r>
      <w:r w:rsidR="00C676F4" w:rsidRPr="00C676F4">
        <w:rPr>
          <w:rFonts w:ascii="Calibri" w:hAnsi="Calibri"/>
          <w:lang w:val="ro-RO"/>
        </w:rPr>
        <w:t>scultarea</w:t>
      </w:r>
      <w:r w:rsidR="00C676F4">
        <w:rPr>
          <w:rFonts w:ascii="Calibri" w:hAnsi="Calibri"/>
          <w:lang w:val="ro-RO"/>
        </w:rPr>
        <w:t xml:space="preserve"> </w:t>
      </w:r>
      <w:r w:rsidR="00C676F4" w:rsidRPr="00C676F4">
        <w:rPr>
          <w:rFonts w:ascii="Calibri" w:hAnsi="Calibri"/>
          <w:lang w:val="ro-RO"/>
        </w:rPr>
        <w:t>minorului în procesul civil</w:t>
      </w:r>
      <w:r>
        <w:rPr>
          <w:rFonts w:ascii="Calibri" w:hAnsi="Calibri"/>
          <w:lang w:val="ro-RO"/>
        </w:rPr>
        <w:t>;</w:t>
      </w:r>
    </w:p>
    <w:p w:rsidR="00C676F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Domeniul migraţiei şi azilului şi al măsurilor restricti</w:t>
      </w:r>
      <w:r>
        <w:rPr>
          <w:rFonts w:ascii="Calibri" w:hAnsi="Calibri"/>
          <w:lang w:val="ro-RO"/>
        </w:rPr>
        <w:t>ve pentru solicitanţii de azil;</w:t>
      </w:r>
    </w:p>
    <w:p w:rsidR="005634A4" w:rsidRPr="00C676F4" w:rsidRDefault="005634A4" w:rsidP="00C676F4">
      <w:pPr>
        <w:pStyle w:val="Listparagraf"/>
        <w:shd w:val="clear" w:color="auto" w:fill="FFFFFF"/>
        <w:tabs>
          <w:tab w:val="left" w:pos="360"/>
        </w:tabs>
        <w:spacing w:after="180" w:line="276" w:lineRule="auto"/>
        <w:ind w:left="0" w:right="43" w:firstLine="630"/>
        <w:jc w:val="both"/>
        <w:rPr>
          <w:rFonts w:ascii="Calibri" w:hAnsi="Calibri"/>
          <w:lang w:val="ro-RO"/>
        </w:rPr>
      </w:pP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sidRPr="00717714">
        <w:rPr>
          <w:rFonts w:ascii="Calibri" w:hAnsi="Calibri"/>
          <w:i/>
          <w:lang w:val="ro-RO"/>
        </w:rPr>
        <w:t>-</w:t>
      </w:r>
      <w:r>
        <w:rPr>
          <w:rFonts w:ascii="Calibri" w:hAnsi="Calibri"/>
          <w:i/>
          <w:lang w:val="ro-RO"/>
        </w:rPr>
        <w:t xml:space="preserve"> </w:t>
      </w:r>
      <w:r w:rsidR="00C676F4" w:rsidRPr="00C676F4">
        <w:rPr>
          <w:rFonts w:ascii="Calibri" w:hAnsi="Calibri"/>
          <w:lang w:val="ro-RO"/>
        </w:rPr>
        <w:t>Dreptul muncii şi asigurărilor sociale;</w:t>
      </w:r>
    </w:p>
    <w:p w:rsidR="0071771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 xml:space="preserve"> Infracţiunile la regimul fondului piscicol, al</w:t>
      </w:r>
      <w:r w:rsidR="00C676F4">
        <w:rPr>
          <w:rFonts w:ascii="Calibri" w:hAnsi="Calibri"/>
          <w:lang w:val="ro-RO"/>
        </w:rPr>
        <w:t xml:space="preserve"> </w:t>
      </w:r>
      <w:r w:rsidR="00C676F4" w:rsidRPr="00C676F4">
        <w:rPr>
          <w:rFonts w:ascii="Calibri" w:hAnsi="Calibri"/>
          <w:lang w:val="ro-RO"/>
        </w:rPr>
        <w:t xml:space="preserve">pescuitului şi al acvaculturii în contextul politicii comune în domeniul pescuitului a Uniunii Europene; </w:t>
      </w:r>
    </w:p>
    <w:p w:rsidR="00717714" w:rsidRPr="00C676F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Aspecte psihologice ale managementului în</w:t>
      </w:r>
      <w:r w:rsidR="00C676F4">
        <w:rPr>
          <w:rFonts w:ascii="Calibri" w:hAnsi="Calibri"/>
          <w:lang w:val="ro-RO"/>
        </w:rPr>
        <w:t xml:space="preserve"> </w:t>
      </w:r>
      <w:r w:rsidR="00C676F4" w:rsidRPr="00C676F4">
        <w:rPr>
          <w:rFonts w:ascii="Calibri" w:hAnsi="Calibri"/>
          <w:lang w:val="ro-RO"/>
        </w:rPr>
        <w:t xml:space="preserve">instanţe; </w:t>
      </w:r>
    </w:p>
    <w:p w:rsidR="00C676F4" w:rsidRDefault="0071771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 xml:space="preserve">Practică neunitară </w:t>
      </w:r>
    </w:p>
    <w:p w:rsidR="00717714" w:rsidRPr="00C676F4" w:rsidRDefault="00717714" w:rsidP="0071771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Jurisprudenţa Curţii Constituţionale, ICCJ, CJUE si CEDO aferente anului 2016- decizii de interes practic, raportat la competenta judecătoriilor;</w:t>
      </w:r>
      <w:r w:rsidR="00C676F4">
        <w:rPr>
          <w:rFonts w:ascii="Calibri" w:hAnsi="Calibri"/>
          <w:lang w:val="ro-RO"/>
        </w:rPr>
        <w:t xml:space="preserve">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Aspecte de nelegalitate în procesul penal;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Aspecte controversate privind unitatea şi pluralitatea de infracţiuni;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Hotărârea judecătorească;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Timpul de muncă şi timpul de odihnă;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Vindecarea emoţiilor;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Drepturile de care vor beneficia grupurile</w:t>
      </w:r>
      <w:r w:rsidR="00930585">
        <w:rPr>
          <w:rFonts w:ascii="Calibri" w:hAnsi="Calibri"/>
          <w:lang w:val="ro-RO"/>
        </w:rPr>
        <w:t xml:space="preserve"> </w:t>
      </w:r>
      <w:r w:rsidR="00C676F4" w:rsidRPr="00C676F4">
        <w:rPr>
          <w:rFonts w:ascii="Calibri" w:hAnsi="Calibri"/>
          <w:lang w:val="ro-RO"/>
        </w:rPr>
        <w:t>vulne</w:t>
      </w:r>
      <w:r w:rsidR="00D57529">
        <w:rPr>
          <w:rFonts w:ascii="Calibri" w:hAnsi="Calibri"/>
          <w:lang w:val="ro-RO"/>
        </w:rPr>
        <w:t>rabile;</w:t>
      </w:r>
      <w:r w:rsidR="00C676F4" w:rsidRPr="00C676F4">
        <w:rPr>
          <w:rFonts w:ascii="Calibri" w:hAnsi="Calibri"/>
          <w:lang w:val="ro-RO"/>
        </w:rPr>
        <w:t xml:space="preserve">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Îmbunătăţirea accesului la justiţie. O abordare integrată cu accent pe populaţia rromă </w:t>
      </w:r>
      <w:r>
        <w:rPr>
          <w:rFonts w:ascii="Calibri" w:hAnsi="Calibri"/>
          <w:lang w:val="ro-RO"/>
        </w:rPr>
        <w:t>şi în alte grupuri vulnerabile;</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 xml:space="preserve">Administraţie publică locală; </w:t>
      </w:r>
    </w:p>
    <w:p w:rsidR="00717714" w:rsidRDefault="00717714" w:rsidP="00930585">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Comunicare organizaţională; Abilităţi non-juridice privind</w:t>
      </w:r>
      <w:r w:rsidR="00930585">
        <w:rPr>
          <w:rFonts w:ascii="Calibri" w:hAnsi="Calibri"/>
          <w:lang w:val="ro-RO"/>
        </w:rPr>
        <w:t xml:space="preserve"> </w:t>
      </w:r>
      <w:r w:rsidR="00C676F4" w:rsidRPr="00C676F4">
        <w:rPr>
          <w:rFonts w:ascii="Calibri" w:hAnsi="Calibri"/>
          <w:lang w:val="ro-RO"/>
        </w:rPr>
        <w:t>comunicarea între magistraţi şi societate; Comu</w:t>
      </w:r>
      <w:r w:rsidR="00D57529">
        <w:rPr>
          <w:rFonts w:ascii="Calibri" w:hAnsi="Calibri"/>
          <w:lang w:val="ro-RO"/>
        </w:rPr>
        <w:t>nicarea verbală şi non verbală;</w:t>
      </w:r>
    </w:p>
    <w:p w:rsidR="00717714" w:rsidRDefault="00717714" w:rsidP="00717714">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Proiect cu finanţare europeană, având ca temă: Instruirea</w:t>
      </w:r>
      <w:r w:rsidR="00930585">
        <w:rPr>
          <w:rFonts w:ascii="Calibri" w:hAnsi="Calibri"/>
          <w:lang w:val="ro-RO"/>
        </w:rPr>
        <w:t xml:space="preserve"> </w:t>
      </w:r>
      <w:r w:rsidR="00C676F4" w:rsidRPr="00C676F4">
        <w:rPr>
          <w:rFonts w:ascii="Calibri" w:hAnsi="Calibri"/>
          <w:lang w:val="ro-RO"/>
        </w:rPr>
        <w:t>judecătorilor în domeniul respectării drepturilor cetăţenilor din Uniunea Europeană pe parcursul procedurilor penale - coordonat de MJ în</w:t>
      </w:r>
      <w:r w:rsidR="00930585">
        <w:rPr>
          <w:rFonts w:ascii="Calibri" w:hAnsi="Calibri"/>
          <w:lang w:val="ro-RO"/>
        </w:rPr>
        <w:t xml:space="preserve"> </w:t>
      </w:r>
      <w:r w:rsidR="00C676F4" w:rsidRPr="00C676F4">
        <w:rPr>
          <w:rFonts w:ascii="Calibri" w:hAnsi="Calibri"/>
          <w:lang w:val="ro-RO"/>
        </w:rPr>
        <w:t>colaborare cu de Curtea de Apel Craiova şi Curtea de Apel Braşov, Curtea de Apel Constanţa, Curtea de Apel Suceava, Fundaţia Germană</w:t>
      </w:r>
      <w:r w:rsidR="00930585">
        <w:rPr>
          <w:rFonts w:ascii="Calibri" w:hAnsi="Calibri"/>
          <w:lang w:val="ro-RO"/>
        </w:rPr>
        <w:t xml:space="preserve"> </w:t>
      </w:r>
      <w:r w:rsidR="00C676F4" w:rsidRPr="00C676F4">
        <w:rPr>
          <w:rFonts w:ascii="Calibri" w:hAnsi="Calibri"/>
          <w:lang w:val="ro-RO"/>
        </w:rPr>
        <w:t>pentru cooperare judiciară internaţională IRZ şi Şcoala de Magistratură d</w:t>
      </w:r>
      <w:r>
        <w:rPr>
          <w:rFonts w:ascii="Calibri" w:hAnsi="Calibri"/>
          <w:lang w:val="ro-RO"/>
        </w:rPr>
        <w:t>in Croaţia;</w:t>
      </w:r>
    </w:p>
    <w:p w:rsidR="00930585" w:rsidRDefault="00717714" w:rsidP="00717714">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Noul cod fiscal şi Noul cod de procedură fiscală</w:t>
      </w:r>
      <w:r>
        <w:rPr>
          <w:rFonts w:ascii="Calibri" w:hAnsi="Calibri"/>
          <w:lang w:val="ro-RO"/>
        </w:rPr>
        <w:t>;</w:t>
      </w:r>
      <w:r w:rsidR="00C676F4" w:rsidRPr="00C676F4">
        <w:rPr>
          <w:rFonts w:ascii="Calibri" w:hAnsi="Calibri"/>
          <w:lang w:val="ro-RO"/>
        </w:rPr>
        <w:t xml:space="preserve"> </w:t>
      </w:r>
    </w:p>
    <w:p w:rsidR="00C676F4" w:rsidRDefault="00717714" w:rsidP="00717714">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 xml:space="preserve">- </w:t>
      </w:r>
      <w:r w:rsidR="00C676F4" w:rsidRPr="00C676F4">
        <w:rPr>
          <w:rFonts w:ascii="Calibri" w:hAnsi="Calibri"/>
          <w:lang w:val="ro-RO"/>
        </w:rPr>
        <w:t>Răspunderea judecătorului - între reglementare şi</w:t>
      </w:r>
      <w:r w:rsidR="00471534">
        <w:rPr>
          <w:rFonts w:ascii="Calibri" w:hAnsi="Calibri"/>
          <w:lang w:val="ro-RO"/>
        </w:rPr>
        <w:t xml:space="preserve"> </w:t>
      </w:r>
      <w:r>
        <w:rPr>
          <w:rFonts w:ascii="Calibri" w:hAnsi="Calibri"/>
          <w:lang w:val="ro-RO"/>
        </w:rPr>
        <w:t>percepţia publică;</w:t>
      </w:r>
      <w:r w:rsidR="00C676F4" w:rsidRPr="00C676F4">
        <w:rPr>
          <w:rFonts w:ascii="Calibri" w:hAnsi="Calibri"/>
          <w:lang w:val="ro-RO"/>
        </w:rPr>
        <w:t xml:space="preserve"> </w:t>
      </w:r>
    </w:p>
    <w:p w:rsidR="00CF4FFC"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xml:space="preserve">- Clauzele abuzive în contracte.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Achiziţii</w:t>
      </w:r>
      <w:r>
        <w:rPr>
          <w:rFonts w:ascii="Calibri" w:hAnsi="Calibri"/>
          <w:lang w:val="ro-RO"/>
        </w:rPr>
        <w:t xml:space="preserve"> </w:t>
      </w:r>
      <w:r w:rsidR="00C676F4" w:rsidRPr="00C676F4">
        <w:rPr>
          <w:rFonts w:ascii="Calibri" w:hAnsi="Calibri"/>
          <w:lang w:val="ro-RO"/>
        </w:rPr>
        <w:t xml:space="preserve">publice;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Aplicarea directă a Convenţiei CEDO de către instanţele judecătoreşti naţionale – aspecte penale;</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Asistenţă pentru consolidarea</w:t>
      </w:r>
      <w:r>
        <w:rPr>
          <w:rFonts w:ascii="Calibri" w:hAnsi="Calibri"/>
          <w:lang w:val="ro-RO"/>
        </w:rPr>
        <w:t xml:space="preserve"> </w:t>
      </w:r>
      <w:r w:rsidR="00C676F4" w:rsidRPr="00C676F4">
        <w:rPr>
          <w:rFonts w:ascii="Calibri" w:hAnsi="Calibri"/>
          <w:lang w:val="ro-RO"/>
        </w:rPr>
        <w:t xml:space="preserve">capacităţii instituţionale în domeniul formării judecătorilor şi procurorilor pentru aplicarea noilor coduri;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Aspecte de practică neunitară</w:t>
      </w:r>
      <w:r>
        <w:rPr>
          <w:rFonts w:ascii="Calibri" w:hAnsi="Calibri"/>
          <w:lang w:val="ro-RO"/>
        </w:rPr>
        <w:t xml:space="preserve"> </w:t>
      </w:r>
      <w:r w:rsidR="00C676F4" w:rsidRPr="00C676F4">
        <w:rPr>
          <w:rFonts w:ascii="Calibri" w:hAnsi="Calibri"/>
          <w:lang w:val="ro-RO"/>
        </w:rPr>
        <w:t>intervenite de la intrarea in vigoare a Noului Cod penal şi Noului Cod de procedură penală;</w:t>
      </w:r>
      <w:r>
        <w:rPr>
          <w:rFonts w:ascii="Calibri" w:hAnsi="Calibri"/>
          <w:lang w:val="ro-RO"/>
        </w:rPr>
        <w:tab/>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t>-</w:t>
      </w:r>
      <w:r w:rsidR="00C676F4" w:rsidRPr="00C676F4">
        <w:rPr>
          <w:rFonts w:ascii="Calibri" w:hAnsi="Calibri"/>
          <w:lang w:val="ro-RO"/>
        </w:rPr>
        <w:t xml:space="preserve"> Aspecte generale de drept financiar-bancar;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w:t>
      </w:r>
      <w:r>
        <w:rPr>
          <w:rFonts w:ascii="Calibri" w:hAnsi="Calibri"/>
          <w:lang w:val="ro-RO"/>
        </w:rPr>
        <w:t xml:space="preserve"> </w:t>
      </w:r>
      <w:r w:rsidR="00C676F4" w:rsidRPr="00C676F4">
        <w:rPr>
          <w:rFonts w:ascii="Calibri" w:hAnsi="Calibri"/>
          <w:lang w:val="ro-RO"/>
        </w:rPr>
        <w:t xml:space="preserve">Aspecte noi din jurisprudenţa Curţii Europene a Drepturilor Omului în materie penală;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Aspecte de practică neunitară privind</w:t>
      </w:r>
      <w:r>
        <w:rPr>
          <w:rFonts w:ascii="Calibri" w:hAnsi="Calibri"/>
          <w:lang w:val="ro-RO"/>
        </w:rPr>
        <w:t xml:space="preserve"> </w:t>
      </w:r>
      <w:r w:rsidR="00C676F4" w:rsidRPr="00C676F4">
        <w:rPr>
          <w:rFonts w:ascii="Calibri" w:hAnsi="Calibri"/>
          <w:lang w:val="ro-RO"/>
        </w:rPr>
        <w:t xml:space="preserve">măsurile preventive;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Audierea minorilor şi interacţiunea cu aceştia în cursul procedurilor</w:t>
      </w:r>
      <w:r>
        <w:rPr>
          <w:rFonts w:ascii="Calibri" w:hAnsi="Calibri"/>
          <w:lang w:val="ro-RO"/>
        </w:rPr>
        <w:t xml:space="preserve"> </w:t>
      </w:r>
      <w:r w:rsidR="00C676F4" w:rsidRPr="00C676F4">
        <w:rPr>
          <w:rFonts w:ascii="Calibri" w:hAnsi="Calibri"/>
          <w:lang w:val="ro-RO"/>
        </w:rPr>
        <w:t xml:space="preserve">judiciare; </w:t>
      </w:r>
    </w:p>
    <w:p w:rsidR="00871FC7" w:rsidRDefault="00871FC7" w:rsidP="00717714">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Carta fundamentală a drepturilor omului şi implicaţiile acesteia în practica judiciară din România;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Cooperare judiciară în materie civilă;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Cooperarea judiciară</w:t>
      </w:r>
      <w:r>
        <w:rPr>
          <w:rFonts w:ascii="Calibri" w:hAnsi="Calibri"/>
          <w:lang w:val="ro-RO"/>
        </w:rPr>
        <w:t xml:space="preserve"> </w:t>
      </w:r>
      <w:r w:rsidR="00C676F4" w:rsidRPr="00C676F4">
        <w:rPr>
          <w:rFonts w:ascii="Calibri" w:hAnsi="Calibri"/>
          <w:lang w:val="ro-RO"/>
        </w:rPr>
        <w:t>internaţională în materie pena</w:t>
      </w:r>
      <w:r w:rsidR="00D57529">
        <w:rPr>
          <w:rFonts w:ascii="Calibri" w:hAnsi="Calibri"/>
          <w:lang w:val="ro-RO"/>
        </w:rPr>
        <w:t>lă;</w:t>
      </w:r>
      <w:r w:rsidR="00C676F4" w:rsidRPr="00C676F4">
        <w:rPr>
          <w:rFonts w:ascii="Calibri" w:hAnsi="Calibri"/>
          <w:lang w:val="ro-RO"/>
        </w:rPr>
        <w:t xml:space="preserve"> </w:t>
      </w:r>
    </w:p>
    <w:p w:rsidR="00871FC7" w:rsidRDefault="00871FC7" w:rsidP="00717714">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Cooperarea judiciară şi modul de aplicare a Cartei drepturilor fundamentale a Uniunii Europene; </w:t>
      </w:r>
      <w:r>
        <w:rPr>
          <w:rFonts w:ascii="Calibri" w:hAnsi="Calibri"/>
          <w:lang w:val="ro-RO"/>
        </w:rPr>
        <w:tab/>
      </w:r>
      <w:r w:rsidR="00C676F4" w:rsidRPr="00C676F4">
        <w:rPr>
          <w:rFonts w:ascii="Calibri" w:hAnsi="Calibri"/>
          <w:lang w:val="ro-RO"/>
        </w:rPr>
        <w:t xml:space="preserve">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Dreptul familiei;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D57529">
        <w:rPr>
          <w:rFonts w:ascii="Calibri" w:hAnsi="Calibri"/>
          <w:lang w:val="ro-RO"/>
        </w:rPr>
        <w:t>-</w:t>
      </w:r>
      <w:r w:rsidR="00C676F4" w:rsidRPr="00C676F4">
        <w:rPr>
          <w:rFonts w:ascii="Calibri" w:hAnsi="Calibri"/>
          <w:lang w:val="ro-RO"/>
        </w:rPr>
        <w:t>Dezvoltare instituţională şi formare profesională pentru magistraţi în</w:t>
      </w:r>
      <w:r>
        <w:rPr>
          <w:rFonts w:ascii="Calibri" w:hAnsi="Calibri"/>
          <w:lang w:val="ro-RO"/>
        </w:rPr>
        <w:t xml:space="preserve"> </w:t>
      </w:r>
      <w:r w:rsidR="00C676F4" w:rsidRPr="00C676F4">
        <w:rPr>
          <w:rFonts w:ascii="Calibri" w:hAnsi="Calibri"/>
          <w:lang w:val="ro-RO"/>
        </w:rPr>
        <w:t xml:space="preserve">domeniul managementului cauzelor de violenţă domestică”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Dreptul penal în UE şi a influenţei acestuia asupra dreptului penal naţional;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Expertize criminalistice - evaluarea şi aprecierea acestora în cadrul procesului penal;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Executarea</w:t>
      </w:r>
      <w:r>
        <w:rPr>
          <w:rFonts w:ascii="Calibri" w:hAnsi="Calibri"/>
          <w:lang w:val="ro-RO"/>
        </w:rPr>
        <w:t xml:space="preserve"> </w:t>
      </w:r>
      <w:r w:rsidR="00C676F4" w:rsidRPr="00C676F4">
        <w:rPr>
          <w:rFonts w:ascii="Calibri" w:hAnsi="Calibri"/>
          <w:lang w:val="ro-RO"/>
        </w:rPr>
        <w:t xml:space="preserve">pedepselor;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Expertize criminalistice-arme şi muniţii;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Expertiza fiscală judiciară şi extrajudiciară; </w:t>
      </w:r>
    </w:p>
    <w:p w:rsidR="00871FC7" w:rsidRDefault="00871FC7" w:rsidP="00871FC7">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Îmbunătăţirea aplicării Regulamentelor UE în</w:t>
      </w:r>
      <w:r>
        <w:rPr>
          <w:rFonts w:ascii="Calibri" w:hAnsi="Calibri"/>
          <w:lang w:val="ro-RO"/>
        </w:rPr>
        <w:t xml:space="preserve"> </w:t>
      </w:r>
      <w:r w:rsidR="00C676F4" w:rsidRPr="00C676F4">
        <w:rPr>
          <w:rFonts w:ascii="Calibri" w:hAnsi="Calibri"/>
          <w:lang w:val="ro-RO"/>
        </w:rPr>
        <w:t xml:space="preserve">materia dreptului familiei şi a succesiunilor a Uniunii Europene; </w:t>
      </w:r>
    </w:p>
    <w:p w:rsidR="00C676F4" w:rsidRPr="00C676F4" w:rsidRDefault="00871FC7" w:rsidP="00D57529">
      <w:pPr>
        <w:pStyle w:val="Listparagraf"/>
        <w:shd w:val="clear" w:color="auto" w:fill="FFFFFF"/>
        <w:tabs>
          <w:tab w:val="left" w:pos="360"/>
        </w:tabs>
        <w:spacing w:after="180" w:line="276" w:lineRule="auto"/>
        <w:ind w:left="0" w:right="43"/>
        <w:jc w:val="both"/>
        <w:rPr>
          <w:rFonts w:ascii="Calibri" w:hAnsi="Calibri"/>
          <w:lang w:val="ro-RO"/>
        </w:rPr>
      </w:pPr>
      <w:r>
        <w:rPr>
          <w:rFonts w:ascii="Calibri" w:hAnsi="Calibri"/>
          <w:lang w:val="ro-RO"/>
        </w:rPr>
        <w:tab/>
      </w:r>
      <w:r>
        <w:rPr>
          <w:rFonts w:ascii="Calibri" w:hAnsi="Calibri"/>
          <w:lang w:val="ro-RO"/>
        </w:rPr>
        <w:tab/>
      </w:r>
      <w:r w:rsidR="00C676F4" w:rsidRPr="00C676F4">
        <w:rPr>
          <w:rFonts w:ascii="Calibri" w:hAnsi="Calibri"/>
          <w:lang w:val="ro-RO"/>
        </w:rPr>
        <w:t xml:space="preserve">- Îmbunătăţirea condiţiilor de detenţie; </w:t>
      </w:r>
    </w:p>
    <w:p w:rsidR="00871FC7" w:rsidRDefault="00871FC7"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ab/>
      </w:r>
      <w:r w:rsidR="00C676F4" w:rsidRPr="00C676F4">
        <w:rPr>
          <w:rFonts w:ascii="Calibri" w:hAnsi="Calibri"/>
          <w:lang w:val="ro-RO"/>
        </w:rPr>
        <w:t xml:space="preserve">- Provocări şi soluţii în protecţia copiilor ai căror părinţi sunt plecaţi la muncă în străinătate - către o abordare naţională;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xml:space="preserve">- Sistemul de Informaţii Schengen – Cooperare Poliţienească Internaţională;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Soluţionarea alternativă a litigiilor din</w:t>
      </w:r>
      <w:r w:rsidR="00871FC7">
        <w:rPr>
          <w:rFonts w:ascii="Calibri" w:hAnsi="Calibri"/>
          <w:lang w:val="ro-RO"/>
        </w:rPr>
        <w:t xml:space="preserve"> </w:t>
      </w:r>
      <w:r w:rsidRPr="00C676F4">
        <w:rPr>
          <w:rFonts w:ascii="Calibri" w:hAnsi="Calibri"/>
          <w:lang w:val="ro-RO"/>
        </w:rPr>
        <w:t xml:space="preserve">domeniul financiar – bancar;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Tehnici de investigare financiară şi digitală a infracţiunilor comise împotriva drepturilor de proprietate intelectuală</w:t>
      </w:r>
      <w:r w:rsidR="00871FC7">
        <w:rPr>
          <w:rFonts w:ascii="Calibri" w:hAnsi="Calibri"/>
          <w:lang w:val="ro-RO"/>
        </w:rPr>
        <w:t xml:space="preserve"> </w:t>
      </w:r>
      <w:r w:rsidRPr="00C676F4">
        <w:rPr>
          <w:rFonts w:ascii="Calibri" w:hAnsi="Calibri"/>
          <w:lang w:val="ro-RO"/>
        </w:rPr>
        <w:t>şi infracţiunilor informatice;</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xml:space="preserve"> - Violenţa bazată pe criterii de gen; </w:t>
      </w:r>
    </w:p>
    <w:p w:rsidR="00C676F4" w:rsidRPr="00C676F4"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Managementul cauzei. Tehnici de redactare a hotărârilor judecătoreşti;</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w:t>
      </w:r>
      <w:r w:rsidR="00871FC7">
        <w:rPr>
          <w:rFonts w:ascii="Calibri" w:hAnsi="Calibri"/>
          <w:lang w:val="ro-RO"/>
        </w:rPr>
        <w:t xml:space="preserve"> </w:t>
      </w:r>
      <w:r w:rsidRPr="00C676F4">
        <w:rPr>
          <w:rFonts w:ascii="Calibri" w:hAnsi="Calibri"/>
          <w:lang w:val="ro-RO"/>
        </w:rPr>
        <w:t xml:space="preserve">Procedură civilă – Formele apelului.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Dialogul Curţii Constituţionale cu</w:t>
      </w:r>
      <w:r w:rsidR="00871FC7">
        <w:rPr>
          <w:rFonts w:ascii="Calibri" w:hAnsi="Calibri"/>
          <w:lang w:val="ro-RO"/>
        </w:rPr>
        <w:t xml:space="preserve"> </w:t>
      </w:r>
      <w:r w:rsidRPr="00C676F4">
        <w:rPr>
          <w:rFonts w:ascii="Calibri" w:hAnsi="Calibri"/>
          <w:lang w:val="ro-RO"/>
        </w:rPr>
        <w:t xml:space="preserve">magistraţii;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xml:space="preserve">- Engleză juridică; </w:t>
      </w:r>
    </w:p>
    <w:p w:rsidR="00871FC7"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Contrafacerea şi pirateria în domeniul proprietăţii intelectuale;</w:t>
      </w:r>
    </w:p>
    <w:p w:rsidR="00D57529" w:rsidRDefault="00D57529"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fondul</w:t>
      </w:r>
      <w:r w:rsidR="008D222C">
        <w:rPr>
          <w:rFonts w:ascii="Calibri" w:hAnsi="Calibri"/>
          <w:lang w:val="ro-RO"/>
        </w:rPr>
        <w:t xml:space="preserve"> </w:t>
      </w:r>
      <w:r w:rsidR="00C676F4" w:rsidRPr="00C676F4">
        <w:rPr>
          <w:rFonts w:ascii="Calibri" w:hAnsi="Calibri"/>
          <w:lang w:val="ro-RO"/>
        </w:rPr>
        <w:t xml:space="preserve">funciar; </w:t>
      </w:r>
    </w:p>
    <w:p w:rsidR="00D57529" w:rsidRPr="00C676F4" w:rsidRDefault="00D57529" w:rsidP="00D57529">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 xml:space="preserve">administrarea probelor prin comisie rogatorie; </w:t>
      </w:r>
    </w:p>
    <w:p w:rsidR="00C676F4" w:rsidRPr="00C676F4" w:rsidRDefault="00D57529"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aplicarea Legii nr.</w:t>
      </w:r>
      <w:r>
        <w:rPr>
          <w:rFonts w:ascii="Calibri" w:hAnsi="Calibri"/>
          <w:lang w:val="ro-RO"/>
        </w:rPr>
        <w:t xml:space="preserve"> 77/2016 privind darea în plată;</w:t>
      </w:r>
    </w:p>
    <w:p w:rsidR="00201DE6" w:rsidRDefault="00D57529" w:rsidP="00D57529">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Dreptul Uniunii Europene în Contenciosul Ad</w:t>
      </w:r>
      <w:r>
        <w:rPr>
          <w:rFonts w:ascii="Calibri" w:hAnsi="Calibri"/>
          <w:lang w:val="ro-RO"/>
        </w:rPr>
        <w:t>ministrativ. Fonduri structurale;</w:t>
      </w:r>
      <w:r w:rsidR="00C676F4" w:rsidRPr="00C676F4">
        <w:rPr>
          <w:rFonts w:ascii="Calibri" w:hAnsi="Calibri"/>
          <w:lang w:val="ro-RO"/>
        </w:rPr>
        <w:t xml:space="preserve"> </w:t>
      </w:r>
    </w:p>
    <w:p w:rsidR="00D57529"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w:t>
      </w:r>
      <w:r w:rsidR="00D57529">
        <w:rPr>
          <w:rFonts w:ascii="Calibri" w:hAnsi="Calibri"/>
          <w:lang w:val="ro-RO"/>
        </w:rPr>
        <w:t xml:space="preserve"> </w:t>
      </w:r>
      <w:r w:rsidRPr="00C676F4">
        <w:rPr>
          <w:rFonts w:ascii="Calibri" w:hAnsi="Calibri"/>
          <w:lang w:val="ro-RO"/>
        </w:rPr>
        <w:t>Dreptul internaţional al contractelor. Dispoziţi</w:t>
      </w:r>
      <w:r w:rsidR="00D57529">
        <w:rPr>
          <w:rFonts w:ascii="Calibri" w:hAnsi="Calibri"/>
          <w:lang w:val="ro-RO"/>
        </w:rPr>
        <w:t>i de drept internaţional privat;</w:t>
      </w:r>
      <w:r w:rsidRPr="00C676F4">
        <w:rPr>
          <w:rFonts w:ascii="Calibri" w:hAnsi="Calibri"/>
          <w:lang w:val="ro-RO"/>
        </w:rPr>
        <w:t xml:space="preserve"> </w:t>
      </w:r>
    </w:p>
    <w:p w:rsidR="00D57529" w:rsidRDefault="00D57529"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Noţiunea de folos necuven</w:t>
      </w:r>
      <w:r>
        <w:rPr>
          <w:rFonts w:ascii="Calibri" w:hAnsi="Calibri"/>
          <w:lang w:val="ro-RO"/>
        </w:rPr>
        <w:t>it. Actualitate şi perspectivă;</w:t>
      </w:r>
    </w:p>
    <w:p w:rsidR="00201DE6" w:rsidRDefault="00D57529" w:rsidP="00C676F4">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w:t>
      </w:r>
      <w:r w:rsidR="00C676F4" w:rsidRPr="00C676F4">
        <w:rPr>
          <w:rFonts w:ascii="Calibri" w:hAnsi="Calibri"/>
          <w:lang w:val="ro-RO"/>
        </w:rPr>
        <w:t>Aspecte de practică judiciară cu privire</w:t>
      </w:r>
      <w:r w:rsidR="00201DE6">
        <w:rPr>
          <w:rFonts w:ascii="Calibri" w:hAnsi="Calibri"/>
          <w:lang w:val="ro-RO"/>
        </w:rPr>
        <w:t xml:space="preserve"> </w:t>
      </w:r>
      <w:r w:rsidR="00C676F4" w:rsidRPr="00C676F4">
        <w:rPr>
          <w:rFonts w:ascii="Calibri" w:hAnsi="Calibri"/>
          <w:lang w:val="ro-RO"/>
        </w:rPr>
        <w:t>la infracţiuni de serviciu, infracţiuni de corupţie, constituirea unui grup infracţional organizat, evaziune fiscală şi spălare de bani</w:t>
      </w:r>
      <w:r>
        <w:rPr>
          <w:rFonts w:ascii="Calibri" w:hAnsi="Calibri"/>
          <w:lang w:val="ro-RO"/>
        </w:rPr>
        <w:t>;</w:t>
      </w:r>
      <w:r w:rsidR="00C676F4" w:rsidRPr="00C676F4">
        <w:rPr>
          <w:rFonts w:ascii="Calibri" w:hAnsi="Calibri"/>
          <w:lang w:val="ro-RO"/>
        </w:rPr>
        <w:t xml:space="preserve"> </w:t>
      </w:r>
    </w:p>
    <w:p w:rsidR="00201DE6" w:rsidRDefault="00C676F4" w:rsidP="00C676F4">
      <w:pPr>
        <w:pStyle w:val="Listparagraf"/>
        <w:shd w:val="clear" w:color="auto" w:fill="FFFFFF"/>
        <w:tabs>
          <w:tab w:val="left" w:pos="360"/>
        </w:tabs>
        <w:spacing w:after="180" w:line="276" w:lineRule="auto"/>
        <w:ind w:left="0" w:right="43" w:firstLine="630"/>
        <w:jc w:val="both"/>
        <w:rPr>
          <w:rFonts w:ascii="Calibri" w:hAnsi="Calibri"/>
          <w:lang w:val="ro-RO"/>
        </w:rPr>
      </w:pPr>
      <w:r w:rsidRPr="00C676F4">
        <w:rPr>
          <w:rFonts w:ascii="Calibri" w:hAnsi="Calibri"/>
          <w:lang w:val="ro-RO"/>
        </w:rPr>
        <w:t>- „An introduction to the common</w:t>
      </w:r>
      <w:r w:rsidR="00201DE6">
        <w:rPr>
          <w:rFonts w:ascii="Calibri" w:hAnsi="Calibri"/>
          <w:lang w:val="ro-RO"/>
        </w:rPr>
        <w:t xml:space="preserve"> </w:t>
      </w:r>
      <w:r w:rsidRPr="00C676F4">
        <w:rPr>
          <w:rFonts w:ascii="Calibri" w:hAnsi="Calibri"/>
          <w:lang w:val="ro-RO"/>
        </w:rPr>
        <w:t>law and the english legal system</w:t>
      </w:r>
      <w:r w:rsidR="00D57529">
        <w:rPr>
          <w:rFonts w:ascii="Calibri" w:hAnsi="Calibri"/>
          <w:lang w:val="ro-RO"/>
        </w:rPr>
        <w:t>;</w:t>
      </w:r>
      <w:r w:rsidRPr="00C676F4">
        <w:rPr>
          <w:rFonts w:ascii="Calibri" w:hAnsi="Calibri"/>
          <w:lang w:val="ro-RO"/>
        </w:rPr>
        <w:t xml:space="preserve"> </w:t>
      </w:r>
    </w:p>
    <w:p w:rsidR="00C676F4" w:rsidRDefault="00D57529" w:rsidP="00201DE6">
      <w:pPr>
        <w:pStyle w:val="Listparagraf"/>
        <w:shd w:val="clear" w:color="auto" w:fill="FFFFFF"/>
        <w:tabs>
          <w:tab w:val="left" w:pos="360"/>
        </w:tabs>
        <w:spacing w:after="180" w:line="276" w:lineRule="auto"/>
        <w:ind w:left="0" w:right="43" w:firstLine="630"/>
        <w:jc w:val="both"/>
        <w:rPr>
          <w:rFonts w:ascii="Calibri" w:hAnsi="Calibri"/>
          <w:lang w:val="ro-RO"/>
        </w:rPr>
      </w:pPr>
      <w:r>
        <w:rPr>
          <w:rFonts w:ascii="Calibri" w:hAnsi="Calibri"/>
          <w:lang w:val="ro-RO"/>
        </w:rPr>
        <w:t xml:space="preserve"> - </w:t>
      </w:r>
      <w:r w:rsidR="00C676F4" w:rsidRPr="00C676F4">
        <w:rPr>
          <w:rFonts w:ascii="Calibri" w:hAnsi="Calibri"/>
          <w:lang w:val="ro-RO"/>
        </w:rPr>
        <w:t>Aspecte teoretice şi practice privind munca nedeclarată şi regimul</w:t>
      </w:r>
      <w:r w:rsidR="00201DE6">
        <w:rPr>
          <w:rFonts w:ascii="Calibri" w:hAnsi="Calibri"/>
          <w:lang w:val="ro-RO"/>
        </w:rPr>
        <w:t xml:space="preserve"> </w:t>
      </w:r>
      <w:r w:rsidR="00C676F4" w:rsidRPr="00C676F4">
        <w:rPr>
          <w:rFonts w:ascii="Calibri" w:hAnsi="Calibri"/>
          <w:lang w:val="ro-RO"/>
        </w:rPr>
        <w:t>sancţionator aplicabil</w:t>
      </w:r>
      <w:r>
        <w:rPr>
          <w:rFonts w:ascii="Calibri" w:hAnsi="Calibri"/>
          <w:lang w:val="ro-RO"/>
        </w:rPr>
        <w:t>;</w:t>
      </w:r>
    </w:p>
    <w:p w:rsidR="003C0756" w:rsidRDefault="003C0756" w:rsidP="00201DE6">
      <w:pPr>
        <w:pStyle w:val="Listparagraf"/>
        <w:shd w:val="clear" w:color="auto" w:fill="FFFFFF"/>
        <w:tabs>
          <w:tab w:val="left" w:pos="360"/>
        </w:tabs>
        <w:spacing w:after="180" w:line="276" w:lineRule="auto"/>
        <w:ind w:left="0" w:right="43" w:firstLine="630"/>
        <w:jc w:val="both"/>
        <w:rPr>
          <w:rFonts w:ascii="Calibri" w:hAnsi="Calibri"/>
          <w:lang w:val="ro-RO"/>
        </w:rPr>
      </w:pPr>
    </w:p>
    <w:p w:rsidR="00D57529" w:rsidRDefault="00D5752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Din datele comunicate de  parchete, rezultă că, în perioada de referință, au avut loc mai multe programe de formare continuă pe următoarele teme:</w:t>
      </w:r>
    </w:p>
    <w:p w:rsidR="00D57529" w:rsidRDefault="00D5752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i/>
          <w:lang w:val="ro-RO"/>
        </w:rPr>
        <w:t xml:space="preserve"> - </w:t>
      </w:r>
      <w:r w:rsidR="003C0756" w:rsidRPr="003C0756">
        <w:rPr>
          <w:rFonts w:ascii="Calibri" w:hAnsi="Calibri"/>
          <w:lang w:val="ro-RO"/>
        </w:rPr>
        <w:t xml:space="preserve">Metodologia cercetării accidentelor de muncă </w:t>
      </w:r>
      <w:r w:rsidR="003C0756">
        <w:rPr>
          <w:rFonts w:ascii="Calibri" w:hAnsi="Calibri"/>
          <w:lang w:val="ro-RO"/>
        </w:rPr>
        <w:t>și de circulați</w:t>
      </w:r>
      <w:r w:rsidR="003C0756" w:rsidRPr="003C0756">
        <w:rPr>
          <w:rFonts w:ascii="Calibri" w:hAnsi="Calibri"/>
          <w:lang w:val="ro-RO"/>
        </w:rPr>
        <w:t xml:space="preserve">e; </w:t>
      </w:r>
    </w:p>
    <w:p w:rsidR="00D57529" w:rsidRPr="003C0756" w:rsidRDefault="00D57529" w:rsidP="00D57529">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 xml:space="preserve">Excluderea probelor în procedura camerei preliminare; </w:t>
      </w:r>
    </w:p>
    <w:p w:rsidR="00925851"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r w:rsidRPr="003C0756">
        <w:rPr>
          <w:rFonts w:ascii="Calibri" w:hAnsi="Calibri"/>
          <w:lang w:val="ro-RO"/>
        </w:rPr>
        <w:t>-</w:t>
      </w:r>
      <w:r w:rsidR="00D57529">
        <w:rPr>
          <w:rFonts w:ascii="Calibri" w:hAnsi="Calibri"/>
          <w:lang w:val="ro-RO"/>
        </w:rPr>
        <w:t xml:space="preserve"> </w:t>
      </w:r>
      <w:r w:rsidRPr="003C0756">
        <w:rPr>
          <w:rFonts w:ascii="Calibri" w:hAnsi="Calibri"/>
          <w:lang w:val="ro-RO"/>
        </w:rPr>
        <w:t>Infractiuni la regim</w:t>
      </w:r>
      <w:r w:rsidR="00D57529">
        <w:rPr>
          <w:rFonts w:ascii="Calibri" w:hAnsi="Calibri"/>
          <w:lang w:val="ro-RO"/>
        </w:rPr>
        <w:t>ul fondului piscicol</w:t>
      </w:r>
      <w:r w:rsidR="00D73C59">
        <w:rPr>
          <w:rFonts w:ascii="Calibri" w:hAnsi="Calibri"/>
          <w:lang w:val="ro-RO"/>
        </w:rPr>
        <w:t>;</w:t>
      </w:r>
    </w:p>
    <w:p w:rsidR="003C0756" w:rsidRDefault="00D5752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Dreptul insolventei</w:t>
      </w:r>
      <w:r w:rsidR="00D73C59">
        <w:rPr>
          <w:rFonts w:ascii="Calibri" w:hAnsi="Calibri"/>
          <w:lang w:val="ro-RO"/>
        </w:rPr>
        <w:t xml:space="preserve"> organizat;</w:t>
      </w:r>
    </w:p>
    <w:p w:rsidR="00D73C59"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For</w:t>
      </w:r>
      <w:r>
        <w:rPr>
          <w:rFonts w:ascii="Calibri" w:hAnsi="Calibri"/>
          <w:lang w:val="ro-RO"/>
        </w:rPr>
        <w:t>mare în domeniul noilor coduri;</w:t>
      </w:r>
    </w:p>
    <w:p w:rsidR="00D73C59"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Eti</w:t>
      </w:r>
      <w:r>
        <w:rPr>
          <w:rFonts w:ascii="Calibri" w:hAnsi="Calibri"/>
          <w:lang w:val="ro-RO"/>
        </w:rPr>
        <w:t>că şi deontologie profesională;</w:t>
      </w:r>
    </w:p>
    <w:p w:rsidR="00D73C59"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Criminalitate economico-financiară</w:t>
      </w:r>
      <w:r>
        <w:rPr>
          <w:rFonts w:ascii="Calibri" w:hAnsi="Calibri"/>
          <w:lang w:val="ro-RO"/>
        </w:rPr>
        <w:t>;</w:t>
      </w:r>
    </w:p>
    <w:p w:rsidR="003C0756"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Combaterea corupţiei;</w:t>
      </w:r>
    </w:p>
    <w:p w:rsidR="00925851" w:rsidRPr="003C0756" w:rsidRDefault="00925851" w:rsidP="003C0756">
      <w:pPr>
        <w:pStyle w:val="Listparagraf"/>
        <w:shd w:val="clear" w:color="auto" w:fill="FFFFFF"/>
        <w:tabs>
          <w:tab w:val="left" w:pos="360"/>
        </w:tabs>
        <w:spacing w:after="180" w:line="276" w:lineRule="auto"/>
        <w:ind w:left="0" w:right="43" w:firstLine="720"/>
        <w:jc w:val="both"/>
        <w:rPr>
          <w:rFonts w:ascii="Calibri" w:hAnsi="Calibri"/>
          <w:lang w:val="ro-RO"/>
        </w:rPr>
      </w:pPr>
    </w:p>
    <w:p w:rsidR="00D73C59"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Management Judiciar</w:t>
      </w:r>
      <w:r>
        <w:rPr>
          <w:rFonts w:ascii="Calibri" w:hAnsi="Calibri"/>
          <w:lang w:val="ro-RO"/>
        </w:rPr>
        <w:t>;</w:t>
      </w:r>
    </w:p>
    <w:p w:rsidR="00D73C59"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Combaterea discrimin</w:t>
      </w:r>
      <w:r w:rsidR="00925851">
        <w:rPr>
          <w:rFonts w:ascii="Calibri" w:hAnsi="Calibri"/>
          <w:lang w:val="ro-RO"/>
        </w:rPr>
        <w:t>ă</w:t>
      </w:r>
      <w:r>
        <w:rPr>
          <w:rFonts w:ascii="Calibri" w:hAnsi="Calibri"/>
          <w:lang w:val="ro-RO"/>
        </w:rPr>
        <w:t>rii;</w:t>
      </w:r>
    </w:p>
    <w:p w:rsidR="003C0756"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Informa</w:t>
      </w:r>
      <w:r w:rsidR="00925851">
        <w:rPr>
          <w:rFonts w:ascii="Calibri" w:hAnsi="Calibri"/>
          <w:lang w:val="ro-RO"/>
        </w:rPr>
        <w:t>ț</w:t>
      </w:r>
      <w:r w:rsidR="003C0756" w:rsidRPr="003C0756">
        <w:rPr>
          <w:rFonts w:ascii="Calibri" w:hAnsi="Calibri"/>
          <w:lang w:val="ro-RO"/>
        </w:rPr>
        <w:t>ii clasificate.</w:t>
      </w:r>
    </w:p>
    <w:p w:rsidR="00925851" w:rsidRDefault="00D73C59"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Acordul de recunoaştere a vinovăţiei. Plasarea. Diferenţieri</w:t>
      </w:r>
      <w:r w:rsidR="00925851">
        <w:rPr>
          <w:rFonts w:ascii="Calibri" w:hAnsi="Calibri"/>
          <w:lang w:val="ro-RO"/>
        </w:rPr>
        <w:t xml:space="preserve"> </w:t>
      </w:r>
      <w:r w:rsidR="003C0756" w:rsidRPr="003C0756">
        <w:rPr>
          <w:rFonts w:ascii="Calibri" w:hAnsi="Calibri"/>
          <w:lang w:val="ro-RO"/>
        </w:rPr>
        <w:t xml:space="preserve">între teza I şi II de la art. 16 lit.b c.pr.p.; </w:t>
      </w:r>
    </w:p>
    <w:p w:rsidR="00925851"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Decizii relevante ale CEDO pentru activitatea de urmărire penală, în special cele prin care Statul</w:t>
      </w:r>
      <w:r w:rsidR="00925851">
        <w:rPr>
          <w:rFonts w:ascii="Calibri" w:hAnsi="Calibri"/>
          <w:lang w:val="ro-RO"/>
        </w:rPr>
        <w:t xml:space="preserve"> </w:t>
      </w:r>
      <w:r w:rsidR="003C0756" w:rsidRPr="003C0756">
        <w:rPr>
          <w:rFonts w:ascii="Calibri" w:hAnsi="Calibri"/>
          <w:lang w:val="ro-RO"/>
        </w:rPr>
        <w:t xml:space="preserve">Român a fost sancţionat pentru încălcarea dreptului la apărare, efectivitatea urmăririi penale, temporizarea procedurilor, etc.; </w:t>
      </w:r>
    </w:p>
    <w:p w:rsidR="00925851"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Consideraţii</w:t>
      </w:r>
      <w:r w:rsidR="00925851">
        <w:rPr>
          <w:rFonts w:ascii="Calibri" w:hAnsi="Calibri"/>
          <w:lang w:val="ro-RO"/>
        </w:rPr>
        <w:t xml:space="preserve"> </w:t>
      </w:r>
      <w:r w:rsidR="003C0756" w:rsidRPr="003C0756">
        <w:rPr>
          <w:rFonts w:ascii="Calibri" w:hAnsi="Calibri"/>
          <w:lang w:val="ro-RO"/>
        </w:rPr>
        <w:t xml:space="preserve">generale privind măsura de siguranţă a internării medicale şi internarea medicală provizorie; </w:t>
      </w:r>
    </w:p>
    <w:p w:rsidR="00925851"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Dreptul persoanei la respectarea vieţii private şi</w:t>
      </w:r>
      <w:r w:rsidR="00925851">
        <w:rPr>
          <w:rFonts w:ascii="Calibri" w:hAnsi="Calibri"/>
          <w:lang w:val="ro-RO"/>
        </w:rPr>
        <w:t xml:space="preserve"> </w:t>
      </w:r>
      <w:r w:rsidR="003C0756" w:rsidRPr="003C0756">
        <w:rPr>
          <w:rFonts w:ascii="Calibri" w:hAnsi="Calibri"/>
          <w:lang w:val="ro-RO"/>
        </w:rPr>
        <w:t xml:space="preserve">de familie. Ocrotirea domiciliului în viziunea CEDO; </w:t>
      </w:r>
    </w:p>
    <w:p w:rsidR="00925851"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 xml:space="preserve">Renunţarea la urmărire penală; </w:t>
      </w:r>
    </w:p>
    <w:p w:rsidR="003C0756"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Consideraţii cu privire la infracţiunea de violenţă în</w:t>
      </w:r>
      <w:r w:rsidR="00925851">
        <w:rPr>
          <w:rFonts w:ascii="Calibri" w:hAnsi="Calibri"/>
          <w:lang w:val="ro-RO"/>
        </w:rPr>
        <w:t xml:space="preserve"> </w:t>
      </w:r>
      <w:r w:rsidR="003C0756" w:rsidRPr="003C0756">
        <w:rPr>
          <w:rFonts w:ascii="Calibri" w:hAnsi="Calibri"/>
          <w:lang w:val="ro-RO"/>
        </w:rPr>
        <w:t>familie.</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Infrac</w:t>
      </w:r>
      <w:r w:rsidR="00925851">
        <w:rPr>
          <w:rFonts w:ascii="Calibri" w:hAnsi="Calibri"/>
          <w:lang w:val="ro-RO"/>
        </w:rPr>
        <w:t>ț</w:t>
      </w:r>
      <w:r w:rsidR="003C0756" w:rsidRPr="003C0756">
        <w:rPr>
          <w:rFonts w:ascii="Calibri" w:hAnsi="Calibri"/>
          <w:lang w:val="ro-RO"/>
        </w:rPr>
        <w:t>iuni contra înfăptuirii</w:t>
      </w:r>
      <w:r w:rsidR="00925851">
        <w:rPr>
          <w:rFonts w:ascii="Calibri" w:hAnsi="Calibri"/>
          <w:lang w:val="ro-RO"/>
        </w:rPr>
        <w:t xml:space="preserve"> justiției : mărturia mincinoasă ș</w:t>
      </w:r>
      <w:r w:rsidR="003C0756" w:rsidRPr="003C0756">
        <w:rPr>
          <w:rFonts w:ascii="Calibri" w:hAnsi="Calibri"/>
          <w:lang w:val="ro-RO"/>
        </w:rPr>
        <w:t>i favorizarea</w:t>
      </w:r>
      <w:r w:rsidR="00925851">
        <w:rPr>
          <w:rFonts w:ascii="Calibri" w:hAnsi="Calibri"/>
          <w:lang w:val="ro-RO"/>
        </w:rPr>
        <w:t xml:space="preserve"> făptuitorului;</w:t>
      </w:r>
    </w:p>
    <w:p w:rsidR="007E623D" w:rsidRDefault="00925851"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-Regimul nulităț</w:t>
      </w:r>
      <w:r w:rsidR="003C0756" w:rsidRPr="003C0756">
        <w:rPr>
          <w:rFonts w:ascii="Calibri" w:hAnsi="Calibri"/>
          <w:lang w:val="ro-RO"/>
        </w:rPr>
        <w:t>ilor în procesul penal;</w:t>
      </w:r>
    </w:p>
    <w:p w:rsidR="007E623D"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r w:rsidRPr="003C0756">
        <w:rPr>
          <w:rFonts w:ascii="Calibri" w:hAnsi="Calibri"/>
          <w:lang w:val="ro-RO"/>
        </w:rPr>
        <w:t xml:space="preserve"> -Infrac</w:t>
      </w:r>
      <w:r w:rsidR="00925851">
        <w:rPr>
          <w:rFonts w:ascii="Calibri" w:hAnsi="Calibri"/>
          <w:lang w:val="ro-RO"/>
        </w:rPr>
        <w:t>ț</w:t>
      </w:r>
      <w:r w:rsidRPr="003C0756">
        <w:rPr>
          <w:rFonts w:ascii="Calibri" w:hAnsi="Calibri"/>
          <w:lang w:val="ro-RO"/>
        </w:rPr>
        <w:t>iunile silvice prevăzute de Legea</w:t>
      </w:r>
      <w:r w:rsidR="00925851">
        <w:rPr>
          <w:rFonts w:ascii="Calibri" w:hAnsi="Calibri"/>
          <w:lang w:val="ro-RO"/>
        </w:rPr>
        <w:t xml:space="preserve"> </w:t>
      </w:r>
      <w:r w:rsidRPr="003C0756">
        <w:rPr>
          <w:rFonts w:ascii="Calibri" w:hAnsi="Calibri"/>
          <w:lang w:val="ro-RO"/>
        </w:rPr>
        <w:t>46/2008;</w:t>
      </w:r>
    </w:p>
    <w:p w:rsidR="00925851"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r w:rsidRPr="003C0756">
        <w:rPr>
          <w:rFonts w:ascii="Calibri" w:hAnsi="Calibri"/>
          <w:lang w:val="ro-RO"/>
        </w:rPr>
        <w:t xml:space="preserve"> - Supunerea la tratamente inumane sau degradante </w:t>
      </w:r>
      <w:r w:rsidR="00925851">
        <w:rPr>
          <w:rFonts w:ascii="Calibri" w:hAnsi="Calibri"/>
          <w:lang w:val="ro-RO"/>
        </w:rPr>
        <w:t>ș</w:t>
      </w:r>
      <w:r w:rsidRPr="003C0756">
        <w:rPr>
          <w:rFonts w:ascii="Calibri" w:hAnsi="Calibri"/>
          <w:lang w:val="ro-RO"/>
        </w:rPr>
        <w:t>i lipsa unei a</w:t>
      </w:r>
      <w:r w:rsidR="007E623D">
        <w:rPr>
          <w:rFonts w:ascii="Calibri" w:hAnsi="Calibri"/>
          <w:lang w:val="ro-RO"/>
        </w:rPr>
        <w:t>nchete efective-art. 3 din CEDO;</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 xml:space="preserve">Traficul de influenta </w:t>
      </w:r>
      <w:r w:rsidR="00667D0C">
        <w:rPr>
          <w:rFonts w:ascii="Calibri" w:hAnsi="Calibri"/>
          <w:lang w:val="ro-RO"/>
        </w:rPr>
        <w:t>ș</w:t>
      </w:r>
      <w:r w:rsidR="003C0756" w:rsidRPr="003C0756">
        <w:rPr>
          <w:rFonts w:ascii="Calibri" w:hAnsi="Calibri"/>
          <w:lang w:val="ro-RO"/>
        </w:rPr>
        <w:t>i</w:t>
      </w:r>
      <w:r w:rsidR="00667D0C">
        <w:rPr>
          <w:rFonts w:ascii="Calibri" w:hAnsi="Calibri"/>
          <w:lang w:val="ro-RO"/>
        </w:rPr>
        <w:t xml:space="preserve"> î</w:t>
      </w:r>
      <w:r w:rsidR="003C0756" w:rsidRPr="003C0756">
        <w:rPr>
          <w:rFonts w:ascii="Calibri" w:hAnsi="Calibri"/>
          <w:lang w:val="ro-RO"/>
        </w:rPr>
        <w:t>n</w:t>
      </w:r>
      <w:r w:rsidR="00667D0C">
        <w:rPr>
          <w:rFonts w:ascii="Calibri" w:hAnsi="Calibri"/>
          <w:lang w:val="ro-RO"/>
        </w:rPr>
        <w:t>șelă</w:t>
      </w:r>
      <w:r w:rsidR="003C0756" w:rsidRPr="003C0756">
        <w:rPr>
          <w:rFonts w:ascii="Calibri" w:hAnsi="Calibri"/>
          <w:lang w:val="ro-RO"/>
        </w:rPr>
        <w:t>ciunea;</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Deosebiri intre tentativa la infractiunea de omor si infractiunile contra integ</w:t>
      </w:r>
      <w:r>
        <w:rPr>
          <w:rFonts w:ascii="Calibri" w:hAnsi="Calibri"/>
          <w:lang w:val="ro-RO"/>
        </w:rPr>
        <w:t>ritatii corporale si sanatatii;</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Natura juridica a</w:t>
      </w:r>
      <w:r w:rsidR="00667D0C">
        <w:rPr>
          <w:rFonts w:ascii="Calibri" w:hAnsi="Calibri"/>
          <w:lang w:val="ro-RO"/>
        </w:rPr>
        <w:t xml:space="preserve"> </w:t>
      </w:r>
      <w:r w:rsidR="003C0756" w:rsidRPr="003C0756">
        <w:rPr>
          <w:rFonts w:ascii="Calibri" w:hAnsi="Calibri"/>
          <w:lang w:val="ro-RO"/>
        </w:rPr>
        <w:t>institutiei camerei preliminare-aspecte controversate privind reglementarea institutie</w:t>
      </w:r>
      <w:r>
        <w:rPr>
          <w:rFonts w:ascii="Calibri" w:hAnsi="Calibri"/>
          <w:lang w:val="ro-RO"/>
        </w:rPr>
        <w:t>i-practica judiciara neunitara;</w:t>
      </w:r>
    </w:p>
    <w:p w:rsidR="003C0756" w:rsidRPr="003C0756"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Investigarea infractiunilor</w:t>
      </w:r>
      <w:r w:rsidR="00667D0C">
        <w:rPr>
          <w:rFonts w:ascii="Calibri" w:hAnsi="Calibri"/>
          <w:lang w:val="ro-RO"/>
        </w:rPr>
        <w:t xml:space="preserve"> </w:t>
      </w:r>
      <w:r w:rsidR="003C0756" w:rsidRPr="003C0756">
        <w:rPr>
          <w:rFonts w:ascii="Calibri" w:hAnsi="Calibri"/>
          <w:lang w:val="ro-RO"/>
        </w:rPr>
        <w:t>contra vietii, Investigarea infractiunilor la regimul circulatiei pe drumurile publice si a infractiunilor privind pr</w:t>
      </w:r>
      <w:r w:rsidR="00A418C7">
        <w:rPr>
          <w:rFonts w:ascii="Calibri" w:hAnsi="Calibri"/>
          <w:lang w:val="ro-RO"/>
        </w:rPr>
        <w:t>otectia si securitatea in munca;</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Principiul „ne bis in idem” în le</w:t>
      </w:r>
      <w:r>
        <w:rPr>
          <w:rFonts w:ascii="Calibri" w:hAnsi="Calibri"/>
          <w:lang w:val="ro-RO"/>
        </w:rPr>
        <w:t>gislaţia naţională şi europeană;</w:t>
      </w:r>
      <w:r w:rsidR="003C0756" w:rsidRPr="003C0756">
        <w:rPr>
          <w:rFonts w:ascii="Calibri" w:hAnsi="Calibri"/>
          <w:lang w:val="ro-RO"/>
        </w:rPr>
        <w:t xml:space="preserve"> </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Administrarea probelor în faza de apel în lumina Deciziei C.E.D.O. pronunţată la</w:t>
      </w:r>
      <w:r w:rsidR="00667D0C">
        <w:rPr>
          <w:rFonts w:ascii="Calibri" w:hAnsi="Calibri"/>
          <w:lang w:val="ro-RO"/>
        </w:rPr>
        <w:t xml:space="preserve"> </w:t>
      </w:r>
      <w:r w:rsidR="003C0756" w:rsidRPr="003C0756">
        <w:rPr>
          <w:rFonts w:ascii="Calibri" w:hAnsi="Calibri"/>
          <w:lang w:val="ro-RO"/>
        </w:rPr>
        <w:t>data de 16.09.20</w:t>
      </w:r>
      <w:r>
        <w:rPr>
          <w:rFonts w:ascii="Calibri" w:hAnsi="Calibri"/>
          <w:lang w:val="ro-RO"/>
        </w:rPr>
        <w:t>14 în cauza Mischie vs. România;</w:t>
      </w:r>
      <w:r w:rsidR="003C0756" w:rsidRPr="003C0756">
        <w:rPr>
          <w:rFonts w:ascii="Calibri" w:hAnsi="Calibri"/>
          <w:lang w:val="ro-RO"/>
        </w:rPr>
        <w:t xml:space="preserve"> </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Răspun</w:t>
      </w:r>
      <w:r>
        <w:rPr>
          <w:rFonts w:ascii="Calibri" w:hAnsi="Calibri"/>
          <w:lang w:val="ro-RO"/>
        </w:rPr>
        <w:t>derea penală a notarului public;</w:t>
      </w:r>
      <w:r w:rsidR="003C0756" w:rsidRPr="003C0756">
        <w:rPr>
          <w:rFonts w:ascii="Calibri" w:hAnsi="Calibri"/>
          <w:lang w:val="ro-RO"/>
        </w:rPr>
        <w:t xml:space="preserve"> </w:t>
      </w:r>
    </w:p>
    <w:p w:rsidR="007E623D"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r w:rsidRPr="003C0756">
        <w:rPr>
          <w:rFonts w:ascii="Calibri" w:hAnsi="Calibri"/>
          <w:lang w:val="ro-RO"/>
        </w:rPr>
        <w:t>-Graţierea, cauză care înlătură sau m</w:t>
      </w:r>
      <w:r w:rsidR="007E623D">
        <w:rPr>
          <w:rFonts w:ascii="Calibri" w:hAnsi="Calibri"/>
          <w:lang w:val="ro-RO"/>
        </w:rPr>
        <w:t>odifică executarea pedepsei;</w:t>
      </w:r>
    </w:p>
    <w:p w:rsidR="00667D0C" w:rsidRDefault="007E623D" w:rsidP="007E623D">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Obiectul material al infracţiunii de fals material în înscrisuri oficiale – aspecte</w:t>
      </w:r>
      <w:r w:rsidR="00667D0C">
        <w:rPr>
          <w:rFonts w:ascii="Calibri" w:hAnsi="Calibri"/>
          <w:lang w:val="ro-RO"/>
        </w:rPr>
        <w:t xml:space="preserve"> </w:t>
      </w:r>
      <w:r w:rsidR="003C0756" w:rsidRPr="003C0756">
        <w:rPr>
          <w:rFonts w:ascii="Calibri" w:hAnsi="Calibri"/>
          <w:lang w:val="ro-RO"/>
        </w:rPr>
        <w:t>controversate. Procedur</w:t>
      </w:r>
      <w:r>
        <w:rPr>
          <w:rFonts w:ascii="Calibri" w:hAnsi="Calibri"/>
          <w:lang w:val="ro-RO"/>
        </w:rPr>
        <w:t>a anulării înscrisurilor false;</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Directiva 2014/41/UE</w:t>
      </w:r>
      <w:r w:rsidR="00667D0C">
        <w:rPr>
          <w:rFonts w:ascii="Calibri" w:hAnsi="Calibri"/>
          <w:lang w:val="ro-RO"/>
        </w:rPr>
        <w:t xml:space="preserve"> </w:t>
      </w:r>
      <w:r w:rsidR="003C0756" w:rsidRPr="003C0756">
        <w:rPr>
          <w:rFonts w:ascii="Calibri" w:hAnsi="Calibri"/>
          <w:lang w:val="ro-RO"/>
        </w:rPr>
        <w:t>şi alte aspecte de coo</w:t>
      </w:r>
      <w:r w:rsidR="00A418C7">
        <w:rPr>
          <w:rFonts w:ascii="Calibri" w:hAnsi="Calibri"/>
          <w:lang w:val="ro-RO"/>
        </w:rPr>
        <w:t>perare judiciară internaţională;</w:t>
      </w:r>
      <w:r w:rsidR="003C0756" w:rsidRPr="003C0756">
        <w:rPr>
          <w:rFonts w:ascii="Calibri" w:hAnsi="Calibri"/>
          <w:lang w:val="ro-RO"/>
        </w:rPr>
        <w:t xml:space="preserve"> </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Deţinerea de către o persoană fizică de produse accizabile nemarcate, în afara</w:t>
      </w:r>
      <w:r w:rsidR="00667D0C">
        <w:rPr>
          <w:rFonts w:ascii="Calibri" w:hAnsi="Calibri"/>
          <w:lang w:val="ro-RO"/>
        </w:rPr>
        <w:t xml:space="preserve"> </w:t>
      </w:r>
      <w:r w:rsidR="003C0756" w:rsidRPr="003C0756">
        <w:rPr>
          <w:rFonts w:ascii="Calibri" w:hAnsi="Calibri"/>
          <w:lang w:val="ro-RO"/>
        </w:rPr>
        <w:t>antrepozitului fiscal. Calcularea prejudiciului în situaţia în care produsele accizabile provin din contrabandă, respectiv în situaţia în care nu se</w:t>
      </w:r>
      <w:r w:rsidR="00667D0C">
        <w:rPr>
          <w:rFonts w:ascii="Calibri" w:hAnsi="Calibri"/>
          <w:lang w:val="ro-RO"/>
        </w:rPr>
        <w:t xml:space="preserve"> </w:t>
      </w:r>
      <w:r w:rsidR="003C0756" w:rsidRPr="003C0756">
        <w:rPr>
          <w:rFonts w:ascii="Calibri" w:hAnsi="Calibri"/>
          <w:lang w:val="ro-RO"/>
        </w:rPr>
        <w:t>poate dovedi că acestea provin d</w:t>
      </w:r>
      <w:r w:rsidR="00A418C7">
        <w:rPr>
          <w:rFonts w:ascii="Calibri" w:hAnsi="Calibri"/>
          <w:lang w:val="ro-RO"/>
        </w:rPr>
        <w:t>in contrabandă. Cazuri practice;</w:t>
      </w:r>
      <w:r w:rsidR="003C0756" w:rsidRPr="003C0756">
        <w:rPr>
          <w:rFonts w:ascii="Calibri" w:hAnsi="Calibri"/>
          <w:lang w:val="ro-RO"/>
        </w:rPr>
        <w:t xml:space="preserve"> </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Infracţiuni economice: gestiunea frauduloasă, înşelăciunea şi delapidarea.</w:t>
      </w:r>
      <w:r w:rsidR="00667D0C">
        <w:rPr>
          <w:rFonts w:ascii="Calibri" w:hAnsi="Calibri"/>
          <w:lang w:val="ro-RO"/>
        </w:rPr>
        <w:t xml:space="preserve"> </w:t>
      </w:r>
      <w:r w:rsidR="003C0756" w:rsidRPr="003C0756">
        <w:rPr>
          <w:rFonts w:ascii="Calibri" w:hAnsi="Calibri"/>
          <w:lang w:val="ro-RO"/>
        </w:rPr>
        <w:t>Asemănă</w:t>
      </w:r>
      <w:r w:rsidR="00A418C7">
        <w:rPr>
          <w:rFonts w:ascii="Calibri" w:hAnsi="Calibri"/>
          <w:lang w:val="ro-RO"/>
        </w:rPr>
        <w:t>ri, deosebiri, cazuri practice;</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Abuzul în serviciu. Limita între răspunderea pena</w:t>
      </w:r>
      <w:r w:rsidR="00A418C7">
        <w:rPr>
          <w:rFonts w:ascii="Calibri" w:hAnsi="Calibri"/>
          <w:lang w:val="ro-RO"/>
        </w:rPr>
        <w:t>lă şi alte tipuri de răspunderi;</w:t>
      </w:r>
      <w:r w:rsidR="003C0756" w:rsidRPr="003C0756">
        <w:rPr>
          <w:rFonts w:ascii="Calibri" w:hAnsi="Calibri"/>
          <w:lang w:val="ro-RO"/>
        </w:rPr>
        <w:t xml:space="preserve"> </w:t>
      </w:r>
    </w:p>
    <w:p w:rsidR="00667D0C"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 xml:space="preserve">Tratamentul penal </w:t>
      </w:r>
      <w:r w:rsidR="00A418C7">
        <w:rPr>
          <w:rFonts w:ascii="Calibri" w:hAnsi="Calibri"/>
          <w:lang w:val="ro-RO"/>
        </w:rPr>
        <w:t>al concursului de infracţiuni;</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Infracţiuni de cercetare abuzivă, supunerea la rele tratamente, tortura şi purtarea</w:t>
      </w:r>
      <w:r w:rsidR="009A6C82">
        <w:rPr>
          <w:rFonts w:ascii="Calibri" w:hAnsi="Calibri"/>
          <w:lang w:val="ro-RO"/>
        </w:rPr>
        <w:t xml:space="preserve"> </w:t>
      </w:r>
      <w:r w:rsidR="003C0756" w:rsidRPr="003C0756">
        <w:rPr>
          <w:rFonts w:ascii="Calibri" w:hAnsi="Calibri"/>
          <w:lang w:val="ro-RO"/>
        </w:rPr>
        <w:t>abuzivă comise de agenţi ai statului</w:t>
      </w:r>
      <w:r w:rsidR="00A418C7">
        <w:rPr>
          <w:rFonts w:ascii="Calibri" w:hAnsi="Calibri"/>
          <w:lang w:val="ro-RO"/>
        </w:rPr>
        <w:t>. Aspecte teoretice şi practice;</w:t>
      </w:r>
      <w:r w:rsidR="003C0756" w:rsidRPr="003C0756">
        <w:rPr>
          <w:rFonts w:ascii="Calibri" w:hAnsi="Calibri"/>
          <w:lang w:val="ro-RO"/>
        </w:rPr>
        <w:t xml:space="preserve"> </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Regimul măsurilor edu</w:t>
      </w:r>
      <w:r w:rsidR="00A418C7">
        <w:rPr>
          <w:rFonts w:ascii="Calibri" w:hAnsi="Calibri"/>
          <w:lang w:val="ro-RO"/>
        </w:rPr>
        <w:t>cative neprivative de libertate;</w:t>
      </w:r>
      <w:r w:rsidR="003C0756" w:rsidRPr="003C0756">
        <w:rPr>
          <w:rFonts w:ascii="Calibri" w:hAnsi="Calibri"/>
          <w:lang w:val="ro-RO"/>
        </w:rPr>
        <w:t xml:space="preserve"> </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Confiscarea extins</w:t>
      </w:r>
      <w:r w:rsidR="00A418C7">
        <w:rPr>
          <w:rFonts w:ascii="Calibri" w:hAnsi="Calibri"/>
          <w:lang w:val="ro-RO"/>
        </w:rPr>
        <w:t>ă şi recuperarea prejudiciului;</w:t>
      </w:r>
    </w:p>
    <w:p w:rsidR="009A6C82"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Viol. Act sexual cu un minor. – Diferenţiere.</w:t>
      </w:r>
      <w:r w:rsidR="009A6C82">
        <w:rPr>
          <w:rFonts w:ascii="Calibri" w:hAnsi="Calibri"/>
          <w:lang w:val="ro-RO"/>
        </w:rPr>
        <w:t xml:space="preserve"> </w:t>
      </w:r>
      <w:r w:rsidR="003C0756" w:rsidRPr="003C0756">
        <w:rPr>
          <w:rFonts w:ascii="Calibri" w:hAnsi="Calibri"/>
          <w:lang w:val="ro-RO"/>
        </w:rPr>
        <w:t>Metode de investigare a infracţiunilor sexual</w:t>
      </w:r>
      <w:r w:rsidR="00A418C7">
        <w:rPr>
          <w:rFonts w:ascii="Calibri" w:hAnsi="Calibri"/>
          <w:lang w:val="ro-RO"/>
        </w:rPr>
        <w:t>e în care victimele sunt minori;</w:t>
      </w:r>
      <w:r w:rsidR="003C0756" w:rsidRPr="003C0756">
        <w:rPr>
          <w:rFonts w:ascii="Calibri" w:hAnsi="Calibri"/>
          <w:lang w:val="ro-RO"/>
        </w:rPr>
        <w:t xml:space="preserve"> </w:t>
      </w:r>
    </w:p>
    <w:p w:rsidR="00A418C7"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r w:rsidRPr="003C0756">
        <w:rPr>
          <w:rFonts w:ascii="Calibri" w:hAnsi="Calibri"/>
          <w:lang w:val="ro-RO"/>
        </w:rPr>
        <w:t>- Drep</w:t>
      </w:r>
      <w:r w:rsidR="00A418C7">
        <w:rPr>
          <w:rFonts w:ascii="Calibri" w:hAnsi="Calibri"/>
          <w:lang w:val="ro-RO"/>
        </w:rPr>
        <w:t>tul de proprietate intelectuală;</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 xml:space="preserve">Expertiza traseologică dinamică; </w:t>
      </w:r>
    </w:p>
    <w:p w:rsidR="007E623D"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Aspecte de natură teoretică şi practică privind liberul acces</w:t>
      </w:r>
      <w:r w:rsidR="009A6C82">
        <w:rPr>
          <w:rFonts w:ascii="Calibri" w:hAnsi="Calibri"/>
          <w:lang w:val="ro-RO"/>
        </w:rPr>
        <w:t xml:space="preserve"> </w:t>
      </w:r>
      <w:r w:rsidR="003C0756" w:rsidRPr="003C0756">
        <w:rPr>
          <w:rFonts w:ascii="Calibri" w:hAnsi="Calibri"/>
          <w:lang w:val="ro-RO"/>
        </w:rPr>
        <w:t xml:space="preserve">la informaţiile de interes public; </w:t>
      </w:r>
      <w:r>
        <w:rPr>
          <w:rFonts w:ascii="Calibri" w:hAnsi="Calibri"/>
          <w:lang w:val="ro-RO"/>
        </w:rPr>
        <w:tab/>
      </w:r>
      <w:r>
        <w:rPr>
          <w:rFonts w:ascii="Calibri" w:hAnsi="Calibri"/>
          <w:lang w:val="ro-RO"/>
        </w:rPr>
        <w:tab/>
      </w:r>
      <w:r>
        <w:rPr>
          <w:rFonts w:ascii="Calibri" w:hAnsi="Calibri"/>
          <w:lang w:val="ro-RO"/>
        </w:rPr>
        <w:tab/>
        <w:t xml:space="preserve">- </w:t>
      </w:r>
      <w:r w:rsidR="003C0756" w:rsidRPr="003C0756">
        <w:rPr>
          <w:rFonts w:ascii="Calibri" w:hAnsi="Calibri"/>
          <w:lang w:val="ro-RO"/>
        </w:rPr>
        <w:t xml:space="preserve">Investigarea infracţiunilor de corupţie; </w:t>
      </w:r>
    </w:p>
    <w:p w:rsidR="009A6C82" w:rsidRPr="003C0756"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xml:space="preserve">- </w:t>
      </w:r>
      <w:r w:rsidR="003C0756" w:rsidRPr="003C0756">
        <w:rPr>
          <w:rFonts w:ascii="Calibri" w:hAnsi="Calibri"/>
          <w:lang w:val="ro-RO"/>
        </w:rPr>
        <w:t>Tehnicile de investigare a infracţiunilor de spălare a banilor, evaziune</w:t>
      </w:r>
      <w:r w:rsidR="009A6C82">
        <w:rPr>
          <w:rFonts w:ascii="Calibri" w:hAnsi="Calibri"/>
          <w:lang w:val="ro-RO"/>
        </w:rPr>
        <w:t xml:space="preserve"> </w:t>
      </w:r>
      <w:r w:rsidR="003C0756" w:rsidRPr="003C0756">
        <w:rPr>
          <w:rFonts w:ascii="Calibri" w:hAnsi="Calibri"/>
          <w:lang w:val="ro-RO"/>
        </w:rPr>
        <w:t xml:space="preserve">fiscală şi a infracţiunilor prevăzute în Legea nr. 31/1990, modif., privind societăţile comerciale; </w:t>
      </w:r>
    </w:p>
    <w:p w:rsidR="009A6C82" w:rsidRDefault="007E623D" w:rsidP="003C0756">
      <w:pPr>
        <w:pStyle w:val="Listparagraf"/>
        <w:shd w:val="clear" w:color="auto" w:fill="FFFFFF"/>
        <w:tabs>
          <w:tab w:val="left" w:pos="360"/>
        </w:tabs>
        <w:spacing w:after="180" w:line="276" w:lineRule="auto"/>
        <w:ind w:left="0" w:right="43" w:firstLine="720"/>
        <w:jc w:val="both"/>
        <w:rPr>
          <w:rFonts w:ascii="Calibri" w:hAnsi="Calibri"/>
          <w:lang w:val="ro-RO"/>
        </w:rPr>
      </w:pPr>
      <w:r>
        <w:rPr>
          <w:rFonts w:ascii="Calibri" w:hAnsi="Calibri"/>
          <w:lang w:val="ro-RO"/>
        </w:rPr>
        <w:t>- Achiziţii publice.</w:t>
      </w:r>
    </w:p>
    <w:p w:rsidR="003C0756" w:rsidRDefault="003C0756" w:rsidP="003C0756">
      <w:pPr>
        <w:pStyle w:val="Listparagraf"/>
        <w:shd w:val="clear" w:color="auto" w:fill="FFFFFF"/>
        <w:tabs>
          <w:tab w:val="left" w:pos="360"/>
        </w:tabs>
        <w:spacing w:after="180" w:line="276" w:lineRule="auto"/>
        <w:ind w:left="0" w:right="43" w:firstLine="720"/>
        <w:jc w:val="both"/>
        <w:rPr>
          <w:rFonts w:ascii="Calibri" w:hAnsi="Calibri"/>
          <w:lang w:val="ro-RO"/>
        </w:rPr>
      </w:pPr>
    </w:p>
    <w:p w:rsidR="00FC422B" w:rsidRPr="00860724" w:rsidRDefault="00FC422B" w:rsidP="00E16358">
      <w:pPr>
        <w:spacing w:line="276" w:lineRule="auto"/>
        <w:ind w:firstLine="720"/>
        <w:jc w:val="both"/>
        <w:rPr>
          <w:b/>
          <w:i/>
          <w:lang w:val="ro-RO"/>
        </w:rPr>
      </w:pPr>
      <w:r w:rsidRPr="00860724">
        <w:rPr>
          <w:b/>
          <w:i/>
          <w:lang w:val="ro-RO"/>
        </w:rPr>
        <w:t>B. Personalul auxiliar</w:t>
      </w:r>
    </w:p>
    <w:p w:rsidR="00CB5C5A" w:rsidRPr="00860724" w:rsidRDefault="00FC422B" w:rsidP="00E16358">
      <w:pPr>
        <w:spacing w:line="276" w:lineRule="auto"/>
        <w:ind w:firstLine="720"/>
        <w:jc w:val="both"/>
        <w:rPr>
          <w:b/>
          <w:i/>
          <w:lang w:val="ro-RO"/>
        </w:rPr>
      </w:pPr>
      <w:r w:rsidRPr="00860724">
        <w:rPr>
          <w:b/>
          <w:i/>
          <w:lang w:val="ro-RO"/>
        </w:rPr>
        <w:t xml:space="preserve"> </w:t>
      </w:r>
      <w:r w:rsidR="00CB5C5A" w:rsidRPr="00860724">
        <w:rPr>
          <w:b/>
          <w:i/>
          <w:lang w:val="ro-RO"/>
        </w:rPr>
        <w:t>Formarea profesională inițială  a personalului auxiliar</w:t>
      </w:r>
    </w:p>
    <w:p w:rsidR="00CB5C5A" w:rsidRPr="00860724" w:rsidRDefault="00CB5C5A" w:rsidP="00E16358">
      <w:pPr>
        <w:spacing w:line="276" w:lineRule="auto"/>
        <w:ind w:firstLine="720"/>
        <w:jc w:val="both"/>
        <w:rPr>
          <w:b/>
          <w:i/>
          <w:lang w:val="ro-RO"/>
        </w:rPr>
      </w:pPr>
    </w:p>
    <w:p w:rsidR="00CB5C5A" w:rsidRPr="00860724" w:rsidRDefault="00CB5C5A" w:rsidP="00E16358">
      <w:pPr>
        <w:spacing w:line="276" w:lineRule="auto"/>
        <w:ind w:firstLine="720"/>
        <w:jc w:val="both"/>
        <w:rPr>
          <w:lang w:val="ro-RO"/>
        </w:rPr>
      </w:pPr>
      <w:r w:rsidRPr="00860724">
        <w:rPr>
          <w:lang w:val="ro-RO"/>
        </w:rPr>
        <w:t xml:space="preserve">Organizată de Școala Națională de Grefieri în temeiul Legii nr. 567/2004,  </w:t>
      </w:r>
      <w:r w:rsidRPr="00860724">
        <w:rPr>
          <w:b/>
          <w:lang w:val="ro-RO"/>
        </w:rPr>
        <w:t>formarea profesională inițială</w:t>
      </w:r>
      <w:r w:rsidRPr="00860724">
        <w:rPr>
          <w:lang w:val="ro-RO"/>
        </w:rPr>
        <w:t xml:space="preserve">  a personalului auxiliar a continuat să aibă în vedere </w:t>
      </w:r>
      <w:r w:rsidRPr="00860724">
        <w:rPr>
          <w:i/>
          <w:lang w:val="ro-RO"/>
        </w:rPr>
        <w:t>exclusiv pregătirea grefierilor cu studii superioare juridice,</w:t>
      </w:r>
      <w:r w:rsidRPr="00860724">
        <w:rPr>
          <w:lang w:val="ro-RO"/>
        </w:rPr>
        <w:t xml:space="preserve"> activitatea de formare inițială a Școlii răspunzând necesității ocupării posturilor vacante de grefier</w:t>
      </w:r>
      <w:r w:rsidRPr="00860724">
        <w:rPr>
          <w:color w:val="FF0000"/>
          <w:lang w:val="ro-RO"/>
        </w:rPr>
        <w:t xml:space="preserve"> </w:t>
      </w:r>
      <w:r w:rsidRPr="00860724">
        <w:rPr>
          <w:lang w:val="ro-RO"/>
        </w:rPr>
        <w:t xml:space="preserve">cu studii superioare juridice cu personal calificat. </w:t>
      </w:r>
    </w:p>
    <w:p w:rsidR="00CB5C5A" w:rsidRPr="00860724" w:rsidRDefault="00CB5C5A" w:rsidP="00E16358">
      <w:pPr>
        <w:spacing w:line="276" w:lineRule="auto"/>
        <w:ind w:firstLine="708"/>
        <w:jc w:val="both"/>
        <w:rPr>
          <w:lang w:val="ro-RO"/>
        </w:rPr>
      </w:pPr>
      <w:r w:rsidRPr="00860724">
        <w:rPr>
          <w:lang w:val="ro-RO"/>
        </w:rPr>
        <w:t xml:space="preserve">La concursul de admitere la SNG din anul 2017 au participat 643 candidați pentru 55 locuri, </w:t>
      </w:r>
      <w:r w:rsidRPr="00860724">
        <w:rPr>
          <w:i/>
          <w:lang w:val="ro-RO"/>
        </w:rPr>
        <w:t>concurența</w:t>
      </w:r>
      <w:r w:rsidRPr="00860724">
        <w:rPr>
          <w:lang w:val="ro-RO"/>
        </w:rPr>
        <w:t xml:space="preserve"> fiind astfel de peste 11 candidați pe loc. </w:t>
      </w:r>
    </w:p>
    <w:p w:rsidR="00CB5C5A" w:rsidRPr="00860724" w:rsidRDefault="00CB5C5A" w:rsidP="00E16358">
      <w:pPr>
        <w:spacing w:line="276" w:lineRule="auto"/>
        <w:ind w:firstLine="720"/>
        <w:jc w:val="both"/>
        <w:rPr>
          <w:lang w:val="ro-RO"/>
        </w:rPr>
      </w:pPr>
      <w:r w:rsidRPr="00860724">
        <w:rPr>
          <w:lang w:val="ro-RO"/>
        </w:rPr>
        <w:t xml:space="preserve">La data de 19 iunie 2017 au debutat </w:t>
      </w:r>
      <w:r w:rsidRPr="00860724">
        <w:rPr>
          <w:i/>
          <w:lang w:val="ro-RO"/>
        </w:rPr>
        <w:t>cursurile de formare inițială</w:t>
      </w:r>
      <w:r w:rsidRPr="00860724">
        <w:rPr>
          <w:lang w:val="ro-RO"/>
        </w:rPr>
        <w:t xml:space="preserve"> pentru promoția 2017, pentru un număr de 55 </w:t>
      </w:r>
      <w:r w:rsidRPr="00860724">
        <w:rPr>
          <w:i/>
          <w:lang w:val="ro-RO"/>
        </w:rPr>
        <w:t>cursanți</w:t>
      </w:r>
      <w:r w:rsidRPr="00860724">
        <w:rPr>
          <w:lang w:val="ro-RO"/>
        </w:rPr>
        <w:t xml:space="preserve"> (15 posturi de grefieri pentru parchete și 40 posturi de grefieri pentru instanțe). </w:t>
      </w:r>
    </w:p>
    <w:p w:rsidR="00CB5C5A" w:rsidRPr="00860724" w:rsidRDefault="00CB5C5A" w:rsidP="00E16358">
      <w:pPr>
        <w:numPr>
          <w:ilvl w:val="1"/>
          <w:numId w:val="0"/>
        </w:numPr>
        <w:spacing w:line="276" w:lineRule="auto"/>
        <w:ind w:right="48" w:firstLine="709"/>
        <w:jc w:val="both"/>
        <w:rPr>
          <w:lang w:val="ro-RO"/>
        </w:rPr>
      </w:pPr>
      <w:r w:rsidRPr="00860724">
        <w:rPr>
          <w:i/>
          <w:lang w:val="ro-RO"/>
        </w:rPr>
        <w:t>Planul de învățământ</w:t>
      </w:r>
      <w:r w:rsidRPr="00860724">
        <w:rPr>
          <w:lang w:val="ro-RO"/>
        </w:rPr>
        <w:t xml:space="preserve"> este conceput în mod distinct, în funcție de specializarea grefierilor, care impune și desfășurarea activității de formare inițială a acestora în mod diferențiat, pentru instanțe, respectiv pentru parchete, punând în mod deosebit accentul pe caracterul practic și aplicat al activității de învățământ. </w:t>
      </w:r>
    </w:p>
    <w:p w:rsidR="00CB5C5A" w:rsidRPr="00860724" w:rsidRDefault="00CB5C5A" w:rsidP="00E16358">
      <w:pPr>
        <w:spacing w:line="276" w:lineRule="auto"/>
        <w:ind w:firstLine="708"/>
        <w:jc w:val="both"/>
        <w:rPr>
          <w:lang w:val="ro-RO"/>
        </w:rPr>
      </w:pPr>
      <w:r w:rsidRPr="00860724">
        <w:rPr>
          <w:lang w:val="ro-RO"/>
        </w:rPr>
        <w:t xml:space="preserve">Formarea inițială în cadrul Școlii a urmărit cu precădere organizarea de acțiuni de formare profesională </w:t>
      </w:r>
      <w:r w:rsidRPr="00860724">
        <w:rPr>
          <w:i/>
          <w:lang w:val="ro-RO"/>
        </w:rPr>
        <w:t>în raport de noile Coduri</w:t>
      </w:r>
      <w:r w:rsidRPr="00860724">
        <w:rPr>
          <w:lang w:val="ro-RO"/>
        </w:rPr>
        <w:t xml:space="preserve">. Astfel, în planul de învățământ, ponderea cea mai mare, în mod firesc, o au </w:t>
      </w:r>
      <w:r w:rsidRPr="00860724">
        <w:rPr>
          <w:i/>
          <w:lang w:val="ro-RO"/>
        </w:rPr>
        <w:t>disciplinele</w:t>
      </w:r>
      <w:r w:rsidRPr="00860724">
        <w:rPr>
          <w:lang w:val="ro-RO"/>
        </w:rPr>
        <w:t xml:space="preserve"> </w:t>
      </w:r>
      <w:r w:rsidRPr="00860724">
        <w:rPr>
          <w:i/>
          <w:lang w:val="ro-RO"/>
        </w:rPr>
        <w:t>juridice fundamentale</w:t>
      </w:r>
      <w:r w:rsidRPr="00860724">
        <w:rPr>
          <w:lang w:val="ro-RO"/>
        </w:rPr>
        <w:t xml:space="preserve">: </w:t>
      </w:r>
      <w:r w:rsidRPr="00860724">
        <w:rPr>
          <w:i/>
          <w:lang w:val="ro-RO"/>
        </w:rPr>
        <w:t>Procedură civilă</w:t>
      </w:r>
      <w:r w:rsidRPr="00860724">
        <w:rPr>
          <w:lang w:val="ro-RO"/>
        </w:rPr>
        <w:t xml:space="preserve"> și </w:t>
      </w:r>
      <w:r w:rsidRPr="00860724">
        <w:rPr>
          <w:i/>
          <w:lang w:val="ro-RO"/>
        </w:rPr>
        <w:t>Procedură penală</w:t>
      </w:r>
      <w:r w:rsidRPr="00860724">
        <w:rPr>
          <w:lang w:val="ro-RO"/>
        </w:rPr>
        <w:t xml:space="preserve"> – pentru grefierii pentru instanțe, respectiv </w:t>
      </w:r>
      <w:r w:rsidRPr="00860724">
        <w:rPr>
          <w:i/>
          <w:lang w:val="ro-RO"/>
        </w:rPr>
        <w:t>Urmărire penală</w:t>
      </w:r>
      <w:r w:rsidRPr="00860724">
        <w:rPr>
          <w:lang w:val="ro-RO"/>
        </w:rPr>
        <w:t xml:space="preserve"> și </w:t>
      </w:r>
      <w:r w:rsidRPr="00860724">
        <w:rPr>
          <w:i/>
          <w:lang w:val="ro-RO"/>
        </w:rPr>
        <w:t>Registratură, grefă și arhivă</w:t>
      </w:r>
      <w:r w:rsidRPr="00860724">
        <w:rPr>
          <w:lang w:val="ro-RO"/>
        </w:rPr>
        <w:t xml:space="preserve">, în cazul grefierilor pentru parchete, având în vedere nevoia de formare a viitorilor grefieri în acest sens. Planul de învățământ cuprinde și alte discipline esențiale în pregătirea viitorilor grefieri, precum </w:t>
      </w:r>
      <w:r w:rsidRPr="00860724">
        <w:rPr>
          <w:i/>
          <w:lang w:val="ro-RO"/>
        </w:rPr>
        <w:t xml:space="preserve">Informatică aplicată </w:t>
      </w:r>
      <w:r w:rsidRPr="00860724">
        <w:rPr>
          <w:lang w:val="ro-RO"/>
        </w:rPr>
        <w:t xml:space="preserve">(Windows, Word, ECRIS, Statistică), </w:t>
      </w:r>
      <w:r w:rsidRPr="00860724">
        <w:rPr>
          <w:i/>
          <w:lang w:val="ro-RO"/>
        </w:rPr>
        <w:t>Dactilografie, Cooperare judiciară internațională</w:t>
      </w:r>
      <w:r w:rsidRPr="00860724">
        <w:rPr>
          <w:lang w:val="ro-RO"/>
        </w:rPr>
        <w:t xml:space="preserve">, </w:t>
      </w:r>
      <w:r w:rsidRPr="00860724">
        <w:rPr>
          <w:i/>
          <w:lang w:val="ro-RO"/>
        </w:rPr>
        <w:t>Dreptul Uniunii Europene</w:t>
      </w:r>
      <w:r w:rsidRPr="00860724">
        <w:rPr>
          <w:lang w:val="ro-RO"/>
        </w:rPr>
        <w:t xml:space="preserve"> sau </w:t>
      </w:r>
      <w:r w:rsidRPr="00860724">
        <w:rPr>
          <w:i/>
          <w:lang w:val="ro-RO"/>
        </w:rPr>
        <w:t>Drepturile omului în procesul civil și penal</w:t>
      </w:r>
      <w:r w:rsidRPr="00860724">
        <w:rPr>
          <w:lang w:val="ro-RO"/>
        </w:rPr>
        <w:t xml:space="preserve">. </w:t>
      </w:r>
    </w:p>
    <w:p w:rsidR="00CB5C5A" w:rsidRPr="00860724" w:rsidRDefault="00CB5C5A" w:rsidP="00E16358">
      <w:pPr>
        <w:spacing w:line="276" w:lineRule="auto"/>
        <w:ind w:firstLine="708"/>
        <w:jc w:val="both"/>
        <w:rPr>
          <w:lang w:val="ro-RO"/>
        </w:rPr>
      </w:pPr>
      <w:r w:rsidRPr="00860724">
        <w:rPr>
          <w:lang w:val="ro-RO"/>
        </w:rPr>
        <w:t xml:space="preserve">Totodată, un loc important îl are și disciplina </w:t>
      </w:r>
      <w:r w:rsidRPr="00860724">
        <w:rPr>
          <w:i/>
          <w:lang w:val="ro-RO"/>
        </w:rPr>
        <w:t>Managementul activității grefierului</w:t>
      </w:r>
      <w:r w:rsidRPr="00860724">
        <w:rPr>
          <w:lang w:val="ro-RO"/>
        </w:rPr>
        <w:t xml:space="preserve">, pentru a permite inclusiv studiul modificările aduse, urmare a noilor Coduri, în legislația subsecventă relevantă în procesul de formare a grefierilor (precum regulamentele de ordine interioară ale instanțelor și parchetelor). Astfel, dispozițiile legale din noile coduri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și activității grefierului. </w:t>
      </w:r>
    </w:p>
    <w:p w:rsidR="00CB5C5A" w:rsidRPr="00860724" w:rsidRDefault="00CB5C5A" w:rsidP="00E16358">
      <w:pPr>
        <w:spacing w:line="276" w:lineRule="auto"/>
        <w:ind w:firstLine="708"/>
        <w:jc w:val="both"/>
        <w:rPr>
          <w:lang w:val="ro-RO"/>
        </w:rPr>
      </w:pPr>
      <w:r w:rsidRPr="00860724">
        <w:rPr>
          <w:lang w:val="ro-RO"/>
        </w:rPr>
        <w:t>Activitatea de formare a vizat și cooperarea între disciplinele juridice (procedură civilă, procedură penală) și cele tehnice (operarea în sistemul ECRIS, dactilografie), în cadrul fiecărei discipline urmărindu-se accentuarea și a componentei tehnice. Astfel, predarea instituțiilor juridice a fost dublată de o pregătire practică aplicată, aptă să ajute viitorii grefieri în îndeplinirea atribuțiilor care le vor reveni în instanțe și parchete.</w:t>
      </w:r>
    </w:p>
    <w:p w:rsidR="00CB5C5A" w:rsidRPr="00860724" w:rsidRDefault="00CB5C5A" w:rsidP="00E16358">
      <w:pPr>
        <w:spacing w:line="276" w:lineRule="auto"/>
        <w:ind w:firstLine="708"/>
        <w:jc w:val="both"/>
        <w:rPr>
          <w:lang w:val="ro-RO"/>
        </w:rPr>
      </w:pPr>
      <w:r w:rsidRPr="00860724">
        <w:rPr>
          <w:lang w:val="ro-RO"/>
        </w:rPr>
        <w:t xml:space="preserve">Activitatea de formare practică a cursanților vizează și </w:t>
      </w:r>
      <w:r w:rsidRPr="00860724">
        <w:rPr>
          <w:i/>
          <w:lang w:val="ro-RO"/>
        </w:rPr>
        <w:t>componenta non juridică</w:t>
      </w:r>
      <w:r w:rsidRPr="00860724">
        <w:rPr>
          <w:lang w:val="ro-RO"/>
        </w:rPr>
        <w:t>, în cadrul disciplinelor</w:t>
      </w:r>
      <w:r w:rsidRPr="00860724">
        <w:rPr>
          <w:i/>
          <w:lang w:val="ro-RO"/>
        </w:rPr>
        <w:t xml:space="preserve"> Deontologie </w:t>
      </w:r>
      <w:r w:rsidRPr="00860724">
        <w:rPr>
          <w:lang w:val="ro-RO"/>
        </w:rPr>
        <w:t>și</w:t>
      </w:r>
      <w:r w:rsidRPr="00860724">
        <w:rPr>
          <w:i/>
          <w:lang w:val="ro-RO"/>
        </w:rPr>
        <w:t xml:space="preserve"> Abilități non juridice,</w:t>
      </w:r>
      <w:r w:rsidRPr="00860724">
        <w:rPr>
          <w:lang w:val="ro-RO"/>
        </w:rPr>
        <w:t xml:space="preserve"> accentul fiind pus pe comunicarea internă - comportamentul profesional în cadrul echipei magistrat – grefier și cea externă – în raporturile grefierilor cu ceilalți participanți la actul de justiție. </w:t>
      </w:r>
    </w:p>
    <w:p w:rsidR="00CB5C5A" w:rsidRPr="00860724" w:rsidRDefault="00CB5C5A" w:rsidP="00E16358">
      <w:pPr>
        <w:spacing w:line="276" w:lineRule="auto"/>
        <w:ind w:firstLine="708"/>
        <w:jc w:val="both"/>
        <w:rPr>
          <w:lang w:val="ro-RO"/>
        </w:rPr>
      </w:pPr>
      <w:r w:rsidRPr="00860724">
        <w:rPr>
          <w:i/>
          <w:lang w:val="ro-RO"/>
        </w:rPr>
        <w:t>Stagiul practic</w:t>
      </w:r>
      <w:r w:rsidRPr="00860724">
        <w:rPr>
          <w:lang w:val="ro-RO"/>
        </w:rPr>
        <w:t xml:space="preserve">, efectuat în cadrul judecătoriilor și parchetelor de pe lângă judecătoriile din București, sub coordonarea și supravegherea îndrumătorilor de stagiu, s-a desfășurat potrivit unui program stabilit și comunicat instanțelor judecătorești și parchetelor. Atât în instanțe cât și la parchete, cursanților li s-a oferit posibilitatea să cunoască activitatea compartimentelor instanțelor judecătorești, respectiv, parchetelor, atribuțiile specifice grefierilor și chiar să lucreze efectiv, îndeplinind toate sarcinile ce le revin în exercitarea acestei profesii. </w:t>
      </w:r>
    </w:p>
    <w:p w:rsidR="00CB5C5A" w:rsidRPr="00860724" w:rsidRDefault="00CB5C5A" w:rsidP="00E16358">
      <w:pPr>
        <w:spacing w:line="276" w:lineRule="auto"/>
        <w:ind w:firstLine="708"/>
        <w:jc w:val="both"/>
        <w:rPr>
          <w:lang w:val="ro-RO"/>
        </w:rPr>
      </w:pPr>
      <w:r w:rsidRPr="00860724">
        <w:rPr>
          <w:i/>
          <w:lang w:val="ro-RO"/>
        </w:rPr>
        <w:t>Extracurricular</w:t>
      </w:r>
      <w:r w:rsidRPr="00860724">
        <w:rPr>
          <w:lang w:val="ro-RO"/>
        </w:rPr>
        <w:t xml:space="preserve">, Institutul Național al Magistraturii și Școala Națională de Grefieri au organizat în cadrul componentei de formare profesională inițială exerciții practice comune pentru auditorii de justiție și cursanții SNG, concretizate în secvențe procesuale simulate specifice procesului civil, respectiv penal, pentru grefierii din instanțe și activități de formare specifice fazei urmăririi penale pentru grefierii din parchete. De asemenea, în scopul realizării unei formări integrate, care să asigure </w:t>
      </w:r>
      <w:r w:rsidRPr="00860724">
        <w:rPr>
          <w:bCs/>
          <w:lang w:val="ro-RO"/>
        </w:rPr>
        <w:t xml:space="preserve">cursanților SNG o viziune de ansamblu asupra întregului sistem judiciar, în cursul anului școlar 2017 a fost organizată o vizită de studiu la Institutul Național de Expertize Criminalistice. </w:t>
      </w:r>
    </w:p>
    <w:p w:rsidR="00CB5C5A" w:rsidRPr="00860724" w:rsidRDefault="00CB5C5A" w:rsidP="00E16358">
      <w:pPr>
        <w:spacing w:line="276" w:lineRule="auto"/>
        <w:ind w:firstLine="708"/>
        <w:jc w:val="both"/>
        <w:rPr>
          <w:bCs/>
          <w:lang w:val="ro-RO"/>
        </w:rPr>
      </w:pPr>
      <w:r w:rsidRPr="00860724">
        <w:rPr>
          <w:i/>
          <w:lang w:val="ro-RO"/>
        </w:rPr>
        <w:t>Durata de școlarizare</w:t>
      </w:r>
      <w:r w:rsidRPr="00860724">
        <w:rPr>
          <w:lang w:val="ro-RO"/>
        </w:rPr>
        <w:t xml:space="preserve"> a fost de 6 luni (19 iunie – 19 decembrie 2017). L</w:t>
      </w:r>
      <w:r w:rsidRPr="00860724">
        <w:rPr>
          <w:bCs/>
          <w:lang w:val="ro-RO"/>
        </w:rPr>
        <w:t xml:space="preserve">a data de 19 decembrie 2017, un număr de 54 de absolvenți (un absolvent din cei 55 nu a solicitat repartiție, deoarece a promovat concursul de admitere la Institutul Naţional al Magistraturii) ai promoției 2017 a Școlii Naționale de Grefieri au fost repartizați pe posturi de grefier cu studii superioare juridice la instanțele judecătorești și la parchetele din toată țara (respectiv 39 pentru instanțe și 15 pentru parchete). </w:t>
      </w:r>
    </w:p>
    <w:p w:rsidR="00CB5C5A" w:rsidRPr="00860724" w:rsidRDefault="00CB5C5A" w:rsidP="00E16358">
      <w:pPr>
        <w:spacing w:line="276" w:lineRule="auto"/>
        <w:ind w:firstLine="720"/>
        <w:jc w:val="both"/>
        <w:rPr>
          <w:lang w:val="ro-RO"/>
        </w:rPr>
      </w:pPr>
      <w:r w:rsidRPr="00860724">
        <w:rPr>
          <w:lang w:val="ro-RO"/>
        </w:rPr>
        <w:t xml:space="preserve">Departamentul de formare profesională inițială a realizat și </w:t>
      </w:r>
      <w:r w:rsidRPr="00860724">
        <w:rPr>
          <w:i/>
          <w:lang w:val="ro-RO"/>
        </w:rPr>
        <w:t>formarea inițială a grefierilor arhivari și a grefierilor registratori</w:t>
      </w:r>
      <w:r w:rsidRPr="00860724">
        <w:rPr>
          <w:lang w:val="ro-RO"/>
        </w:rPr>
        <w:t>, în funcție de concursurile de ocupare a respectivelor posturi, organizate de curțile de apel și parchetele de pe lângă acestea. În cursul anului 2017, a fost finalizat stagiul de specializare pentru un număr de 41 grefieri arhivari/registratori pentru instanțe și 4 grefieri arhivari pentru parchete.</w:t>
      </w:r>
    </w:p>
    <w:p w:rsidR="00CB5C5A" w:rsidRPr="00860724" w:rsidRDefault="00CB5C5A" w:rsidP="00E16358">
      <w:pPr>
        <w:spacing w:line="276" w:lineRule="auto"/>
        <w:ind w:firstLine="720"/>
        <w:jc w:val="both"/>
        <w:rPr>
          <w:lang w:val="ro-RO"/>
        </w:rPr>
      </w:pPr>
    </w:p>
    <w:p w:rsidR="00CB5C5A" w:rsidRPr="00860724" w:rsidRDefault="00CB5C5A" w:rsidP="00E16358">
      <w:pPr>
        <w:spacing w:line="276" w:lineRule="auto"/>
        <w:ind w:firstLine="720"/>
        <w:jc w:val="both"/>
        <w:rPr>
          <w:bCs/>
          <w:lang w:val="ro-RO"/>
        </w:rPr>
      </w:pPr>
      <w:r w:rsidRPr="00860724">
        <w:rPr>
          <w:b/>
          <w:i/>
          <w:lang w:val="ro-RO"/>
        </w:rPr>
        <w:t>Formarea profesională continuă  a personalului auxiliar</w:t>
      </w:r>
      <w:r w:rsidRPr="00860724">
        <w:rPr>
          <w:lang w:val="ro-RO"/>
        </w:rPr>
        <w:t xml:space="preserve"> </w:t>
      </w:r>
    </w:p>
    <w:p w:rsidR="00CB5C5A" w:rsidRPr="00860724" w:rsidRDefault="00CB5C5A" w:rsidP="00E16358">
      <w:pPr>
        <w:spacing w:line="276" w:lineRule="auto"/>
        <w:ind w:firstLine="720"/>
        <w:jc w:val="both"/>
        <w:rPr>
          <w:bCs/>
          <w:lang w:val="ro-RO"/>
        </w:rPr>
      </w:pPr>
    </w:p>
    <w:p w:rsidR="00CB5C5A" w:rsidRPr="00860724" w:rsidRDefault="00CB5C5A" w:rsidP="00E16358">
      <w:pPr>
        <w:spacing w:line="276" w:lineRule="auto"/>
        <w:ind w:firstLine="720"/>
        <w:jc w:val="both"/>
        <w:rPr>
          <w:lang w:val="ro-RO"/>
        </w:rPr>
      </w:pPr>
      <w:r w:rsidRPr="00860724">
        <w:rPr>
          <w:b/>
          <w:lang w:val="ro-RO"/>
        </w:rPr>
        <w:t>Activitatea de formare profesională continuă</w:t>
      </w:r>
      <w:r w:rsidRPr="00860724">
        <w:rPr>
          <w:lang w:val="ro-RO"/>
        </w:rPr>
        <w:t xml:space="preserve"> a personalului auxiliar de specialitate din cadrul instanțelor judecătorești și parchetelor de pe lângă acestea, organizată de către Școala Națională de Grefieri, se desfășoară pe baza programului anual aprobat de către Consiliul Superior al Magistraturii, în temeiul dispozițiilor art. 30 din </w:t>
      </w:r>
      <w:r w:rsidRPr="00860724">
        <w:rPr>
          <w:i/>
          <w:lang w:val="ro-RO"/>
        </w:rPr>
        <w:t>Legea nr. 567/2004, privind statutul personalului auxiliar de specialitate din instanțele judecătorești și parchetele de pe lângă acestea și al personalului care funcționează în cadrul INEC</w:t>
      </w:r>
      <w:r w:rsidRPr="00860724">
        <w:rPr>
          <w:lang w:val="ro-RO"/>
        </w:rPr>
        <w:t xml:space="preserve">, cu modificările și completările ulterioare, coroborate cu prevederile art. 41 și urm. din </w:t>
      </w:r>
      <w:r w:rsidRPr="00860724">
        <w:rPr>
          <w:i/>
          <w:lang w:val="ro-RO"/>
        </w:rPr>
        <w:t xml:space="preserve">Hotărârea Plenului Consiliului Superior al Magistraturii nr.183/2007 pentru aprobarea Regulamentului de organizare și funcționare al Școlii Naționale de Grefieri, </w:t>
      </w:r>
      <w:r w:rsidRPr="00860724">
        <w:rPr>
          <w:lang w:val="ro-RO"/>
        </w:rPr>
        <w:t>cu modificările și completările ulterioare.</w:t>
      </w:r>
      <w:r w:rsidRPr="00860724">
        <w:rPr>
          <w:lang w:val="ro-RO"/>
        </w:rPr>
        <w:tab/>
      </w:r>
    </w:p>
    <w:p w:rsidR="00CB5C5A" w:rsidRPr="00860724" w:rsidRDefault="00CB5C5A" w:rsidP="00E16358">
      <w:pPr>
        <w:spacing w:line="276" w:lineRule="auto"/>
        <w:ind w:firstLine="708"/>
        <w:jc w:val="both"/>
        <w:rPr>
          <w:lang w:val="ro-RO"/>
        </w:rPr>
      </w:pPr>
      <w:r w:rsidRPr="00860724">
        <w:rPr>
          <w:lang w:val="ro-RO"/>
        </w:rPr>
        <w:t>În acest context, din perspectiva exercitării atribuției de coordonator al Școlii Naționale de Grefieri, Consiliul Superior al Magistraturii a aprobat prin Hotărârea Plenului nr. 1588/15.12.2016</w:t>
      </w:r>
      <w:r w:rsidRPr="00860724">
        <w:rPr>
          <w:i/>
          <w:lang w:val="ro-RO"/>
        </w:rPr>
        <w:t xml:space="preserve"> Programul de formare profesională continuă a personalului auxiliar de specialitate din cadrul instanțelor judecătorești și parchetelor de pe lângă acestea pentru anul 2017. </w:t>
      </w:r>
      <w:r w:rsidRPr="00860724">
        <w:rPr>
          <w:lang w:val="ro-RO"/>
        </w:rPr>
        <w:t xml:space="preserve">Prin Hotărârea Plenului nr. 742/27.06.2017 s-a aprobat </w:t>
      </w:r>
      <w:r w:rsidRPr="00860724">
        <w:rPr>
          <w:i/>
          <w:lang w:val="ro-RO"/>
        </w:rPr>
        <w:t xml:space="preserve">completarea </w:t>
      </w:r>
      <w:r w:rsidRPr="00860724">
        <w:rPr>
          <w:lang w:val="ro-RO"/>
        </w:rPr>
        <w:t xml:space="preserve">Programului cu trei acțiuni de formare cu tema „Deontologie”, pentru un număr de 60 de grefieri din cadrul Tribunalului Neamț și a judecătoriilor arondate, iar prin Hotărârea Plenului nr. 1269/07.12.2017 s-a aprobat </w:t>
      </w:r>
      <w:r w:rsidRPr="00860724">
        <w:rPr>
          <w:i/>
          <w:lang w:val="ro-RO"/>
        </w:rPr>
        <w:t xml:space="preserve">completarea </w:t>
      </w:r>
      <w:r w:rsidRPr="00860724">
        <w:rPr>
          <w:lang w:val="ro-RO"/>
        </w:rPr>
        <w:t xml:space="preserve">acestuia cu o acțiune de formare cu tema „ECRIS”, pentru grefierii din cadrul Curții de Apel Ploiești, a tribunalelor și a judecătoriilor arondate. </w:t>
      </w:r>
    </w:p>
    <w:p w:rsidR="00CB5C5A" w:rsidRPr="00860724" w:rsidRDefault="00CB5C5A" w:rsidP="00E16358">
      <w:pPr>
        <w:spacing w:line="276" w:lineRule="auto"/>
        <w:ind w:firstLine="708"/>
        <w:jc w:val="both"/>
        <w:rPr>
          <w:lang w:val="ro-RO"/>
        </w:rPr>
      </w:pPr>
      <w:r w:rsidRPr="00860724">
        <w:rPr>
          <w:lang w:val="ro-RO"/>
        </w:rPr>
        <w:t>De asemenea, prin Hotărârea nr. 93 din 02.02.2017, Plenul Consiliului Superior al Magistraturii a aprobat rețeaua de formatori a Școlii Naționale de Grefieri pentru formarea continuă în anul 2017.</w:t>
      </w:r>
    </w:p>
    <w:p w:rsidR="00CB5C5A" w:rsidRPr="00860724" w:rsidRDefault="00CB5C5A" w:rsidP="00E16358">
      <w:pPr>
        <w:spacing w:line="276" w:lineRule="auto"/>
        <w:ind w:firstLine="720"/>
        <w:jc w:val="both"/>
        <w:rPr>
          <w:lang w:val="ro-RO"/>
        </w:rPr>
      </w:pPr>
      <w:r w:rsidRPr="00860724">
        <w:rPr>
          <w:iCs/>
          <w:lang w:val="ro-RO"/>
        </w:rPr>
        <w:t xml:space="preserve">Școala și-a propus formarea profesională continuă a grefierilor și a celuilalt personal auxiliar de specialitate din cadrul instanțelor și parchetelor în </w:t>
      </w:r>
      <w:r w:rsidRPr="00860724">
        <w:rPr>
          <w:i/>
          <w:iCs/>
          <w:lang w:val="ro-RO"/>
        </w:rPr>
        <w:t>4 modalități</w:t>
      </w:r>
      <w:r w:rsidRPr="00860724">
        <w:rPr>
          <w:iCs/>
          <w:lang w:val="ro-RO"/>
        </w:rPr>
        <w:t xml:space="preserve">: în centrele de formare, la sediile instanțelor, în forma învățământului la distanță (eLearning) și în forma mixtă - blendedLearning (bLearning), în această ultimă variantă pentru grefierii recrutați prin concurs de ocupare în mod direct a posturilor. </w:t>
      </w:r>
    </w:p>
    <w:p w:rsidR="00CB5C5A" w:rsidRPr="00860724" w:rsidRDefault="00CB5C5A" w:rsidP="00E16358">
      <w:pPr>
        <w:spacing w:line="276" w:lineRule="auto"/>
        <w:ind w:firstLine="708"/>
        <w:jc w:val="both"/>
        <w:rPr>
          <w:lang w:val="ro-RO"/>
        </w:rPr>
      </w:pPr>
      <w:r w:rsidRPr="00860724">
        <w:rPr>
          <w:i/>
          <w:lang w:val="ro-RO"/>
        </w:rPr>
        <w:t>Programul de formare profesională continuă</w:t>
      </w:r>
      <w:r w:rsidRPr="00860724">
        <w:rPr>
          <w:lang w:val="ro-RO"/>
        </w:rPr>
        <w:t xml:space="preserve"> </w:t>
      </w:r>
      <w:r w:rsidRPr="00860724">
        <w:rPr>
          <w:i/>
          <w:lang w:val="ro-RO"/>
        </w:rPr>
        <w:t xml:space="preserve">a personalului auxiliar de specialitate </w:t>
      </w:r>
      <w:r w:rsidRPr="00860724">
        <w:rPr>
          <w:lang w:val="ro-RO"/>
        </w:rPr>
        <w:t xml:space="preserve">pentru anul 2017 a cuprins 63 de acțiuni de formare organizate de Școală în cadrul centrelor de pregătire profesională continuă de la Bârlad, Cheia, Sovata, Giroc, 15 acțiuni derulate la sediile curților de apel, 3 acțiuni desfășurate la sediul Tribunalului Neamț, o acțiune desfășurată la sediul Curții de Apel Ploiești precum și 11 cursuri derulate în forma învățământului la distanță (eLearning). </w:t>
      </w:r>
    </w:p>
    <w:p w:rsidR="00CB5C5A" w:rsidRPr="00860724" w:rsidRDefault="00CB5C5A" w:rsidP="00E16358">
      <w:pPr>
        <w:spacing w:line="276" w:lineRule="auto"/>
        <w:ind w:firstLine="720"/>
        <w:jc w:val="both"/>
        <w:rPr>
          <w:lang w:val="ro-RO"/>
        </w:rPr>
      </w:pPr>
      <w:r w:rsidRPr="00860724">
        <w:rPr>
          <w:lang w:val="ro-RO"/>
        </w:rPr>
        <w:t xml:space="preserve">În centrele de formare, cu privire la pregătirea în domeniul noilor coduri, </w:t>
      </w:r>
      <w:r w:rsidRPr="00860724">
        <w:rPr>
          <w:i/>
          <w:lang w:val="ro-RO"/>
        </w:rPr>
        <w:t>Programul de formare</w:t>
      </w:r>
      <w:r w:rsidRPr="00860724">
        <w:rPr>
          <w:lang w:val="ro-RO"/>
        </w:rPr>
        <w:t xml:space="preserve"> a cuprins 16 acțiuni de formare în materiile</w:t>
      </w:r>
      <w:r w:rsidRPr="00860724">
        <w:rPr>
          <w:i/>
          <w:lang w:val="ro-RO"/>
        </w:rPr>
        <w:t xml:space="preserve"> Drept procesual civil </w:t>
      </w:r>
      <w:r w:rsidRPr="00860724">
        <w:rPr>
          <w:lang w:val="ro-RO"/>
        </w:rPr>
        <w:t>și</w:t>
      </w:r>
      <w:r w:rsidRPr="00860724">
        <w:rPr>
          <w:i/>
          <w:lang w:val="ro-RO"/>
        </w:rPr>
        <w:t xml:space="preserve"> Drept procesual penal </w:t>
      </w:r>
      <w:r w:rsidRPr="00860724">
        <w:rPr>
          <w:lang w:val="ro-RO"/>
        </w:rPr>
        <w:t>la care au participat 313 grefieri din cadrul instanțelor și 4 acțiuni de formare cu tema</w:t>
      </w:r>
      <w:r w:rsidRPr="00860724">
        <w:rPr>
          <w:i/>
          <w:lang w:val="ro-RO"/>
        </w:rPr>
        <w:t xml:space="preserve"> Drept procesual penal </w:t>
      </w:r>
      <w:r w:rsidRPr="00860724">
        <w:rPr>
          <w:lang w:val="ro-RO"/>
        </w:rPr>
        <w:t>la care au participat 95 de grefieri din cadrul parchetelor.</w:t>
      </w:r>
    </w:p>
    <w:p w:rsidR="00CB5C5A" w:rsidRPr="00860724" w:rsidRDefault="00CB5C5A" w:rsidP="00E16358">
      <w:pPr>
        <w:spacing w:line="276" w:lineRule="auto"/>
        <w:ind w:firstLine="720"/>
        <w:jc w:val="both"/>
        <w:rPr>
          <w:lang w:val="ro-RO"/>
        </w:rPr>
      </w:pPr>
      <w:r w:rsidRPr="00860724">
        <w:rPr>
          <w:lang w:val="ro-RO"/>
        </w:rPr>
        <w:t xml:space="preserve">Având în vedere importanța dobândirii și aprofundării competențelor specifice utilizării aplicației ECRIS, seminarele desfășurate în centre la materiile </w:t>
      </w:r>
      <w:r w:rsidRPr="00860724">
        <w:rPr>
          <w:i/>
          <w:lang w:val="ro-RO"/>
        </w:rPr>
        <w:t xml:space="preserve">Drept procesual civil </w:t>
      </w:r>
      <w:r w:rsidRPr="00860724">
        <w:rPr>
          <w:lang w:val="ro-RO"/>
        </w:rPr>
        <w:t xml:space="preserve">și </w:t>
      </w:r>
      <w:r w:rsidRPr="00860724">
        <w:rPr>
          <w:i/>
          <w:lang w:val="ro-RO"/>
        </w:rPr>
        <w:t>Drept procesual penal</w:t>
      </w:r>
      <w:r w:rsidRPr="00860724">
        <w:rPr>
          <w:lang w:val="ro-RO"/>
        </w:rPr>
        <w:t>,</w:t>
      </w:r>
      <w:r w:rsidRPr="00860724">
        <w:rPr>
          <w:i/>
          <w:lang w:val="ro-RO"/>
        </w:rPr>
        <w:t xml:space="preserve"> </w:t>
      </w:r>
      <w:r w:rsidRPr="00860724">
        <w:rPr>
          <w:lang w:val="ro-RO"/>
        </w:rPr>
        <w:t>au inclus și activitatea desfășurată de grefierul de ședință în sistemul ECRIS.</w:t>
      </w:r>
    </w:p>
    <w:p w:rsidR="00CB5C5A" w:rsidRPr="00860724" w:rsidRDefault="00CB5C5A" w:rsidP="00E16358">
      <w:pPr>
        <w:spacing w:line="276" w:lineRule="auto"/>
        <w:ind w:firstLine="720"/>
        <w:jc w:val="both"/>
        <w:rPr>
          <w:lang w:val="ro-RO"/>
        </w:rPr>
      </w:pPr>
      <w:r w:rsidRPr="00860724">
        <w:rPr>
          <w:lang w:val="ro-RO"/>
        </w:rPr>
        <w:t xml:space="preserve">În mod similar, pentru grefierii din cadrul parchetelor, seminarele cu tema </w:t>
      </w:r>
      <w:r w:rsidRPr="00860724">
        <w:rPr>
          <w:i/>
          <w:lang w:val="ro-RO"/>
        </w:rPr>
        <w:t>Drept procesual penal</w:t>
      </w:r>
      <w:r w:rsidRPr="00860724">
        <w:rPr>
          <w:lang w:val="ro-RO"/>
        </w:rPr>
        <w:t xml:space="preserve"> din centrele de formare au integrat activitatea de registratură și modalitatea de evidențiere a lucrărilor în aplicația ECRIS.</w:t>
      </w:r>
    </w:p>
    <w:p w:rsidR="00CB5C5A" w:rsidRPr="00860724" w:rsidRDefault="00CB5C5A" w:rsidP="00E16358">
      <w:pPr>
        <w:spacing w:line="276" w:lineRule="auto"/>
        <w:ind w:firstLine="720"/>
        <w:jc w:val="both"/>
        <w:rPr>
          <w:i/>
          <w:lang w:val="ro-RO"/>
        </w:rPr>
      </w:pPr>
      <w:r w:rsidRPr="00860724">
        <w:rPr>
          <w:lang w:val="ro-RO"/>
        </w:rPr>
        <w:t xml:space="preserve">Pe lângă pregătirea prioritară în privința noilor coduri, în centrele de formare, au fost derulate și 33 de seminare în următoarele domenii: </w:t>
      </w:r>
      <w:r w:rsidRPr="00860724">
        <w:rPr>
          <w:i/>
          <w:lang w:val="ro-RO"/>
        </w:rPr>
        <w:t>Executări penale, Executări civile,</w:t>
      </w:r>
      <w:r w:rsidRPr="00860724">
        <w:rPr>
          <w:lang w:val="ro-RO"/>
        </w:rPr>
        <w:t xml:space="preserve"> </w:t>
      </w:r>
      <w:r w:rsidRPr="00860724">
        <w:rPr>
          <w:i/>
          <w:lang w:val="ro-RO"/>
        </w:rPr>
        <w:t>Comunicare și deontologie</w:t>
      </w:r>
      <w:r w:rsidRPr="00860724">
        <w:rPr>
          <w:lang w:val="ro-RO"/>
        </w:rPr>
        <w:t xml:space="preserve">, </w:t>
      </w:r>
      <w:r w:rsidRPr="00860724">
        <w:rPr>
          <w:i/>
          <w:lang w:val="ro-RO"/>
        </w:rPr>
        <w:t>Management, Arhivare și registratură (pentru grefierii din cadrul instanțelor), Elemente de tehnoredactare, Abilități non juridice</w:t>
      </w:r>
      <w:r w:rsidRPr="00860724">
        <w:rPr>
          <w:lang w:val="ro-RO"/>
        </w:rPr>
        <w:t xml:space="preserve">, </w:t>
      </w:r>
      <w:r w:rsidRPr="00860724">
        <w:rPr>
          <w:i/>
          <w:lang w:val="ro-RO"/>
        </w:rPr>
        <w:t>Informații clasificate (pentru grefierii din cadrul parchetelor)</w:t>
      </w:r>
      <w:r w:rsidRPr="00860724">
        <w:rPr>
          <w:lang w:val="ro-RO"/>
        </w:rPr>
        <w:t xml:space="preserve">, </w:t>
      </w:r>
      <w:r w:rsidRPr="00860724">
        <w:rPr>
          <w:i/>
          <w:lang w:val="ro-RO"/>
        </w:rPr>
        <w:t>Cooperare judiciară internațională în materie penală, Cooperare judiciară internațională în materie civilă, Activitatea grefierului documentarist.</w:t>
      </w:r>
    </w:p>
    <w:p w:rsidR="00CB5C5A" w:rsidRPr="00860724" w:rsidRDefault="00CB5C5A" w:rsidP="00E16358">
      <w:pPr>
        <w:spacing w:line="276" w:lineRule="auto"/>
        <w:ind w:firstLine="720"/>
        <w:jc w:val="both"/>
        <w:rPr>
          <w:i/>
          <w:lang w:val="ro-RO"/>
        </w:rPr>
      </w:pPr>
      <w:r w:rsidRPr="00860724">
        <w:rPr>
          <w:lang w:val="ro-RO"/>
        </w:rPr>
        <w:t xml:space="preserve">În total, la seminarele organizate în centrele de formare au participat </w:t>
      </w:r>
      <w:r w:rsidRPr="00860724">
        <w:rPr>
          <w:b/>
          <w:lang w:val="ro-RO"/>
        </w:rPr>
        <w:t>1299 de grefieri</w:t>
      </w:r>
      <w:r w:rsidRPr="00860724">
        <w:rPr>
          <w:lang w:val="ro-RO"/>
        </w:rPr>
        <w:t>.</w:t>
      </w:r>
    </w:p>
    <w:p w:rsidR="00CB5C5A" w:rsidRPr="00860724" w:rsidRDefault="00CB5C5A" w:rsidP="00E16358">
      <w:pPr>
        <w:spacing w:line="276" w:lineRule="auto"/>
        <w:ind w:firstLine="720"/>
        <w:jc w:val="both"/>
        <w:rPr>
          <w:bCs/>
          <w:lang w:val="ro-RO"/>
        </w:rPr>
      </w:pPr>
      <w:r w:rsidRPr="00860724">
        <w:rPr>
          <w:lang w:val="ro-RO"/>
        </w:rPr>
        <w:t>În baza unui protocol de colaborare încheiat între Școala Națională de Grefieri și Institutul Național al Justiției din </w:t>
      </w:r>
      <w:r w:rsidRPr="00860724">
        <w:rPr>
          <w:bCs/>
          <w:lang w:val="ro-RO"/>
        </w:rPr>
        <w:t>Republica Moldova, 18 grefieri</w:t>
      </w:r>
      <w:r w:rsidRPr="00860724">
        <w:rPr>
          <w:lang w:val="ro-RO"/>
        </w:rPr>
        <w:t xml:space="preserve"> din Republica Moldova</w:t>
      </w:r>
      <w:r w:rsidRPr="00860724">
        <w:rPr>
          <w:bCs/>
          <w:lang w:val="ro-RO"/>
        </w:rPr>
        <w:t xml:space="preserve"> au participat la 4 acțiuni de formare derulate la Centrul de pregătire Bârlad, în materiile </w:t>
      </w:r>
      <w:r w:rsidRPr="00860724">
        <w:rPr>
          <w:bCs/>
          <w:i/>
          <w:lang w:val="ro-RO"/>
        </w:rPr>
        <w:t>Elemente de tehnoredactare</w:t>
      </w:r>
      <w:r w:rsidRPr="00860724">
        <w:rPr>
          <w:bCs/>
          <w:lang w:val="ro-RO"/>
        </w:rPr>
        <w:t xml:space="preserve"> și </w:t>
      </w:r>
      <w:r w:rsidRPr="00860724">
        <w:rPr>
          <w:bCs/>
          <w:i/>
          <w:lang w:val="ro-RO"/>
        </w:rPr>
        <w:t>Abilități non juridice</w:t>
      </w:r>
      <w:r w:rsidRPr="00860724">
        <w:rPr>
          <w:bCs/>
          <w:lang w:val="ro-RO"/>
        </w:rPr>
        <w:t>.</w:t>
      </w:r>
    </w:p>
    <w:p w:rsidR="00CB5C5A" w:rsidRPr="00860724" w:rsidRDefault="00CB5C5A" w:rsidP="00E16358">
      <w:pPr>
        <w:spacing w:line="276" w:lineRule="auto"/>
        <w:ind w:firstLine="708"/>
        <w:jc w:val="both"/>
        <w:rPr>
          <w:b/>
          <w:lang w:val="ro-RO"/>
        </w:rPr>
      </w:pPr>
      <w:r w:rsidRPr="00860724">
        <w:rPr>
          <w:lang w:val="ro-RO"/>
        </w:rPr>
        <w:t xml:space="preserve">De asemenea, s-au organizat la sediile curților de apel, pentru grefierii din cadrul instanțelor, 7 acțiuni de formare de câte o zi la disciplina </w:t>
      </w:r>
      <w:r w:rsidRPr="00860724">
        <w:rPr>
          <w:i/>
          <w:lang w:val="ro-RO"/>
        </w:rPr>
        <w:t>Drept procesual civil</w:t>
      </w:r>
      <w:r w:rsidRPr="00860724">
        <w:rPr>
          <w:lang w:val="ro-RO"/>
        </w:rPr>
        <w:t xml:space="preserve"> și 8 acțiuni de câte o zi la disciplina </w:t>
      </w:r>
      <w:r w:rsidRPr="00860724">
        <w:rPr>
          <w:i/>
          <w:lang w:val="ro-RO"/>
        </w:rPr>
        <w:t xml:space="preserve">Drept procesual penal, </w:t>
      </w:r>
      <w:r w:rsidRPr="00860724">
        <w:rPr>
          <w:lang w:val="ro-RO"/>
        </w:rPr>
        <w:t xml:space="preserve">o acțiune de o zi cu tema </w:t>
      </w:r>
      <w:r w:rsidRPr="00860724">
        <w:rPr>
          <w:i/>
          <w:lang w:val="ro-RO"/>
        </w:rPr>
        <w:t xml:space="preserve">ECRIS </w:t>
      </w:r>
      <w:r w:rsidRPr="00860724">
        <w:rPr>
          <w:lang w:val="ro-RO"/>
        </w:rPr>
        <w:t xml:space="preserve">la sediul Curții de Apel Ploiești și 3 acțiuni de formare de câte o zi la sediul Tribunalului Neamț la materia </w:t>
      </w:r>
      <w:r w:rsidRPr="00860724">
        <w:rPr>
          <w:i/>
          <w:lang w:val="ro-RO"/>
        </w:rPr>
        <w:t>Deontologie</w:t>
      </w:r>
      <w:r w:rsidRPr="00860724">
        <w:rPr>
          <w:lang w:val="ro-RO"/>
        </w:rPr>
        <w:t xml:space="preserve">. În total, au participat la seminarele organizate la sediile instanțelor </w:t>
      </w:r>
      <w:r w:rsidRPr="00860724">
        <w:rPr>
          <w:b/>
          <w:lang w:val="ro-RO"/>
        </w:rPr>
        <w:t>428 de grefieri.</w:t>
      </w:r>
    </w:p>
    <w:p w:rsidR="00CB5C5A" w:rsidRPr="00860724" w:rsidRDefault="00CB5C5A" w:rsidP="00E16358">
      <w:pPr>
        <w:spacing w:line="276" w:lineRule="auto"/>
        <w:ind w:firstLine="720"/>
        <w:jc w:val="both"/>
        <w:rPr>
          <w:i/>
          <w:lang w:val="ro-RO"/>
        </w:rPr>
      </w:pPr>
      <w:r w:rsidRPr="00860724">
        <w:rPr>
          <w:lang w:val="ro-RO"/>
        </w:rPr>
        <w:t>Din perspectiva formării continue prin intermediul învățământului la distanță, pe lângă cursurile eLearning dedicate grefierilor recrutați prin concurs de ocupare în mod direct a posturilor, s-au desfășurat cursuri în materiile</w:t>
      </w:r>
      <w:r w:rsidRPr="00860724">
        <w:rPr>
          <w:i/>
          <w:lang w:val="ro-RO"/>
        </w:rPr>
        <w:t xml:space="preserve"> Drept procesual penal (pentru grefierii din cadrul instanțelor), Drept procesual civil, Executări penale, Cooperare judiciară internațională în materie civilă, Limba română (pentru grefierii din cadrul instanțelor),  Limba română (pentru grefierii din cadrul parchetelor) și Limba engleză, </w:t>
      </w:r>
      <w:r w:rsidRPr="00860724">
        <w:rPr>
          <w:lang w:val="ro-RO"/>
        </w:rPr>
        <w:t>la care au participat</w:t>
      </w:r>
      <w:r w:rsidRPr="00860724">
        <w:rPr>
          <w:i/>
          <w:lang w:val="ro-RO"/>
        </w:rPr>
        <w:t xml:space="preserve"> </w:t>
      </w:r>
      <w:r w:rsidRPr="00860724">
        <w:rPr>
          <w:b/>
          <w:lang w:val="ro-RO"/>
        </w:rPr>
        <w:t>568 de grefieri</w:t>
      </w:r>
      <w:r w:rsidRPr="00860724">
        <w:rPr>
          <w:lang w:val="ro-RO"/>
        </w:rPr>
        <w:t xml:space="preserve"> din cadrul parchetelor și instanțelor. </w:t>
      </w:r>
    </w:p>
    <w:p w:rsidR="00CB5C5A" w:rsidRPr="00860724" w:rsidRDefault="00CB5C5A" w:rsidP="00E16358">
      <w:pPr>
        <w:spacing w:line="276" w:lineRule="auto"/>
        <w:ind w:firstLine="720"/>
        <w:jc w:val="both"/>
        <w:rPr>
          <w:rFonts w:asciiTheme="minorHAnsi" w:hAnsiTheme="minorHAnsi"/>
          <w:lang w:val="ro-RO"/>
        </w:rPr>
      </w:pPr>
      <w:r w:rsidRPr="00860724">
        <w:rPr>
          <w:rFonts w:asciiTheme="minorHAnsi" w:hAnsiTheme="minorHAnsi"/>
          <w:lang w:val="ro-RO"/>
        </w:rPr>
        <w:t>La ultimul dintre aceste cursuri la distanță au participat și 32 de grefieri din Republica Moldova, în baza protocolului de colaborare între Școala Națională de Grefieri și Institutul Național al Justiției din </w:t>
      </w:r>
      <w:r w:rsidRPr="00860724">
        <w:rPr>
          <w:rFonts w:asciiTheme="minorHAnsi" w:hAnsiTheme="minorHAnsi"/>
          <w:bCs/>
          <w:lang w:val="ro-RO"/>
        </w:rPr>
        <w:t>Republica Moldova.</w:t>
      </w:r>
      <w:r w:rsidRPr="00860724">
        <w:rPr>
          <w:rFonts w:asciiTheme="minorHAnsi" w:hAnsiTheme="minorHAnsi"/>
          <w:lang w:val="ro-RO"/>
        </w:rPr>
        <w:t xml:space="preserve"> </w:t>
      </w:r>
    </w:p>
    <w:p w:rsidR="00CB5C5A" w:rsidRPr="00A418C7" w:rsidRDefault="00CB5C5A" w:rsidP="00A418C7">
      <w:pPr>
        <w:spacing w:line="276" w:lineRule="auto"/>
        <w:ind w:firstLine="720"/>
        <w:jc w:val="both"/>
        <w:rPr>
          <w:rFonts w:asciiTheme="minorHAnsi" w:hAnsiTheme="minorHAnsi"/>
          <w:lang w:val="ro-RO"/>
        </w:rPr>
      </w:pPr>
      <w:r w:rsidRPr="00860724">
        <w:rPr>
          <w:rFonts w:asciiTheme="minorHAnsi" w:hAnsiTheme="minorHAnsi"/>
          <w:lang w:val="ro-RO"/>
        </w:rPr>
        <w:t xml:space="preserve">Cu privire la grefierii din cadrul instanțelor, recrutați prin concurs de ocupare în mod direct a posturilor, s-a continuat forma tradițională de pregătire a acestora în două etape, în forma combinată, bLearning (blendedLearning), astfel: prima etapă s-a desfășurat în prima parte a anului, sub forma învățământului la distanță (eLearning), în materia </w:t>
      </w:r>
      <w:r w:rsidRPr="00860724">
        <w:rPr>
          <w:rFonts w:asciiTheme="minorHAnsi" w:hAnsiTheme="minorHAnsi"/>
          <w:i/>
          <w:lang w:val="ro-RO"/>
        </w:rPr>
        <w:t>noului Cod de procedură civilă</w:t>
      </w:r>
      <w:r w:rsidRPr="00860724">
        <w:rPr>
          <w:rFonts w:asciiTheme="minorHAnsi" w:hAnsiTheme="minorHAnsi"/>
          <w:lang w:val="ro-RO"/>
        </w:rPr>
        <w:t xml:space="preserve"> și a </w:t>
      </w:r>
      <w:r w:rsidRPr="00860724">
        <w:rPr>
          <w:rFonts w:asciiTheme="minorHAnsi" w:hAnsiTheme="minorHAnsi"/>
          <w:i/>
          <w:lang w:val="ro-RO"/>
        </w:rPr>
        <w:t xml:space="preserve">noului Cod de procedură penală; </w:t>
      </w:r>
      <w:r w:rsidRPr="00860724">
        <w:rPr>
          <w:rFonts w:asciiTheme="minorHAnsi" w:hAnsiTheme="minorHAnsi"/>
          <w:lang w:val="ro-RO"/>
        </w:rPr>
        <w:t>în a doua etapă, grefierii au urmat cursuri în centrele de formare, pe parcursul a 6 zile, atât la materiile anterior menționate cât și la materia</w:t>
      </w:r>
      <w:r w:rsidRPr="00860724">
        <w:rPr>
          <w:rFonts w:asciiTheme="minorHAnsi" w:hAnsiTheme="minorHAnsi"/>
          <w:i/>
          <w:lang w:val="ro-RO"/>
        </w:rPr>
        <w:t xml:space="preserve"> Comunicare și Deontologie. </w:t>
      </w:r>
    </w:p>
    <w:p w:rsidR="00CB5C5A" w:rsidRPr="00860724" w:rsidRDefault="00CB5C5A" w:rsidP="00E16358">
      <w:pPr>
        <w:spacing w:line="276" w:lineRule="auto"/>
        <w:ind w:firstLine="720"/>
        <w:jc w:val="both"/>
        <w:rPr>
          <w:rFonts w:asciiTheme="minorHAnsi" w:hAnsiTheme="minorHAnsi"/>
          <w:lang w:val="ro-RO"/>
        </w:rPr>
      </w:pPr>
      <w:r w:rsidRPr="00860724">
        <w:rPr>
          <w:rFonts w:asciiTheme="minorHAnsi" w:hAnsiTheme="minorHAnsi"/>
          <w:i/>
          <w:lang w:val="ro-RO"/>
        </w:rPr>
        <w:t xml:space="preserve"> </w:t>
      </w:r>
      <w:r w:rsidRPr="00860724">
        <w:rPr>
          <w:rFonts w:asciiTheme="minorHAnsi" w:hAnsiTheme="minorHAnsi"/>
          <w:lang w:val="ro-RO"/>
        </w:rPr>
        <w:t xml:space="preserve">Pentru  grefierii din cadrul parchetelor recrutați în mod direct, formarea profesională inițială a constat în parcurgerea cursului eLearning de </w:t>
      </w:r>
      <w:r w:rsidRPr="00860724">
        <w:rPr>
          <w:rFonts w:asciiTheme="minorHAnsi" w:hAnsiTheme="minorHAnsi"/>
          <w:i/>
          <w:lang w:val="ro-RO"/>
        </w:rPr>
        <w:t>Drept procesual penal,</w:t>
      </w:r>
      <w:r w:rsidRPr="00860724">
        <w:rPr>
          <w:rFonts w:asciiTheme="minorHAnsi" w:hAnsiTheme="minorHAnsi"/>
          <w:lang w:val="ro-RO"/>
        </w:rPr>
        <w:t xml:space="preserve"> urmat în etapa a doua de participarea în centrele de formare, pentru o durată de 4 zile, la un seminar care a cuprins în tematică atât materia abordată în prima etapă cât și disciplinele </w:t>
      </w:r>
      <w:r w:rsidRPr="00860724">
        <w:rPr>
          <w:rFonts w:asciiTheme="minorHAnsi" w:hAnsiTheme="minorHAnsi"/>
          <w:i/>
          <w:lang w:val="ro-RO"/>
        </w:rPr>
        <w:t>Registratură, Comunicare și Deontologie</w:t>
      </w:r>
      <w:r w:rsidRPr="00860724">
        <w:rPr>
          <w:rFonts w:asciiTheme="minorHAnsi" w:hAnsiTheme="minorHAnsi"/>
          <w:lang w:val="ro-RO"/>
        </w:rPr>
        <w:t>.</w:t>
      </w:r>
    </w:p>
    <w:p w:rsidR="00CB5C5A" w:rsidRPr="00860724" w:rsidRDefault="00CB5C5A" w:rsidP="00E16358">
      <w:pPr>
        <w:spacing w:line="276" w:lineRule="auto"/>
        <w:ind w:firstLine="720"/>
        <w:jc w:val="both"/>
        <w:rPr>
          <w:rFonts w:asciiTheme="minorHAnsi" w:hAnsiTheme="minorHAnsi"/>
          <w:lang w:val="ro-RO"/>
        </w:rPr>
      </w:pPr>
      <w:r w:rsidRPr="00860724">
        <w:rPr>
          <w:rFonts w:asciiTheme="minorHAnsi" w:hAnsiTheme="minorHAnsi"/>
          <w:lang w:val="ro-RO"/>
        </w:rPr>
        <w:t xml:space="preserve">La aceste sesiuni de formare destinate grefierilor recrutați prin concurs de ocupare în mod direct a posturilor au participat </w:t>
      </w:r>
      <w:r w:rsidRPr="00860724">
        <w:rPr>
          <w:rFonts w:asciiTheme="minorHAnsi" w:hAnsiTheme="minorHAnsi"/>
          <w:b/>
          <w:lang w:val="ro-RO"/>
        </w:rPr>
        <w:t>127 de grefieri</w:t>
      </w:r>
      <w:r w:rsidRPr="00860724">
        <w:rPr>
          <w:rFonts w:asciiTheme="minorHAnsi" w:hAnsiTheme="minorHAnsi"/>
          <w:lang w:val="ro-RO"/>
        </w:rPr>
        <w:t xml:space="preserve"> din cadrul instanțelor și </w:t>
      </w:r>
      <w:r w:rsidRPr="00860724">
        <w:rPr>
          <w:rFonts w:asciiTheme="minorHAnsi" w:hAnsiTheme="minorHAnsi"/>
          <w:b/>
          <w:lang w:val="ro-RO"/>
        </w:rPr>
        <w:t>83 de grefieri</w:t>
      </w:r>
      <w:r w:rsidRPr="00860724">
        <w:rPr>
          <w:rFonts w:asciiTheme="minorHAnsi" w:hAnsiTheme="minorHAnsi"/>
          <w:lang w:val="ro-RO"/>
        </w:rPr>
        <w:t xml:space="preserve"> din cadrul parchetelor.</w:t>
      </w:r>
    </w:p>
    <w:p w:rsidR="00CB5C5A" w:rsidRPr="00860724" w:rsidRDefault="00CB5C5A" w:rsidP="00E16358">
      <w:pPr>
        <w:spacing w:line="276" w:lineRule="auto"/>
        <w:ind w:firstLine="708"/>
        <w:jc w:val="both"/>
        <w:rPr>
          <w:rFonts w:asciiTheme="minorHAnsi" w:hAnsiTheme="minorHAnsi"/>
          <w:bCs/>
          <w:lang w:val="ro-RO"/>
        </w:rPr>
      </w:pPr>
      <w:r w:rsidRPr="00860724">
        <w:rPr>
          <w:rFonts w:asciiTheme="minorHAnsi" w:hAnsiTheme="minorHAnsi"/>
          <w:lang w:val="ro-RO"/>
        </w:rPr>
        <w:t>În continuarea seminarelor desfășurate cu succes încă din anul 2011, în scopul dezvoltării echipei magistrat – grefier, Școala Națională de Grefieri a organizat, în cursul anului 2017, 4 acțiuni comune cu Institutul Național al Magistraturii</w:t>
      </w:r>
      <w:r w:rsidRPr="00860724">
        <w:rPr>
          <w:rFonts w:asciiTheme="minorHAnsi" w:hAnsiTheme="minorHAnsi"/>
          <w:bCs/>
          <w:lang w:val="ro-RO"/>
        </w:rPr>
        <w:t xml:space="preserve"> în domeniile </w:t>
      </w:r>
      <w:r w:rsidRPr="00860724">
        <w:rPr>
          <w:rFonts w:asciiTheme="minorHAnsi" w:hAnsiTheme="minorHAnsi"/>
          <w:bCs/>
          <w:i/>
          <w:lang w:val="ro-RO"/>
        </w:rPr>
        <w:t xml:space="preserve">Cooperare judiciară internațională în materie civilă, Cooperare judiciară internațională în materie penală, Executări civile și Executări penale, </w:t>
      </w:r>
      <w:r w:rsidRPr="00860724">
        <w:rPr>
          <w:rFonts w:asciiTheme="minorHAnsi" w:hAnsiTheme="minorHAnsi"/>
          <w:bCs/>
          <w:lang w:val="ro-RO"/>
        </w:rPr>
        <w:t xml:space="preserve">la care au participat </w:t>
      </w:r>
      <w:r w:rsidRPr="00860724">
        <w:rPr>
          <w:rFonts w:asciiTheme="minorHAnsi" w:hAnsiTheme="minorHAnsi"/>
          <w:b/>
          <w:bCs/>
          <w:lang w:val="ro-RO"/>
        </w:rPr>
        <w:t>41 de grefieri</w:t>
      </w:r>
      <w:r w:rsidRPr="00860724">
        <w:rPr>
          <w:rFonts w:asciiTheme="minorHAnsi" w:hAnsiTheme="minorHAnsi"/>
          <w:bCs/>
          <w:lang w:val="ro-RO"/>
        </w:rPr>
        <w:t>.</w:t>
      </w:r>
    </w:p>
    <w:p w:rsidR="00CB5C5A" w:rsidRPr="00860724" w:rsidRDefault="00CB5C5A" w:rsidP="00E16358">
      <w:pPr>
        <w:spacing w:line="276" w:lineRule="auto"/>
        <w:ind w:firstLine="708"/>
        <w:jc w:val="both"/>
        <w:rPr>
          <w:rFonts w:asciiTheme="minorHAnsi" w:hAnsiTheme="minorHAnsi"/>
          <w:b/>
          <w:bCs/>
          <w:lang w:val="ro-RO"/>
        </w:rPr>
      </w:pPr>
      <w:r w:rsidRPr="00860724">
        <w:rPr>
          <w:rFonts w:asciiTheme="minorHAnsi" w:hAnsiTheme="minorHAnsi"/>
          <w:bCs/>
          <w:lang w:val="ro-RO"/>
        </w:rPr>
        <w:t xml:space="preserve">În total, la acțiunile de formare continuă organizate de Școală în cursul anului 2017, au participat </w:t>
      </w:r>
      <w:r w:rsidRPr="00860724">
        <w:rPr>
          <w:rFonts w:asciiTheme="minorHAnsi" w:hAnsiTheme="minorHAnsi"/>
          <w:b/>
          <w:bCs/>
          <w:i/>
          <w:lang w:val="ro-RO"/>
        </w:rPr>
        <w:t>2295 de grefieri</w:t>
      </w:r>
      <w:r w:rsidRPr="00860724">
        <w:rPr>
          <w:rFonts w:asciiTheme="minorHAnsi" w:hAnsiTheme="minorHAnsi"/>
          <w:b/>
          <w:bCs/>
          <w:lang w:val="ro-RO"/>
        </w:rPr>
        <w:t>.</w:t>
      </w:r>
    </w:p>
    <w:p w:rsidR="00CB5C5A" w:rsidRPr="00860724" w:rsidRDefault="00CB5C5A" w:rsidP="00E16358">
      <w:pPr>
        <w:spacing w:line="276" w:lineRule="auto"/>
        <w:ind w:firstLine="720"/>
        <w:jc w:val="both"/>
        <w:rPr>
          <w:rFonts w:asciiTheme="minorHAnsi" w:hAnsiTheme="minorHAnsi"/>
          <w:lang w:val="ro-RO"/>
        </w:rPr>
      </w:pPr>
      <w:r w:rsidRPr="00860724">
        <w:rPr>
          <w:rFonts w:asciiTheme="minorHAnsi" w:hAnsiTheme="minorHAnsi"/>
          <w:bCs/>
          <w:iCs/>
          <w:lang w:val="ro-RO"/>
        </w:rPr>
        <w:t xml:space="preserve">De asemenea, </w:t>
      </w:r>
      <w:r w:rsidRPr="00860724">
        <w:rPr>
          <w:rFonts w:asciiTheme="minorHAnsi" w:hAnsiTheme="minorHAnsi"/>
          <w:lang w:val="ro-RO"/>
        </w:rPr>
        <w:t xml:space="preserve">a fost continuat demersul început în anul 2015, </w:t>
      </w:r>
      <w:r w:rsidRPr="00860724">
        <w:rPr>
          <w:rFonts w:asciiTheme="minorHAnsi" w:hAnsiTheme="minorHAnsi"/>
          <w:bCs/>
          <w:iCs/>
          <w:lang w:val="ro-RO"/>
        </w:rPr>
        <w:t>p</w:t>
      </w:r>
      <w:r w:rsidRPr="00860724">
        <w:rPr>
          <w:rFonts w:asciiTheme="minorHAnsi" w:hAnsiTheme="minorHAnsi"/>
          <w:lang w:val="ro-RO"/>
        </w:rPr>
        <w:t xml:space="preserve">ersonalul propriu de instruire sintetizând problemele de practică neunitară discutate la seminarele de formare continuă cu temele </w:t>
      </w:r>
      <w:r w:rsidRPr="00860724">
        <w:rPr>
          <w:rFonts w:asciiTheme="minorHAnsi" w:hAnsiTheme="minorHAnsi"/>
          <w:i/>
          <w:lang w:val="ro-RO"/>
        </w:rPr>
        <w:t xml:space="preserve">Drept procesual civil-ECRIS </w:t>
      </w:r>
      <w:r w:rsidRPr="00860724">
        <w:rPr>
          <w:rFonts w:asciiTheme="minorHAnsi" w:hAnsiTheme="minorHAnsi"/>
          <w:lang w:val="ro-RO"/>
        </w:rPr>
        <w:t xml:space="preserve">și </w:t>
      </w:r>
      <w:r w:rsidRPr="00860724">
        <w:rPr>
          <w:rFonts w:asciiTheme="minorHAnsi" w:hAnsiTheme="minorHAnsi"/>
          <w:i/>
          <w:lang w:val="ro-RO"/>
        </w:rPr>
        <w:t>Drept procesual penal-ECRIS</w:t>
      </w:r>
      <w:r w:rsidRPr="00860724">
        <w:rPr>
          <w:rFonts w:asciiTheme="minorHAnsi" w:hAnsiTheme="minorHAnsi"/>
          <w:lang w:val="ro-RO"/>
        </w:rPr>
        <w:t xml:space="preserve">. </w:t>
      </w:r>
      <w:r w:rsidRPr="00860724">
        <w:rPr>
          <w:rFonts w:asciiTheme="minorHAnsi" w:hAnsiTheme="minorHAnsi"/>
          <w:i/>
          <w:lang w:val="ro-RO"/>
        </w:rPr>
        <w:t>Executări penale</w:t>
      </w:r>
      <w:r w:rsidRPr="00860724">
        <w:rPr>
          <w:rFonts w:asciiTheme="minorHAnsi" w:hAnsiTheme="minorHAnsi"/>
          <w:lang w:val="ro-RO"/>
        </w:rPr>
        <w:t xml:space="preserve">, derulate în centrele de formare, precum și la seminarele de formare continuă cu tema </w:t>
      </w:r>
      <w:r w:rsidRPr="00860724">
        <w:rPr>
          <w:rFonts w:asciiTheme="minorHAnsi" w:hAnsiTheme="minorHAnsi"/>
          <w:i/>
          <w:lang w:val="ro-RO"/>
        </w:rPr>
        <w:t xml:space="preserve">Drept procesual civil și Drept procesual penal </w:t>
      </w:r>
      <w:r w:rsidRPr="00860724">
        <w:rPr>
          <w:rFonts w:asciiTheme="minorHAnsi" w:hAnsiTheme="minorHAnsi"/>
          <w:lang w:val="ro-RO"/>
        </w:rPr>
        <w:t xml:space="preserve">derulate la sediile instanțelor. Cele două materiale, care cuprind opinia formatorilor detașați la SNG, pentru fiecare dintre aspectele puse în discuție, sunt publicate în EMAP și transmise grefierilor </w:t>
      </w:r>
      <w:r w:rsidRPr="00860724">
        <w:rPr>
          <w:rFonts w:asciiTheme="minorHAnsi" w:hAnsiTheme="minorHAnsi"/>
          <w:bCs/>
          <w:lang w:val="ro-RO"/>
        </w:rPr>
        <w:t>care participă la judecarea cauzelor civile,</w:t>
      </w:r>
      <w:r w:rsidRPr="00860724">
        <w:rPr>
          <w:rFonts w:asciiTheme="minorHAnsi" w:hAnsiTheme="minorHAnsi"/>
          <w:lang w:val="ro-RO"/>
        </w:rPr>
        <w:t xml:space="preserve"> respectiv grefierilor </w:t>
      </w:r>
      <w:r w:rsidRPr="00860724">
        <w:rPr>
          <w:rFonts w:asciiTheme="minorHAnsi" w:hAnsiTheme="minorHAnsi"/>
          <w:bCs/>
          <w:lang w:val="ro-RO"/>
        </w:rPr>
        <w:t>care participă la judecarea cauzelor penale și celor delegați la compartimentul executări penale</w:t>
      </w:r>
      <w:r w:rsidRPr="00860724">
        <w:rPr>
          <w:rFonts w:asciiTheme="minorHAnsi" w:hAnsiTheme="minorHAnsi"/>
          <w:lang w:val="ro-RO"/>
        </w:rPr>
        <w:t xml:space="preserve">, în vederea asigurării unei practici judiciare și administrative unitare. </w:t>
      </w:r>
    </w:p>
    <w:p w:rsidR="00CB5C5A" w:rsidRPr="00860724" w:rsidRDefault="00CB5C5A" w:rsidP="00E16358">
      <w:pPr>
        <w:spacing w:line="276" w:lineRule="auto"/>
        <w:ind w:firstLine="720"/>
        <w:jc w:val="both"/>
        <w:rPr>
          <w:rFonts w:asciiTheme="minorHAnsi" w:hAnsiTheme="minorHAnsi"/>
          <w:lang w:val="ro-RO"/>
        </w:rPr>
      </w:pPr>
    </w:p>
    <w:p w:rsidR="00CB5C5A" w:rsidRPr="00860724" w:rsidRDefault="00CB5C5A" w:rsidP="00E16358">
      <w:pPr>
        <w:spacing w:line="276" w:lineRule="auto"/>
        <w:ind w:firstLine="720"/>
        <w:contextualSpacing/>
        <w:jc w:val="both"/>
        <w:rPr>
          <w:rFonts w:asciiTheme="minorHAnsi" w:hAnsiTheme="minorHAnsi"/>
          <w:lang w:val="ro-RO"/>
        </w:rPr>
      </w:pPr>
      <w:r w:rsidRPr="00860724">
        <w:rPr>
          <w:rFonts w:asciiTheme="minorHAnsi" w:hAnsiTheme="minorHAnsi"/>
          <w:lang w:val="ro-RO"/>
        </w:rPr>
        <w:t xml:space="preserve">În anul 2017, prin </w:t>
      </w:r>
      <w:r w:rsidRPr="00860724">
        <w:rPr>
          <w:rFonts w:asciiTheme="minorHAnsi" w:hAnsiTheme="minorHAnsi"/>
          <w:b/>
          <w:lang w:val="ro-RO"/>
        </w:rPr>
        <w:t>Departamentul relații internaționale</w:t>
      </w:r>
      <w:r w:rsidRPr="00860724">
        <w:rPr>
          <w:rFonts w:asciiTheme="minorHAnsi" w:hAnsiTheme="minorHAnsi"/>
          <w:lang w:val="ro-RO"/>
        </w:rPr>
        <w:t xml:space="preserve">, Școala Națională de Grefieri a finalizat implementarea fazei a-II-a a proiectului ”Întărirea capacității sistemului judiciar românesc de a răspunde noilor schimbări legislative și instituționale/Strengthening the capacity of the Romanian judicial system to face new legislative and institutional challenges”, finanțat prin Mecanismul Financiar Norvegian 2009-2014, în perioada 9-10 februarie 2017 fiind organizat la București ultimul seminar dedicat grefierilor de la instanțe și parchete în domeniul Etică și deontologie profesională, în cadrul Output-ului 2.4. al proiectului, la care au participat </w:t>
      </w:r>
      <w:r w:rsidRPr="00860724">
        <w:rPr>
          <w:rFonts w:asciiTheme="minorHAnsi" w:hAnsiTheme="minorHAnsi"/>
          <w:b/>
          <w:lang w:val="ro-RO"/>
        </w:rPr>
        <w:t>20 de grefieri.</w:t>
      </w:r>
      <w:r w:rsidRPr="00860724">
        <w:rPr>
          <w:rFonts w:asciiTheme="minorHAnsi" w:hAnsiTheme="minorHAnsi"/>
          <w:lang w:val="ro-RO"/>
        </w:rPr>
        <w:t xml:space="preserve"> </w:t>
      </w:r>
    </w:p>
    <w:p w:rsidR="00CB5C5A" w:rsidRPr="00860724" w:rsidRDefault="00CB5C5A" w:rsidP="00E16358">
      <w:pPr>
        <w:spacing w:line="276" w:lineRule="auto"/>
        <w:ind w:firstLine="720"/>
        <w:contextualSpacing/>
        <w:jc w:val="both"/>
        <w:rPr>
          <w:rFonts w:asciiTheme="minorHAnsi" w:hAnsiTheme="minorHAnsi"/>
          <w:lang w:val="ro-RO"/>
        </w:rPr>
      </w:pPr>
      <w:r w:rsidRPr="00860724">
        <w:rPr>
          <w:rFonts w:asciiTheme="minorHAnsi" w:hAnsiTheme="minorHAnsi"/>
          <w:lang w:val="ro-RO"/>
        </w:rPr>
        <w:t xml:space="preserve">În cadrul aceluiași proiect, în scopul asigurării sustenabilității activităților desfășurate, în anul 2017 au fost întreprinse mai multe măsuri, precum transmiterea către Parchetul de pe lângă Înalta Curte de Casație și Justiție și toate curțile de apel, inclusiv Înalta Curte de Casație și Justiție, a unor materiale în care au fost sintetizate aspecte din activitatea practică a grefierilor din parchete, respectiv din instanțe judecătorești, care au făcut obiectul unor practici neunitare la nivelul acestora, dezbătute cu ocazia sesiunilor de formare în domeniul </w:t>
      </w:r>
      <w:r w:rsidRPr="00860724">
        <w:rPr>
          <w:rFonts w:asciiTheme="minorHAnsi" w:hAnsiTheme="minorHAnsi"/>
          <w:i/>
          <w:lang w:val="ro-RO"/>
        </w:rPr>
        <w:t>Managementul activității grefierilor din parchete</w:t>
      </w:r>
      <w:r w:rsidRPr="00860724">
        <w:rPr>
          <w:rFonts w:asciiTheme="minorHAnsi" w:hAnsiTheme="minorHAnsi"/>
          <w:lang w:val="ro-RO"/>
        </w:rPr>
        <w:t xml:space="preserve">, respectiv </w:t>
      </w:r>
      <w:r w:rsidRPr="00860724">
        <w:rPr>
          <w:rFonts w:asciiTheme="minorHAnsi" w:hAnsiTheme="minorHAnsi"/>
          <w:i/>
          <w:lang w:val="ro-RO"/>
        </w:rPr>
        <w:t>Managementul activității grefierului din instanțe</w:t>
      </w:r>
      <w:r w:rsidRPr="00860724">
        <w:rPr>
          <w:rFonts w:asciiTheme="minorHAnsi" w:hAnsiTheme="minorHAnsi"/>
          <w:lang w:val="ro-RO"/>
        </w:rPr>
        <w:t xml:space="preserve">, </w:t>
      </w:r>
      <w:r w:rsidRPr="00860724">
        <w:rPr>
          <w:rFonts w:asciiTheme="minorHAnsi" w:hAnsiTheme="minorHAnsi"/>
          <w:i/>
          <w:lang w:val="ro-RO"/>
        </w:rPr>
        <w:t>în materie civilă și penală.</w:t>
      </w:r>
      <w:r w:rsidRPr="00860724">
        <w:rPr>
          <w:rFonts w:asciiTheme="minorHAnsi" w:hAnsiTheme="minorHAnsi"/>
          <w:lang w:val="ro-RO"/>
        </w:rPr>
        <w:t xml:space="preserve"> Materialele cuprind și opiniile exprimate atât de către participanți și experții care au susținut sesiunile de formare, cât și de către formatorii Școlii Naționale de Grefieri, fiind menite să reprezinte instrumente utile în vederea unificării practicii și diseminării în teritoriu.</w:t>
      </w:r>
    </w:p>
    <w:p w:rsidR="00CB5C5A" w:rsidRPr="00860724" w:rsidRDefault="00CB5C5A" w:rsidP="00E16358">
      <w:pPr>
        <w:spacing w:line="276" w:lineRule="auto"/>
        <w:ind w:firstLine="720"/>
        <w:contextualSpacing/>
        <w:jc w:val="both"/>
        <w:rPr>
          <w:rFonts w:asciiTheme="minorHAnsi" w:hAnsiTheme="minorHAnsi"/>
          <w:lang w:val="ro-RO"/>
        </w:rPr>
      </w:pPr>
      <w:r w:rsidRPr="00860724">
        <w:rPr>
          <w:rFonts w:asciiTheme="minorHAnsi" w:hAnsiTheme="minorHAnsi"/>
          <w:lang w:val="ro-RO"/>
        </w:rPr>
        <w:t xml:space="preserve">De asemenea, în cadrul fazei a II-a proiectului „Asistență pentru consolidarea capacității instituționale în domeniul formării judecătorilor și procurorilor pentru aplicarea noilor legi”, finanțat în cadrul Programului de Cooperare Elveţiano - Român pentru reducerea disparităților economice și sociale în cadrul Uniunii Europene extinse, au participat 15 grefieri din raza Curții de Apel București la </w:t>
      </w:r>
      <w:r w:rsidRPr="00860724">
        <w:rPr>
          <w:rFonts w:asciiTheme="minorHAnsi" w:hAnsiTheme="minorHAnsi"/>
          <w:i/>
          <w:lang w:val="ro-RO"/>
        </w:rPr>
        <w:t>Conferința privind aspecte de practică neunitară intervenite de la intrarea în vigoare a noului Cod civil și noului Cod de procedură civilă</w:t>
      </w:r>
      <w:r w:rsidRPr="00860724">
        <w:rPr>
          <w:rFonts w:asciiTheme="minorHAnsi" w:hAnsiTheme="minorHAnsi"/>
          <w:lang w:val="ro-RO"/>
        </w:rPr>
        <w:t xml:space="preserve">, organizată la București în perioada 27-28 noiembrie 2017, iar la </w:t>
      </w:r>
      <w:r w:rsidRPr="00860724">
        <w:rPr>
          <w:rFonts w:asciiTheme="minorHAnsi" w:hAnsiTheme="minorHAnsi"/>
          <w:i/>
          <w:lang w:val="ro-RO"/>
        </w:rPr>
        <w:t>Conferința privind aspecte de practică neunitară intervenite de la intrarea în vigoare a noului Cod penal și noului Cod de procedură penală</w:t>
      </w:r>
      <w:r w:rsidRPr="00860724">
        <w:rPr>
          <w:rFonts w:asciiTheme="minorHAnsi" w:hAnsiTheme="minorHAnsi"/>
          <w:lang w:val="ro-RO"/>
        </w:rPr>
        <w:t xml:space="preserve">, organizată la București în perioada 11-12 decembrie 2017, au participat </w:t>
      </w:r>
      <w:r w:rsidRPr="00860724">
        <w:rPr>
          <w:rFonts w:asciiTheme="minorHAnsi" w:hAnsiTheme="minorHAnsi"/>
          <w:b/>
          <w:lang w:val="ro-RO"/>
        </w:rPr>
        <w:t>6 grefieri</w:t>
      </w:r>
      <w:r w:rsidRPr="00860724">
        <w:rPr>
          <w:rFonts w:asciiTheme="minorHAnsi" w:hAnsiTheme="minorHAnsi"/>
          <w:lang w:val="ro-RO"/>
        </w:rPr>
        <w:t xml:space="preserve"> din raza Curții de Apel București.</w:t>
      </w:r>
    </w:p>
    <w:p w:rsidR="00CB5C5A" w:rsidRDefault="00CB5C5A" w:rsidP="00E16358">
      <w:pPr>
        <w:spacing w:line="276" w:lineRule="auto"/>
        <w:ind w:firstLine="720"/>
        <w:rPr>
          <w:rFonts w:asciiTheme="minorHAnsi" w:hAnsiTheme="minorHAnsi"/>
          <w:lang w:val="ro-RO" w:eastAsia="x-none"/>
        </w:rPr>
      </w:pPr>
    </w:p>
    <w:p w:rsidR="00944E24" w:rsidRDefault="00E16358" w:rsidP="004D7D4F">
      <w:pPr>
        <w:spacing w:line="276" w:lineRule="auto"/>
        <w:ind w:firstLine="720"/>
        <w:jc w:val="both"/>
        <w:rPr>
          <w:rFonts w:asciiTheme="minorHAnsi" w:hAnsiTheme="minorHAnsi"/>
          <w:lang w:val="ro-RO" w:eastAsia="x-none"/>
        </w:rPr>
      </w:pPr>
      <w:r w:rsidRPr="00E16358">
        <w:rPr>
          <w:rFonts w:asciiTheme="minorHAnsi" w:hAnsiTheme="minorHAnsi"/>
          <w:lang w:val="ro-RO" w:eastAsia="x-none"/>
        </w:rPr>
        <w:t xml:space="preserve">Personalul auxiliar de specialitate a participat </w:t>
      </w:r>
      <w:r w:rsidR="004D7D4F">
        <w:rPr>
          <w:rFonts w:asciiTheme="minorHAnsi" w:hAnsiTheme="minorHAnsi"/>
          <w:lang w:val="ro-RO" w:eastAsia="x-none"/>
        </w:rPr>
        <w:t xml:space="preserve">și </w:t>
      </w:r>
      <w:r w:rsidRPr="00E16358">
        <w:rPr>
          <w:rFonts w:asciiTheme="minorHAnsi" w:hAnsiTheme="minorHAnsi"/>
          <w:lang w:val="ro-RO" w:eastAsia="x-none"/>
        </w:rPr>
        <w:t>la programe de formare profesională continuă organizate la</w:t>
      </w:r>
      <w:r w:rsidR="00944E24">
        <w:rPr>
          <w:rFonts w:asciiTheme="minorHAnsi" w:hAnsiTheme="minorHAnsi"/>
          <w:lang w:val="ro-RO" w:eastAsia="x-none"/>
        </w:rPr>
        <w:t xml:space="preserve"> </w:t>
      </w:r>
      <w:r w:rsidRPr="00E16358">
        <w:rPr>
          <w:rFonts w:asciiTheme="minorHAnsi" w:hAnsiTheme="minorHAnsi"/>
          <w:lang w:val="ro-RO" w:eastAsia="x-none"/>
        </w:rPr>
        <w:t xml:space="preserve">nivelul </w:t>
      </w:r>
      <w:r w:rsidR="004D7D4F">
        <w:rPr>
          <w:rFonts w:asciiTheme="minorHAnsi" w:hAnsiTheme="minorHAnsi"/>
          <w:lang w:val="ro-RO" w:eastAsia="x-none"/>
        </w:rPr>
        <w:t>instanțelor</w:t>
      </w:r>
      <w:r w:rsidR="00031750">
        <w:rPr>
          <w:rFonts w:asciiTheme="minorHAnsi" w:hAnsiTheme="minorHAnsi"/>
          <w:lang w:val="ro-RO" w:eastAsia="x-none"/>
        </w:rPr>
        <w:t xml:space="preserve"> și parchetelor</w:t>
      </w:r>
      <w:r w:rsidR="004D7D4F">
        <w:rPr>
          <w:rFonts w:asciiTheme="minorHAnsi" w:hAnsiTheme="minorHAnsi"/>
          <w:lang w:val="ro-RO" w:eastAsia="x-none"/>
        </w:rPr>
        <w:t>, în general pe următoarele teme:</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actele procesuale</w:t>
      </w:r>
      <w:r w:rsidR="00944E24">
        <w:rPr>
          <w:rFonts w:asciiTheme="minorHAnsi" w:hAnsiTheme="minorHAnsi"/>
          <w:lang w:val="ro-RO" w:eastAsia="x-none"/>
        </w:rPr>
        <w:t xml:space="preserve"> </w:t>
      </w:r>
      <w:r w:rsidR="00E16358" w:rsidRPr="00E16358">
        <w:rPr>
          <w:rFonts w:asciiTheme="minorHAnsi" w:hAnsiTheme="minorHAnsi"/>
          <w:lang w:val="ro-RO" w:eastAsia="x-none"/>
        </w:rPr>
        <w:t>întocmite de grefier în procesul civil</w:t>
      </w:r>
      <w:r>
        <w:rPr>
          <w:rFonts w:asciiTheme="minorHAnsi" w:hAnsiTheme="minorHAnsi"/>
          <w:lang w:val="ro-RO" w:eastAsia="x-none"/>
        </w:rPr>
        <w:t>;</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dezbateri asupra unor dispoziţii din</w:t>
      </w:r>
      <w:r w:rsidR="00944E24">
        <w:rPr>
          <w:rFonts w:asciiTheme="minorHAnsi" w:hAnsiTheme="minorHAnsi"/>
          <w:lang w:val="ro-RO" w:eastAsia="x-none"/>
        </w:rPr>
        <w:t xml:space="preserve"> </w:t>
      </w:r>
      <w:r w:rsidR="00E16358" w:rsidRPr="00E16358">
        <w:rPr>
          <w:rFonts w:asciiTheme="minorHAnsi" w:hAnsiTheme="minorHAnsi"/>
          <w:lang w:val="ro-RO" w:eastAsia="x-none"/>
        </w:rPr>
        <w:t>Regulamentul de ordine interioară al instan</w:t>
      </w:r>
      <w:r w:rsidR="00944E24">
        <w:rPr>
          <w:rFonts w:asciiTheme="minorHAnsi" w:hAnsiTheme="minorHAnsi"/>
          <w:lang w:val="ro-RO" w:eastAsia="x-none"/>
        </w:rPr>
        <w:t>ț</w:t>
      </w:r>
      <w:r>
        <w:rPr>
          <w:rFonts w:asciiTheme="minorHAnsi" w:hAnsiTheme="minorHAnsi"/>
          <w:lang w:val="ro-RO" w:eastAsia="x-none"/>
        </w:rPr>
        <w:t xml:space="preserve">elor </w:t>
      </w:r>
      <w:r w:rsidR="00E16358" w:rsidRPr="00E16358">
        <w:rPr>
          <w:rFonts w:asciiTheme="minorHAnsi" w:hAnsiTheme="minorHAnsi"/>
          <w:lang w:val="ro-RO" w:eastAsia="x-none"/>
        </w:rPr>
        <w:t>judecătore</w:t>
      </w:r>
      <w:r w:rsidR="00944E24">
        <w:rPr>
          <w:rFonts w:asciiTheme="minorHAnsi" w:hAnsiTheme="minorHAnsi"/>
          <w:lang w:val="ro-RO" w:eastAsia="x-none"/>
        </w:rPr>
        <w:t>ș</w:t>
      </w:r>
      <w:r w:rsidR="00E16358" w:rsidRPr="00E16358">
        <w:rPr>
          <w:rFonts w:asciiTheme="minorHAnsi" w:hAnsiTheme="minorHAnsi"/>
          <w:lang w:val="ro-RO" w:eastAsia="x-none"/>
        </w:rPr>
        <w:t>ti, apro</w:t>
      </w:r>
      <w:r>
        <w:rPr>
          <w:rFonts w:asciiTheme="minorHAnsi" w:hAnsiTheme="minorHAnsi"/>
          <w:lang w:val="ro-RO" w:eastAsia="x-none"/>
        </w:rPr>
        <w:t>bat prin H.C.S.M. nr. 1375/2015;</w:t>
      </w:r>
      <w:r w:rsidR="00E16358" w:rsidRPr="00E16358">
        <w:rPr>
          <w:rFonts w:asciiTheme="minorHAnsi" w:hAnsiTheme="minorHAnsi"/>
          <w:lang w:val="ro-RO" w:eastAsia="x-none"/>
        </w:rPr>
        <w:t xml:space="preserve"> </w:t>
      </w:r>
    </w:p>
    <w:p w:rsidR="004D7D4F" w:rsidRPr="00E16358"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actele de procedură în cauzele având ca</w:t>
      </w:r>
      <w:r w:rsidR="00944E24">
        <w:rPr>
          <w:rFonts w:asciiTheme="minorHAnsi" w:hAnsiTheme="minorHAnsi"/>
          <w:lang w:val="ro-RO" w:eastAsia="x-none"/>
        </w:rPr>
        <w:t xml:space="preserve"> </w:t>
      </w:r>
      <w:r>
        <w:rPr>
          <w:rFonts w:asciiTheme="minorHAnsi" w:hAnsiTheme="minorHAnsi"/>
          <w:lang w:val="ro-RO" w:eastAsia="x-none"/>
        </w:rPr>
        <w:t>obiect Legea nr. 85/2014;</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m</w:t>
      </w:r>
      <w:r w:rsidR="00E16358" w:rsidRPr="00E16358">
        <w:rPr>
          <w:rFonts w:asciiTheme="minorHAnsi" w:hAnsiTheme="minorHAnsi"/>
          <w:lang w:val="ro-RO" w:eastAsia="x-none"/>
        </w:rPr>
        <w:t>odul de lucru privind repartizarea</w:t>
      </w:r>
      <w:r w:rsidR="00944E24">
        <w:rPr>
          <w:rFonts w:asciiTheme="minorHAnsi" w:hAnsiTheme="minorHAnsi"/>
          <w:lang w:val="ro-RO" w:eastAsia="x-none"/>
        </w:rPr>
        <w:t xml:space="preserve"> </w:t>
      </w:r>
      <w:r>
        <w:rPr>
          <w:rFonts w:asciiTheme="minorHAnsi" w:hAnsiTheme="minorHAnsi"/>
          <w:lang w:val="ro-RO" w:eastAsia="x-none"/>
        </w:rPr>
        <w:t>aleatorie;</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a</w:t>
      </w:r>
      <w:r w:rsidR="00E16358" w:rsidRPr="00E16358">
        <w:rPr>
          <w:rFonts w:asciiTheme="minorHAnsi" w:hAnsiTheme="minorHAnsi"/>
          <w:lang w:val="ro-RO" w:eastAsia="x-none"/>
        </w:rPr>
        <w:t>tribu</w:t>
      </w:r>
      <w:r>
        <w:rPr>
          <w:rFonts w:asciiTheme="minorHAnsi" w:hAnsiTheme="minorHAnsi"/>
          <w:lang w:val="ro-RO" w:eastAsia="x-none"/>
        </w:rPr>
        <w:t>ţiile grefierului de şedinţă;</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 r</w:t>
      </w:r>
      <w:r w:rsidR="00E16358" w:rsidRPr="00E16358">
        <w:rPr>
          <w:rFonts w:asciiTheme="minorHAnsi" w:hAnsiTheme="minorHAnsi"/>
          <w:lang w:val="ro-RO" w:eastAsia="x-none"/>
        </w:rPr>
        <w:t>eprezentarea convenţiona</w:t>
      </w:r>
      <w:r>
        <w:rPr>
          <w:rFonts w:asciiTheme="minorHAnsi" w:hAnsiTheme="minorHAnsi"/>
          <w:lang w:val="ro-RO" w:eastAsia="x-none"/>
        </w:rPr>
        <w:t>lă a părţilor în procesul civil</w:t>
      </w:r>
      <w:r w:rsidR="00E16358" w:rsidRPr="00E16358">
        <w:rPr>
          <w:rFonts w:asciiTheme="minorHAnsi" w:hAnsiTheme="minorHAnsi"/>
          <w:lang w:val="ro-RO" w:eastAsia="x-none"/>
        </w:rPr>
        <w:t xml:space="preserve">; </w:t>
      </w:r>
    </w:p>
    <w:p w:rsidR="004D7D4F"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 Insolvenţa persoanei fizic ,</w:t>
      </w:r>
    </w:p>
    <w:p w:rsidR="00287296" w:rsidRDefault="004D7D4F"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e</w:t>
      </w:r>
      <w:r w:rsidR="00E16358" w:rsidRPr="00E16358">
        <w:rPr>
          <w:rFonts w:asciiTheme="minorHAnsi" w:hAnsiTheme="minorHAnsi"/>
          <w:lang w:val="ro-RO" w:eastAsia="x-none"/>
        </w:rPr>
        <w:t>xecutări civile, Evi</w:t>
      </w:r>
      <w:r w:rsidR="00287296">
        <w:rPr>
          <w:rFonts w:asciiTheme="minorHAnsi" w:hAnsiTheme="minorHAnsi"/>
          <w:lang w:val="ro-RO" w:eastAsia="x-none"/>
        </w:rPr>
        <w:t>denţe, Mod de lucru, Propuneri</w:t>
      </w:r>
    </w:p>
    <w:p w:rsidR="00287296" w:rsidRDefault="00287296"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căile de atac în procesul civil</w:t>
      </w:r>
      <w:r w:rsidR="00E16358" w:rsidRPr="00E16358">
        <w:rPr>
          <w:rFonts w:asciiTheme="minorHAnsi" w:hAnsiTheme="minorHAnsi"/>
          <w:lang w:val="ro-RO" w:eastAsia="x-none"/>
        </w:rPr>
        <w:t xml:space="preserve">; </w:t>
      </w:r>
    </w:p>
    <w:p w:rsidR="00287296" w:rsidRDefault="00287296"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p</w:t>
      </w:r>
      <w:r w:rsidR="00E16358" w:rsidRPr="00E16358">
        <w:rPr>
          <w:rFonts w:asciiTheme="minorHAnsi" w:hAnsiTheme="minorHAnsi"/>
          <w:lang w:val="ro-RO" w:eastAsia="x-none"/>
        </w:rPr>
        <w:t>regătirea</w:t>
      </w:r>
      <w:r w:rsidR="00944E24">
        <w:rPr>
          <w:rFonts w:asciiTheme="minorHAnsi" w:hAnsiTheme="minorHAnsi"/>
          <w:lang w:val="ro-RO" w:eastAsia="x-none"/>
        </w:rPr>
        <w:t xml:space="preserve"> </w:t>
      </w:r>
      <w:r w:rsidR="00E16358" w:rsidRPr="00E16358">
        <w:rPr>
          <w:rFonts w:asciiTheme="minorHAnsi" w:hAnsiTheme="minorHAnsi"/>
          <w:lang w:val="ro-RO" w:eastAsia="x-none"/>
        </w:rPr>
        <w:t>dosarelor pentru predarea lor grefierului</w:t>
      </w:r>
      <w:r>
        <w:rPr>
          <w:rFonts w:asciiTheme="minorHAnsi" w:hAnsiTheme="minorHAnsi"/>
          <w:lang w:val="ro-RO" w:eastAsia="x-none"/>
        </w:rPr>
        <w:t xml:space="preserve"> de urmează să intre in sedinţă;</w:t>
      </w:r>
    </w:p>
    <w:p w:rsidR="00287296" w:rsidRDefault="00287296" w:rsidP="004D7D4F">
      <w:pPr>
        <w:spacing w:line="276" w:lineRule="auto"/>
        <w:ind w:firstLine="720"/>
        <w:jc w:val="both"/>
        <w:rPr>
          <w:rFonts w:asciiTheme="minorHAnsi" w:hAnsiTheme="minorHAnsi"/>
          <w:lang w:val="ro-RO" w:eastAsia="x-none"/>
        </w:rPr>
      </w:pPr>
      <w:r>
        <w:rPr>
          <w:rFonts w:asciiTheme="minorHAnsi" w:hAnsiTheme="minorHAnsi"/>
          <w:lang w:val="ro-RO" w:eastAsia="x-none"/>
        </w:rPr>
        <w:t>- executări penale, evidenţă şi m</w:t>
      </w:r>
      <w:r w:rsidR="00E16358" w:rsidRPr="00E16358">
        <w:rPr>
          <w:rFonts w:asciiTheme="minorHAnsi" w:hAnsiTheme="minorHAnsi"/>
          <w:lang w:val="ro-RO" w:eastAsia="x-none"/>
        </w:rPr>
        <w:t>o</w:t>
      </w:r>
      <w:r>
        <w:rPr>
          <w:rFonts w:asciiTheme="minorHAnsi" w:hAnsiTheme="minorHAnsi"/>
          <w:lang w:val="ro-RO" w:eastAsia="x-none"/>
        </w:rPr>
        <w:t>d de operare;</w:t>
      </w:r>
    </w:p>
    <w:p w:rsidR="00ED343D" w:rsidRDefault="00287296" w:rsidP="00287296">
      <w:pPr>
        <w:spacing w:line="276" w:lineRule="auto"/>
        <w:ind w:firstLine="720"/>
        <w:jc w:val="both"/>
        <w:rPr>
          <w:rFonts w:asciiTheme="minorHAnsi" w:hAnsiTheme="minorHAnsi"/>
          <w:lang w:val="ro-RO" w:eastAsia="x-none"/>
        </w:rPr>
      </w:pPr>
      <w:r>
        <w:rPr>
          <w:rFonts w:asciiTheme="minorHAnsi" w:hAnsiTheme="minorHAnsi"/>
          <w:lang w:val="ro-RO" w:eastAsia="x-none"/>
        </w:rPr>
        <w:t>- p</w:t>
      </w:r>
      <w:r w:rsidR="00E16358" w:rsidRPr="00E16358">
        <w:rPr>
          <w:rFonts w:asciiTheme="minorHAnsi" w:hAnsiTheme="minorHAnsi"/>
          <w:lang w:val="ro-RO" w:eastAsia="x-none"/>
        </w:rPr>
        <w:t>ărţile în litigiul de muncă. Părţile</w:t>
      </w:r>
      <w:r w:rsidR="00ED343D">
        <w:rPr>
          <w:rFonts w:asciiTheme="minorHAnsi" w:hAnsiTheme="minorHAnsi"/>
          <w:lang w:val="ro-RO" w:eastAsia="x-none"/>
        </w:rPr>
        <w:t xml:space="preserve"> </w:t>
      </w:r>
      <w:r w:rsidR="00E16358" w:rsidRPr="00E16358">
        <w:rPr>
          <w:rFonts w:asciiTheme="minorHAnsi" w:hAnsiTheme="minorHAnsi"/>
          <w:lang w:val="ro-RO" w:eastAsia="x-none"/>
        </w:rPr>
        <w:t>în procesul civil. Condiţiile necesare pentru a fi parte î</w:t>
      </w:r>
      <w:r>
        <w:rPr>
          <w:rFonts w:asciiTheme="minorHAnsi" w:hAnsiTheme="minorHAnsi"/>
          <w:lang w:val="ro-RO" w:eastAsia="x-none"/>
        </w:rPr>
        <w:t>n proces. Participarea terţilor;</w:t>
      </w:r>
      <w:r w:rsidR="00E16358" w:rsidRPr="00E16358">
        <w:rPr>
          <w:rFonts w:asciiTheme="minorHAnsi" w:hAnsiTheme="minorHAnsi"/>
          <w:lang w:val="ro-RO" w:eastAsia="x-none"/>
        </w:rPr>
        <w:t xml:space="preserve">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 xml:space="preserve">Activitatea grefierului în timpul şedinţei de judecată;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 xml:space="preserve">Căile extraordinare de atac;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Circuitul dosarelor după soluţionarea căilor de</w:t>
      </w:r>
      <w:r w:rsidR="00ED343D">
        <w:rPr>
          <w:rFonts w:asciiTheme="minorHAnsi" w:hAnsiTheme="minorHAnsi"/>
          <w:lang w:val="ro-RO" w:eastAsia="x-none"/>
        </w:rPr>
        <w:t xml:space="preserve"> </w:t>
      </w:r>
      <w:r w:rsidR="00E16358" w:rsidRPr="00E16358">
        <w:rPr>
          <w:rFonts w:asciiTheme="minorHAnsi" w:hAnsiTheme="minorHAnsi"/>
          <w:lang w:val="ro-RO" w:eastAsia="x-none"/>
        </w:rPr>
        <w:t xml:space="preserve">atac; </w:t>
      </w:r>
    </w:p>
    <w:p w:rsidR="00ED343D"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Termene procedurale</w:t>
      </w:r>
      <w:r w:rsidR="00ED343D">
        <w:rPr>
          <w:rFonts w:asciiTheme="minorHAnsi" w:hAnsiTheme="minorHAnsi"/>
          <w:lang w:val="ro-RO" w:eastAsia="x-none"/>
        </w:rPr>
        <w:t>.</w:t>
      </w:r>
      <w:r w:rsidR="00E16358" w:rsidRPr="00E16358">
        <w:rPr>
          <w:rFonts w:asciiTheme="minorHAnsi" w:hAnsiTheme="minorHAnsi"/>
          <w:lang w:val="ro-RO" w:eastAsia="x-none"/>
        </w:rPr>
        <w:t xml:space="preserve">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 xml:space="preserve">Nulitatea actelor de procedură;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 xml:space="preserve">Cooperarea judiciară în materie civilă; </w:t>
      </w:r>
    </w:p>
    <w:p w:rsidR="00E16358"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Răspunderea personalului auxiliar de</w:t>
      </w:r>
      <w:r w:rsidR="00ED343D">
        <w:rPr>
          <w:rFonts w:asciiTheme="minorHAnsi" w:hAnsiTheme="minorHAnsi"/>
          <w:lang w:val="ro-RO" w:eastAsia="x-none"/>
        </w:rPr>
        <w:t xml:space="preserve"> </w:t>
      </w:r>
      <w:r w:rsidR="00E16358" w:rsidRPr="00E16358">
        <w:rPr>
          <w:rFonts w:asciiTheme="minorHAnsi" w:hAnsiTheme="minorHAnsi"/>
          <w:lang w:val="ro-RO" w:eastAsia="x-none"/>
        </w:rPr>
        <w:t>specialitate. Codul deontologic.</w:t>
      </w:r>
    </w:p>
    <w:p w:rsidR="00287296" w:rsidRPr="00E16358" w:rsidRDefault="00287296" w:rsidP="00287296">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Informa</w:t>
      </w:r>
      <w:r w:rsidR="00ED343D">
        <w:rPr>
          <w:rFonts w:asciiTheme="minorHAnsi" w:hAnsiTheme="minorHAnsi"/>
          <w:lang w:val="ro-RO" w:eastAsia="x-none"/>
        </w:rPr>
        <w:t>ț</w:t>
      </w:r>
      <w:r w:rsidR="00E16358" w:rsidRPr="00E16358">
        <w:rPr>
          <w:rFonts w:asciiTheme="minorHAnsi" w:hAnsiTheme="minorHAnsi"/>
          <w:lang w:val="ro-RO" w:eastAsia="x-none"/>
        </w:rPr>
        <w:t>ii</w:t>
      </w:r>
      <w:r w:rsidR="00ED343D">
        <w:rPr>
          <w:rFonts w:asciiTheme="minorHAnsi" w:hAnsiTheme="minorHAnsi"/>
          <w:lang w:val="ro-RO" w:eastAsia="x-none"/>
        </w:rPr>
        <w:t xml:space="preserve"> </w:t>
      </w:r>
      <w:r w:rsidR="00E16358" w:rsidRPr="00E16358">
        <w:rPr>
          <w:rFonts w:asciiTheme="minorHAnsi" w:hAnsiTheme="minorHAnsi"/>
          <w:lang w:val="ro-RO" w:eastAsia="x-none"/>
        </w:rPr>
        <w:t>clas</w:t>
      </w:r>
      <w:r>
        <w:rPr>
          <w:rFonts w:asciiTheme="minorHAnsi" w:hAnsiTheme="minorHAnsi"/>
          <w:lang w:val="ro-RO" w:eastAsia="x-none"/>
        </w:rPr>
        <w:t xml:space="preserve">ificate </w:t>
      </w:r>
      <w:r w:rsidR="00E16358" w:rsidRPr="00E16358">
        <w:rPr>
          <w:rFonts w:asciiTheme="minorHAnsi" w:hAnsiTheme="minorHAnsi"/>
          <w:lang w:val="ro-RO" w:eastAsia="x-none"/>
        </w:rPr>
        <w:t xml:space="preserve">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r</w:t>
      </w:r>
      <w:r w:rsidR="00E16358" w:rsidRPr="00E16358">
        <w:rPr>
          <w:rFonts w:asciiTheme="minorHAnsi" w:hAnsiTheme="minorHAnsi"/>
          <w:lang w:val="ro-RO" w:eastAsia="x-none"/>
        </w:rPr>
        <w:t>egistrul de evidenţă privind incompatibilităţile şi alte motive care generează imposibilitatea de participare a</w:t>
      </w:r>
      <w:r w:rsidR="00ED343D">
        <w:rPr>
          <w:rFonts w:asciiTheme="minorHAnsi" w:hAnsiTheme="minorHAnsi"/>
          <w:lang w:val="ro-RO" w:eastAsia="x-none"/>
        </w:rPr>
        <w:t xml:space="preserve"> </w:t>
      </w:r>
      <w:r w:rsidR="00E16358" w:rsidRPr="00E16358">
        <w:rPr>
          <w:rFonts w:asciiTheme="minorHAnsi" w:hAnsiTheme="minorHAnsi"/>
          <w:lang w:val="ro-RO" w:eastAsia="x-none"/>
        </w:rPr>
        <w:t xml:space="preserve">judecătorilor la judecata cauzelor; </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r</w:t>
      </w:r>
      <w:r w:rsidR="00E16358" w:rsidRPr="00E16358">
        <w:rPr>
          <w:rFonts w:asciiTheme="minorHAnsi" w:hAnsiTheme="minorHAnsi"/>
          <w:lang w:val="ro-RO" w:eastAsia="x-none"/>
        </w:rPr>
        <w:t>egistrul de evidenţă a recuzărilor şi abţi</w:t>
      </w:r>
      <w:r>
        <w:rPr>
          <w:rFonts w:asciiTheme="minorHAnsi" w:hAnsiTheme="minorHAnsi"/>
          <w:lang w:val="ro-RO" w:eastAsia="x-none"/>
        </w:rPr>
        <w:t>nerilor;</w:t>
      </w:r>
    </w:p>
    <w:p w:rsidR="00287296" w:rsidRDefault="00E16358" w:rsidP="00944E24">
      <w:pPr>
        <w:spacing w:line="276" w:lineRule="auto"/>
        <w:ind w:firstLine="720"/>
        <w:jc w:val="both"/>
        <w:rPr>
          <w:rFonts w:asciiTheme="minorHAnsi" w:hAnsiTheme="minorHAnsi"/>
          <w:lang w:val="ro-RO" w:eastAsia="x-none"/>
        </w:rPr>
      </w:pPr>
      <w:r w:rsidRPr="00E16358">
        <w:rPr>
          <w:rFonts w:asciiTheme="minorHAnsi" w:hAnsiTheme="minorHAnsi"/>
          <w:lang w:val="ro-RO" w:eastAsia="x-none"/>
        </w:rPr>
        <w:t xml:space="preserve"> -</w:t>
      </w:r>
      <w:r w:rsidR="00ED343D">
        <w:rPr>
          <w:rFonts w:asciiTheme="minorHAnsi" w:hAnsiTheme="minorHAnsi"/>
          <w:lang w:val="ro-RO" w:eastAsia="x-none"/>
        </w:rPr>
        <w:t xml:space="preserve"> </w:t>
      </w:r>
      <w:r w:rsidRPr="00E16358">
        <w:rPr>
          <w:rFonts w:asciiTheme="minorHAnsi" w:hAnsiTheme="minorHAnsi"/>
          <w:lang w:val="ro-RO" w:eastAsia="x-none"/>
        </w:rPr>
        <w:t xml:space="preserve">Eliberarea certificatelor </w:t>
      </w:r>
      <w:r w:rsidR="00287296">
        <w:rPr>
          <w:rFonts w:asciiTheme="minorHAnsi" w:hAnsiTheme="minorHAnsi"/>
          <w:lang w:val="ro-RO" w:eastAsia="x-none"/>
        </w:rPr>
        <w:t>şi a copiilor de pe înscrisuri;</w:t>
      </w:r>
    </w:p>
    <w:p w:rsidR="00287296" w:rsidRDefault="00287296"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r</w:t>
      </w:r>
      <w:r w:rsidR="00E16358" w:rsidRPr="00E16358">
        <w:rPr>
          <w:rFonts w:asciiTheme="minorHAnsi" w:hAnsiTheme="minorHAnsi"/>
          <w:lang w:val="ro-RO" w:eastAsia="x-none"/>
        </w:rPr>
        <w:t xml:space="preserve">estituirea înscrisurilor originale </w:t>
      </w:r>
    </w:p>
    <w:p w:rsidR="00031750" w:rsidRDefault="00031750"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Punerea în executare a pedepselor principale</w:t>
      </w:r>
      <w:r w:rsidR="00ED343D">
        <w:rPr>
          <w:rFonts w:asciiTheme="minorHAnsi" w:hAnsiTheme="minorHAnsi"/>
          <w:lang w:val="ro-RO" w:eastAsia="x-none"/>
        </w:rPr>
        <w:t xml:space="preserve"> </w:t>
      </w:r>
      <w:r w:rsidR="00E16358" w:rsidRPr="00E16358">
        <w:rPr>
          <w:rFonts w:asciiTheme="minorHAnsi" w:hAnsiTheme="minorHAnsi"/>
          <w:lang w:val="ro-RO" w:eastAsia="x-none"/>
        </w:rPr>
        <w:t xml:space="preserve">şi complementare, </w:t>
      </w:r>
    </w:p>
    <w:p w:rsidR="00031750" w:rsidRDefault="00031750"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Calcularea datei la care a rămas definitivă hotărârea;</w:t>
      </w:r>
    </w:p>
    <w:p w:rsidR="00031750" w:rsidRDefault="00031750"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 xml:space="preserve"> Litispendenţa si</w:t>
      </w:r>
      <w:r w:rsidR="00ED343D">
        <w:rPr>
          <w:rFonts w:asciiTheme="minorHAnsi" w:hAnsiTheme="minorHAnsi"/>
          <w:lang w:val="ro-RO" w:eastAsia="x-none"/>
        </w:rPr>
        <w:t xml:space="preserve"> </w:t>
      </w:r>
      <w:r w:rsidR="00E16358" w:rsidRPr="00E16358">
        <w:rPr>
          <w:rFonts w:asciiTheme="minorHAnsi" w:hAnsiTheme="minorHAnsi"/>
          <w:lang w:val="ro-RO" w:eastAsia="x-none"/>
        </w:rPr>
        <w:t xml:space="preserve">conexarea; </w:t>
      </w:r>
    </w:p>
    <w:p w:rsidR="00B50E02" w:rsidRPr="00E16358" w:rsidRDefault="00E16358" w:rsidP="00944E24">
      <w:pPr>
        <w:spacing w:line="276" w:lineRule="auto"/>
        <w:ind w:firstLine="720"/>
        <w:jc w:val="both"/>
        <w:rPr>
          <w:rFonts w:asciiTheme="minorHAnsi" w:hAnsiTheme="minorHAnsi"/>
          <w:lang w:val="ro-RO" w:eastAsia="x-none"/>
        </w:rPr>
      </w:pPr>
      <w:r w:rsidRPr="00E16358">
        <w:rPr>
          <w:rFonts w:asciiTheme="minorHAnsi" w:hAnsiTheme="minorHAnsi"/>
          <w:lang w:val="ro-RO" w:eastAsia="x-none"/>
        </w:rPr>
        <w:t xml:space="preserve">- Procedura administrativă de punere în executare a amenzilor judiciare </w:t>
      </w:r>
    </w:p>
    <w:p w:rsidR="00E16358" w:rsidRDefault="00E16358" w:rsidP="00944E24">
      <w:pPr>
        <w:spacing w:line="276" w:lineRule="auto"/>
        <w:ind w:firstLine="720"/>
        <w:jc w:val="both"/>
        <w:rPr>
          <w:rFonts w:asciiTheme="minorHAnsi" w:hAnsiTheme="minorHAnsi"/>
          <w:lang w:val="ro-RO" w:eastAsia="x-none"/>
        </w:rPr>
      </w:pPr>
      <w:r w:rsidRPr="00E16358">
        <w:rPr>
          <w:rFonts w:asciiTheme="minorHAnsi" w:hAnsiTheme="minorHAnsi"/>
          <w:lang w:val="ro-RO" w:eastAsia="x-none"/>
        </w:rPr>
        <w:t>- protecţia prin mijloace juridice a informaţiilor</w:t>
      </w:r>
      <w:r w:rsidR="00B50E02">
        <w:rPr>
          <w:rFonts w:asciiTheme="minorHAnsi" w:hAnsiTheme="minorHAnsi"/>
          <w:lang w:val="ro-RO" w:eastAsia="x-none"/>
        </w:rPr>
        <w:t xml:space="preserve"> </w:t>
      </w:r>
      <w:r w:rsidRPr="00E16358">
        <w:rPr>
          <w:rFonts w:asciiTheme="minorHAnsi" w:hAnsiTheme="minorHAnsi"/>
          <w:lang w:val="ro-RO" w:eastAsia="x-none"/>
        </w:rPr>
        <w:t>clasificate;</w:t>
      </w:r>
    </w:p>
    <w:p w:rsidR="00031750" w:rsidRPr="00E16358" w:rsidRDefault="00031750" w:rsidP="00031750">
      <w:pPr>
        <w:spacing w:line="276" w:lineRule="auto"/>
        <w:ind w:firstLine="720"/>
        <w:jc w:val="both"/>
        <w:rPr>
          <w:rFonts w:asciiTheme="minorHAnsi" w:hAnsiTheme="minorHAnsi"/>
          <w:lang w:val="ro-RO" w:eastAsia="x-none"/>
        </w:rPr>
      </w:pPr>
      <w:r>
        <w:rPr>
          <w:rFonts w:asciiTheme="minorHAnsi" w:hAnsiTheme="minorHAnsi"/>
          <w:lang w:val="ro-RO" w:eastAsia="x-none"/>
        </w:rPr>
        <w:t>- a</w:t>
      </w:r>
      <w:r w:rsidR="00E16358" w:rsidRPr="00E16358">
        <w:rPr>
          <w:rFonts w:asciiTheme="minorHAnsi" w:hAnsiTheme="minorHAnsi"/>
          <w:lang w:val="ro-RO" w:eastAsia="x-none"/>
        </w:rPr>
        <w:t xml:space="preserve">ctivitatea desfăşurată de grefieri privind executarea mandatelor europene de arestare, </w:t>
      </w:r>
    </w:p>
    <w:p w:rsidR="00031750" w:rsidRDefault="00031750" w:rsidP="00944E24">
      <w:pPr>
        <w:spacing w:line="276" w:lineRule="auto"/>
        <w:ind w:firstLine="720"/>
        <w:jc w:val="both"/>
        <w:rPr>
          <w:rFonts w:asciiTheme="minorHAnsi" w:hAnsiTheme="minorHAnsi"/>
          <w:lang w:val="ro-RO" w:eastAsia="x-none"/>
        </w:rPr>
      </w:pPr>
      <w:r>
        <w:rPr>
          <w:rFonts w:asciiTheme="minorHAnsi" w:hAnsiTheme="minorHAnsi"/>
          <w:lang w:val="ro-RO" w:eastAsia="x-none"/>
        </w:rPr>
        <w:t xml:space="preserve">- </w:t>
      </w:r>
      <w:r w:rsidR="00E16358" w:rsidRPr="00E16358">
        <w:rPr>
          <w:rFonts w:asciiTheme="minorHAnsi" w:hAnsiTheme="minorHAnsi"/>
          <w:lang w:val="ro-RO" w:eastAsia="x-none"/>
        </w:rPr>
        <w:t>Acordul d</w:t>
      </w:r>
      <w:r>
        <w:rPr>
          <w:rFonts w:asciiTheme="minorHAnsi" w:hAnsiTheme="minorHAnsi"/>
          <w:lang w:val="ro-RO" w:eastAsia="x-none"/>
        </w:rPr>
        <w:t>e recunoaştere a vinovăţiei, etc.</w:t>
      </w:r>
    </w:p>
    <w:p w:rsidR="00625F9B" w:rsidRDefault="00625F9B" w:rsidP="00860724">
      <w:pPr>
        <w:pStyle w:val="Frspaiere"/>
        <w:spacing w:line="276" w:lineRule="auto"/>
        <w:jc w:val="both"/>
        <w:rPr>
          <w:sz w:val="24"/>
          <w:szCs w:val="24"/>
          <w:lang w:val="ro-RO"/>
        </w:rPr>
      </w:pPr>
    </w:p>
    <w:p w:rsidR="0007746A" w:rsidRDefault="0007746A" w:rsidP="00860724">
      <w:pPr>
        <w:pStyle w:val="Frspaiere"/>
        <w:spacing w:line="276" w:lineRule="auto"/>
        <w:jc w:val="both"/>
        <w:rPr>
          <w:sz w:val="24"/>
          <w:szCs w:val="24"/>
          <w:lang w:val="ro-RO"/>
        </w:rPr>
      </w:pPr>
    </w:p>
    <w:p w:rsidR="0007746A" w:rsidRDefault="0007746A" w:rsidP="00860724">
      <w:pPr>
        <w:pStyle w:val="Frspaiere"/>
        <w:spacing w:line="276" w:lineRule="auto"/>
        <w:jc w:val="both"/>
        <w:rPr>
          <w:sz w:val="24"/>
          <w:szCs w:val="24"/>
          <w:lang w:val="ro-RO"/>
        </w:rPr>
      </w:pPr>
    </w:p>
    <w:p w:rsidR="0007746A" w:rsidRDefault="0007746A" w:rsidP="00860724">
      <w:pPr>
        <w:pStyle w:val="Frspaiere"/>
        <w:spacing w:line="276" w:lineRule="auto"/>
        <w:jc w:val="both"/>
        <w:rPr>
          <w:sz w:val="24"/>
          <w:szCs w:val="24"/>
          <w:lang w:val="ro-RO"/>
        </w:rPr>
      </w:pPr>
    </w:p>
    <w:p w:rsidR="0007746A" w:rsidRDefault="0007746A" w:rsidP="00860724">
      <w:pPr>
        <w:pStyle w:val="Frspaiere"/>
        <w:spacing w:line="276" w:lineRule="auto"/>
        <w:jc w:val="both"/>
        <w:rPr>
          <w:sz w:val="24"/>
          <w:szCs w:val="24"/>
          <w:lang w:val="ro-RO"/>
        </w:rPr>
      </w:pPr>
    </w:p>
    <w:p w:rsidR="0007746A" w:rsidRDefault="0007746A" w:rsidP="00860724">
      <w:pPr>
        <w:pStyle w:val="Frspaiere"/>
        <w:spacing w:line="276" w:lineRule="auto"/>
        <w:jc w:val="both"/>
        <w:rPr>
          <w:sz w:val="24"/>
          <w:szCs w:val="24"/>
          <w:lang w:val="ro-RO"/>
        </w:rPr>
      </w:pPr>
    </w:p>
    <w:p w:rsidR="00031750" w:rsidRDefault="00450FA7" w:rsidP="000D005D">
      <w:pPr>
        <w:pStyle w:val="Titlu1"/>
      </w:pPr>
      <w:bookmarkStart w:id="86" w:name="_Toc504987141"/>
      <w:r w:rsidRPr="00860724">
        <w:t>Capitolul VI</w:t>
      </w:r>
      <w:r w:rsidR="00052FD2" w:rsidRPr="00860724">
        <w:t xml:space="preserve"> </w:t>
      </w:r>
    </w:p>
    <w:p w:rsidR="00625F9B" w:rsidRPr="00860724" w:rsidRDefault="00052FD2" w:rsidP="000D005D">
      <w:pPr>
        <w:pStyle w:val="Titlu1"/>
      </w:pPr>
      <w:r w:rsidRPr="00860724">
        <w:t xml:space="preserve">Infrastructura </w:t>
      </w:r>
      <w:r w:rsidR="00450FA7" w:rsidRPr="00860724">
        <w:t>instanţelor</w:t>
      </w:r>
      <w:bookmarkEnd w:id="86"/>
    </w:p>
    <w:p w:rsidR="000C2F4F" w:rsidRPr="00860724" w:rsidRDefault="000C2F4F" w:rsidP="0007746A">
      <w:pPr>
        <w:pStyle w:val="AddParagraf"/>
        <w:spacing w:after="0" w:line="276" w:lineRule="auto"/>
      </w:pPr>
      <w:r w:rsidRPr="00860724">
        <w:t xml:space="preserve">Bugetul justiţiei trebuie împărţit în 3 părţi  componente distincte: bugetul curţilor de apel, al tribunalelor, tribunalelor specializate şi al judecătoriilor (denumit în continuare bugetul instanţelor), bugetul ICCJ şi bugetul Ministerului Public. </w:t>
      </w:r>
    </w:p>
    <w:p w:rsidR="000C2F4F" w:rsidRPr="00860724" w:rsidRDefault="000C2F4F" w:rsidP="0007746A">
      <w:pPr>
        <w:pStyle w:val="AddParagraf"/>
        <w:spacing w:after="0" w:line="276" w:lineRule="auto"/>
      </w:pPr>
      <w:r w:rsidRPr="00860724">
        <w:t>Bugetul final aprobat pentru ICCJ în anul 2017 a fost de 116.973 mii lei, după cu urmează:</w:t>
      </w:r>
    </w:p>
    <w:p w:rsidR="000C2F4F" w:rsidRPr="00860724" w:rsidRDefault="000C2F4F" w:rsidP="0007746A">
      <w:pPr>
        <w:pStyle w:val="AddParagraf"/>
        <w:spacing w:after="0" w:line="276" w:lineRule="auto"/>
      </w:pPr>
    </w:p>
    <w:tbl>
      <w:tblPr>
        <w:tblW w:w="10060" w:type="dxa"/>
        <w:tblInd w:w="113" w:type="dxa"/>
        <w:tblLook w:val="04A0" w:firstRow="1" w:lastRow="0" w:firstColumn="1" w:lastColumn="0" w:noHBand="0" w:noVBand="1"/>
      </w:tblPr>
      <w:tblGrid>
        <w:gridCol w:w="661"/>
        <w:gridCol w:w="1602"/>
        <w:gridCol w:w="1701"/>
        <w:gridCol w:w="1740"/>
        <w:gridCol w:w="1540"/>
        <w:gridCol w:w="1398"/>
        <w:gridCol w:w="1418"/>
      </w:tblGrid>
      <w:tr w:rsidR="000C2F4F" w:rsidRPr="0007746A" w:rsidTr="00902519">
        <w:trPr>
          <w:trHeight w:val="51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Anul</w:t>
            </w:r>
          </w:p>
        </w:tc>
        <w:tc>
          <w:tcPr>
            <w:tcW w:w="1602"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Buget total (RON)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Buget total (EURO)</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Cheltuieli de personal (euro)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Bunuri si servicii (euro)</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Transferuri (euro)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Investitii (euro)</w:t>
            </w:r>
          </w:p>
        </w:tc>
      </w:tr>
      <w:tr w:rsidR="000C2F4F" w:rsidRPr="0007746A" w:rsidTr="00902519">
        <w:trPr>
          <w:trHeight w:val="255"/>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jc w:val="right"/>
              <w:rPr>
                <w:rFonts w:asciiTheme="minorHAnsi" w:hAnsiTheme="minorHAnsi" w:cstheme="minorHAnsi"/>
                <w:sz w:val="20"/>
                <w:szCs w:val="20"/>
                <w:lang w:val="ro-RO"/>
              </w:rPr>
            </w:pPr>
            <w:r w:rsidRPr="0007746A">
              <w:rPr>
                <w:rFonts w:asciiTheme="minorHAnsi" w:hAnsiTheme="minorHAnsi" w:cstheme="minorHAnsi"/>
                <w:sz w:val="20"/>
                <w:szCs w:val="20"/>
                <w:lang w:val="ro-RO"/>
              </w:rPr>
              <w:t>2017</w:t>
            </w:r>
          </w:p>
        </w:tc>
        <w:tc>
          <w:tcPr>
            <w:tcW w:w="1602"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116 973 000     </w:t>
            </w:r>
          </w:p>
        </w:tc>
        <w:tc>
          <w:tcPr>
            <w:tcW w:w="1701"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25 994 000     </w:t>
            </w:r>
          </w:p>
        </w:tc>
        <w:tc>
          <w:tcPr>
            <w:tcW w:w="174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24 079 556     </w:t>
            </w:r>
          </w:p>
        </w:tc>
        <w:tc>
          <w:tcPr>
            <w:tcW w:w="154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1 192 444     </w:t>
            </w:r>
          </w:p>
        </w:tc>
        <w:tc>
          <w:tcPr>
            <w:tcW w:w="1398"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80 889     </w:t>
            </w:r>
          </w:p>
        </w:tc>
        <w:tc>
          <w:tcPr>
            <w:tcW w:w="1418"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20"/>
                <w:szCs w:val="20"/>
                <w:lang w:val="ro-RO"/>
              </w:rPr>
            </w:pPr>
            <w:r w:rsidRPr="0007746A">
              <w:rPr>
                <w:rFonts w:asciiTheme="minorHAnsi" w:hAnsiTheme="minorHAnsi" w:cstheme="minorHAnsi"/>
                <w:sz w:val="20"/>
                <w:szCs w:val="20"/>
                <w:lang w:val="ro-RO"/>
              </w:rPr>
              <w:t xml:space="preserve">       641 111     </w:t>
            </w:r>
          </w:p>
        </w:tc>
      </w:tr>
    </w:tbl>
    <w:p w:rsidR="000C2F4F" w:rsidRPr="00860724" w:rsidRDefault="000C2F4F" w:rsidP="0007746A">
      <w:pPr>
        <w:pStyle w:val="AddParagraf"/>
        <w:spacing w:after="0" w:line="276" w:lineRule="auto"/>
        <w:ind w:firstLine="0"/>
      </w:pPr>
    </w:p>
    <w:p w:rsidR="000C2F4F" w:rsidRPr="00860724" w:rsidRDefault="000C2F4F" w:rsidP="0007746A">
      <w:pPr>
        <w:pStyle w:val="AddParagraf"/>
        <w:spacing w:after="0" w:line="276" w:lineRule="auto"/>
      </w:pPr>
      <w:r w:rsidRPr="00860724">
        <w:t xml:space="preserve">Ministerul Justiţiei (MJ) are calitatea de ordonator principal de credite pentru </w:t>
      </w:r>
      <w:r w:rsidRPr="00860724">
        <w:rPr>
          <w:i/>
        </w:rPr>
        <w:t>instanţele judecătoreşti</w:t>
      </w:r>
      <w:r w:rsidRPr="00860724">
        <w:rPr>
          <w:rStyle w:val="Referinnotdesubsol"/>
          <w:i/>
        </w:rPr>
        <w:footnoteReference w:id="4"/>
      </w:r>
      <w:r w:rsidRPr="00860724">
        <w:rPr>
          <w:b/>
        </w:rPr>
        <w:t>,</w:t>
      </w:r>
      <w:r w:rsidRPr="00860724">
        <w:t xml:space="preserve"> Administraţia Naţională a Penitenciarelor şi alte instituţii subordonate</w:t>
      </w:r>
    </w:p>
    <w:tbl>
      <w:tblPr>
        <w:tblW w:w="9113" w:type="dxa"/>
        <w:tblInd w:w="108" w:type="dxa"/>
        <w:tblLook w:val="0000" w:firstRow="0" w:lastRow="0" w:firstColumn="0" w:lastColumn="0" w:noHBand="0" w:noVBand="0"/>
      </w:tblPr>
      <w:tblGrid>
        <w:gridCol w:w="706"/>
        <w:gridCol w:w="2040"/>
        <w:gridCol w:w="278"/>
        <w:gridCol w:w="2200"/>
        <w:gridCol w:w="278"/>
        <w:gridCol w:w="1697"/>
        <w:gridCol w:w="278"/>
        <w:gridCol w:w="1636"/>
      </w:tblGrid>
      <w:tr w:rsidR="000C2F4F" w:rsidRPr="00860724" w:rsidTr="00902519">
        <w:trPr>
          <w:trHeight w:val="255"/>
        </w:trPr>
        <w:tc>
          <w:tcPr>
            <w:tcW w:w="706" w:type="dxa"/>
            <w:tcBorders>
              <w:top w:val="nil"/>
              <w:left w:val="nil"/>
              <w:bottom w:val="nil"/>
              <w:right w:val="nil"/>
            </w:tcBorders>
            <w:shd w:val="clear" w:color="auto" w:fill="auto"/>
            <w:noWrap/>
            <w:vAlign w:val="bottom"/>
          </w:tcPr>
          <w:p w:rsidR="000C2F4F" w:rsidRPr="00860724" w:rsidRDefault="000C2F4F" w:rsidP="0007746A">
            <w:pPr>
              <w:spacing w:line="276" w:lineRule="auto"/>
              <w:rPr>
                <w:rFonts w:eastAsia="SimSun" w:cs="Arial"/>
                <w:lang w:val="ro-RO" w:eastAsia="zh-CN"/>
              </w:rPr>
            </w:pPr>
          </w:p>
        </w:tc>
        <w:tc>
          <w:tcPr>
            <w:tcW w:w="6493" w:type="dxa"/>
            <w:gridSpan w:val="5"/>
            <w:tcBorders>
              <w:top w:val="nil"/>
              <w:left w:val="nil"/>
              <w:bottom w:val="nil"/>
              <w:right w:val="nil"/>
            </w:tcBorders>
            <w:shd w:val="clear" w:color="auto" w:fill="auto"/>
            <w:noWrap/>
            <w:vAlign w:val="bottom"/>
          </w:tcPr>
          <w:p w:rsidR="000C2F4F" w:rsidRPr="00860724" w:rsidRDefault="000C2F4F" w:rsidP="0007746A">
            <w:pPr>
              <w:spacing w:line="276" w:lineRule="auto"/>
              <w:rPr>
                <w:rFonts w:eastAsia="SimSun" w:cs="Arial"/>
                <w:b/>
                <w:bCs/>
                <w:lang w:val="ro-RO" w:eastAsia="zh-CN"/>
              </w:rPr>
            </w:pPr>
            <w:r w:rsidRPr="00860724">
              <w:rPr>
                <w:rFonts w:eastAsia="SimSun" w:cs="Arial"/>
                <w:b/>
                <w:bCs/>
                <w:lang w:val="ro-RO" w:eastAsia="zh-CN"/>
              </w:rPr>
              <w:t>Ponderea bugetului instantelor din bugetul MJ</w:t>
            </w:r>
          </w:p>
        </w:tc>
        <w:tc>
          <w:tcPr>
            <w:tcW w:w="278" w:type="dxa"/>
            <w:tcBorders>
              <w:top w:val="nil"/>
              <w:left w:val="nil"/>
              <w:bottom w:val="nil"/>
              <w:right w:val="nil"/>
            </w:tcBorders>
            <w:shd w:val="clear" w:color="auto" w:fill="auto"/>
            <w:noWrap/>
            <w:vAlign w:val="bottom"/>
          </w:tcPr>
          <w:p w:rsidR="000C2F4F" w:rsidRPr="00860724" w:rsidRDefault="000C2F4F" w:rsidP="0007746A">
            <w:pPr>
              <w:spacing w:line="276" w:lineRule="auto"/>
              <w:rPr>
                <w:rFonts w:eastAsia="SimSun" w:cs="Arial"/>
                <w:lang w:val="ro-RO" w:eastAsia="zh-CN"/>
              </w:rPr>
            </w:pPr>
          </w:p>
        </w:tc>
        <w:tc>
          <w:tcPr>
            <w:tcW w:w="1636" w:type="dxa"/>
            <w:tcBorders>
              <w:top w:val="nil"/>
              <w:left w:val="nil"/>
              <w:bottom w:val="nil"/>
              <w:right w:val="nil"/>
            </w:tcBorders>
            <w:shd w:val="clear" w:color="auto" w:fill="auto"/>
            <w:noWrap/>
            <w:vAlign w:val="bottom"/>
          </w:tcPr>
          <w:p w:rsidR="000C2F4F" w:rsidRPr="00860724" w:rsidRDefault="000C2F4F" w:rsidP="0007746A">
            <w:pPr>
              <w:spacing w:line="276" w:lineRule="auto"/>
              <w:rPr>
                <w:rFonts w:eastAsia="SimSun" w:cs="Arial"/>
                <w:lang w:val="ro-RO" w:eastAsia="zh-CN"/>
              </w:rPr>
            </w:pPr>
          </w:p>
        </w:tc>
      </w:tr>
      <w:tr w:rsidR="000C2F4F" w:rsidRPr="00860724" w:rsidTr="00902519">
        <w:trPr>
          <w:trHeight w:val="255"/>
        </w:trPr>
        <w:tc>
          <w:tcPr>
            <w:tcW w:w="706"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2040"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2200"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1697"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c>
          <w:tcPr>
            <w:tcW w:w="1636" w:type="dxa"/>
            <w:tcBorders>
              <w:top w:val="nil"/>
              <w:left w:val="nil"/>
              <w:bottom w:val="single" w:sz="4" w:space="0" w:color="auto"/>
              <w:right w:val="nil"/>
            </w:tcBorders>
            <w:shd w:val="clear" w:color="auto" w:fill="auto"/>
            <w:noWrap/>
            <w:vAlign w:val="bottom"/>
          </w:tcPr>
          <w:p w:rsidR="000C2F4F" w:rsidRPr="00860724" w:rsidRDefault="000C2F4F" w:rsidP="00902519">
            <w:pPr>
              <w:rPr>
                <w:rFonts w:eastAsia="SimSun" w:cs="Arial"/>
                <w:lang w:val="ro-RO" w:eastAsia="zh-CN"/>
              </w:rPr>
            </w:pPr>
          </w:p>
        </w:tc>
      </w:tr>
      <w:tr w:rsidR="000C2F4F" w:rsidRPr="00860724" w:rsidTr="00902519">
        <w:trPr>
          <w:trHeight w:val="778"/>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Anul</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Total buget MJ</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 </w:t>
            </w:r>
          </w:p>
        </w:tc>
        <w:tc>
          <w:tcPr>
            <w:tcW w:w="2200" w:type="dxa"/>
            <w:tcBorders>
              <w:top w:val="single" w:sz="4" w:space="0" w:color="auto"/>
              <w:left w:val="nil"/>
              <w:bottom w:val="single" w:sz="4" w:space="0" w:color="auto"/>
              <w:right w:val="single" w:sz="4" w:space="0" w:color="auto"/>
            </w:tcBorders>
            <w:shd w:val="clear" w:color="auto" w:fill="auto"/>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Buget instante</w:t>
            </w:r>
          </w:p>
        </w:tc>
        <w:tc>
          <w:tcPr>
            <w:tcW w:w="278" w:type="dxa"/>
            <w:tcBorders>
              <w:top w:val="single" w:sz="4" w:space="0" w:color="auto"/>
              <w:left w:val="nil"/>
              <w:bottom w:val="single" w:sz="4" w:space="0" w:color="auto"/>
              <w:right w:val="single" w:sz="4" w:space="0" w:color="auto"/>
            </w:tcBorders>
            <w:shd w:val="clear" w:color="auto" w:fill="auto"/>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 </w:t>
            </w:r>
          </w:p>
        </w:tc>
        <w:tc>
          <w:tcPr>
            <w:tcW w:w="1697" w:type="dxa"/>
            <w:tcBorders>
              <w:top w:val="single" w:sz="4" w:space="0" w:color="auto"/>
              <w:left w:val="nil"/>
              <w:bottom w:val="single" w:sz="4" w:space="0" w:color="auto"/>
              <w:right w:val="single" w:sz="4" w:space="0" w:color="auto"/>
            </w:tcBorders>
            <w:shd w:val="clear" w:color="auto" w:fill="auto"/>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Ponderea bugetului instantelor din bugetul MJ</w:t>
            </w:r>
          </w:p>
        </w:tc>
        <w:tc>
          <w:tcPr>
            <w:tcW w:w="278" w:type="dxa"/>
            <w:tcBorders>
              <w:top w:val="single" w:sz="4" w:space="0" w:color="auto"/>
              <w:left w:val="nil"/>
              <w:bottom w:val="single" w:sz="4" w:space="0" w:color="auto"/>
              <w:right w:val="single" w:sz="4" w:space="0" w:color="auto"/>
            </w:tcBorders>
            <w:shd w:val="clear" w:color="auto" w:fill="auto"/>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 </w:t>
            </w:r>
          </w:p>
        </w:tc>
        <w:tc>
          <w:tcPr>
            <w:tcW w:w="1636" w:type="dxa"/>
            <w:tcBorders>
              <w:top w:val="single" w:sz="4" w:space="0" w:color="auto"/>
              <w:left w:val="nil"/>
              <w:bottom w:val="single" w:sz="4" w:space="0" w:color="auto"/>
              <w:right w:val="single" w:sz="4" w:space="0" w:color="auto"/>
            </w:tcBorders>
            <w:shd w:val="clear" w:color="auto" w:fill="auto"/>
            <w:vAlign w:val="bottom"/>
          </w:tcPr>
          <w:p w:rsidR="000C2F4F" w:rsidRPr="00860724" w:rsidRDefault="000C2F4F" w:rsidP="00902519">
            <w:pPr>
              <w:jc w:val="center"/>
              <w:rPr>
                <w:rFonts w:eastAsia="SimSun" w:cs="Arial"/>
                <w:b/>
                <w:bCs/>
                <w:lang w:val="ro-RO" w:eastAsia="zh-CN"/>
              </w:rPr>
            </w:pPr>
            <w:r w:rsidRPr="00860724">
              <w:rPr>
                <w:rFonts w:eastAsia="SimSun" w:cs="Arial"/>
                <w:b/>
                <w:bCs/>
                <w:lang w:val="ro-RO" w:eastAsia="zh-CN"/>
              </w:rPr>
              <w:t>Evolutie</w:t>
            </w:r>
          </w:p>
        </w:tc>
      </w:tr>
      <w:tr w:rsidR="000C2F4F" w:rsidRPr="00860724" w:rsidTr="00902519">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2015</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3.345.972.000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2.075.519.000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62,03%</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w:t>
            </w:r>
          </w:p>
        </w:tc>
      </w:tr>
      <w:tr w:rsidR="000C2F4F" w:rsidRPr="00860724" w:rsidTr="00902519">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2016</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3.054.485.000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1.747.292.000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57,2%</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w:t>
            </w:r>
          </w:p>
        </w:tc>
      </w:tr>
      <w:tr w:rsidR="000C2F4F" w:rsidRPr="00860724" w:rsidTr="00902519">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2017</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3.720.184.000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2.400.877.000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eastAsia="SimSun" w:cs="Arial"/>
                <w:lang w:val="ro-RO" w:eastAsia="zh-CN"/>
              </w:rPr>
              <w:t>64,54%</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0C2F4F" w:rsidRPr="00860724" w:rsidRDefault="000C2F4F" w:rsidP="00902519">
            <w:pPr>
              <w:jc w:val="center"/>
              <w:rPr>
                <w:rFonts w:eastAsia="SimSun" w:cs="Arial"/>
                <w:lang w:val="ro-RO" w:eastAsia="zh-CN"/>
              </w:rPr>
            </w:pPr>
            <w:r w:rsidRPr="00860724">
              <w:rPr>
                <w:rFonts w:ascii="Arial" w:hAnsi="Arial" w:cs="Arial"/>
                <w:sz w:val="20"/>
                <w:szCs w:val="20"/>
                <w:lang w:val="ro-RO"/>
              </w:rPr>
              <w:t>↑</w:t>
            </w:r>
          </w:p>
        </w:tc>
      </w:tr>
    </w:tbl>
    <w:p w:rsidR="000C2F4F" w:rsidRPr="00860724" w:rsidRDefault="000C2F4F" w:rsidP="000C2F4F">
      <w:pPr>
        <w:pStyle w:val="AddParagraf"/>
        <w:spacing w:after="0"/>
        <w:ind w:right="43" w:firstLine="0"/>
        <w:rPr>
          <w:color w:val="0070C0"/>
        </w:rPr>
      </w:pPr>
    </w:p>
    <w:p w:rsidR="000C2F4F" w:rsidRPr="00860724" w:rsidRDefault="000C2F4F" w:rsidP="0007746A">
      <w:pPr>
        <w:pStyle w:val="AddParagraf"/>
        <w:spacing w:after="0" w:line="276" w:lineRule="auto"/>
        <w:rPr>
          <w:noProof/>
        </w:rPr>
      </w:pPr>
      <w:r w:rsidRPr="00860724">
        <w:t>După cum se observă, ponderea bugetului instanţelor din bugetul MJ s-a aflat în trend descendent până în anul 2016.</w:t>
      </w:r>
      <w:r w:rsidRPr="00860724">
        <w:rPr>
          <w:b/>
          <w:i/>
        </w:rPr>
        <w:t xml:space="preserve"> </w:t>
      </w:r>
      <w:r w:rsidRPr="00860724">
        <w:t>Situaţia anului 2017 diferă faţă de anul precedent, f</w:t>
      </w:r>
      <w:r w:rsidRPr="00860724">
        <w:rPr>
          <w:noProof/>
        </w:rPr>
        <w:t xml:space="preserve">ondurile bugetare alocate de la bugetul de stat instanţelor judecătoreşti fiind în proporţie de aproximativ 64,54%, restul finanţând aparatul propriu şi celelalte instituţii subordonate financiar. </w:t>
      </w:r>
    </w:p>
    <w:p w:rsidR="000C2F4F" w:rsidRPr="00860724" w:rsidRDefault="000C2F4F" w:rsidP="0007746A">
      <w:pPr>
        <w:pStyle w:val="AddParagraf"/>
        <w:spacing w:after="0" w:line="276" w:lineRule="auto"/>
        <w:rPr>
          <w:noProof/>
        </w:rPr>
      </w:pPr>
      <w:r w:rsidRPr="00860724">
        <w:rPr>
          <w:noProof/>
        </w:rPr>
        <w:t>Fondurile alocate iniţial prin Legea bugetului de stat pe anul 2016 nr.6/2017 au fost insuficiente pentru desfăşurarea în condiţii normale a activităţii instanţelor judecătoreşti pentru întreg anul 2017; cu prilejul celor două rectificări bugetare, aprobate prin Ordonanţa de urgenţă a Guvernului cu privire la rectificarea bugetului  de stat pe anul 2017, nr.63/2017 şi nr.83/2017 au fost asigurate fondurile necesare pentru funcţionarea normală în cursul anului.</w:t>
      </w:r>
    </w:p>
    <w:p w:rsidR="000C2F4F" w:rsidRPr="00860724" w:rsidRDefault="000C2F4F" w:rsidP="0007746A">
      <w:pPr>
        <w:pStyle w:val="AddParagraf"/>
        <w:spacing w:after="0" w:line="276" w:lineRule="auto"/>
      </w:pPr>
      <w:r w:rsidRPr="00860724">
        <w:t>Referindu-ne doar la bugetul curţilor</w:t>
      </w:r>
      <w:bookmarkStart w:id="87" w:name="_Toc243705536"/>
      <w:bookmarkStart w:id="88" w:name="_Toc243705610"/>
      <w:bookmarkStart w:id="89" w:name="_Toc244328799"/>
      <w:r w:rsidRPr="00860724">
        <w:t xml:space="preserve">, din tabelul următor rezultă în mod clar valorile alocate anual: </w:t>
      </w:r>
      <w:r w:rsidRPr="00860724">
        <w:tab/>
      </w:r>
    </w:p>
    <w:p w:rsidR="000C2F4F" w:rsidRPr="00860724" w:rsidRDefault="000C2F4F" w:rsidP="0007746A">
      <w:pPr>
        <w:pStyle w:val="AddParagraf"/>
        <w:spacing w:after="0" w:line="276" w:lineRule="auto"/>
      </w:pPr>
      <w:r w:rsidRPr="00860724">
        <w:t>Dinamica bugetului curţilor 2015 - 2017 (în euro)</w:t>
      </w:r>
    </w:p>
    <w:tbl>
      <w:tblPr>
        <w:tblW w:w="9970" w:type="dxa"/>
        <w:tblInd w:w="113" w:type="dxa"/>
        <w:tblLook w:val="04A0" w:firstRow="1" w:lastRow="0" w:firstColumn="1" w:lastColumn="0" w:noHBand="0" w:noVBand="1"/>
      </w:tblPr>
      <w:tblGrid>
        <w:gridCol w:w="704"/>
        <w:gridCol w:w="1587"/>
        <w:gridCol w:w="361"/>
        <w:gridCol w:w="1641"/>
        <w:gridCol w:w="361"/>
        <w:gridCol w:w="1385"/>
        <w:gridCol w:w="361"/>
        <w:gridCol w:w="1420"/>
        <w:gridCol w:w="460"/>
        <w:gridCol w:w="1489"/>
        <w:gridCol w:w="361"/>
      </w:tblGrid>
      <w:tr w:rsidR="000C2F4F" w:rsidRPr="0007746A" w:rsidTr="00902519">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jc w:val="cente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Anul</w:t>
            </w:r>
          </w:p>
        </w:tc>
        <w:tc>
          <w:tcPr>
            <w:tcW w:w="190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C2F4F" w:rsidRPr="0007746A" w:rsidRDefault="000C2F4F" w:rsidP="00902519">
            <w:pPr>
              <w:jc w:val="cente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Instante</w:t>
            </w:r>
          </w:p>
        </w:tc>
        <w:tc>
          <w:tcPr>
            <w:tcW w:w="195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C2F4F" w:rsidRPr="0007746A" w:rsidRDefault="000C2F4F" w:rsidP="00902519">
            <w:pPr>
              <w:jc w:val="cente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Cheltuieli de personal</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C2F4F" w:rsidRPr="0007746A" w:rsidRDefault="000C2F4F" w:rsidP="00902519">
            <w:pPr>
              <w:jc w:val="cente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Bunuri si servicii</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0C2F4F" w:rsidRPr="0007746A" w:rsidRDefault="000C2F4F" w:rsidP="00902519">
            <w:pP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 xml:space="preserve">Transferuri </w:t>
            </w:r>
          </w:p>
        </w:tc>
        <w:tc>
          <w:tcPr>
            <w:tcW w:w="460" w:type="dxa"/>
            <w:tcBorders>
              <w:top w:val="single" w:sz="4" w:space="0" w:color="auto"/>
              <w:left w:val="nil"/>
              <w:bottom w:val="single" w:sz="4" w:space="0" w:color="auto"/>
              <w:right w:val="single" w:sz="4" w:space="0" w:color="auto"/>
            </w:tcBorders>
            <w:shd w:val="clear" w:color="auto" w:fill="auto"/>
            <w:vAlign w:val="bottom"/>
            <w:hideMark/>
          </w:tcPr>
          <w:p w:rsidR="000C2F4F" w:rsidRPr="0007746A" w:rsidRDefault="000C2F4F" w:rsidP="00902519">
            <w:pP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 </w:t>
            </w:r>
          </w:p>
        </w:tc>
        <w:tc>
          <w:tcPr>
            <w:tcW w:w="182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C2F4F" w:rsidRPr="0007746A" w:rsidRDefault="000C2F4F" w:rsidP="00902519">
            <w:pPr>
              <w:jc w:val="center"/>
              <w:rPr>
                <w:rFonts w:asciiTheme="minorHAnsi" w:hAnsiTheme="minorHAnsi" w:cstheme="minorHAnsi"/>
                <w:b/>
                <w:bCs/>
                <w:sz w:val="16"/>
                <w:szCs w:val="16"/>
                <w:lang w:val="ro-RO"/>
              </w:rPr>
            </w:pPr>
            <w:r w:rsidRPr="0007746A">
              <w:rPr>
                <w:rFonts w:asciiTheme="minorHAnsi" w:hAnsiTheme="minorHAnsi" w:cstheme="minorHAnsi"/>
                <w:b/>
                <w:bCs/>
                <w:sz w:val="16"/>
                <w:szCs w:val="16"/>
                <w:lang w:val="ro-RO"/>
              </w:rPr>
              <w:t>Investitii</w:t>
            </w:r>
          </w:p>
        </w:tc>
      </w:tr>
      <w:tr w:rsidR="000C2F4F" w:rsidRPr="0007746A" w:rsidTr="00902519">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1587"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1641"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1385"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142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46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1489"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c>
          <w:tcPr>
            <w:tcW w:w="33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w:t>
            </w:r>
          </w:p>
        </w:tc>
      </w:tr>
      <w:tr w:rsidR="000C2F4F" w:rsidRPr="0007746A" w:rsidTr="00902519">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jc w:val="right"/>
              <w:rPr>
                <w:rFonts w:asciiTheme="minorHAnsi" w:hAnsiTheme="minorHAnsi" w:cstheme="minorHAnsi"/>
                <w:sz w:val="16"/>
                <w:szCs w:val="16"/>
                <w:lang w:val="ro-RO"/>
              </w:rPr>
            </w:pPr>
            <w:r w:rsidRPr="0007746A">
              <w:rPr>
                <w:rFonts w:asciiTheme="minorHAnsi" w:hAnsiTheme="minorHAnsi" w:cstheme="minorHAnsi"/>
                <w:sz w:val="16"/>
                <w:szCs w:val="16"/>
                <w:lang w:val="ro-RO"/>
              </w:rPr>
              <w:t>2015</w:t>
            </w:r>
          </w:p>
        </w:tc>
        <w:tc>
          <w:tcPr>
            <w:tcW w:w="1587"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462 681 757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641"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401 506 306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385"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38 865 090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2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14 364 865     </w:t>
            </w:r>
          </w:p>
        </w:tc>
        <w:tc>
          <w:tcPr>
            <w:tcW w:w="46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89"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7 945 495     </w:t>
            </w:r>
          </w:p>
        </w:tc>
        <w:tc>
          <w:tcPr>
            <w:tcW w:w="33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r>
      <w:tr w:rsidR="000C2F4F" w:rsidRPr="0007746A" w:rsidTr="00902519">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jc w:val="right"/>
              <w:rPr>
                <w:rFonts w:asciiTheme="minorHAnsi" w:hAnsiTheme="minorHAnsi" w:cstheme="minorHAnsi"/>
                <w:sz w:val="16"/>
                <w:szCs w:val="16"/>
                <w:lang w:val="ro-RO"/>
              </w:rPr>
            </w:pPr>
            <w:r w:rsidRPr="0007746A">
              <w:rPr>
                <w:rFonts w:asciiTheme="minorHAnsi" w:hAnsiTheme="minorHAnsi" w:cstheme="minorHAnsi"/>
                <w:sz w:val="16"/>
                <w:szCs w:val="16"/>
                <w:lang w:val="ro-RO"/>
              </w:rPr>
              <w:t>2016</w:t>
            </w:r>
          </w:p>
        </w:tc>
        <w:tc>
          <w:tcPr>
            <w:tcW w:w="1587"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388 287 111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641"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320 029 556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385"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40 222 444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2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22 187 778     </w:t>
            </w:r>
          </w:p>
        </w:tc>
        <w:tc>
          <w:tcPr>
            <w:tcW w:w="46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89"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5 847 333     </w:t>
            </w:r>
          </w:p>
        </w:tc>
        <w:tc>
          <w:tcPr>
            <w:tcW w:w="33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r>
      <w:tr w:rsidR="000C2F4F" w:rsidRPr="0007746A" w:rsidTr="00902519">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C2F4F" w:rsidRPr="0007746A" w:rsidRDefault="000C2F4F" w:rsidP="00902519">
            <w:pPr>
              <w:jc w:val="right"/>
              <w:rPr>
                <w:rFonts w:asciiTheme="minorHAnsi" w:hAnsiTheme="minorHAnsi" w:cstheme="minorHAnsi"/>
                <w:sz w:val="16"/>
                <w:szCs w:val="16"/>
                <w:lang w:val="ro-RO"/>
              </w:rPr>
            </w:pPr>
            <w:r w:rsidRPr="0007746A">
              <w:rPr>
                <w:rFonts w:asciiTheme="minorHAnsi" w:hAnsiTheme="minorHAnsi" w:cstheme="minorHAnsi"/>
                <w:sz w:val="16"/>
                <w:szCs w:val="16"/>
                <w:lang w:val="ro-RO"/>
              </w:rPr>
              <w:t>2017</w:t>
            </w:r>
          </w:p>
        </w:tc>
        <w:tc>
          <w:tcPr>
            <w:tcW w:w="1587"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533 528 222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641"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473 061 556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385"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38 608 000     </w:t>
            </w:r>
          </w:p>
        </w:tc>
        <w:tc>
          <w:tcPr>
            <w:tcW w:w="31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2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16 697 111     </w:t>
            </w:r>
          </w:p>
        </w:tc>
        <w:tc>
          <w:tcPr>
            <w:tcW w:w="460"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c>
          <w:tcPr>
            <w:tcW w:w="1489"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5 161 556     </w:t>
            </w:r>
          </w:p>
        </w:tc>
        <w:tc>
          <w:tcPr>
            <w:tcW w:w="336" w:type="dxa"/>
            <w:tcBorders>
              <w:top w:val="nil"/>
              <w:left w:val="nil"/>
              <w:bottom w:val="single" w:sz="4" w:space="0" w:color="auto"/>
              <w:right w:val="single" w:sz="4" w:space="0" w:color="auto"/>
            </w:tcBorders>
            <w:shd w:val="clear" w:color="auto" w:fill="auto"/>
            <w:noWrap/>
            <w:vAlign w:val="bottom"/>
            <w:hideMark/>
          </w:tcPr>
          <w:p w:rsidR="000C2F4F" w:rsidRPr="0007746A" w:rsidRDefault="000C2F4F" w:rsidP="00902519">
            <w:pPr>
              <w:rPr>
                <w:rFonts w:asciiTheme="minorHAnsi" w:hAnsiTheme="minorHAnsi" w:cstheme="minorHAnsi"/>
                <w:sz w:val="16"/>
                <w:szCs w:val="16"/>
                <w:lang w:val="ro-RO"/>
              </w:rPr>
            </w:pPr>
            <w:r w:rsidRPr="0007746A">
              <w:rPr>
                <w:rFonts w:asciiTheme="minorHAnsi" w:hAnsiTheme="minorHAnsi" w:cstheme="minorHAnsi"/>
                <w:sz w:val="16"/>
                <w:szCs w:val="16"/>
                <w:lang w:val="ro-RO"/>
              </w:rPr>
              <w:t xml:space="preserve"> ↓ </w:t>
            </w:r>
          </w:p>
        </w:tc>
      </w:tr>
    </w:tbl>
    <w:p w:rsidR="000C2F4F" w:rsidRPr="00860724" w:rsidRDefault="000C2F4F" w:rsidP="000C2F4F">
      <w:pPr>
        <w:pStyle w:val="AddParagraf"/>
        <w:spacing w:after="0"/>
        <w:ind w:right="43" w:firstLine="0"/>
        <w:rPr>
          <w:color w:val="0070C0"/>
        </w:rPr>
      </w:pPr>
      <w:bookmarkStart w:id="90" w:name="_Toc243705538"/>
      <w:bookmarkStart w:id="91" w:name="_Toc243705612"/>
      <w:bookmarkStart w:id="92" w:name="_Toc244328801"/>
      <w:bookmarkEnd w:id="87"/>
      <w:bookmarkEnd w:id="88"/>
      <w:bookmarkEnd w:id="89"/>
    </w:p>
    <w:p w:rsidR="000C2F4F" w:rsidRPr="00860724" w:rsidRDefault="000C2F4F" w:rsidP="0007746A">
      <w:pPr>
        <w:pStyle w:val="AddParagraf"/>
        <w:spacing w:after="0" w:line="276" w:lineRule="auto"/>
        <w:ind w:right="43" w:firstLine="706"/>
      </w:pPr>
      <w:r w:rsidRPr="00860724">
        <w:t>La partea de transferuri au fost incluse celelalte titluri de cheltuieli, respectiv cheltuielile cu proiectele finanţate din fonduri externe nerambursabile postaderare, programe cu finanţare rambursabilă, etc.</w:t>
      </w:r>
    </w:p>
    <w:p w:rsidR="000C2F4F" w:rsidRPr="00860724" w:rsidRDefault="000C2F4F" w:rsidP="0007746A">
      <w:pPr>
        <w:pStyle w:val="AddParagraf"/>
        <w:spacing w:after="0" w:line="276" w:lineRule="auto"/>
      </w:pPr>
      <w:r w:rsidRPr="00860724">
        <w:t>Pentru o analiză comparativă, în graficul de mai jos este prezentată alocarea bugetului în</w:t>
      </w:r>
      <w:bookmarkStart w:id="93" w:name="_Toc243705539"/>
      <w:bookmarkStart w:id="94" w:name="_Toc243705613"/>
      <w:bookmarkStart w:id="95" w:name="_Toc244328802"/>
      <w:bookmarkEnd w:id="90"/>
      <w:bookmarkEnd w:id="91"/>
      <w:bookmarkEnd w:id="92"/>
      <w:r w:rsidRPr="00860724">
        <w:t xml:space="preserve"> perioada de referinţă.</w:t>
      </w:r>
    </w:p>
    <w:p w:rsidR="000C2F4F" w:rsidRPr="00860724" w:rsidRDefault="000C2F4F" w:rsidP="000C2F4F">
      <w:pPr>
        <w:pStyle w:val="AddParagraf"/>
        <w:spacing w:after="0"/>
        <w:rPr>
          <w:color w:val="0070C0"/>
        </w:rPr>
      </w:pPr>
    </w:p>
    <w:p w:rsidR="000C2F4F" w:rsidRPr="00860724" w:rsidRDefault="000C2F4F" w:rsidP="000C2F4F">
      <w:pPr>
        <w:pStyle w:val="AddParagraf"/>
        <w:spacing w:after="0"/>
        <w:rPr>
          <w:color w:val="0070C0"/>
        </w:rPr>
      </w:pPr>
      <w:r w:rsidRPr="00860724">
        <w:rPr>
          <w:noProof/>
          <w:lang w:eastAsia="ro-RO"/>
        </w:rPr>
        <w:drawing>
          <wp:inline distT="0" distB="0" distL="0" distR="0">
            <wp:extent cx="3514725" cy="1597025"/>
            <wp:effectExtent l="0" t="0" r="9525" b="3175"/>
            <wp:docPr id="43" name="Diagramă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0C2F4F" w:rsidRPr="00860724" w:rsidRDefault="000C2F4F" w:rsidP="000C2F4F">
      <w:pPr>
        <w:pStyle w:val="AddParagraf"/>
        <w:spacing w:after="0"/>
        <w:ind w:firstLine="0"/>
        <w:rPr>
          <w:color w:val="0070C0"/>
        </w:rPr>
      </w:pPr>
    </w:p>
    <w:p w:rsidR="000C2F4F" w:rsidRPr="00860724" w:rsidRDefault="000C2F4F" w:rsidP="0007746A">
      <w:pPr>
        <w:pStyle w:val="AddParagraf"/>
        <w:spacing w:after="0" w:line="276" w:lineRule="auto"/>
        <w:ind w:right="43" w:firstLine="706"/>
      </w:pPr>
      <w:r w:rsidRPr="00860724">
        <w:t>Potrivit datelor  de mai sus, o pondere semnificativa în bugetul instanţelor o au cheltuielile de personal.</w:t>
      </w:r>
    </w:p>
    <w:p w:rsidR="000C2F4F" w:rsidRPr="00860724" w:rsidRDefault="000C2F4F" w:rsidP="000C2F4F">
      <w:pPr>
        <w:pStyle w:val="AddParagraf"/>
        <w:spacing w:after="0"/>
        <w:ind w:right="43" w:firstLine="706"/>
        <w:rPr>
          <w:noProof/>
        </w:rPr>
      </w:pPr>
      <w:r w:rsidRPr="00860724">
        <w:rPr>
          <w:noProof/>
          <w:lang w:eastAsia="ro-RO"/>
        </w:rPr>
        <w:drawing>
          <wp:inline distT="0" distB="0" distL="0" distR="0">
            <wp:extent cx="3497580" cy="1630680"/>
            <wp:effectExtent l="0" t="0" r="7620" b="7620"/>
            <wp:docPr id="42" name="Diagramă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0C2F4F" w:rsidRPr="00860724" w:rsidRDefault="000C2F4F" w:rsidP="000C2F4F">
      <w:pPr>
        <w:pStyle w:val="AddParagraf"/>
        <w:spacing w:after="0"/>
        <w:ind w:right="43" w:firstLine="0"/>
        <w:rPr>
          <w:color w:val="0070C0"/>
        </w:rPr>
      </w:pPr>
    </w:p>
    <w:p w:rsidR="000C2F4F" w:rsidRPr="00860724" w:rsidRDefault="000C2F4F" w:rsidP="000C2F4F">
      <w:pPr>
        <w:rPr>
          <w:color w:val="0070C0"/>
          <w:lang w:val="ro-RO"/>
        </w:rPr>
      </w:pPr>
    </w:p>
    <w:p w:rsidR="000C2F4F" w:rsidRPr="00860724" w:rsidRDefault="000C2F4F" w:rsidP="0007746A">
      <w:pPr>
        <w:pStyle w:val="AddParagraf"/>
        <w:spacing w:after="0" w:line="276" w:lineRule="auto"/>
        <w:rPr>
          <w:noProof/>
        </w:rPr>
      </w:pPr>
      <w:r w:rsidRPr="00860724">
        <w:rPr>
          <w:noProof/>
        </w:rPr>
        <w:t>Bugetul alocat instanţelor în anul 2017 a înregistrat o creştere faţă de anul 2016, în principal datorită faptului că în anul 2017 au fost alocate cu ocazia rectificărilor bugetare fonduri suplimentare pentru:</w:t>
      </w:r>
    </w:p>
    <w:p w:rsidR="000C2F4F" w:rsidRPr="00860724" w:rsidRDefault="000C2F4F" w:rsidP="0007746A">
      <w:pPr>
        <w:pStyle w:val="AddParagraf"/>
        <w:numPr>
          <w:ilvl w:val="0"/>
          <w:numId w:val="34"/>
        </w:numPr>
        <w:tabs>
          <w:tab w:val="left" w:pos="851"/>
        </w:tabs>
        <w:spacing w:after="0" w:line="276" w:lineRule="auto"/>
        <w:ind w:left="0" w:firstLine="709"/>
        <w:rPr>
          <w:noProof/>
        </w:rPr>
      </w:pPr>
      <w:r w:rsidRPr="00860724">
        <w:rPr>
          <w:noProof/>
        </w:rPr>
        <w:t>achitarea diferenţelor salariale generate de punerea în aplicare a Deciziei nr.23/2016 pronunţată de Înalta Curte de Casaţie şi Justiţie, respectiv recalcularea, începând cu data de 9 aprilie 2015 a indemnizaţiei de încadrare brută lunară/salariilor de bază şi a sporurilor pentru personalul din cadrul instanţelor judecătoreşti, la nivel maxim pentru fiecare funcţie, grad, gradaţie şi vechime în funcţie, conform O.U.G. nr.83/2014;</w:t>
      </w:r>
    </w:p>
    <w:p w:rsidR="000C2F4F" w:rsidRPr="00860724" w:rsidRDefault="000C2F4F" w:rsidP="0007746A">
      <w:pPr>
        <w:pStyle w:val="AddParagraf"/>
        <w:numPr>
          <w:ilvl w:val="0"/>
          <w:numId w:val="34"/>
        </w:numPr>
        <w:tabs>
          <w:tab w:val="left" w:pos="851"/>
        </w:tabs>
        <w:spacing w:after="0" w:line="276" w:lineRule="auto"/>
        <w:ind w:left="0" w:firstLine="709"/>
        <w:rPr>
          <w:noProof/>
        </w:rPr>
      </w:pPr>
      <w:r w:rsidRPr="00860724">
        <w:rPr>
          <w:noProof/>
        </w:rPr>
        <w:t>achitarea diferenţelor salariale generate de punerea în aplicare a Deciziei Curţii Constituţionale nr.794/15.12.2016 prin care s-a constatat necontituţionalitatea dispoziţiilor art.3</w:t>
      </w:r>
      <w:r w:rsidRPr="00860724">
        <w:rPr>
          <w:noProof/>
          <w:vertAlign w:val="superscript"/>
        </w:rPr>
        <w:t xml:space="preserve">1 </w:t>
      </w:r>
      <w:r w:rsidRPr="00860724">
        <w:rPr>
          <w:noProof/>
        </w:rPr>
        <w:t>alin.(1</w:t>
      </w:r>
      <w:r w:rsidRPr="00860724">
        <w:rPr>
          <w:noProof/>
          <w:vertAlign w:val="superscript"/>
        </w:rPr>
        <w:t>2</w:t>
      </w:r>
      <w:r w:rsidRPr="00860724">
        <w:rPr>
          <w:noProof/>
        </w:rPr>
        <w:t>) din O.U.G. nr.57/2015, respectiv recalcularea, începând cu data de 1 august 2016, a indemnizaţiei de încadrare brută lunară a judecătorilor, asistenţilor judiciari şi a personalului de specialitate juridică asimilat magistraţilor din cadrul instanţelor judecătoreşti prin raportare la o valoare de referinţă sectorială de  381,823 lei pentru perioada 01.08 - 30.09.2016;</w:t>
      </w:r>
    </w:p>
    <w:p w:rsidR="000C2F4F" w:rsidRPr="00860724" w:rsidRDefault="000C2F4F" w:rsidP="0007746A">
      <w:pPr>
        <w:pStyle w:val="AddParagraf"/>
        <w:numPr>
          <w:ilvl w:val="0"/>
          <w:numId w:val="34"/>
        </w:numPr>
        <w:tabs>
          <w:tab w:val="left" w:pos="851"/>
        </w:tabs>
        <w:spacing w:after="0" w:line="276" w:lineRule="auto"/>
        <w:ind w:left="0" w:firstLine="709"/>
        <w:rPr>
          <w:noProof/>
        </w:rPr>
      </w:pPr>
      <w:r w:rsidRPr="00860724">
        <w:rPr>
          <w:noProof/>
        </w:rPr>
        <w:t xml:space="preserve"> achitarea diferenţelor salariale generate de punerea în aplicare a Deciziei Curţii Constituţionale nr.794/15.12.2016 prin care s-a constatat necontituţionalitatea dispoziţiilor art.3</w:t>
      </w:r>
      <w:r w:rsidRPr="00860724">
        <w:rPr>
          <w:noProof/>
          <w:vertAlign w:val="superscript"/>
        </w:rPr>
        <w:t xml:space="preserve">1 </w:t>
      </w:r>
      <w:r w:rsidRPr="00860724">
        <w:rPr>
          <w:noProof/>
        </w:rPr>
        <w:t>alin.(1</w:t>
      </w:r>
      <w:r w:rsidRPr="00860724">
        <w:rPr>
          <w:noProof/>
          <w:vertAlign w:val="superscript"/>
        </w:rPr>
        <w:t>2</w:t>
      </w:r>
      <w:r w:rsidRPr="00860724">
        <w:rPr>
          <w:noProof/>
        </w:rPr>
        <w:t>) din O.U.G. nr.57/2015, respectiv recalcularea, începând cu data de 1 octombrie 2016, a indemnizaţiei de încadrare brută lunară pentru personalul din cadrul instanţelor judecătoreşti prin raportare la o valoare de referinţă sectorială de  445,5 lei pentru perioada 01.10 - 31.12.2016;</w:t>
      </w:r>
    </w:p>
    <w:p w:rsidR="000C2F4F" w:rsidRPr="00860724" w:rsidRDefault="000C2F4F" w:rsidP="0007746A">
      <w:pPr>
        <w:pStyle w:val="AddParagraf"/>
        <w:numPr>
          <w:ilvl w:val="0"/>
          <w:numId w:val="34"/>
        </w:numPr>
        <w:tabs>
          <w:tab w:val="left" w:pos="851"/>
        </w:tabs>
        <w:spacing w:after="0" w:line="276" w:lineRule="auto"/>
        <w:ind w:left="0" w:firstLine="709"/>
        <w:rPr>
          <w:noProof/>
        </w:rPr>
      </w:pPr>
      <w:r w:rsidRPr="00860724">
        <w:rPr>
          <w:noProof/>
        </w:rPr>
        <w:t>achitarea tranşelor  aferente hotărârilor judecătoreşti având ca obiect drepturi de natură salarială stabilite în favoarea personalului din sistemului justiţiei – 5%, 10%, 25%, 35% în funcţie de data la care acestea au devenit executorii;</w:t>
      </w:r>
    </w:p>
    <w:p w:rsidR="000C2F4F" w:rsidRPr="00860724" w:rsidRDefault="000C2F4F" w:rsidP="0007746A">
      <w:pPr>
        <w:pStyle w:val="AddParagraf"/>
        <w:numPr>
          <w:ilvl w:val="0"/>
          <w:numId w:val="34"/>
        </w:numPr>
        <w:tabs>
          <w:tab w:val="left" w:pos="851"/>
        </w:tabs>
        <w:spacing w:after="0" w:line="276" w:lineRule="auto"/>
        <w:ind w:left="0" w:firstLine="709"/>
        <w:rPr>
          <w:noProof/>
        </w:rPr>
      </w:pPr>
      <w:r w:rsidRPr="00860724">
        <w:rPr>
          <w:noProof/>
        </w:rPr>
        <w:t xml:space="preserve"> achitarea unor sume reprezentând titluri executorii stabilite prin lamurirea înţelesului dispozitivului unor sentinţe anterioare în sensul că tranşele de indexare  de 2%,  5% ţi 11% au fost şi rămân incluse în indemnizaţia de încadrare lunară.</w:t>
      </w:r>
    </w:p>
    <w:p w:rsidR="000C2F4F" w:rsidRPr="00860724" w:rsidRDefault="000C2F4F" w:rsidP="0007746A">
      <w:pPr>
        <w:spacing w:line="276" w:lineRule="auto"/>
        <w:ind w:firstLine="720"/>
        <w:jc w:val="both"/>
        <w:rPr>
          <w:lang w:val="ro-RO"/>
        </w:rPr>
      </w:pPr>
      <w:r w:rsidRPr="00860724">
        <w:rPr>
          <w:lang w:val="ro-RO"/>
        </w:rPr>
        <w:t xml:space="preserve">În cadrul bugetului instanţelor, analiza reflectă o atenţie continuă acordată bunurilor şi serviciilor. </w:t>
      </w:r>
    </w:p>
    <w:p w:rsidR="000C2F4F" w:rsidRPr="00860724" w:rsidRDefault="000C2F4F" w:rsidP="000C2F4F">
      <w:pPr>
        <w:ind w:firstLine="720"/>
        <w:jc w:val="both"/>
        <w:rPr>
          <w:color w:val="0070C0"/>
          <w:lang w:val="ro-RO"/>
        </w:rPr>
      </w:pPr>
      <w:r w:rsidRPr="00860724">
        <w:rPr>
          <w:noProof/>
          <w:lang w:val="ro-RO" w:eastAsia="ro-RO"/>
        </w:rPr>
        <w:drawing>
          <wp:inline distT="0" distB="0" distL="0" distR="0">
            <wp:extent cx="3590290" cy="1592580"/>
            <wp:effectExtent l="0" t="0" r="10160" b="7620"/>
            <wp:docPr id="41" name="Diagramă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0C2F4F" w:rsidRPr="00860724" w:rsidRDefault="000C2F4F" w:rsidP="000C2F4F">
      <w:pPr>
        <w:spacing w:before="60"/>
        <w:rPr>
          <w:rFonts w:cs="Arial"/>
          <w:color w:val="0070C0"/>
          <w:lang w:val="ro-RO"/>
        </w:rPr>
      </w:pPr>
    </w:p>
    <w:p w:rsidR="000C2F4F" w:rsidRPr="00860724" w:rsidRDefault="000C2F4F" w:rsidP="0007746A">
      <w:pPr>
        <w:spacing w:before="60" w:line="276" w:lineRule="auto"/>
        <w:ind w:firstLine="720"/>
        <w:jc w:val="both"/>
        <w:rPr>
          <w:lang w:val="ro-RO"/>
        </w:rPr>
      </w:pPr>
      <w:r w:rsidRPr="00860724">
        <w:rPr>
          <w:rFonts w:cs="Arial"/>
          <w:lang w:val="ro-RO"/>
        </w:rPr>
        <w:t>Creditele bugetare alocate instanţelor judecătoreşti pentru cheltuielile cu bunuri şi servicii î</w:t>
      </w:r>
      <w:r w:rsidRPr="00860724">
        <w:rPr>
          <w:lang w:val="ro-RO"/>
        </w:rPr>
        <w:t xml:space="preserve">n anul 2017 au înregistrat o diminuare faţă de anul precedent. De asemenea, cu ocazia primei rectificări bugetare au fost diminuate prevederile bugetare cu suma de 7.676 mii lei. Ministerul Finanţelor Publice a avut în vedere execuţia bugetară la nivelul primului semestru al anului 2017. Cu ocazia ceie de a doua rectificări bugetare au fost suplimentate creditele bugetare alocate instanţelor judecătoreşti cu suma de 2.636 mii lei. </w:t>
      </w:r>
    </w:p>
    <w:p w:rsidR="000C2F4F" w:rsidRPr="00860724" w:rsidRDefault="000C2F4F" w:rsidP="0007746A">
      <w:pPr>
        <w:spacing w:before="60" w:line="276" w:lineRule="auto"/>
        <w:ind w:firstLine="720"/>
        <w:jc w:val="both"/>
        <w:rPr>
          <w:lang w:val="ro-RO"/>
        </w:rPr>
      </w:pPr>
      <w:r w:rsidRPr="00860724">
        <w:rPr>
          <w:lang w:val="ro-RO"/>
        </w:rPr>
        <w:t>Fondurile alocate suplimentar instanţelor cu prilejul rectificării bugetare au fost necesare pentru:</w:t>
      </w:r>
    </w:p>
    <w:p w:rsidR="000C2F4F" w:rsidRPr="00860724" w:rsidRDefault="000C2F4F" w:rsidP="0007746A">
      <w:pPr>
        <w:numPr>
          <w:ilvl w:val="0"/>
          <w:numId w:val="33"/>
        </w:numPr>
        <w:spacing w:before="60" w:line="276" w:lineRule="auto"/>
        <w:ind w:left="851" w:hanging="142"/>
        <w:jc w:val="both"/>
        <w:rPr>
          <w:lang w:val="ro-RO"/>
        </w:rPr>
      </w:pPr>
      <w:r w:rsidRPr="00860724">
        <w:rPr>
          <w:lang w:val="ro-RO"/>
        </w:rPr>
        <w:t>plata facturilor de utilităţi (energie electrică, termică, apa, canal, salubritate);</w:t>
      </w:r>
    </w:p>
    <w:p w:rsidR="000C2F4F" w:rsidRPr="00860724" w:rsidRDefault="000C2F4F" w:rsidP="0007746A">
      <w:pPr>
        <w:pStyle w:val="AddParagraf"/>
        <w:numPr>
          <w:ilvl w:val="0"/>
          <w:numId w:val="33"/>
        </w:numPr>
        <w:tabs>
          <w:tab w:val="left" w:pos="851"/>
        </w:tabs>
        <w:spacing w:after="0" w:line="276" w:lineRule="auto"/>
        <w:ind w:left="0" w:firstLine="709"/>
      </w:pPr>
      <w:r w:rsidRPr="00860724">
        <w:t>achitarea contravalorii chiriei pentru spaţiile închiriate necesare funcţionării instanţelor sau pentru depozitare;</w:t>
      </w:r>
    </w:p>
    <w:p w:rsidR="000C2F4F" w:rsidRPr="00860724" w:rsidRDefault="000C2F4F" w:rsidP="0007746A">
      <w:pPr>
        <w:pStyle w:val="AddParagraf"/>
        <w:numPr>
          <w:ilvl w:val="0"/>
          <w:numId w:val="33"/>
        </w:numPr>
        <w:tabs>
          <w:tab w:val="left" w:pos="851"/>
        </w:tabs>
        <w:spacing w:after="0" w:line="276" w:lineRule="auto"/>
        <w:ind w:left="0" w:firstLine="709"/>
      </w:pPr>
      <w:r w:rsidRPr="00860724">
        <w:t>efectuarea controalelor medicale periodice personalului din sistemul justiţiei în lunile noiembrie - decembrie;</w:t>
      </w:r>
    </w:p>
    <w:p w:rsidR="000C2F4F" w:rsidRPr="00860724" w:rsidRDefault="000C2F4F" w:rsidP="0007746A">
      <w:pPr>
        <w:pStyle w:val="AddParagraf"/>
        <w:numPr>
          <w:ilvl w:val="0"/>
          <w:numId w:val="33"/>
        </w:numPr>
        <w:tabs>
          <w:tab w:val="left" w:pos="851"/>
        </w:tabs>
        <w:spacing w:after="0" w:line="276" w:lineRule="auto"/>
        <w:ind w:left="0" w:firstLine="709"/>
      </w:pPr>
      <w:r w:rsidRPr="00860724">
        <w:t>servicii de mentenanţă, curăţenie, de pază, verificare centrală termică, întreţinere şi ISCIR- izare lifturi, curăţare coşuri de fum, verificarea instalaţiilor de gaz, verificarea stingătoarelor de incendii, de evaluare/reevaluare cladiri şi terenuri, obţinerea de avize şi autorizaţii privind securitatea la incendii.</w:t>
      </w:r>
    </w:p>
    <w:p w:rsidR="000C2F4F" w:rsidRPr="00860724" w:rsidRDefault="000C2F4F" w:rsidP="0007746A">
      <w:pPr>
        <w:pStyle w:val="AddParagraf"/>
        <w:numPr>
          <w:ilvl w:val="0"/>
          <w:numId w:val="33"/>
        </w:numPr>
        <w:tabs>
          <w:tab w:val="left" w:pos="851"/>
        </w:tabs>
        <w:spacing w:after="0" w:line="276" w:lineRule="auto"/>
        <w:ind w:left="0" w:firstLine="709"/>
      </w:pPr>
      <w:r w:rsidRPr="00860724">
        <w:t>Asigurarea fondurilor pentru plata contribuţiei de 4% aferentă fondului de risc şi accidente conform prevederilor art.78 alin.(3) din Legea nr.448/2006 privind protecţia şi promovarea drepturilor persoanelor cu handicap.</w:t>
      </w:r>
    </w:p>
    <w:p w:rsidR="000C2F4F" w:rsidRPr="00860724" w:rsidRDefault="000C2F4F" w:rsidP="000C2F4F">
      <w:pPr>
        <w:ind w:right="1" w:firstLine="720"/>
        <w:jc w:val="both"/>
        <w:rPr>
          <w:color w:val="0070C0"/>
          <w:lang w:val="ro-RO"/>
        </w:rPr>
      </w:pPr>
    </w:p>
    <w:p w:rsidR="000C2F4F" w:rsidRPr="00860724" w:rsidRDefault="000C2F4F" w:rsidP="000C2F4F">
      <w:pPr>
        <w:ind w:right="1" w:firstLine="720"/>
        <w:jc w:val="both"/>
        <w:rPr>
          <w:color w:val="0070C0"/>
          <w:lang w:val="ro-RO"/>
        </w:rPr>
      </w:pPr>
      <w:r w:rsidRPr="00860724">
        <w:rPr>
          <w:noProof/>
          <w:lang w:val="ro-RO" w:eastAsia="ro-RO"/>
        </w:rPr>
        <w:drawing>
          <wp:inline distT="0" distB="0" distL="0" distR="0">
            <wp:extent cx="3343275" cy="1668780"/>
            <wp:effectExtent l="0" t="0" r="9525" b="7620"/>
            <wp:docPr id="39" name="Diagramă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0C2F4F" w:rsidRPr="00860724" w:rsidRDefault="000C2F4F" w:rsidP="000C2F4F">
      <w:pPr>
        <w:ind w:right="1"/>
        <w:rPr>
          <w:color w:val="0070C0"/>
          <w:lang w:val="ro-RO"/>
        </w:rPr>
      </w:pPr>
    </w:p>
    <w:bookmarkEnd w:id="93"/>
    <w:bookmarkEnd w:id="94"/>
    <w:bookmarkEnd w:id="95"/>
    <w:p w:rsidR="000C2F4F" w:rsidRPr="00860724" w:rsidRDefault="000C2F4F" w:rsidP="0007746A">
      <w:pPr>
        <w:spacing w:line="276" w:lineRule="auto"/>
        <w:ind w:firstLine="720"/>
        <w:jc w:val="both"/>
        <w:rPr>
          <w:rFonts w:cs="Arial"/>
          <w:lang w:val="ro-RO"/>
        </w:rPr>
      </w:pPr>
      <w:r w:rsidRPr="00860724">
        <w:rPr>
          <w:rFonts w:cs="Arial"/>
          <w:lang w:val="ro-RO"/>
        </w:rPr>
        <w:t xml:space="preserve">La cheltuieli de capital au fost alocate fonduri </w:t>
      </w:r>
      <w:r w:rsidR="00806AC6">
        <w:rPr>
          <w:rFonts w:cs="Arial"/>
          <w:lang w:val="ro-RO"/>
        </w:rPr>
        <w:t>î</w:t>
      </w:r>
      <w:r w:rsidRPr="00860724">
        <w:rPr>
          <w:rFonts w:cs="Arial"/>
          <w:lang w:val="ro-RO"/>
        </w:rPr>
        <w:t>n anul 2017 atât pentru obiectivele de investiţii, cât şi pentru dotarea cu echipamente IT (software, hardware). Fondurile alocate la acest titlu de cheltuieli au fost diminuate cu ocazia rectificărilor bugetare cu suma de 7.773 mii lei.</w:t>
      </w:r>
    </w:p>
    <w:p w:rsidR="000C2F4F" w:rsidRPr="00860724" w:rsidRDefault="000C2F4F" w:rsidP="0007746A">
      <w:pPr>
        <w:spacing w:line="276" w:lineRule="auto"/>
        <w:ind w:firstLine="720"/>
        <w:jc w:val="both"/>
        <w:rPr>
          <w:rFonts w:cs="Arial"/>
          <w:lang w:val="ro-RO"/>
        </w:rPr>
      </w:pPr>
      <w:r w:rsidRPr="00860724">
        <w:rPr>
          <w:rFonts w:cs="Arial"/>
          <w:lang w:val="ro-RO"/>
        </w:rPr>
        <w:t>Dinamica fondurilor alocate de la bugetul de stat în perioada 2015-2017 reflectă o diminuare continuă până în anul 2017, în condiţiile în care acestea au fost completate cu fonduri externe.</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3385"/>
        <w:gridCol w:w="1013"/>
        <w:gridCol w:w="2837"/>
        <w:gridCol w:w="1001"/>
      </w:tblGrid>
      <w:tr w:rsidR="000C2F4F" w:rsidRPr="00860724" w:rsidTr="00902519">
        <w:trPr>
          <w:trHeight w:val="255"/>
        </w:trPr>
        <w:tc>
          <w:tcPr>
            <w:tcW w:w="5000" w:type="pct"/>
            <w:gridSpan w:val="5"/>
            <w:tcBorders>
              <w:top w:val="nil"/>
              <w:left w:val="nil"/>
              <w:bottom w:val="nil"/>
              <w:right w:val="nil"/>
            </w:tcBorders>
            <w:shd w:val="clear" w:color="auto" w:fill="auto"/>
          </w:tcPr>
          <w:p w:rsidR="000C2F4F" w:rsidRPr="00860724" w:rsidRDefault="000C2F4F" w:rsidP="0007746A">
            <w:pPr>
              <w:spacing w:line="276" w:lineRule="auto"/>
              <w:jc w:val="center"/>
              <w:rPr>
                <w:rFonts w:cs="Arial"/>
                <w:b/>
                <w:bCs/>
                <w:lang w:val="ro-RO"/>
              </w:rPr>
            </w:pPr>
            <w:r w:rsidRPr="00860724">
              <w:rPr>
                <w:rFonts w:cs="Arial"/>
                <w:b/>
                <w:lang w:val="ro-RO"/>
              </w:rPr>
              <w:t>Fondurile prevăzute în anul 2017 pentru reparaţii capitale, modernizări şi investiţii</w:t>
            </w:r>
          </w:p>
        </w:tc>
      </w:tr>
      <w:tr w:rsidR="000C2F4F" w:rsidRPr="00860724" w:rsidTr="00902519">
        <w:trPr>
          <w:trHeight w:val="255"/>
        </w:trPr>
        <w:tc>
          <w:tcPr>
            <w:tcW w:w="5000" w:type="pct"/>
            <w:gridSpan w:val="5"/>
            <w:tcBorders>
              <w:top w:val="nil"/>
              <w:left w:val="nil"/>
              <w:bottom w:val="single" w:sz="4" w:space="0" w:color="auto"/>
              <w:right w:val="nil"/>
            </w:tcBorders>
            <w:shd w:val="clear" w:color="auto" w:fill="auto"/>
          </w:tcPr>
          <w:p w:rsidR="000C2F4F" w:rsidRPr="00860724" w:rsidRDefault="000C2F4F" w:rsidP="00902519">
            <w:pPr>
              <w:jc w:val="right"/>
              <w:rPr>
                <w:rFonts w:cs="Arial"/>
                <w:bCs/>
                <w:lang w:val="ro-RO"/>
              </w:rPr>
            </w:pPr>
            <w:r w:rsidRPr="00860724">
              <w:rPr>
                <w:rFonts w:cs="Arial"/>
                <w:bCs/>
                <w:lang w:val="ro-RO"/>
              </w:rPr>
              <w:t>- mii lei-</w:t>
            </w:r>
          </w:p>
        </w:tc>
      </w:tr>
      <w:tr w:rsidR="000C2F4F" w:rsidRPr="00860724" w:rsidTr="00902519">
        <w:trPr>
          <w:trHeight w:val="255"/>
        </w:trPr>
        <w:tc>
          <w:tcPr>
            <w:tcW w:w="730" w:type="pct"/>
            <w:tcBorders>
              <w:top w:val="single" w:sz="4" w:space="0" w:color="auto"/>
              <w:left w:val="single" w:sz="4" w:space="0" w:color="auto"/>
            </w:tcBorders>
            <w:shd w:val="clear" w:color="auto" w:fill="E6E6E6"/>
          </w:tcPr>
          <w:p w:rsidR="000C2F4F" w:rsidRPr="00860724" w:rsidRDefault="000C2F4F" w:rsidP="00902519">
            <w:pPr>
              <w:rPr>
                <w:rFonts w:cs="Arial"/>
                <w:b/>
                <w:bCs/>
                <w:sz w:val="22"/>
                <w:szCs w:val="22"/>
                <w:lang w:val="ro-RO"/>
              </w:rPr>
            </w:pPr>
          </w:p>
        </w:tc>
        <w:tc>
          <w:tcPr>
            <w:tcW w:w="2280" w:type="pct"/>
            <w:gridSpan w:val="2"/>
            <w:tcBorders>
              <w:top w:val="single" w:sz="4" w:space="0" w:color="auto"/>
            </w:tcBorders>
            <w:shd w:val="clear" w:color="auto" w:fill="E6E6E6"/>
            <w:noWrap/>
            <w:vAlign w:val="center"/>
          </w:tcPr>
          <w:p w:rsidR="000C2F4F" w:rsidRPr="00860724" w:rsidRDefault="000C2F4F" w:rsidP="00902519">
            <w:pPr>
              <w:jc w:val="center"/>
              <w:rPr>
                <w:rFonts w:cs="Arial"/>
                <w:b/>
                <w:bCs/>
                <w:sz w:val="22"/>
                <w:szCs w:val="22"/>
                <w:lang w:val="ro-RO"/>
              </w:rPr>
            </w:pPr>
            <w:r w:rsidRPr="00860724">
              <w:rPr>
                <w:rFonts w:cs="Arial"/>
                <w:b/>
                <w:bCs/>
                <w:sz w:val="22"/>
                <w:szCs w:val="22"/>
                <w:lang w:val="ro-RO"/>
              </w:rPr>
              <w:t>Buget de stat (Titlul XII)</w:t>
            </w:r>
          </w:p>
        </w:tc>
        <w:tc>
          <w:tcPr>
            <w:tcW w:w="1990" w:type="pct"/>
            <w:gridSpan w:val="2"/>
            <w:tcBorders>
              <w:top w:val="single" w:sz="4" w:space="0" w:color="auto"/>
              <w:right w:val="single" w:sz="4" w:space="0" w:color="auto"/>
            </w:tcBorders>
            <w:shd w:val="clear" w:color="auto" w:fill="E6E6E6"/>
            <w:noWrap/>
            <w:vAlign w:val="center"/>
          </w:tcPr>
          <w:p w:rsidR="000C2F4F" w:rsidRPr="00860724" w:rsidRDefault="000C2F4F" w:rsidP="00902519">
            <w:pPr>
              <w:jc w:val="center"/>
              <w:rPr>
                <w:rFonts w:cs="Arial"/>
                <w:b/>
                <w:bCs/>
                <w:sz w:val="22"/>
                <w:szCs w:val="22"/>
                <w:lang w:val="ro-RO"/>
              </w:rPr>
            </w:pPr>
            <w:r w:rsidRPr="00860724">
              <w:rPr>
                <w:rFonts w:cs="Arial"/>
                <w:b/>
                <w:bCs/>
                <w:sz w:val="22"/>
                <w:szCs w:val="22"/>
                <w:lang w:val="ro-RO"/>
              </w:rPr>
              <w:t xml:space="preserve">Fonduri externe rambursabile Titlul XII </w:t>
            </w:r>
          </w:p>
        </w:tc>
      </w:tr>
      <w:tr w:rsidR="000C2F4F" w:rsidRPr="00860724" w:rsidTr="00902519">
        <w:trPr>
          <w:trHeight w:val="255"/>
        </w:trPr>
        <w:tc>
          <w:tcPr>
            <w:tcW w:w="730" w:type="pct"/>
            <w:tcBorders>
              <w:left w:val="single" w:sz="4" w:space="0" w:color="auto"/>
            </w:tcBorders>
            <w:shd w:val="clear" w:color="auto" w:fill="E6E6E6"/>
          </w:tcPr>
          <w:p w:rsidR="000C2F4F" w:rsidRPr="00860724" w:rsidRDefault="000C2F4F" w:rsidP="00902519">
            <w:pPr>
              <w:rPr>
                <w:rFonts w:cs="Arial"/>
                <w:b/>
                <w:bCs/>
                <w:sz w:val="22"/>
                <w:szCs w:val="22"/>
                <w:lang w:val="ro-RO"/>
              </w:rPr>
            </w:pPr>
          </w:p>
        </w:tc>
        <w:tc>
          <w:tcPr>
            <w:tcW w:w="1755" w:type="pct"/>
            <w:tcBorders>
              <w:bottom w:val="single" w:sz="4" w:space="0" w:color="auto"/>
            </w:tcBorders>
            <w:shd w:val="clear" w:color="auto" w:fill="E6E6E6"/>
            <w:noWrap/>
            <w:vAlign w:val="center"/>
          </w:tcPr>
          <w:p w:rsidR="000C2F4F" w:rsidRPr="00860724" w:rsidRDefault="000C2F4F" w:rsidP="00902519">
            <w:pPr>
              <w:tabs>
                <w:tab w:val="left" w:pos="3478"/>
              </w:tabs>
              <w:jc w:val="center"/>
              <w:rPr>
                <w:rFonts w:cs="Arial"/>
                <w:b/>
                <w:sz w:val="22"/>
                <w:szCs w:val="22"/>
                <w:lang w:val="ro-RO"/>
              </w:rPr>
            </w:pPr>
            <w:r w:rsidRPr="00860724">
              <w:rPr>
                <w:rFonts w:cs="Arial"/>
                <w:b/>
                <w:sz w:val="22"/>
                <w:szCs w:val="22"/>
                <w:lang w:val="ro-RO"/>
              </w:rPr>
              <w:t>Nr. obiective/proiecte</w:t>
            </w:r>
          </w:p>
        </w:tc>
        <w:tc>
          <w:tcPr>
            <w:tcW w:w="525" w:type="pct"/>
            <w:shd w:val="clear" w:color="auto" w:fill="E6E6E6"/>
            <w:vAlign w:val="center"/>
          </w:tcPr>
          <w:p w:rsidR="000C2F4F" w:rsidRPr="00860724" w:rsidRDefault="000C2F4F" w:rsidP="00902519">
            <w:pPr>
              <w:jc w:val="center"/>
              <w:rPr>
                <w:rFonts w:cs="Arial"/>
                <w:b/>
                <w:bCs/>
                <w:sz w:val="22"/>
                <w:szCs w:val="22"/>
                <w:lang w:val="ro-RO"/>
              </w:rPr>
            </w:pPr>
            <w:r w:rsidRPr="00860724">
              <w:rPr>
                <w:rFonts w:cs="Arial"/>
                <w:b/>
                <w:bCs/>
                <w:sz w:val="22"/>
                <w:szCs w:val="22"/>
                <w:lang w:val="ro-RO"/>
              </w:rPr>
              <w:t>fonduri alocate</w:t>
            </w:r>
          </w:p>
        </w:tc>
        <w:tc>
          <w:tcPr>
            <w:tcW w:w="1471" w:type="pct"/>
            <w:tcBorders>
              <w:bottom w:val="single" w:sz="4" w:space="0" w:color="auto"/>
            </w:tcBorders>
            <w:shd w:val="clear" w:color="auto" w:fill="E6E6E6"/>
            <w:noWrap/>
            <w:vAlign w:val="center"/>
          </w:tcPr>
          <w:p w:rsidR="000C2F4F" w:rsidRPr="00860724" w:rsidRDefault="000C2F4F" w:rsidP="00902519">
            <w:pPr>
              <w:jc w:val="center"/>
              <w:rPr>
                <w:rFonts w:cs="Arial"/>
                <w:b/>
                <w:sz w:val="22"/>
                <w:szCs w:val="22"/>
                <w:lang w:val="ro-RO"/>
              </w:rPr>
            </w:pPr>
            <w:r w:rsidRPr="00860724">
              <w:rPr>
                <w:rFonts w:cs="Arial"/>
                <w:b/>
                <w:sz w:val="22"/>
                <w:szCs w:val="22"/>
                <w:lang w:val="ro-RO"/>
              </w:rPr>
              <w:t>Nr. obiective/proiecte</w:t>
            </w:r>
          </w:p>
        </w:tc>
        <w:tc>
          <w:tcPr>
            <w:tcW w:w="519" w:type="pct"/>
            <w:tcBorders>
              <w:right w:val="single" w:sz="4" w:space="0" w:color="auto"/>
            </w:tcBorders>
            <w:shd w:val="clear" w:color="auto" w:fill="E6E6E6"/>
            <w:vAlign w:val="center"/>
          </w:tcPr>
          <w:p w:rsidR="000C2F4F" w:rsidRPr="00860724" w:rsidRDefault="000C2F4F" w:rsidP="00902519">
            <w:pPr>
              <w:jc w:val="center"/>
              <w:rPr>
                <w:rFonts w:cs="Arial"/>
                <w:b/>
                <w:bCs/>
                <w:sz w:val="22"/>
                <w:szCs w:val="22"/>
                <w:lang w:val="ro-RO"/>
              </w:rPr>
            </w:pPr>
            <w:r w:rsidRPr="00860724">
              <w:rPr>
                <w:rFonts w:cs="Arial"/>
                <w:b/>
                <w:bCs/>
                <w:sz w:val="22"/>
                <w:szCs w:val="22"/>
                <w:lang w:val="ro-RO"/>
              </w:rPr>
              <w:t>fonduri alocate</w:t>
            </w:r>
          </w:p>
        </w:tc>
      </w:tr>
      <w:tr w:rsidR="000C2F4F" w:rsidRPr="00860724" w:rsidTr="00902519">
        <w:trPr>
          <w:trHeight w:val="255"/>
        </w:trPr>
        <w:tc>
          <w:tcPr>
            <w:tcW w:w="730" w:type="pct"/>
            <w:tcBorders>
              <w:left w:val="single" w:sz="4" w:space="0" w:color="auto"/>
              <w:right w:val="single" w:sz="4" w:space="0" w:color="auto"/>
            </w:tcBorders>
            <w:shd w:val="clear" w:color="auto" w:fill="E6E6E6"/>
          </w:tcPr>
          <w:p w:rsidR="000C2F4F" w:rsidRPr="00860724" w:rsidRDefault="000C2F4F" w:rsidP="00902519">
            <w:pPr>
              <w:rPr>
                <w:rFonts w:cs="Arial"/>
                <w:b/>
                <w:bCs/>
                <w:sz w:val="22"/>
                <w:szCs w:val="22"/>
                <w:lang w:val="ro-RO"/>
              </w:rPr>
            </w:pPr>
            <w:r w:rsidRPr="00860724">
              <w:rPr>
                <w:rFonts w:cs="Arial"/>
                <w:b/>
                <w:bCs/>
                <w:sz w:val="22"/>
                <w:szCs w:val="22"/>
                <w:lang w:val="ro-RO"/>
              </w:rPr>
              <w:t xml:space="preserve">Total </w:t>
            </w:r>
          </w:p>
        </w:tc>
        <w:tc>
          <w:tcPr>
            <w:tcW w:w="1755" w:type="pct"/>
            <w:tcBorders>
              <w:top w:val="single" w:sz="4" w:space="0" w:color="auto"/>
              <w:left w:val="single" w:sz="4" w:space="0" w:color="auto"/>
              <w:bottom w:val="nil"/>
              <w:right w:val="single" w:sz="4" w:space="0" w:color="auto"/>
            </w:tcBorders>
            <w:shd w:val="clear" w:color="auto" w:fill="E6E6E6"/>
            <w:noWrap/>
            <w:vAlign w:val="bottom"/>
          </w:tcPr>
          <w:p w:rsidR="000C2F4F" w:rsidRPr="00860724" w:rsidRDefault="000C2F4F" w:rsidP="00902519">
            <w:pPr>
              <w:rPr>
                <w:rFonts w:cs="Arial"/>
                <w:b/>
                <w:sz w:val="22"/>
                <w:szCs w:val="22"/>
                <w:lang w:val="ro-RO"/>
              </w:rPr>
            </w:pPr>
          </w:p>
        </w:tc>
        <w:tc>
          <w:tcPr>
            <w:tcW w:w="525" w:type="pct"/>
            <w:tcBorders>
              <w:left w:val="single" w:sz="4" w:space="0" w:color="auto"/>
            </w:tcBorders>
            <w:shd w:val="clear" w:color="auto" w:fill="E6E6E6"/>
            <w:vAlign w:val="bottom"/>
          </w:tcPr>
          <w:p w:rsidR="000C2F4F" w:rsidRPr="00860724" w:rsidRDefault="000C2F4F" w:rsidP="00902519">
            <w:pPr>
              <w:jc w:val="right"/>
              <w:rPr>
                <w:rFonts w:cs="Arial"/>
                <w:b/>
                <w:bCs/>
                <w:sz w:val="22"/>
                <w:szCs w:val="22"/>
                <w:lang w:val="ro-RO"/>
              </w:rPr>
            </w:pPr>
            <w:r w:rsidRPr="00860724">
              <w:rPr>
                <w:rFonts w:cs="Arial"/>
                <w:b/>
                <w:bCs/>
                <w:sz w:val="22"/>
                <w:szCs w:val="22"/>
                <w:lang w:val="ro-RO"/>
              </w:rPr>
              <w:t>20.473</w:t>
            </w:r>
          </w:p>
        </w:tc>
        <w:tc>
          <w:tcPr>
            <w:tcW w:w="1471" w:type="pct"/>
            <w:tcBorders>
              <w:bottom w:val="nil"/>
            </w:tcBorders>
            <w:shd w:val="clear" w:color="auto" w:fill="E6E6E6"/>
            <w:noWrap/>
            <w:vAlign w:val="bottom"/>
          </w:tcPr>
          <w:p w:rsidR="000C2F4F" w:rsidRPr="00860724" w:rsidRDefault="000C2F4F" w:rsidP="00902519">
            <w:pPr>
              <w:jc w:val="right"/>
              <w:rPr>
                <w:rFonts w:cs="Arial"/>
                <w:b/>
                <w:bCs/>
                <w:sz w:val="22"/>
                <w:szCs w:val="22"/>
                <w:lang w:val="ro-RO"/>
              </w:rPr>
            </w:pPr>
          </w:p>
        </w:tc>
        <w:tc>
          <w:tcPr>
            <w:tcW w:w="519" w:type="pct"/>
            <w:tcBorders>
              <w:right w:val="single" w:sz="4" w:space="0" w:color="auto"/>
            </w:tcBorders>
            <w:shd w:val="clear" w:color="auto" w:fill="E6E6E6"/>
            <w:vAlign w:val="center"/>
          </w:tcPr>
          <w:p w:rsidR="000C2F4F" w:rsidRPr="00860724" w:rsidRDefault="000C2F4F" w:rsidP="00902519">
            <w:pPr>
              <w:jc w:val="right"/>
              <w:rPr>
                <w:rFonts w:cs="Arial"/>
                <w:b/>
                <w:bCs/>
                <w:sz w:val="22"/>
                <w:szCs w:val="22"/>
                <w:lang w:val="ro-RO"/>
              </w:rPr>
            </w:pPr>
            <w:r w:rsidRPr="00860724">
              <w:rPr>
                <w:rFonts w:cs="Arial"/>
                <w:b/>
                <w:bCs/>
                <w:sz w:val="22"/>
                <w:szCs w:val="22"/>
                <w:lang w:val="ro-RO"/>
              </w:rPr>
              <w:t>31.046</w:t>
            </w:r>
          </w:p>
        </w:tc>
      </w:tr>
      <w:tr w:rsidR="000C2F4F" w:rsidRPr="00860724" w:rsidTr="00902519">
        <w:trPr>
          <w:trHeight w:val="255"/>
        </w:trPr>
        <w:tc>
          <w:tcPr>
            <w:tcW w:w="730" w:type="pct"/>
            <w:tcBorders>
              <w:left w:val="single" w:sz="4" w:space="0" w:color="auto"/>
              <w:right w:val="single" w:sz="4" w:space="0" w:color="auto"/>
            </w:tcBorders>
            <w:shd w:val="clear" w:color="auto" w:fill="E6E6E6"/>
          </w:tcPr>
          <w:p w:rsidR="000C2F4F" w:rsidRPr="00860724" w:rsidRDefault="000C2F4F" w:rsidP="00902519">
            <w:pPr>
              <w:rPr>
                <w:rFonts w:cs="Arial"/>
                <w:b/>
                <w:bCs/>
                <w:sz w:val="22"/>
                <w:szCs w:val="22"/>
                <w:lang w:val="ro-RO"/>
              </w:rPr>
            </w:pPr>
            <w:r w:rsidRPr="00860724">
              <w:rPr>
                <w:rFonts w:cs="Arial"/>
                <w:b/>
                <w:bCs/>
                <w:sz w:val="22"/>
                <w:szCs w:val="22"/>
                <w:lang w:val="ro-RO"/>
              </w:rPr>
              <w:t>I. Construcţii</w:t>
            </w:r>
          </w:p>
        </w:tc>
        <w:tc>
          <w:tcPr>
            <w:tcW w:w="1755" w:type="pct"/>
            <w:tcBorders>
              <w:top w:val="nil"/>
              <w:left w:val="single" w:sz="4" w:space="0" w:color="auto"/>
              <w:bottom w:val="single" w:sz="4" w:space="0" w:color="auto"/>
              <w:right w:val="single" w:sz="4" w:space="0" w:color="auto"/>
            </w:tcBorders>
            <w:shd w:val="clear" w:color="auto" w:fill="E6E6E6"/>
            <w:noWrap/>
            <w:vAlign w:val="bottom"/>
          </w:tcPr>
          <w:p w:rsidR="000C2F4F" w:rsidRPr="00860724" w:rsidRDefault="000C2F4F" w:rsidP="00902519">
            <w:pPr>
              <w:rPr>
                <w:rFonts w:cs="Arial"/>
                <w:b/>
                <w:sz w:val="22"/>
                <w:szCs w:val="22"/>
                <w:lang w:val="ro-RO"/>
              </w:rPr>
            </w:pPr>
          </w:p>
        </w:tc>
        <w:tc>
          <w:tcPr>
            <w:tcW w:w="525" w:type="pct"/>
            <w:tcBorders>
              <w:left w:val="single" w:sz="4" w:space="0" w:color="auto"/>
            </w:tcBorders>
            <w:shd w:val="clear" w:color="auto" w:fill="E6E6E6"/>
            <w:vAlign w:val="bottom"/>
          </w:tcPr>
          <w:p w:rsidR="000C2F4F" w:rsidRPr="00860724" w:rsidRDefault="000C2F4F" w:rsidP="00902519">
            <w:pPr>
              <w:jc w:val="right"/>
              <w:rPr>
                <w:rFonts w:cs="Arial"/>
                <w:b/>
                <w:bCs/>
                <w:sz w:val="22"/>
                <w:szCs w:val="22"/>
                <w:lang w:val="ro-RO"/>
              </w:rPr>
            </w:pPr>
            <w:r w:rsidRPr="00860724">
              <w:rPr>
                <w:rFonts w:cs="Arial"/>
                <w:b/>
                <w:bCs/>
                <w:sz w:val="22"/>
                <w:szCs w:val="22"/>
                <w:lang w:val="ro-RO"/>
              </w:rPr>
              <w:t>19.143</w:t>
            </w:r>
          </w:p>
        </w:tc>
        <w:tc>
          <w:tcPr>
            <w:tcW w:w="1471" w:type="pct"/>
            <w:tcBorders>
              <w:top w:val="nil"/>
            </w:tcBorders>
            <w:shd w:val="clear" w:color="auto" w:fill="E6E6E6"/>
            <w:noWrap/>
            <w:vAlign w:val="bottom"/>
          </w:tcPr>
          <w:p w:rsidR="000C2F4F" w:rsidRPr="00860724" w:rsidRDefault="000C2F4F" w:rsidP="00902519">
            <w:pPr>
              <w:jc w:val="right"/>
              <w:rPr>
                <w:rFonts w:cs="Arial"/>
                <w:b/>
                <w:bCs/>
                <w:sz w:val="22"/>
                <w:szCs w:val="22"/>
                <w:lang w:val="ro-RO"/>
              </w:rPr>
            </w:pPr>
          </w:p>
        </w:tc>
        <w:tc>
          <w:tcPr>
            <w:tcW w:w="519" w:type="pct"/>
            <w:tcBorders>
              <w:right w:val="single" w:sz="4" w:space="0" w:color="auto"/>
            </w:tcBorders>
            <w:shd w:val="clear" w:color="auto" w:fill="E6E6E6"/>
            <w:vAlign w:val="center"/>
          </w:tcPr>
          <w:p w:rsidR="000C2F4F" w:rsidRPr="00860724" w:rsidRDefault="000C2F4F" w:rsidP="00902519">
            <w:pPr>
              <w:jc w:val="right"/>
              <w:rPr>
                <w:rFonts w:cs="Arial"/>
                <w:b/>
                <w:bCs/>
                <w:sz w:val="22"/>
                <w:szCs w:val="22"/>
                <w:lang w:val="ro-RO"/>
              </w:rPr>
            </w:pPr>
            <w:r w:rsidRPr="00860724">
              <w:rPr>
                <w:rFonts w:cs="Arial"/>
                <w:b/>
                <w:bCs/>
                <w:sz w:val="22"/>
                <w:szCs w:val="22"/>
                <w:lang w:val="ro-RO"/>
              </w:rPr>
              <w:t>31.046</w:t>
            </w:r>
          </w:p>
        </w:tc>
      </w:tr>
      <w:tr w:rsidR="000C2F4F" w:rsidRPr="00860724" w:rsidTr="00902519">
        <w:trPr>
          <w:trHeight w:val="255"/>
        </w:trPr>
        <w:tc>
          <w:tcPr>
            <w:tcW w:w="730" w:type="pct"/>
            <w:vMerge w:val="restart"/>
            <w:tcBorders>
              <w:left w:val="single" w:sz="4" w:space="0" w:color="auto"/>
            </w:tcBorders>
          </w:tcPr>
          <w:p w:rsidR="000C2F4F" w:rsidRPr="00860724" w:rsidRDefault="000C2F4F" w:rsidP="00902519">
            <w:pPr>
              <w:rPr>
                <w:rFonts w:cs="Arial"/>
                <w:b/>
                <w:sz w:val="22"/>
                <w:szCs w:val="22"/>
                <w:lang w:val="ro-RO"/>
              </w:rPr>
            </w:pPr>
            <w:r w:rsidRPr="00860724">
              <w:rPr>
                <w:rFonts w:cs="Arial"/>
                <w:sz w:val="22"/>
                <w:szCs w:val="22"/>
                <w:lang w:val="ro-RO"/>
              </w:rPr>
              <w:t>Obiective (proiecte) de investiţii în continuare</w:t>
            </w:r>
          </w:p>
        </w:tc>
        <w:tc>
          <w:tcPr>
            <w:tcW w:w="1755" w:type="pct"/>
            <w:tcBorders>
              <w:top w:val="single" w:sz="4" w:space="0" w:color="auto"/>
            </w:tcBorders>
            <w:shd w:val="clear" w:color="auto" w:fill="auto"/>
            <w:noWrap/>
            <w:vAlign w:val="center"/>
          </w:tcPr>
          <w:p w:rsidR="000C2F4F" w:rsidRPr="00860724" w:rsidRDefault="000C2F4F" w:rsidP="00902519">
            <w:pPr>
              <w:jc w:val="center"/>
              <w:rPr>
                <w:rFonts w:cs="Arial"/>
                <w:sz w:val="22"/>
                <w:szCs w:val="22"/>
                <w:lang w:val="ro-RO"/>
              </w:rPr>
            </w:pPr>
            <w:r w:rsidRPr="00860724">
              <w:rPr>
                <w:rFonts w:cs="Arial"/>
                <w:b/>
                <w:sz w:val="22"/>
                <w:szCs w:val="22"/>
                <w:lang w:val="ro-RO"/>
              </w:rPr>
              <w:t xml:space="preserve">11 </w:t>
            </w:r>
            <w:r w:rsidRPr="00860724">
              <w:rPr>
                <w:rFonts w:cs="Arial"/>
                <w:sz w:val="22"/>
                <w:szCs w:val="22"/>
                <w:lang w:val="ro-RO"/>
              </w:rPr>
              <w:t>obiective, din care:</w:t>
            </w:r>
          </w:p>
        </w:tc>
        <w:tc>
          <w:tcPr>
            <w:tcW w:w="525" w:type="pct"/>
            <w:vAlign w:val="center"/>
          </w:tcPr>
          <w:p w:rsidR="000C2F4F" w:rsidRPr="00860724" w:rsidRDefault="000C2F4F" w:rsidP="00902519">
            <w:pPr>
              <w:jc w:val="right"/>
              <w:rPr>
                <w:rFonts w:cs="Arial"/>
                <w:sz w:val="22"/>
                <w:szCs w:val="22"/>
                <w:lang w:val="ro-RO"/>
              </w:rPr>
            </w:pPr>
            <w:r w:rsidRPr="00860724">
              <w:rPr>
                <w:rFonts w:cs="Arial"/>
                <w:bCs/>
                <w:sz w:val="22"/>
                <w:szCs w:val="22"/>
                <w:lang w:val="ro-RO"/>
              </w:rPr>
              <w:t>17.890</w:t>
            </w:r>
          </w:p>
        </w:tc>
        <w:tc>
          <w:tcPr>
            <w:tcW w:w="1471" w:type="pct"/>
            <w:shd w:val="clear" w:color="auto" w:fill="auto"/>
            <w:noWrap/>
            <w:vAlign w:val="center"/>
          </w:tcPr>
          <w:p w:rsidR="000C2F4F" w:rsidRPr="00860724" w:rsidRDefault="000C2F4F" w:rsidP="00902519">
            <w:pPr>
              <w:jc w:val="center"/>
              <w:rPr>
                <w:rFonts w:cs="Arial"/>
                <w:sz w:val="22"/>
                <w:szCs w:val="22"/>
                <w:lang w:val="ro-RO"/>
              </w:rPr>
            </w:pPr>
            <w:r w:rsidRPr="00860724">
              <w:rPr>
                <w:rFonts w:cs="Arial"/>
                <w:b/>
                <w:sz w:val="22"/>
                <w:szCs w:val="22"/>
                <w:lang w:val="ro-RO"/>
              </w:rPr>
              <w:t xml:space="preserve">4 </w:t>
            </w:r>
            <w:r w:rsidRPr="00860724">
              <w:rPr>
                <w:rFonts w:cs="Arial"/>
                <w:sz w:val="22"/>
                <w:szCs w:val="22"/>
                <w:lang w:val="ro-RO"/>
              </w:rPr>
              <w:t>obiective, din care:</w:t>
            </w: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r w:rsidRPr="00860724">
              <w:rPr>
                <w:rFonts w:cs="Arial"/>
                <w:sz w:val="22"/>
                <w:szCs w:val="22"/>
                <w:lang w:val="ro-RO"/>
              </w:rPr>
              <w:t>9.070</w:t>
            </w:r>
          </w:p>
        </w:tc>
      </w:tr>
      <w:tr w:rsidR="000C2F4F" w:rsidRPr="00860724" w:rsidTr="00902519">
        <w:trPr>
          <w:trHeight w:val="255"/>
        </w:trPr>
        <w:tc>
          <w:tcPr>
            <w:tcW w:w="730" w:type="pct"/>
            <w:vMerge/>
            <w:tcBorders>
              <w:left w:val="single" w:sz="4" w:space="0" w:color="auto"/>
            </w:tcBorders>
          </w:tcPr>
          <w:p w:rsidR="000C2F4F" w:rsidRPr="00860724" w:rsidRDefault="000C2F4F" w:rsidP="00902519">
            <w:pPr>
              <w:rPr>
                <w:rFonts w:cs="Arial"/>
                <w:b/>
                <w:sz w:val="22"/>
                <w:szCs w:val="22"/>
                <w:lang w:val="ro-RO"/>
              </w:rPr>
            </w:pPr>
          </w:p>
        </w:tc>
        <w:tc>
          <w:tcPr>
            <w:tcW w:w="1755" w:type="pct"/>
            <w:shd w:val="clear" w:color="auto" w:fill="auto"/>
            <w:noWrap/>
            <w:vAlign w:val="center"/>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sz w:val="22"/>
                <w:szCs w:val="22"/>
                <w:lang w:val="ro-RO"/>
              </w:rPr>
              <w:t>4 obiective de investiţii în continuare finanţate de la Banca Mondială (de la bugetul de stat, partea de cofinanţare)</w:t>
            </w:r>
          </w:p>
        </w:tc>
        <w:tc>
          <w:tcPr>
            <w:tcW w:w="525" w:type="pct"/>
            <w:vAlign w:val="center"/>
          </w:tcPr>
          <w:p w:rsidR="000C2F4F" w:rsidRPr="00860724" w:rsidRDefault="000C2F4F" w:rsidP="00902519">
            <w:pPr>
              <w:jc w:val="right"/>
              <w:rPr>
                <w:rFonts w:cs="Arial"/>
                <w:sz w:val="22"/>
                <w:szCs w:val="22"/>
                <w:lang w:val="ro-RO"/>
              </w:rPr>
            </w:pPr>
            <w:r w:rsidRPr="00860724">
              <w:rPr>
                <w:rFonts w:cs="Arial"/>
                <w:sz w:val="22"/>
                <w:szCs w:val="22"/>
                <w:lang w:val="ro-RO"/>
              </w:rPr>
              <w:t>15.246</w:t>
            </w:r>
          </w:p>
        </w:tc>
        <w:tc>
          <w:tcPr>
            <w:tcW w:w="1471" w:type="pct"/>
            <w:shd w:val="clear" w:color="auto" w:fill="auto"/>
            <w:noWrap/>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sz w:val="22"/>
                <w:szCs w:val="22"/>
                <w:lang w:val="ro-RO"/>
              </w:rPr>
              <w:t>4 obiective de investiţii în continuare finanţate 100% din fonduri externe rambursabile de la Banca Mondială</w:t>
            </w: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r w:rsidRPr="00860724">
              <w:rPr>
                <w:rFonts w:cs="Arial"/>
                <w:sz w:val="22"/>
                <w:szCs w:val="22"/>
                <w:lang w:val="ro-RO"/>
              </w:rPr>
              <w:t>9.070</w:t>
            </w:r>
          </w:p>
        </w:tc>
      </w:tr>
      <w:tr w:rsidR="000C2F4F" w:rsidRPr="00860724" w:rsidTr="00902519">
        <w:trPr>
          <w:trHeight w:val="255"/>
        </w:trPr>
        <w:tc>
          <w:tcPr>
            <w:tcW w:w="730" w:type="pct"/>
            <w:vMerge/>
            <w:tcBorders>
              <w:left w:val="single" w:sz="4" w:space="0" w:color="auto"/>
            </w:tcBorders>
          </w:tcPr>
          <w:p w:rsidR="000C2F4F" w:rsidRPr="00860724" w:rsidRDefault="000C2F4F" w:rsidP="00902519">
            <w:pPr>
              <w:rPr>
                <w:rFonts w:cs="Arial"/>
                <w:b/>
                <w:sz w:val="22"/>
                <w:szCs w:val="22"/>
                <w:lang w:val="ro-RO"/>
              </w:rPr>
            </w:pPr>
          </w:p>
        </w:tc>
        <w:tc>
          <w:tcPr>
            <w:tcW w:w="1755" w:type="pct"/>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7</w:t>
            </w:r>
            <w:r w:rsidRPr="00860724">
              <w:rPr>
                <w:rFonts w:cs="Arial"/>
                <w:sz w:val="22"/>
                <w:szCs w:val="22"/>
                <w:lang w:val="ro-RO"/>
              </w:rPr>
              <w:t xml:space="preserve"> obiective de investiţii în continuare finanţate 100% de la bugetul de stat </w:t>
            </w:r>
          </w:p>
        </w:tc>
        <w:tc>
          <w:tcPr>
            <w:tcW w:w="525" w:type="pct"/>
            <w:vAlign w:val="center"/>
          </w:tcPr>
          <w:p w:rsidR="000C2F4F" w:rsidRPr="00860724" w:rsidRDefault="000C2F4F" w:rsidP="00902519">
            <w:pPr>
              <w:jc w:val="right"/>
              <w:rPr>
                <w:rFonts w:cs="Arial"/>
                <w:sz w:val="22"/>
                <w:szCs w:val="22"/>
                <w:lang w:val="ro-RO"/>
              </w:rPr>
            </w:pPr>
            <w:r w:rsidRPr="00860724">
              <w:rPr>
                <w:rFonts w:cs="Arial"/>
                <w:sz w:val="22"/>
                <w:szCs w:val="22"/>
                <w:lang w:val="ro-RO"/>
              </w:rPr>
              <w:t>2.644</w:t>
            </w:r>
          </w:p>
        </w:tc>
        <w:tc>
          <w:tcPr>
            <w:tcW w:w="1471" w:type="pct"/>
            <w:shd w:val="clear" w:color="auto" w:fill="auto"/>
            <w:noWrap/>
            <w:vAlign w:val="center"/>
          </w:tcPr>
          <w:p w:rsidR="000C2F4F" w:rsidRPr="00860724" w:rsidRDefault="000C2F4F" w:rsidP="00902519">
            <w:pPr>
              <w:jc w:val="center"/>
              <w:rPr>
                <w:rFonts w:cs="Arial"/>
                <w:sz w:val="22"/>
                <w:szCs w:val="22"/>
                <w:lang w:val="ro-RO"/>
              </w:rPr>
            </w:pPr>
            <w:r w:rsidRPr="00860724">
              <w:rPr>
                <w:rFonts w:cs="Arial"/>
                <w:sz w:val="22"/>
                <w:szCs w:val="22"/>
                <w:lang w:val="ro-RO"/>
              </w:rPr>
              <w:t>-</w:t>
            </w:r>
          </w:p>
        </w:tc>
        <w:tc>
          <w:tcPr>
            <w:tcW w:w="519" w:type="pct"/>
            <w:tcBorders>
              <w:right w:val="single" w:sz="4" w:space="0" w:color="auto"/>
            </w:tcBorders>
            <w:vAlign w:val="center"/>
          </w:tcPr>
          <w:p w:rsidR="000C2F4F" w:rsidRPr="00860724" w:rsidRDefault="000C2F4F" w:rsidP="00902519">
            <w:pPr>
              <w:jc w:val="center"/>
              <w:rPr>
                <w:rFonts w:cs="Arial"/>
                <w:sz w:val="22"/>
                <w:szCs w:val="22"/>
                <w:lang w:val="ro-RO"/>
              </w:rPr>
            </w:pPr>
            <w:r w:rsidRPr="00860724">
              <w:rPr>
                <w:rFonts w:cs="Arial"/>
                <w:sz w:val="22"/>
                <w:szCs w:val="22"/>
                <w:lang w:val="ro-RO"/>
              </w:rPr>
              <w:t>-</w:t>
            </w:r>
          </w:p>
        </w:tc>
      </w:tr>
      <w:tr w:rsidR="000C2F4F" w:rsidRPr="00860724" w:rsidTr="00902519">
        <w:trPr>
          <w:trHeight w:val="255"/>
        </w:trPr>
        <w:tc>
          <w:tcPr>
            <w:tcW w:w="730" w:type="pct"/>
            <w:vMerge w:val="restart"/>
            <w:tcBorders>
              <w:left w:val="single" w:sz="4" w:space="0" w:color="auto"/>
            </w:tcBorders>
          </w:tcPr>
          <w:p w:rsidR="000C2F4F" w:rsidRPr="00860724" w:rsidRDefault="000C2F4F" w:rsidP="00902519">
            <w:pPr>
              <w:rPr>
                <w:rFonts w:cs="Arial"/>
                <w:sz w:val="22"/>
                <w:szCs w:val="22"/>
                <w:lang w:val="ro-RO"/>
              </w:rPr>
            </w:pPr>
            <w:r w:rsidRPr="00860724">
              <w:rPr>
                <w:rFonts w:cs="Arial"/>
                <w:sz w:val="22"/>
                <w:szCs w:val="22"/>
                <w:lang w:val="ro-RO"/>
              </w:rPr>
              <w:t>Alte cheltuieli de investiţii</w:t>
            </w:r>
          </w:p>
        </w:tc>
        <w:tc>
          <w:tcPr>
            <w:tcW w:w="1755" w:type="pct"/>
            <w:shd w:val="clear" w:color="auto" w:fill="auto"/>
            <w:noWrap/>
            <w:vAlign w:val="bottom"/>
          </w:tcPr>
          <w:p w:rsidR="000C2F4F" w:rsidRPr="00860724" w:rsidRDefault="000C2F4F" w:rsidP="00902519">
            <w:pPr>
              <w:rPr>
                <w:rFonts w:cs="Arial"/>
                <w:sz w:val="22"/>
                <w:szCs w:val="22"/>
                <w:lang w:val="ro-RO"/>
              </w:rPr>
            </w:pPr>
            <w:r w:rsidRPr="00860724">
              <w:rPr>
                <w:rFonts w:cs="Arial"/>
                <w:sz w:val="22"/>
                <w:szCs w:val="22"/>
                <w:lang w:val="ro-RO"/>
              </w:rPr>
              <w:t>7  intervenţii asupra construcţiilor şi instalaţiilor aferente acestora,</w:t>
            </w:r>
          </w:p>
          <w:p w:rsidR="000C2F4F" w:rsidRPr="00860724" w:rsidRDefault="000C2F4F" w:rsidP="00902519">
            <w:pPr>
              <w:rPr>
                <w:rFonts w:cs="Arial"/>
                <w:sz w:val="22"/>
                <w:szCs w:val="22"/>
                <w:lang w:val="ro-RO"/>
              </w:rPr>
            </w:pPr>
            <w:r w:rsidRPr="00860724">
              <w:rPr>
                <w:rFonts w:cs="Arial"/>
                <w:sz w:val="22"/>
                <w:szCs w:val="22"/>
                <w:lang w:val="ro-RO"/>
              </w:rPr>
              <w:t>din care:</w:t>
            </w:r>
          </w:p>
        </w:tc>
        <w:tc>
          <w:tcPr>
            <w:tcW w:w="525" w:type="pct"/>
            <w:vAlign w:val="center"/>
          </w:tcPr>
          <w:p w:rsidR="000C2F4F" w:rsidRPr="00860724" w:rsidRDefault="000C2F4F" w:rsidP="00902519">
            <w:pPr>
              <w:jc w:val="right"/>
              <w:rPr>
                <w:rFonts w:cs="Arial"/>
                <w:sz w:val="22"/>
                <w:szCs w:val="22"/>
                <w:lang w:val="ro-RO"/>
              </w:rPr>
            </w:pPr>
            <w:r w:rsidRPr="00860724">
              <w:rPr>
                <w:rFonts w:cs="Arial"/>
                <w:sz w:val="22"/>
                <w:szCs w:val="22"/>
                <w:lang w:val="ro-RO"/>
              </w:rPr>
              <w:t>1.253</w:t>
            </w:r>
          </w:p>
        </w:tc>
        <w:tc>
          <w:tcPr>
            <w:tcW w:w="1471" w:type="pct"/>
            <w:shd w:val="clear" w:color="auto" w:fill="auto"/>
            <w:noWrap/>
            <w:vAlign w:val="bottom"/>
          </w:tcPr>
          <w:p w:rsidR="000C2F4F" w:rsidRPr="00860724" w:rsidRDefault="000C2F4F" w:rsidP="00902519">
            <w:pPr>
              <w:rPr>
                <w:rFonts w:cs="Arial"/>
                <w:sz w:val="22"/>
                <w:szCs w:val="22"/>
                <w:lang w:val="ro-RO"/>
              </w:rPr>
            </w:pPr>
            <w:r w:rsidRPr="00860724">
              <w:rPr>
                <w:rFonts w:cs="Arial"/>
                <w:sz w:val="22"/>
                <w:szCs w:val="22"/>
                <w:lang w:val="ro-RO"/>
              </w:rPr>
              <w:t>2 intervenţii asupra construcţiilor şi instalaţiilor aferente acestora,</w:t>
            </w:r>
          </w:p>
          <w:p w:rsidR="000C2F4F" w:rsidRPr="00860724" w:rsidRDefault="000C2F4F" w:rsidP="00902519">
            <w:pPr>
              <w:rPr>
                <w:rFonts w:cs="Arial"/>
                <w:sz w:val="22"/>
                <w:szCs w:val="22"/>
                <w:lang w:val="ro-RO"/>
              </w:rPr>
            </w:pPr>
            <w:r w:rsidRPr="00860724">
              <w:rPr>
                <w:rFonts w:cs="Arial"/>
                <w:sz w:val="22"/>
                <w:szCs w:val="22"/>
                <w:lang w:val="ro-RO"/>
              </w:rPr>
              <w:t>din care:</w:t>
            </w: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r w:rsidRPr="00860724">
              <w:rPr>
                <w:rFonts w:cs="Arial"/>
                <w:sz w:val="22"/>
                <w:szCs w:val="22"/>
                <w:lang w:val="ro-RO"/>
              </w:rPr>
              <w:t>288</w:t>
            </w:r>
          </w:p>
        </w:tc>
      </w:tr>
      <w:tr w:rsidR="000C2F4F" w:rsidRPr="00860724" w:rsidTr="00902519">
        <w:trPr>
          <w:trHeight w:val="255"/>
        </w:trPr>
        <w:tc>
          <w:tcPr>
            <w:tcW w:w="730" w:type="pct"/>
            <w:vMerge/>
            <w:tcBorders>
              <w:left w:val="single" w:sz="4" w:space="0" w:color="auto"/>
            </w:tcBorders>
          </w:tcPr>
          <w:p w:rsidR="000C2F4F" w:rsidRPr="00860724" w:rsidRDefault="000C2F4F" w:rsidP="00902519">
            <w:pPr>
              <w:rPr>
                <w:rFonts w:cs="Arial"/>
                <w:b/>
                <w:sz w:val="22"/>
                <w:szCs w:val="22"/>
                <w:lang w:val="ro-RO"/>
              </w:rPr>
            </w:pPr>
          </w:p>
        </w:tc>
        <w:tc>
          <w:tcPr>
            <w:tcW w:w="1755" w:type="pct"/>
            <w:shd w:val="clear" w:color="auto" w:fill="auto"/>
            <w:noWrap/>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1</w:t>
            </w:r>
            <w:r w:rsidRPr="00860724">
              <w:rPr>
                <w:rFonts w:cs="Arial"/>
                <w:sz w:val="22"/>
                <w:szCs w:val="22"/>
                <w:lang w:val="ro-RO"/>
              </w:rPr>
              <w:t xml:space="preserve"> </w:t>
            </w:r>
            <w:r w:rsidRPr="00860724">
              <w:rPr>
                <w:rFonts w:cs="Arial"/>
                <w:b/>
                <w:sz w:val="22"/>
                <w:szCs w:val="22"/>
                <w:lang w:val="ro-RO"/>
              </w:rPr>
              <w:t>proiect</w:t>
            </w:r>
            <w:r w:rsidRPr="00860724">
              <w:rPr>
                <w:rFonts w:cs="Arial"/>
                <w:sz w:val="22"/>
                <w:szCs w:val="22"/>
                <w:lang w:val="ro-RO"/>
              </w:rPr>
              <w:t xml:space="preserve"> – studii de prefezabilitate, fezabilitate şi alte studii prevăzute de lege</w:t>
            </w:r>
          </w:p>
        </w:tc>
        <w:tc>
          <w:tcPr>
            <w:tcW w:w="525" w:type="pct"/>
            <w:vAlign w:val="center"/>
          </w:tcPr>
          <w:p w:rsidR="000C2F4F" w:rsidRPr="00860724" w:rsidRDefault="000C2F4F" w:rsidP="00902519">
            <w:pPr>
              <w:jc w:val="center"/>
              <w:rPr>
                <w:rFonts w:cs="Arial"/>
                <w:sz w:val="22"/>
                <w:szCs w:val="22"/>
                <w:lang w:val="ro-RO"/>
              </w:rPr>
            </w:pPr>
            <w:r w:rsidRPr="00860724">
              <w:rPr>
                <w:rFonts w:cs="Arial"/>
                <w:sz w:val="22"/>
                <w:szCs w:val="22"/>
                <w:lang w:val="ro-RO"/>
              </w:rPr>
              <w:t>59</w:t>
            </w:r>
          </w:p>
        </w:tc>
        <w:tc>
          <w:tcPr>
            <w:tcW w:w="1471" w:type="pct"/>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 xml:space="preserve">0 proiecte </w:t>
            </w:r>
            <w:r w:rsidRPr="00860724">
              <w:rPr>
                <w:rFonts w:cs="Arial"/>
                <w:sz w:val="22"/>
                <w:szCs w:val="22"/>
                <w:lang w:val="ro-RO"/>
              </w:rPr>
              <w:t>studii de prefezabilitate, fezabilitate şi alte studii prevăzute de lege</w:t>
            </w: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r w:rsidRPr="00860724">
              <w:rPr>
                <w:rFonts w:cs="Arial"/>
                <w:sz w:val="22"/>
                <w:szCs w:val="22"/>
                <w:lang w:val="ro-RO"/>
              </w:rPr>
              <w:t>0</w:t>
            </w:r>
          </w:p>
        </w:tc>
      </w:tr>
      <w:tr w:rsidR="000C2F4F" w:rsidRPr="00860724" w:rsidTr="00902519">
        <w:trPr>
          <w:trHeight w:val="255"/>
        </w:trPr>
        <w:tc>
          <w:tcPr>
            <w:tcW w:w="730" w:type="pct"/>
            <w:vMerge/>
            <w:tcBorders>
              <w:left w:val="single" w:sz="4" w:space="0" w:color="auto"/>
            </w:tcBorders>
          </w:tcPr>
          <w:p w:rsidR="000C2F4F" w:rsidRPr="00860724" w:rsidRDefault="000C2F4F" w:rsidP="00902519">
            <w:pPr>
              <w:rPr>
                <w:rFonts w:cs="Arial"/>
                <w:b/>
                <w:sz w:val="22"/>
                <w:szCs w:val="22"/>
                <w:lang w:val="ro-RO"/>
              </w:rPr>
            </w:pPr>
          </w:p>
        </w:tc>
        <w:tc>
          <w:tcPr>
            <w:tcW w:w="1755" w:type="pct"/>
            <w:shd w:val="clear" w:color="auto" w:fill="auto"/>
            <w:noWrap/>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1</w:t>
            </w:r>
            <w:r w:rsidRPr="00860724">
              <w:rPr>
                <w:rFonts w:cs="Arial"/>
                <w:sz w:val="22"/>
                <w:szCs w:val="22"/>
                <w:lang w:val="ro-RO"/>
              </w:rPr>
              <w:t xml:space="preserve"> consolidare,  lucrări în curs de execuţie </w:t>
            </w:r>
          </w:p>
        </w:tc>
        <w:tc>
          <w:tcPr>
            <w:tcW w:w="525" w:type="pct"/>
            <w:vAlign w:val="center"/>
          </w:tcPr>
          <w:p w:rsidR="000C2F4F" w:rsidRPr="00860724" w:rsidRDefault="000C2F4F" w:rsidP="00902519">
            <w:pPr>
              <w:jc w:val="right"/>
              <w:rPr>
                <w:rFonts w:cs="Arial"/>
                <w:sz w:val="22"/>
                <w:szCs w:val="22"/>
                <w:lang w:val="ro-RO"/>
              </w:rPr>
            </w:pPr>
            <w:r w:rsidRPr="00860724">
              <w:rPr>
                <w:rFonts w:cs="Arial"/>
                <w:sz w:val="22"/>
                <w:szCs w:val="22"/>
                <w:lang w:val="ro-RO"/>
              </w:rPr>
              <w:t>630</w:t>
            </w:r>
          </w:p>
        </w:tc>
        <w:tc>
          <w:tcPr>
            <w:tcW w:w="1471" w:type="pct"/>
            <w:shd w:val="clear" w:color="auto" w:fill="auto"/>
            <w:noWrap/>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0</w:t>
            </w:r>
            <w:r w:rsidRPr="00860724">
              <w:rPr>
                <w:rFonts w:cs="Arial"/>
                <w:sz w:val="22"/>
                <w:szCs w:val="22"/>
                <w:lang w:val="ro-RO"/>
              </w:rPr>
              <w:t xml:space="preserve"> consolidări,  execuţie de lucrări </w:t>
            </w:r>
          </w:p>
        </w:tc>
        <w:tc>
          <w:tcPr>
            <w:tcW w:w="519" w:type="pct"/>
            <w:tcBorders>
              <w:right w:val="single" w:sz="4" w:space="0" w:color="auto"/>
            </w:tcBorders>
            <w:vAlign w:val="center"/>
          </w:tcPr>
          <w:p w:rsidR="000C2F4F" w:rsidRPr="00860724" w:rsidRDefault="000C2F4F" w:rsidP="00902519">
            <w:pPr>
              <w:jc w:val="center"/>
              <w:rPr>
                <w:rFonts w:cs="Arial"/>
                <w:sz w:val="22"/>
                <w:szCs w:val="22"/>
                <w:lang w:val="ro-RO"/>
              </w:rPr>
            </w:pPr>
            <w:r w:rsidRPr="00860724">
              <w:rPr>
                <w:rFonts w:cs="Arial"/>
                <w:sz w:val="22"/>
                <w:szCs w:val="22"/>
                <w:lang w:val="ro-RO"/>
              </w:rPr>
              <w:t>0</w:t>
            </w:r>
          </w:p>
        </w:tc>
      </w:tr>
      <w:tr w:rsidR="000C2F4F" w:rsidRPr="00860724" w:rsidTr="00902519">
        <w:trPr>
          <w:trHeight w:val="580"/>
        </w:trPr>
        <w:tc>
          <w:tcPr>
            <w:tcW w:w="730" w:type="pct"/>
            <w:vMerge/>
            <w:tcBorders>
              <w:left w:val="single" w:sz="4" w:space="0" w:color="auto"/>
            </w:tcBorders>
          </w:tcPr>
          <w:p w:rsidR="000C2F4F" w:rsidRPr="00860724" w:rsidRDefault="000C2F4F" w:rsidP="00902519">
            <w:pPr>
              <w:rPr>
                <w:rFonts w:cs="Arial"/>
                <w:b/>
                <w:sz w:val="22"/>
                <w:szCs w:val="22"/>
                <w:lang w:val="ro-RO"/>
              </w:rPr>
            </w:pPr>
          </w:p>
        </w:tc>
        <w:tc>
          <w:tcPr>
            <w:tcW w:w="1755" w:type="pct"/>
            <w:shd w:val="clear" w:color="auto" w:fill="auto"/>
            <w:noWrap/>
          </w:tcPr>
          <w:p w:rsidR="000C2F4F" w:rsidRPr="00860724" w:rsidRDefault="000C2F4F" w:rsidP="000C2F4F">
            <w:pPr>
              <w:numPr>
                <w:ilvl w:val="0"/>
                <w:numId w:val="32"/>
              </w:numPr>
              <w:tabs>
                <w:tab w:val="clear" w:pos="360"/>
              </w:tabs>
              <w:ind w:left="171" w:hanging="171"/>
              <w:jc w:val="both"/>
              <w:rPr>
                <w:rFonts w:cs="Arial"/>
                <w:b/>
                <w:sz w:val="22"/>
                <w:szCs w:val="22"/>
                <w:lang w:val="ro-RO"/>
              </w:rPr>
            </w:pPr>
            <w:r w:rsidRPr="00860724">
              <w:rPr>
                <w:rFonts w:cs="Arial"/>
                <w:b/>
                <w:sz w:val="22"/>
                <w:szCs w:val="22"/>
                <w:lang w:val="ro-RO"/>
              </w:rPr>
              <w:t xml:space="preserve">5 lucrări </w:t>
            </w:r>
            <w:r w:rsidRPr="00860724">
              <w:rPr>
                <w:rFonts w:cs="Arial"/>
                <w:sz w:val="22"/>
                <w:szCs w:val="22"/>
                <w:lang w:val="ro-RO"/>
              </w:rPr>
              <w:t>de modernizări, amenajări, reabilitări fond construit, din care 5 lucrări în curs de execuţie</w:t>
            </w:r>
          </w:p>
        </w:tc>
        <w:tc>
          <w:tcPr>
            <w:tcW w:w="525" w:type="pct"/>
            <w:vAlign w:val="center"/>
          </w:tcPr>
          <w:p w:rsidR="000C2F4F" w:rsidRPr="00860724" w:rsidRDefault="000C2F4F" w:rsidP="00902519">
            <w:pPr>
              <w:jc w:val="right"/>
              <w:rPr>
                <w:rFonts w:cs="Arial"/>
                <w:sz w:val="22"/>
                <w:szCs w:val="22"/>
                <w:lang w:val="ro-RO"/>
              </w:rPr>
            </w:pPr>
            <w:r w:rsidRPr="00860724">
              <w:rPr>
                <w:rFonts w:cs="Arial"/>
                <w:sz w:val="22"/>
                <w:szCs w:val="22"/>
                <w:lang w:val="ro-RO"/>
              </w:rPr>
              <w:t xml:space="preserve">564    </w:t>
            </w:r>
          </w:p>
        </w:tc>
        <w:tc>
          <w:tcPr>
            <w:tcW w:w="1471" w:type="pct"/>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2 lucrări</w:t>
            </w:r>
            <w:r w:rsidRPr="00860724">
              <w:rPr>
                <w:rFonts w:cs="Arial"/>
                <w:sz w:val="22"/>
                <w:szCs w:val="22"/>
                <w:lang w:val="ro-RO"/>
              </w:rPr>
              <w:t xml:space="preserve"> de modernizări, amenajări, reabilitări fond construit</w:t>
            </w: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r w:rsidRPr="00860724">
              <w:rPr>
                <w:rFonts w:cs="Arial"/>
                <w:sz w:val="22"/>
                <w:szCs w:val="22"/>
                <w:lang w:val="ro-RO"/>
              </w:rPr>
              <w:t>288</w:t>
            </w:r>
          </w:p>
        </w:tc>
      </w:tr>
      <w:tr w:rsidR="000C2F4F" w:rsidRPr="00860724" w:rsidTr="00902519">
        <w:trPr>
          <w:trHeight w:val="70"/>
        </w:trPr>
        <w:tc>
          <w:tcPr>
            <w:tcW w:w="730" w:type="pct"/>
            <w:tcBorders>
              <w:left w:val="single" w:sz="4" w:space="0" w:color="auto"/>
            </w:tcBorders>
            <w:shd w:val="clear" w:color="auto" w:fill="E6E6E6"/>
          </w:tcPr>
          <w:p w:rsidR="000C2F4F" w:rsidRPr="00860724" w:rsidRDefault="000C2F4F" w:rsidP="00902519">
            <w:pPr>
              <w:rPr>
                <w:rFonts w:cs="Arial"/>
                <w:b/>
                <w:sz w:val="22"/>
                <w:szCs w:val="22"/>
                <w:lang w:val="ro-RO"/>
              </w:rPr>
            </w:pPr>
            <w:r w:rsidRPr="00860724">
              <w:rPr>
                <w:rFonts w:cs="Arial"/>
                <w:b/>
                <w:sz w:val="22"/>
                <w:szCs w:val="22"/>
                <w:lang w:val="ro-RO"/>
              </w:rPr>
              <w:t>II. Reparaţii capitale</w:t>
            </w:r>
          </w:p>
        </w:tc>
        <w:tc>
          <w:tcPr>
            <w:tcW w:w="1755" w:type="pct"/>
            <w:shd w:val="clear" w:color="auto" w:fill="E6E6E6"/>
            <w:noWrap/>
            <w:vAlign w:val="bottom"/>
          </w:tcPr>
          <w:p w:rsidR="000C2F4F" w:rsidRPr="00860724" w:rsidRDefault="000C2F4F" w:rsidP="00902519">
            <w:pPr>
              <w:rPr>
                <w:rFonts w:cs="Arial"/>
                <w:b/>
                <w:sz w:val="22"/>
                <w:szCs w:val="22"/>
                <w:lang w:val="ro-RO"/>
              </w:rPr>
            </w:pPr>
          </w:p>
        </w:tc>
        <w:tc>
          <w:tcPr>
            <w:tcW w:w="525" w:type="pct"/>
            <w:shd w:val="clear" w:color="auto" w:fill="E6E6E6"/>
            <w:vAlign w:val="center"/>
          </w:tcPr>
          <w:p w:rsidR="000C2F4F" w:rsidRPr="00860724" w:rsidRDefault="000C2F4F" w:rsidP="00902519">
            <w:pPr>
              <w:jc w:val="right"/>
              <w:rPr>
                <w:rFonts w:cs="Arial"/>
                <w:b/>
                <w:sz w:val="22"/>
                <w:szCs w:val="22"/>
                <w:lang w:val="ro-RO"/>
              </w:rPr>
            </w:pPr>
            <w:r w:rsidRPr="00860724">
              <w:rPr>
                <w:rFonts w:cs="Arial"/>
                <w:b/>
                <w:bCs/>
                <w:sz w:val="22"/>
                <w:szCs w:val="22"/>
                <w:lang w:val="ro-RO"/>
              </w:rPr>
              <w:t>1.330</w:t>
            </w:r>
          </w:p>
        </w:tc>
        <w:tc>
          <w:tcPr>
            <w:tcW w:w="1471" w:type="pct"/>
            <w:shd w:val="clear" w:color="auto" w:fill="E6E6E6"/>
            <w:noWrap/>
            <w:vAlign w:val="bottom"/>
          </w:tcPr>
          <w:p w:rsidR="000C2F4F" w:rsidRPr="00860724" w:rsidRDefault="000C2F4F" w:rsidP="00902519">
            <w:pPr>
              <w:jc w:val="right"/>
              <w:rPr>
                <w:rFonts w:cs="Arial"/>
                <w:b/>
                <w:sz w:val="22"/>
                <w:szCs w:val="22"/>
                <w:lang w:val="ro-RO"/>
              </w:rPr>
            </w:pPr>
          </w:p>
        </w:tc>
        <w:tc>
          <w:tcPr>
            <w:tcW w:w="519" w:type="pct"/>
            <w:tcBorders>
              <w:right w:val="single" w:sz="4" w:space="0" w:color="auto"/>
            </w:tcBorders>
            <w:shd w:val="clear" w:color="auto" w:fill="E6E6E6"/>
            <w:vAlign w:val="center"/>
          </w:tcPr>
          <w:p w:rsidR="000C2F4F" w:rsidRPr="00860724" w:rsidRDefault="000C2F4F" w:rsidP="00902519">
            <w:pPr>
              <w:jc w:val="right"/>
              <w:rPr>
                <w:rFonts w:cs="Arial"/>
                <w:b/>
                <w:sz w:val="22"/>
                <w:szCs w:val="22"/>
                <w:lang w:val="ro-RO"/>
              </w:rPr>
            </w:pPr>
          </w:p>
        </w:tc>
      </w:tr>
      <w:tr w:rsidR="000C2F4F" w:rsidRPr="00860724" w:rsidTr="00902519">
        <w:trPr>
          <w:trHeight w:val="174"/>
        </w:trPr>
        <w:tc>
          <w:tcPr>
            <w:tcW w:w="730" w:type="pct"/>
            <w:vMerge w:val="restart"/>
            <w:tcBorders>
              <w:left w:val="single" w:sz="4" w:space="0" w:color="auto"/>
            </w:tcBorders>
          </w:tcPr>
          <w:p w:rsidR="000C2F4F" w:rsidRPr="00860724" w:rsidRDefault="000C2F4F" w:rsidP="00902519">
            <w:pPr>
              <w:rPr>
                <w:rFonts w:cs="Arial"/>
                <w:sz w:val="22"/>
                <w:szCs w:val="22"/>
                <w:lang w:val="ro-RO"/>
              </w:rPr>
            </w:pPr>
            <w:r w:rsidRPr="00860724">
              <w:rPr>
                <w:rFonts w:cs="Arial"/>
                <w:sz w:val="22"/>
                <w:szCs w:val="22"/>
                <w:lang w:val="ro-RO"/>
              </w:rPr>
              <w:t xml:space="preserve">Reparaţii capitale la construcţiile existente, inclusiv instalaţiile aferente acestora </w:t>
            </w:r>
          </w:p>
        </w:tc>
        <w:tc>
          <w:tcPr>
            <w:tcW w:w="1755" w:type="pct"/>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sz w:val="22"/>
                <w:szCs w:val="22"/>
                <w:lang w:val="ro-RO"/>
              </w:rPr>
            </w:pPr>
            <w:r w:rsidRPr="00860724">
              <w:rPr>
                <w:rFonts w:cs="Arial"/>
                <w:b/>
                <w:sz w:val="22"/>
                <w:szCs w:val="22"/>
                <w:lang w:val="ro-RO"/>
              </w:rPr>
              <w:t>11</w:t>
            </w:r>
            <w:r w:rsidRPr="00860724">
              <w:rPr>
                <w:rFonts w:cs="Arial"/>
                <w:sz w:val="22"/>
                <w:szCs w:val="22"/>
                <w:lang w:val="ro-RO"/>
              </w:rPr>
              <w:t xml:space="preserve"> </w:t>
            </w:r>
            <w:r w:rsidRPr="00860724">
              <w:rPr>
                <w:rFonts w:cs="Arial"/>
                <w:b/>
                <w:sz w:val="22"/>
                <w:szCs w:val="22"/>
                <w:lang w:val="ro-RO"/>
              </w:rPr>
              <w:t>lucrări</w:t>
            </w:r>
            <w:r w:rsidRPr="00860724">
              <w:rPr>
                <w:rFonts w:cs="Arial"/>
                <w:sz w:val="22"/>
                <w:szCs w:val="22"/>
                <w:lang w:val="ro-RO"/>
              </w:rPr>
              <w:t xml:space="preserve"> de reparaţii capitale, din care:             </w:t>
            </w:r>
          </w:p>
        </w:tc>
        <w:tc>
          <w:tcPr>
            <w:tcW w:w="525" w:type="pct"/>
            <w:vAlign w:val="center"/>
          </w:tcPr>
          <w:p w:rsidR="000C2F4F" w:rsidRPr="00860724" w:rsidRDefault="000C2F4F" w:rsidP="00902519">
            <w:pPr>
              <w:jc w:val="right"/>
              <w:rPr>
                <w:rFonts w:cs="Arial"/>
                <w:sz w:val="22"/>
                <w:szCs w:val="22"/>
                <w:lang w:val="ro-RO"/>
              </w:rPr>
            </w:pPr>
            <w:r w:rsidRPr="00860724">
              <w:rPr>
                <w:rFonts w:cs="Arial"/>
                <w:bCs/>
                <w:sz w:val="22"/>
                <w:szCs w:val="22"/>
                <w:lang w:val="ro-RO"/>
              </w:rPr>
              <w:t>1.330</w:t>
            </w:r>
          </w:p>
        </w:tc>
        <w:tc>
          <w:tcPr>
            <w:tcW w:w="1471" w:type="pct"/>
            <w:shd w:val="clear" w:color="auto" w:fill="auto"/>
            <w:noWrap/>
            <w:vAlign w:val="bottom"/>
          </w:tcPr>
          <w:p w:rsidR="000C2F4F" w:rsidRPr="00860724" w:rsidRDefault="000C2F4F" w:rsidP="00902519">
            <w:pPr>
              <w:jc w:val="right"/>
              <w:rPr>
                <w:rFonts w:cs="Arial"/>
                <w:sz w:val="22"/>
                <w:szCs w:val="22"/>
                <w:lang w:val="ro-RO"/>
              </w:rPr>
            </w:pP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p>
        </w:tc>
      </w:tr>
      <w:tr w:rsidR="000C2F4F" w:rsidRPr="00860724" w:rsidTr="00902519">
        <w:trPr>
          <w:trHeight w:val="174"/>
        </w:trPr>
        <w:tc>
          <w:tcPr>
            <w:tcW w:w="730" w:type="pct"/>
            <w:vMerge/>
            <w:tcBorders>
              <w:left w:val="single" w:sz="4" w:space="0" w:color="auto"/>
            </w:tcBorders>
          </w:tcPr>
          <w:p w:rsidR="000C2F4F" w:rsidRPr="00860724" w:rsidRDefault="000C2F4F" w:rsidP="00902519">
            <w:pPr>
              <w:rPr>
                <w:rFonts w:cs="Arial"/>
                <w:sz w:val="22"/>
                <w:szCs w:val="22"/>
                <w:lang w:val="ro-RO"/>
              </w:rPr>
            </w:pPr>
          </w:p>
        </w:tc>
        <w:tc>
          <w:tcPr>
            <w:tcW w:w="1755" w:type="pct"/>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b/>
                <w:sz w:val="22"/>
                <w:szCs w:val="22"/>
                <w:lang w:val="ro-RO"/>
              </w:rPr>
            </w:pPr>
            <w:r w:rsidRPr="00860724">
              <w:rPr>
                <w:rFonts w:cs="Arial"/>
                <w:b/>
                <w:sz w:val="22"/>
                <w:szCs w:val="22"/>
                <w:lang w:val="ro-RO"/>
              </w:rPr>
              <w:t xml:space="preserve">4 lucrări de reparaţii capitale, </w:t>
            </w:r>
            <w:r w:rsidRPr="00860724">
              <w:rPr>
                <w:rFonts w:cs="Arial"/>
                <w:sz w:val="22"/>
                <w:szCs w:val="22"/>
                <w:lang w:val="ro-RO"/>
              </w:rPr>
              <w:t>lucrări în curs de</w:t>
            </w:r>
            <w:r w:rsidRPr="00860724">
              <w:rPr>
                <w:rFonts w:cs="Arial"/>
                <w:b/>
                <w:sz w:val="22"/>
                <w:szCs w:val="22"/>
                <w:lang w:val="ro-RO"/>
              </w:rPr>
              <w:t xml:space="preserve"> </w:t>
            </w:r>
            <w:r w:rsidRPr="00860724">
              <w:rPr>
                <w:rFonts w:cs="Arial"/>
                <w:sz w:val="22"/>
                <w:szCs w:val="22"/>
                <w:lang w:val="ro-RO"/>
              </w:rPr>
              <w:t xml:space="preserve">execuţie </w:t>
            </w:r>
          </w:p>
        </w:tc>
        <w:tc>
          <w:tcPr>
            <w:tcW w:w="525" w:type="pct"/>
            <w:vAlign w:val="center"/>
          </w:tcPr>
          <w:p w:rsidR="000C2F4F" w:rsidRPr="00860724" w:rsidRDefault="000C2F4F" w:rsidP="00902519">
            <w:pPr>
              <w:jc w:val="right"/>
              <w:rPr>
                <w:rFonts w:cs="Arial"/>
                <w:bCs/>
                <w:sz w:val="22"/>
                <w:szCs w:val="22"/>
                <w:lang w:val="ro-RO"/>
              </w:rPr>
            </w:pPr>
            <w:r w:rsidRPr="00860724">
              <w:rPr>
                <w:rFonts w:cs="Arial"/>
                <w:bCs/>
                <w:sz w:val="22"/>
                <w:szCs w:val="22"/>
                <w:lang w:val="ro-RO"/>
              </w:rPr>
              <w:t>1.018</w:t>
            </w:r>
          </w:p>
        </w:tc>
        <w:tc>
          <w:tcPr>
            <w:tcW w:w="1471" w:type="pct"/>
            <w:shd w:val="clear" w:color="auto" w:fill="auto"/>
            <w:noWrap/>
            <w:vAlign w:val="bottom"/>
          </w:tcPr>
          <w:p w:rsidR="000C2F4F" w:rsidRPr="00860724" w:rsidRDefault="000C2F4F" w:rsidP="00902519">
            <w:pPr>
              <w:jc w:val="right"/>
              <w:rPr>
                <w:rFonts w:cs="Arial"/>
                <w:sz w:val="22"/>
                <w:szCs w:val="22"/>
                <w:lang w:val="ro-RO"/>
              </w:rPr>
            </w:pPr>
          </w:p>
        </w:tc>
        <w:tc>
          <w:tcPr>
            <w:tcW w:w="519" w:type="pct"/>
            <w:tcBorders>
              <w:right w:val="single" w:sz="4" w:space="0" w:color="auto"/>
            </w:tcBorders>
            <w:vAlign w:val="center"/>
          </w:tcPr>
          <w:p w:rsidR="000C2F4F" w:rsidRPr="00860724" w:rsidRDefault="000C2F4F" w:rsidP="00902519">
            <w:pPr>
              <w:jc w:val="right"/>
              <w:rPr>
                <w:rFonts w:cs="Arial"/>
                <w:sz w:val="22"/>
                <w:szCs w:val="22"/>
                <w:lang w:val="ro-RO"/>
              </w:rPr>
            </w:pPr>
          </w:p>
        </w:tc>
      </w:tr>
      <w:tr w:rsidR="000C2F4F" w:rsidRPr="00860724" w:rsidTr="00902519">
        <w:trPr>
          <w:trHeight w:val="174"/>
        </w:trPr>
        <w:tc>
          <w:tcPr>
            <w:tcW w:w="730" w:type="pct"/>
            <w:vMerge/>
            <w:tcBorders>
              <w:left w:val="single" w:sz="4" w:space="0" w:color="auto"/>
              <w:bottom w:val="single" w:sz="4" w:space="0" w:color="auto"/>
            </w:tcBorders>
          </w:tcPr>
          <w:p w:rsidR="000C2F4F" w:rsidRPr="00860724" w:rsidRDefault="000C2F4F" w:rsidP="00902519">
            <w:pPr>
              <w:rPr>
                <w:rFonts w:cs="Arial"/>
                <w:sz w:val="22"/>
                <w:szCs w:val="22"/>
                <w:lang w:val="ro-RO"/>
              </w:rPr>
            </w:pPr>
          </w:p>
        </w:tc>
        <w:tc>
          <w:tcPr>
            <w:tcW w:w="1755" w:type="pct"/>
            <w:tcBorders>
              <w:bottom w:val="single" w:sz="4" w:space="0" w:color="auto"/>
            </w:tcBorders>
            <w:shd w:val="clear" w:color="auto" w:fill="auto"/>
            <w:noWrap/>
            <w:vAlign w:val="bottom"/>
          </w:tcPr>
          <w:p w:rsidR="000C2F4F" w:rsidRPr="00860724" w:rsidRDefault="000C2F4F" w:rsidP="000C2F4F">
            <w:pPr>
              <w:numPr>
                <w:ilvl w:val="0"/>
                <w:numId w:val="32"/>
              </w:numPr>
              <w:tabs>
                <w:tab w:val="clear" w:pos="360"/>
              </w:tabs>
              <w:ind w:left="171" w:hanging="171"/>
              <w:jc w:val="both"/>
              <w:rPr>
                <w:rFonts w:cs="Arial"/>
                <w:b/>
                <w:sz w:val="22"/>
                <w:szCs w:val="22"/>
                <w:lang w:val="ro-RO"/>
              </w:rPr>
            </w:pPr>
            <w:r w:rsidRPr="00860724">
              <w:rPr>
                <w:rFonts w:cs="Arial"/>
                <w:b/>
                <w:sz w:val="22"/>
                <w:szCs w:val="22"/>
                <w:lang w:val="ro-RO"/>
              </w:rPr>
              <w:t xml:space="preserve">7 lucrări de reparaţii capitale, fază </w:t>
            </w:r>
            <w:r w:rsidRPr="00860724">
              <w:rPr>
                <w:rFonts w:cs="Arial"/>
                <w:sz w:val="22"/>
                <w:szCs w:val="22"/>
                <w:lang w:val="ro-RO"/>
              </w:rPr>
              <w:t>proiectare (inclusiv expertiză tehnică)</w:t>
            </w:r>
          </w:p>
        </w:tc>
        <w:tc>
          <w:tcPr>
            <w:tcW w:w="525" w:type="pct"/>
            <w:tcBorders>
              <w:bottom w:val="single" w:sz="4" w:space="0" w:color="auto"/>
            </w:tcBorders>
            <w:vAlign w:val="center"/>
          </w:tcPr>
          <w:p w:rsidR="000C2F4F" w:rsidRPr="00860724" w:rsidRDefault="000C2F4F" w:rsidP="00902519">
            <w:pPr>
              <w:jc w:val="right"/>
              <w:rPr>
                <w:rFonts w:cs="Arial"/>
                <w:bCs/>
                <w:sz w:val="22"/>
                <w:szCs w:val="22"/>
                <w:lang w:val="ro-RO"/>
              </w:rPr>
            </w:pPr>
            <w:r w:rsidRPr="00860724">
              <w:rPr>
                <w:rFonts w:cs="Arial"/>
                <w:bCs/>
                <w:sz w:val="22"/>
                <w:szCs w:val="22"/>
                <w:lang w:val="ro-RO"/>
              </w:rPr>
              <w:t>312</w:t>
            </w:r>
          </w:p>
        </w:tc>
        <w:tc>
          <w:tcPr>
            <w:tcW w:w="1471" w:type="pct"/>
            <w:tcBorders>
              <w:bottom w:val="single" w:sz="4" w:space="0" w:color="auto"/>
            </w:tcBorders>
            <w:shd w:val="clear" w:color="auto" w:fill="auto"/>
            <w:noWrap/>
            <w:vAlign w:val="bottom"/>
          </w:tcPr>
          <w:p w:rsidR="000C2F4F" w:rsidRPr="00860724" w:rsidRDefault="000C2F4F" w:rsidP="00902519">
            <w:pPr>
              <w:jc w:val="right"/>
              <w:rPr>
                <w:rFonts w:cs="Arial"/>
                <w:sz w:val="22"/>
                <w:szCs w:val="22"/>
                <w:lang w:val="ro-RO"/>
              </w:rPr>
            </w:pPr>
          </w:p>
        </w:tc>
        <w:tc>
          <w:tcPr>
            <w:tcW w:w="519" w:type="pct"/>
            <w:tcBorders>
              <w:bottom w:val="single" w:sz="4" w:space="0" w:color="auto"/>
              <w:right w:val="single" w:sz="4" w:space="0" w:color="auto"/>
            </w:tcBorders>
            <w:vAlign w:val="center"/>
          </w:tcPr>
          <w:p w:rsidR="000C2F4F" w:rsidRPr="00860724" w:rsidRDefault="000C2F4F" w:rsidP="00902519">
            <w:pPr>
              <w:jc w:val="right"/>
              <w:rPr>
                <w:rFonts w:cs="Arial"/>
                <w:sz w:val="22"/>
                <w:szCs w:val="22"/>
                <w:lang w:val="ro-RO"/>
              </w:rPr>
            </w:pPr>
          </w:p>
        </w:tc>
      </w:tr>
    </w:tbl>
    <w:p w:rsidR="000C2F4F" w:rsidRPr="00860724" w:rsidRDefault="000C2F4F" w:rsidP="000C2F4F">
      <w:pPr>
        <w:ind w:right="22"/>
        <w:rPr>
          <w:rFonts w:cs="Arial"/>
          <w:lang w:val="ro-RO"/>
        </w:rPr>
      </w:pPr>
    </w:p>
    <w:p w:rsidR="000C2F4F" w:rsidRPr="00860724" w:rsidRDefault="000C2F4F" w:rsidP="0007746A">
      <w:pPr>
        <w:spacing w:line="276" w:lineRule="auto"/>
        <w:ind w:firstLine="720"/>
        <w:jc w:val="both"/>
        <w:rPr>
          <w:rFonts w:cs="Arial"/>
          <w:lang w:val="ro-RO"/>
        </w:rPr>
      </w:pPr>
      <w:r w:rsidRPr="00860724">
        <w:rPr>
          <w:rFonts w:cs="Arial"/>
          <w:lang w:val="ro-RO"/>
        </w:rPr>
        <w:t xml:space="preserve">Fondurile prevăzute în anul 2017 pentru reparaţii capitale, modernizări şi investiţii au fost alocate pentru un număr de 22 de instanţe, dintre acestea 4 având atât o componentă de finanţare din fonduri externe rambursabile, cât şi o componentă de finanţare de la bugetul de stat şi 6 instanţe având doar componentă din fonduri externe rambursabile. Majoritatea sediilor deţinute de instanţe sunt deţinute în proprietate şi, doar o mică parte, cu chirie. </w:t>
      </w:r>
    </w:p>
    <w:p w:rsidR="000C2F4F" w:rsidRPr="00860724" w:rsidRDefault="000C2F4F" w:rsidP="0007746A">
      <w:pPr>
        <w:spacing w:line="276" w:lineRule="auto"/>
        <w:ind w:left="2" w:firstLine="718"/>
        <w:rPr>
          <w:rFonts w:cs="Arial"/>
          <w:lang w:val="ro-RO"/>
        </w:rPr>
      </w:pPr>
      <w:r w:rsidRPr="00860724">
        <w:rPr>
          <w:rFonts w:cs="Arial"/>
          <w:lang w:val="ro-RO"/>
        </w:rPr>
        <w:t>Starea sediilor instanţelor este prezentată în tabelul următor:</w:t>
      </w:r>
    </w:p>
    <w:tbl>
      <w:tblPr>
        <w:tblW w:w="9100" w:type="dxa"/>
        <w:tblInd w:w="93" w:type="dxa"/>
        <w:tblLook w:val="0000" w:firstRow="0" w:lastRow="0" w:firstColumn="0" w:lastColumn="0" w:noHBand="0" w:noVBand="0"/>
      </w:tblPr>
      <w:tblGrid>
        <w:gridCol w:w="5340"/>
        <w:gridCol w:w="3760"/>
      </w:tblGrid>
      <w:tr w:rsidR="000C2F4F" w:rsidRPr="00860724" w:rsidTr="00902519">
        <w:trPr>
          <w:trHeight w:val="467"/>
        </w:trPr>
        <w:tc>
          <w:tcPr>
            <w:tcW w:w="5340" w:type="dxa"/>
            <w:tcBorders>
              <w:top w:val="single" w:sz="8" w:space="0" w:color="auto"/>
              <w:left w:val="single" w:sz="8" w:space="0" w:color="auto"/>
              <w:bottom w:val="single" w:sz="8" w:space="0" w:color="auto"/>
              <w:right w:val="single" w:sz="8" w:space="0" w:color="auto"/>
            </w:tcBorders>
            <w:shd w:val="clear" w:color="auto" w:fill="D9D9D9"/>
            <w:vAlign w:val="center"/>
          </w:tcPr>
          <w:p w:rsidR="000C2F4F" w:rsidRPr="00860724" w:rsidRDefault="000C2F4F" w:rsidP="00902519">
            <w:pPr>
              <w:rPr>
                <w:rFonts w:cs="Arial"/>
                <w:b/>
                <w:bCs/>
                <w:lang w:val="ro-RO"/>
              </w:rPr>
            </w:pPr>
            <w:r w:rsidRPr="00860724">
              <w:rPr>
                <w:rFonts w:cs="Arial"/>
                <w:b/>
                <w:bCs/>
                <w:lang w:val="ro-RO"/>
              </w:rPr>
              <w:t>Starea sediilor de instanţă la 31 decembrie 2017</w:t>
            </w:r>
          </w:p>
        </w:tc>
        <w:tc>
          <w:tcPr>
            <w:tcW w:w="3760" w:type="dxa"/>
            <w:tcBorders>
              <w:top w:val="single" w:sz="8" w:space="0" w:color="auto"/>
              <w:left w:val="nil"/>
              <w:bottom w:val="single" w:sz="8" w:space="0" w:color="auto"/>
              <w:right w:val="single" w:sz="8" w:space="0" w:color="auto"/>
            </w:tcBorders>
            <w:shd w:val="clear" w:color="auto" w:fill="D9D9D9"/>
            <w:vAlign w:val="center"/>
          </w:tcPr>
          <w:p w:rsidR="000C2F4F" w:rsidRPr="00860724" w:rsidRDefault="000C2F4F" w:rsidP="00902519">
            <w:pPr>
              <w:jc w:val="center"/>
              <w:rPr>
                <w:rFonts w:cs="Arial"/>
                <w:b/>
                <w:bCs/>
                <w:lang w:val="ro-RO"/>
              </w:rPr>
            </w:pPr>
            <w:r w:rsidRPr="00860724">
              <w:rPr>
                <w:rFonts w:cs="Arial"/>
                <w:b/>
                <w:bCs/>
                <w:lang w:val="ro-RO"/>
              </w:rPr>
              <w:t>Număr de sedii</w:t>
            </w:r>
          </w:p>
        </w:tc>
      </w:tr>
      <w:tr w:rsidR="000C2F4F" w:rsidRPr="00860724" w:rsidTr="00902519">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0C2F4F" w:rsidRPr="00860724" w:rsidRDefault="000C2F4F" w:rsidP="00902519">
            <w:pPr>
              <w:rPr>
                <w:rFonts w:cs="Arial"/>
                <w:lang w:val="ro-RO"/>
              </w:rPr>
            </w:pPr>
            <w:r w:rsidRPr="00860724">
              <w:rPr>
                <w:rFonts w:cs="Arial"/>
                <w:lang w:val="ro-RO"/>
              </w:rPr>
              <w:t>Sedii în stare</w:t>
            </w:r>
            <w:r w:rsidRPr="00860724">
              <w:rPr>
                <w:rFonts w:cs="Arial"/>
                <w:b/>
                <w:bCs/>
                <w:lang w:val="ro-RO"/>
              </w:rPr>
              <w:t xml:space="preserve"> </w:t>
            </w:r>
            <w:r w:rsidRPr="00860724">
              <w:rPr>
                <w:rFonts w:cs="Arial"/>
                <w:b/>
                <w:bCs/>
                <w:i/>
                <w:iCs/>
                <w:lang w:val="ro-RO"/>
              </w:rPr>
              <w:t>foarte bună</w:t>
            </w:r>
          </w:p>
        </w:tc>
        <w:tc>
          <w:tcPr>
            <w:tcW w:w="3760" w:type="dxa"/>
            <w:tcBorders>
              <w:top w:val="nil"/>
              <w:left w:val="nil"/>
              <w:bottom w:val="single" w:sz="4"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60</w:t>
            </w:r>
          </w:p>
        </w:tc>
      </w:tr>
      <w:tr w:rsidR="000C2F4F" w:rsidRPr="00860724" w:rsidTr="00902519">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0C2F4F" w:rsidRPr="00860724" w:rsidRDefault="000C2F4F" w:rsidP="00902519">
            <w:pPr>
              <w:rPr>
                <w:rFonts w:cs="Arial"/>
                <w:lang w:val="ro-RO"/>
              </w:rPr>
            </w:pPr>
            <w:r w:rsidRPr="00860724">
              <w:rPr>
                <w:rFonts w:cs="Arial"/>
                <w:lang w:val="ro-RO"/>
              </w:rPr>
              <w:t>Sedii în stare</w:t>
            </w:r>
            <w:r w:rsidRPr="00860724">
              <w:rPr>
                <w:rFonts w:cs="Arial"/>
                <w:b/>
                <w:bCs/>
                <w:lang w:val="ro-RO"/>
              </w:rPr>
              <w:t xml:space="preserve"> </w:t>
            </w:r>
            <w:r w:rsidRPr="00860724">
              <w:rPr>
                <w:rFonts w:cs="Arial"/>
                <w:b/>
                <w:bCs/>
                <w:i/>
                <w:iCs/>
                <w:lang w:val="ro-RO"/>
              </w:rPr>
              <w:t>bună</w:t>
            </w:r>
          </w:p>
        </w:tc>
        <w:tc>
          <w:tcPr>
            <w:tcW w:w="3760" w:type="dxa"/>
            <w:tcBorders>
              <w:top w:val="nil"/>
              <w:left w:val="nil"/>
              <w:bottom w:val="single" w:sz="4"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60</w:t>
            </w:r>
          </w:p>
        </w:tc>
      </w:tr>
      <w:tr w:rsidR="000C2F4F" w:rsidRPr="00860724" w:rsidTr="00902519">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0C2F4F" w:rsidRPr="00860724" w:rsidRDefault="000C2F4F" w:rsidP="00902519">
            <w:pPr>
              <w:rPr>
                <w:rFonts w:cs="Arial"/>
                <w:lang w:val="ro-RO"/>
              </w:rPr>
            </w:pPr>
            <w:r w:rsidRPr="00860724">
              <w:rPr>
                <w:rFonts w:cs="Arial"/>
                <w:lang w:val="ro-RO"/>
              </w:rPr>
              <w:t>Sedii în stare</w:t>
            </w:r>
            <w:r w:rsidRPr="00860724">
              <w:rPr>
                <w:rFonts w:cs="Arial"/>
                <w:b/>
                <w:bCs/>
                <w:lang w:val="ro-RO"/>
              </w:rPr>
              <w:t xml:space="preserve"> </w:t>
            </w:r>
            <w:r w:rsidRPr="00860724">
              <w:rPr>
                <w:rFonts w:cs="Arial"/>
                <w:b/>
                <w:bCs/>
                <w:i/>
                <w:iCs/>
                <w:lang w:val="ro-RO"/>
              </w:rPr>
              <w:t>acceptabilă</w:t>
            </w:r>
          </w:p>
        </w:tc>
        <w:tc>
          <w:tcPr>
            <w:tcW w:w="3760" w:type="dxa"/>
            <w:tcBorders>
              <w:top w:val="nil"/>
              <w:left w:val="nil"/>
              <w:bottom w:val="single" w:sz="4"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46</w:t>
            </w:r>
          </w:p>
        </w:tc>
      </w:tr>
      <w:tr w:rsidR="000C2F4F" w:rsidRPr="00860724" w:rsidTr="00902519">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0C2F4F" w:rsidRPr="00860724" w:rsidRDefault="000C2F4F" w:rsidP="00902519">
            <w:pPr>
              <w:rPr>
                <w:rFonts w:cs="Arial"/>
                <w:lang w:val="ro-RO"/>
              </w:rPr>
            </w:pPr>
            <w:r w:rsidRPr="00860724">
              <w:rPr>
                <w:rFonts w:cs="Arial"/>
                <w:lang w:val="ro-RO"/>
              </w:rPr>
              <w:t>Sedii în stare</w:t>
            </w:r>
            <w:r w:rsidRPr="00860724">
              <w:rPr>
                <w:rFonts w:cs="Arial"/>
                <w:b/>
                <w:bCs/>
                <w:lang w:val="ro-RO"/>
              </w:rPr>
              <w:t xml:space="preserve"> rea</w:t>
            </w:r>
          </w:p>
        </w:tc>
        <w:tc>
          <w:tcPr>
            <w:tcW w:w="3760" w:type="dxa"/>
            <w:tcBorders>
              <w:top w:val="nil"/>
              <w:left w:val="nil"/>
              <w:bottom w:val="single" w:sz="4"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20</w:t>
            </w:r>
          </w:p>
        </w:tc>
      </w:tr>
      <w:tr w:rsidR="000C2F4F" w:rsidRPr="00860724" w:rsidTr="00902519">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0C2F4F" w:rsidRPr="00860724" w:rsidRDefault="000C2F4F" w:rsidP="00902519">
            <w:pPr>
              <w:rPr>
                <w:rFonts w:cs="Arial"/>
                <w:lang w:val="ro-RO"/>
              </w:rPr>
            </w:pPr>
            <w:r w:rsidRPr="00860724">
              <w:rPr>
                <w:rFonts w:cs="Arial"/>
                <w:lang w:val="ro-RO"/>
              </w:rPr>
              <w:t>Sedii în stare</w:t>
            </w:r>
            <w:r w:rsidRPr="00860724">
              <w:rPr>
                <w:rFonts w:cs="Arial"/>
                <w:b/>
                <w:bCs/>
                <w:lang w:val="ro-RO"/>
              </w:rPr>
              <w:t xml:space="preserve"> foarte rea</w:t>
            </w:r>
          </w:p>
        </w:tc>
        <w:tc>
          <w:tcPr>
            <w:tcW w:w="3760" w:type="dxa"/>
            <w:tcBorders>
              <w:top w:val="nil"/>
              <w:left w:val="nil"/>
              <w:bottom w:val="single" w:sz="4"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12</w:t>
            </w:r>
          </w:p>
        </w:tc>
      </w:tr>
      <w:tr w:rsidR="000C2F4F" w:rsidRPr="00860724" w:rsidTr="00902519">
        <w:trPr>
          <w:trHeight w:val="315"/>
        </w:trPr>
        <w:tc>
          <w:tcPr>
            <w:tcW w:w="5340" w:type="dxa"/>
            <w:tcBorders>
              <w:top w:val="nil"/>
              <w:left w:val="single" w:sz="8" w:space="0" w:color="auto"/>
              <w:bottom w:val="single" w:sz="8" w:space="0" w:color="auto"/>
              <w:right w:val="single" w:sz="8" w:space="0" w:color="auto"/>
            </w:tcBorders>
            <w:shd w:val="clear" w:color="auto" w:fill="auto"/>
            <w:noWrap/>
            <w:vAlign w:val="bottom"/>
          </w:tcPr>
          <w:p w:rsidR="000C2F4F" w:rsidRPr="00860724" w:rsidRDefault="000C2F4F" w:rsidP="00902519">
            <w:pPr>
              <w:rPr>
                <w:rFonts w:cs="Arial"/>
                <w:b/>
                <w:bCs/>
                <w:lang w:val="ro-RO"/>
              </w:rPr>
            </w:pPr>
            <w:r w:rsidRPr="00860724">
              <w:rPr>
                <w:rFonts w:cs="Arial"/>
                <w:b/>
                <w:bCs/>
                <w:lang w:val="ro-RO"/>
              </w:rPr>
              <w:t xml:space="preserve">Număr total </w:t>
            </w:r>
            <w:r w:rsidRPr="00860724">
              <w:rPr>
                <w:rFonts w:cs="Arial"/>
                <w:lang w:val="ro-RO"/>
              </w:rPr>
              <w:t>sedii de instanţe</w:t>
            </w:r>
          </w:p>
        </w:tc>
        <w:tc>
          <w:tcPr>
            <w:tcW w:w="3760" w:type="dxa"/>
            <w:tcBorders>
              <w:top w:val="nil"/>
              <w:left w:val="nil"/>
              <w:bottom w:val="single" w:sz="8" w:space="0" w:color="auto"/>
              <w:right w:val="single" w:sz="8" w:space="0" w:color="auto"/>
            </w:tcBorders>
            <w:shd w:val="clear" w:color="auto" w:fill="auto"/>
            <w:noWrap/>
            <w:vAlign w:val="bottom"/>
          </w:tcPr>
          <w:p w:rsidR="000C2F4F" w:rsidRPr="00860724" w:rsidRDefault="000C2F4F" w:rsidP="00902519">
            <w:pPr>
              <w:jc w:val="center"/>
              <w:rPr>
                <w:rFonts w:cs="Arial"/>
                <w:b/>
                <w:bCs/>
                <w:lang w:val="ro-RO"/>
              </w:rPr>
            </w:pPr>
            <w:r w:rsidRPr="00860724">
              <w:rPr>
                <w:rFonts w:cs="Arial"/>
                <w:b/>
                <w:bCs/>
                <w:lang w:val="ro-RO"/>
              </w:rPr>
              <w:t>198</w:t>
            </w:r>
          </w:p>
        </w:tc>
      </w:tr>
    </w:tbl>
    <w:p w:rsidR="000C2F4F" w:rsidRPr="00860724" w:rsidRDefault="000C2F4F" w:rsidP="0007746A">
      <w:pPr>
        <w:spacing w:line="276" w:lineRule="auto"/>
        <w:rPr>
          <w:rFonts w:cs="Arial"/>
          <w:b/>
          <w:u w:val="single"/>
          <w:lang w:val="ro-RO"/>
        </w:rPr>
      </w:pPr>
    </w:p>
    <w:p w:rsidR="000C2F4F" w:rsidRPr="00860724" w:rsidRDefault="000C2F4F" w:rsidP="0007746A">
      <w:pPr>
        <w:pStyle w:val="AddParagraf"/>
        <w:spacing w:after="0" w:line="276" w:lineRule="auto"/>
      </w:pPr>
      <w:r w:rsidRPr="00860724">
        <w:t>Numărul de 198 sedii de instanţă este cel rămas după aplicarea Legii nr.148/2011 privind desfiinţarea unor instanţe judecătoreşti şi a parchetelor de pe lângă acestea si nu includ sediile luate în chirie de la terţi.</w:t>
      </w:r>
    </w:p>
    <w:p w:rsidR="000C2F4F" w:rsidRPr="00860724" w:rsidRDefault="000C2F4F" w:rsidP="0007746A">
      <w:pPr>
        <w:pStyle w:val="AddParagraf"/>
        <w:spacing w:after="0" w:line="276" w:lineRule="auto"/>
      </w:pPr>
      <w:r w:rsidRPr="00860724">
        <w:t>În prezent funcţionează un număr de 237 de instanţe judecătoreşti (15 curţi de apel, 42 de tribunale, 176 de judecătorii şi 4 tribunale specializate, din care 30 de judecătorii sunt propuse spre desfiinţare conform Hotărârii CSM nr.548 din 4 iunie 2013)</w:t>
      </w:r>
    </w:p>
    <w:p w:rsidR="000C2F4F" w:rsidRPr="00860724" w:rsidRDefault="000C2F4F" w:rsidP="0007746A">
      <w:pPr>
        <w:pStyle w:val="AddParagraf"/>
        <w:spacing w:after="0" w:line="276" w:lineRule="auto"/>
      </w:pPr>
      <w:r w:rsidRPr="00860724">
        <w:t>În ceea ce priveşte dotările independente şi activele necorporale, bugetul final la 31 decembrie 2017 este în sumă de 1.004 mii lei.</w:t>
      </w:r>
    </w:p>
    <w:p w:rsidR="000C2F4F" w:rsidRPr="00860724" w:rsidRDefault="000C2F4F" w:rsidP="0007746A">
      <w:pPr>
        <w:spacing w:line="276" w:lineRule="auto"/>
        <w:rPr>
          <w:lang w:val="ro-RO" w:eastAsia="x-none"/>
        </w:rPr>
      </w:pPr>
    </w:p>
    <w:p w:rsidR="00625F9B" w:rsidRDefault="00625F9B"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Default="0007746A" w:rsidP="0007746A">
      <w:pPr>
        <w:pStyle w:val="Frspaiere"/>
        <w:spacing w:line="276" w:lineRule="auto"/>
        <w:jc w:val="both"/>
        <w:rPr>
          <w:sz w:val="24"/>
          <w:szCs w:val="24"/>
          <w:lang w:val="ro-RO"/>
        </w:rPr>
      </w:pPr>
    </w:p>
    <w:p w:rsidR="0007746A" w:rsidRPr="00860724" w:rsidRDefault="0007746A" w:rsidP="0007746A">
      <w:pPr>
        <w:pStyle w:val="Frspaiere"/>
        <w:spacing w:line="276" w:lineRule="auto"/>
        <w:jc w:val="both"/>
        <w:rPr>
          <w:sz w:val="24"/>
          <w:szCs w:val="24"/>
          <w:lang w:val="ro-RO"/>
        </w:rPr>
      </w:pPr>
    </w:p>
    <w:p w:rsidR="002E6CF8" w:rsidRDefault="00450FA7" w:rsidP="000D005D">
      <w:pPr>
        <w:pStyle w:val="Titlu1"/>
      </w:pPr>
      <w:bookmarkStart w:id="96" w:name="_Toc504987142"/>
      <w:r w:rsidRPr="00860724">
        <w:t>Capitolul VII</w:t>
      </w:r>
    </w:p>
    <w:p w:rsidR="00625F9B" w:rsidRPr="00860724" w:rsidRDefault="00052FD2" w:rsidP="000D005D">
      <w:pPr>
        <w:pStyle w:val="Titlu1"/>
      </w:pPr>
      <w:r w:rsidRPr="00860724">
        <w:t xml:space="preserve"> </w:t>
      </w:r>
      <w:r w:rsidR="00450FA7" w:rsidRPr="00860724">
        <w:t>Infrastructura parchetelor</w:t>
      </w:r>
      <w:bookmarkEnd w:id="96"/>
    </w:p>
    <w:p w:rsidR="000C2F4F" w:rsidRPr="00860724" w:rsidRDefault="000C2F4F" w:rsidP="0007746A">
      <w:pPr>
        <w:pStyle w:val="AddParagraf"/>
        <w:spacing w:after="0" w:line="276" w:lineRule="auto"/>
        <w:ind w:right="43" w:firstLine="706"/>
      </w:pPr>
      <w:r w:rsidRPr="00860724">
        <w:t>Urmare modificărilor operate cu ocazia rectificărilor bugetului de stat pe anul 2017, bugetul instituției,  actualizat la finele anului 2017 este în valoare de 1.227.781 mii lei.</w:t>
      </w:r>
    </w:p>
    <w:p w:rsidR="000C2F4F" w:rsidRPr="00860724" w:rsidRDefault="000C2F4F" w:rsidP="0007746A">
      <w:pPr>
        <w:pStyle w:val="AddParagraf"/>
        <w:spacing w:after="0" w:line="276" w:lineRule="auto"/>
        <w:ind w:right="43" w:firstLine="706"/>
      </w:pPr>
      <w:r w:rsidRPr="00860724">
        <w:t>Dinamica bugetului alocat parchetelor 2014-2016 se prezintă în felul următor:</w:t>
      </w:r>
    </w:p>
    <w:p w:rsidR="000C2F4F" w:rsidRPr="00860724" w:rsidRDefault="000C2F4F" w:rsidP="000C2F4F">
      <w:pPr>
        <w:pStyle w:val="AddParagraf"/>
        <w:spacing w:after="0"/>
        <w:ind w:right="43" w:firstLine="706"/>
      </w:pPr>
    </w:p>
    <w:tbl>
      <w:tblPr>
        <w:tblW w:w="10065" w:type="dxa"/>
        <w:tblInd w:w="-34" w:type="dxa"/>
        <w:tblLook w:val="0000" w:firstRow="0" w:lastRow="0" w:firstColumn="0" w:lastColumn="0" w:noHBand="0" w:noVBand="0"/>
      </w:tblPr>
      <w:tblGrid>
        <w:gridCol w:w="680"/>
        <w:gridCol w:w="1701"/>
        <w:gridCol w:w="1539"/>
        <w:gridCol w:w="1609"/>
        <w:gridCol w:w="1417"/>
        <w:gridCol w:w="1560"/>
        <w:gridCol w:w="1559"/>
      </w:tblGrid>
      <w:tr w:rsidR="000C2F4F" w:rsidRPr="009D203C" w:rsidTr="00902519">
        <w:trPr>
          <w:trHeight w:val="25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Anul</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Buget total (RON)</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Buget total (EURO)</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Cheltuieli de personal (euro)</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Bunuri si servicii (euro)</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Transferuri (euro)</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Investitii (euro)</w:t>
            </w:r>
          </w:p>
        </w:tc>
      </w:tr>
      <w:tr w:rsidR="000C2F4F" w:rsidRPr="009D203C" w:rsidTr="00902519">
        <w:trPr>
          <w:trHeight w:val="25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2015</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1 032 288 000     </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232 497 297     </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206 104 955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18 211 712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372 072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6 233 559     </w:t>
            </w:r>
          </w:p>
        </w:tc>
      </w:tr>
      <w:tr w:rsidR="000C2F4F" w:rsidRPr="009D203C" w:rsidTr="00902519">
        <w:trPr>
          <w:trHeight w:val="25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2016</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884 426 000     </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196 539 111     </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167 709 556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18 396 667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4 373 111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6 059 778     </w:t>
            </w:r>
          </w:p>
        </w:tc>
      </w:tr>
      <w:tr w:rsidR="000C2F4F" w:rsidRPr="009D203C" w:rsidTr="00902519">
        <w:trPr>
          <w:trHeight w:val="25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2017</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1 227 781 000     </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272 840 222     </w:t>
            </w:r>
          </w:p>
        </w:tc>
        <w:tc>
          <w:tcPr>
            <w:tcW w:w="160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24 177 778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16 006 444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4 278 222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0C2F4F" w:rsidRPr="009D203C" w:rsidRDefault="000C2F4F" w:rsidP="00902519">
            <w:pPr>
              <w:rPr>
                <w:rFonts w:asciiTheme="minorHAnsi" w:eastAsia="SimSun" w:hAnsiTheme="minorHAnsi" w:cstheme="minorHAnsi"/>
                <w:sz w:val="20"/>
                <w:szCs w:val="20"/>
                <w:lang w:val="ro-RO" w:eastAsia="zh-CN"/>
              </w:rPr>
            </w:pPr>
            <w:r w:rsidRPr="009D203C">
              <w:rPr>
                <w:rFonts w:asciiTheme="minorHAnsi" w:eastAsia="SimSun" w:hAnsiTheme="minorHAnsi" w:cstheme="minorHAnsi"/>
                <w:sz w:val="20"/>
                <w:szCs w:val="20"/>
                <w:lang w:val="ro-RO" w:eastAsia="zh-CN"/>
              </w:rPr>
              <w:t xml:space="preserve">    10 777 778     </w:t>
            </w:r>
          </w:p>
        </w:tc>
      </w:tr>
    </w:tbl>
    <w:p w:rsidR="000C2F4F" w:rsidRPr="00860724" w:rsidRDefault="000C2F4F" w:rsidP="000C2F4F">
      <w:pPr>
        <w:pStyle w:val="AddParagraf"/>
        <w:spacing w:after="0"/>
        <w:ind w:left="171" w:right="43" w:firstLine="535"/>
      </w:pPr>
    </w:p>
    <w:p w:rsidR="000C2F4F" w:rsidRPr="00860724" w:rsidRDefault="000C2F4F" w:rsidP="009D203C">
      <w:pPr>
        <w:spacing w:line="276" w:lineRule="auto"/>
        <w:rPr>
          <w:noProof/>
          <w:lang w:val="ro-RO" w:eastAsia="ro-RO"/>
        </w:rPr>
      </w:pPr>
      <w:r w:rsidRPr="00860724">
        <w:rPr>
          <w:noProof/>
          <w:lang w:val="ro-RO" w:eastAsia="ro-RO"/>
        </w:rPr>
        <w:tab/>
        <w:t>Grafic, situatia se prezintă în felul următor:</w:t>
      </w:r>
    </w:p>
    <w:p w:rsidR="000C2F4F" w:rsidRPr="00860724" w:rsidRDefault="000C2F4F" w:rsidP="000C2F4F">
      <w:pPr>
        <w:ind w:left="709"/>
        <w:rPr>
          <w:noProof/>
          <w:lang w:val="ro-RO" w:eastAsia="ro-RO"/>
        </w:rPr>
      </w:pPr>
      <w:r w:rsidRPr="00860724">
        <w:rPr>
          <w:noProof/>
          <w:lang w:val="ro-RO" w:eastAsia="ro-RO"/>
        </w:rPr>
        <w:drawing>
          <wp:inline distT="0" distB="0" distL="0" distR="0">
            <wp:extent cx="3484880" cy="1655445"/>
            <wp:effectExtent l="0" t="0" r="1270" b="1905"/>
            <wp:docPr id="47" name="Diagramă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0C2F4F" w:rsidRPr="00860724" w:rsidRDefault="000C2F4F" w:rsidP="000C2F4F">
      <w:pPr>
        <w:rPr>
          <w:noProof/>
          <w:color w:val="0070C0"/>
          <w:lang w:val="ro-RO" w:eastAsia="ro-RO"/>
        </w:rPr>
      </w:pPr>
    </w:p>
    <w:p w:rsidR="000C2F4F" w:rsidRPr="00860724" w:rsidRDefault="000C2F4F" w:rsidP="009D203C">
      <w:pPr>
        <w:spacing w:line="276" w:lineRule="auto"/>
        <w:ind w:firstLine="720"/>
        <w:rPr>
          <w:noProof/>
          <w:lang w:val="ro-RO" w:eastAsia="ro-RO"/>
        </w:rPr>
      </w:pPr>
      <w:r w:rsidRPr="00860724">
        <w:rPr>
          <w:noProof/>
          <w:lang w:val="ro-RO" w:eastAsia="ro-RO"/>
        </w:rPr>
        <w:t xml:space="preserve">O altă sursă de finanţare a bugetului pe anul 2017 a fost finanţarea externă nerambursabilă în sumă de 4.106 mii lei. </w:t>
      </w:r>
    </w:p>
    <w:p w:rsidR="000C2F4F" w:rsidRPr="00860724" w:rsidRDefault="000C2F4F" w:rsidP="009D203C">
      <w:pPr>
        <w:spacing w:line="276" w:lineRule="auto"/>
        <w:ind w:firstLine="720"/>
        <w:rPr>
          <w:noProof/>
          <w:lang w:val="ro-RO" w:eastAsia="ro-RO"/>
        </w:rPr>
      </w:pPr>
      <w:r w:rsidRPr="00860724">
        <w:rPr>
          <w:noProof/>
          <w:lang w:val="ro-RO" w:eastAsia="ro-RO"/>
        </w:rPr>
        <w:t>Din total buget aprobat în anul 2017, sumele repartizate pentru DNA si DIICOT sunt:</w:t>
      </w:r>
    </w:p>
    <w:p w:rsidR="000C2F4F" w:rsidRPr="00860724" w:rsidRDefault="000C2F4F" w:rsidP="009D203C">
      <w:pPr>
        <w:numPr>
          <w:ilvl w:val="0"/>
          <w:numId w:val="35"/>
        </w:numPr>
        <w:spacing w:line="276" w:lineRule="auto"/>
        <w:jc w:val="both"/>
        <w:rPr>
          <w:noProof/>
          <w:lang w:val="ro-RO" w:eastAsia="ro-RO"/>
        </w:rPr>
      </w:pPr>
      <w:r w:rsidRPr="00860724">
        <w:rPr>
          <w:noProof/>
          <w:lang w:val="ro-RO" w:eastAsia="ro-RO"/>
        </w:rPr>
        <w:t>buget final DNA – 174.905 mii lei;</w:t>
      </w:r>
    </w:p>
    <w:p w:rsidR="000C2F4F" w:rsidRPr="00860724" w:rsidRDefault="000C2F4F" w:rsidP="009D203C">
      <w:pPr>
        <w:numPr>
          <w:ilvl w:val="0"/>
          <w:numId w:val="35"/>
        </w:numPr>
        <w:spacing w:line="276" w:lineRule="auto"/>
        <w:jc w:val="both"/>
        <w:rPr>
          <w:noProof/>
          <w:lang w:val="ro-RO" w:eastAsia="ro-RO"/>
        </w:rPr>
      </w:pPr>
      <w:r w:rsidRPr="00860724">
        <w:rPr>
          <w:noProof/>
          <w:lang w:val="ro-RO" w:eastAsia="ro-RO"/>
        </w:rPr>
        <w:t>buget final DIICOT – 177.065 mii lei.</w:t>
      </w:r>
    </w:p>
    <w:p w:rsidR="000C2F4F" w:rsidRPr="00860724" w:rsidRDefault="000C2F4F" w:rsidP="009D203C">
      <w:pPr>
        <w:spacing w:afterLines="60" w:after="144" w:line="276" w:lineRule="auto"/>
        <w:ind w:firstLine="720"/>
        <w:jc w:val="both"/>
        <w:rPr>
          <w:noProof/>
          <w:color w:val="0070C0"/>
          <w:lang w:val="ro-RO" w:eastAsia="ro-RO"/>
        </w:rPr>
      </w:pPr>
      <w:r w:rsidRPr="00860724">
        <w:rPr>
          <w:noProof/>
          <w:lang w:val="ro-RO" w:eastAsia="ro-RO"/>
        </w:rPr>
        <w:t>Reprezentarea grafică a fondurilor alocate în perioada de referinţă, pentru principalele titluri de cheltuieli, se regăseşte în tabelele de mai jos:</w:t>
      </w:r>
      <w:r w:rsidRPr="00860724">
        <w:rPr>
          <w:noProof/>
          <w:color w:val="0070C0"/>
          <w:lang w:val="ro-RO" w:eastAsia="ro-RO"/>
        </w:rPr>
        <w:t xml:space="preserve"> </w:t>
      </w:r>
    </w:p>
    <w:p w:rsidR="000C2F4F" w:rsidRPr="00860724" w:rsidRDefault="000C2F4F" w:rsidP="000C2F4F">
      <w:pPr>
        <w:spacing w:afterLines="60" w:after="144" w:line="276" w:lineRule="auto"/>
        <w:ind w:firstLine="720"/>
        <w:jc w:val="both"/>
        <w:rPr>
          <w:noProof/>
          <w:color w:val="0070C0"/>
          <w:lang w:val="ro-RO" w:eastAsia="ro-RO"/>
        </w:rPr>
      </w:pPr>
      <w:r w:rsidRPr="00860724">
        <w:rPr>
          <w:noProof/>
          <w:lang w:val="ro-RO" w:eastAsia="ro-RO"/>
        </w:rPr>
        <w:drawing>
          <wp:inline distT="0" distB="0" distL="0" distR="0">
            <wp:extent cx="3625215" cy="1512570"/>
            <wp:effectExtent l="0" t="0" r="13335" b="11430"/>
            <wp:docPr id="46" name="Diagramă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0C2F4F" w:rsidRPr="00860724" w:rsidRDefault="000C2F4F" w:rsidP="000C2F4F">
      <w:pPr>
        <w:spacing w:afterLines="60" w:after="144" w:line="276" w:lineRule="auto"/>
        <w:jc w:val="both"/>
        <w:rPr>
          <w:noProof/>
          <w:lang w:val="ro-RO"/>
        </w:rPr>
      </w:pPr>
    </w:p>
    <w:p w:rsidR="000C2F4F" w:rsidRPr="00860724" w:rsidRDefault="000C2F4F" w:rsidP="009D203C">
      <w:pPr>
        <w:pStyle w:val="AddParagraf"/>
        <w:spacing w:after="0" w:line="276" w:lineRule="auto"/>
      </w:pPr>
      <w:r w:rsidRPr="00860724">
        <w:t>Ca si cazul instanţelor, cheltuielile de personal au o pondere semnificativă în bugetul parchetelor. Bugetul alocat parchetelor în anul 2017 la cheltuieli de personal înregistrează o crestere faţă de anul precedent.</w:t>
      </w:r>
    </w:p>
    <w:p w:rsidR="000C2F4F" w:rsidRPr="00860724" w:rsidRDefault="000C2F4F" w:rsidP="000C2F4F">
      <w:pPr>
        <w:pStyle w:val="AddParagraf"/>
        <w:spacing w:after="0"/>
      </w:pPr>
      <w:r w:rsidRPr="00860724">
        <w:rPr>
          <w:noProof/>
          <w:lang w:eastAsia="ro-RO"/>
        </w:rPr>
        <w:drawing>
          <wp:inline distT="0" distB="0" distL="0" distR="0">
            <wp:extent cx="3282950" cy="1674495"/>
            <wp:effectExtent l="0" t="0" r="12700" b="1905"/>
            <wp:docPr id="45" name="Diagramă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0C2F4F" w:rsidRPr="00860724" w:rsidRDefault="000C2F4F" w:rsidP="000C2F4F">
      <w:pPr>
        <w:jc w:val="both"/>
        <w:rPr>
          <w:lang w:val="ro-RO"/>
        </w:rPr>
      </w:pPr>
    </w:p>
    <w:p w:rsidR="000C2F4F" w:rsidRPr="00860724" w:rsidRDefault="000C2F4F" w:rsidP="009D203C">
      <w:pPr>
        <w:spacing w:before="60" w:line="276" w:lineRule="auto"/>
        <w:ind w:firstLine="720"/>
        <w:jc w:val="both"/>
        <w:rPr>
          <w:rFonts w:cs="Arial"/>
          <w:lang w:val="ro-RO"/>
        </w:rPr>
      </w:pPr>
      <w:r w:rsidRPr="00860724">
        <w:rPr>
          <w:rFonts w:cs="Arial"/>
          <w:lang w:val="ro-RO"/>
        </w:rPr>
        <w:t>Creditele bugetare alocate parchetelor pentru cheltuielile cu bunuri şi servicii înregistrează o reducere fata de anul precedent.</w:t>
      </w:r>
    </w:p>
    <w:p w:rsidR="000C2F4F" w:rsidRPr="00860724" w:rsidRDefault="000C2F4F" w:rsidP="000C2F4F">
      <w:pPr>
        <w:spacing w:before="60"/>
        <w:ind w:firstLine="720"/>
        <w:jc w:val="both"/>
        <w:rPr>
          <w:rFonts w:cs="Arial"/>
          <w:lang w:val="ro-RO"/>
        </w:rPr>
      </w:pPr>
      <w:r w:rsidRPr="00860724">
        <w:rPr>
          <w:noProof/>
          <w:lang w:val="ro-RO" w:eastAsia="ro-RO"/>
        </w:rPr>
        <w:drawing>
          <wp:inline distT="0" distB="0" distL="0" distR="0">
            <wp:extent cx="3281680" cy="1552575"/>
            <wp:effectExtent l="0" t="0" r="13970" b="9525"/>
            <wp:docPr id="44" name="Diagramă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0C2F4F" w:rsidRPr="00860724" w:rsidRDefault="000C2F4F" w:rsidP="000C2F4F">
      <w:pPr>
        <w:spacing w:before="60"/>
        <w:rPr>
          <w:rFonts w:cs="Arial"/>
          <w:lang w:val="ro-RO"/>
        </w:rPr>
      </w:pPr>
    </w:p>
    <w:p w:rsidR="000C2F4F" w:rsidRPr="00860724" w:rsidRDefault="000C2F4F" w:rsidP="009D203C">
      <w:pPr>
        <w:pStyle w:val="AddParagraf"/>
        <w:spacing w:after="0" w:line="276" w:lineRule="auto"/>
      </w:pPr>
      <w:r w:rsidRPr="00860724">
        <w:t>În ceea ce priveşte situaţia cheltuielilor de investiţii alocate în anul 2017, situaţia se prezintă astfel: fiind utilizate, după cum urmează:</w:t>
      </w:r>
    </w:p>
    <w:p w:rsidR="000C2F4F" w:rsidRPr="00860724" w:rsidRDefault="000C2F4F" w:rsidP="009D203C">
      <w:pPr>
        <w:pStyle w:val="AddParagraf"/>
        <w:spacing w:after="0" w:line="276" w:lineRule="auto"/>
      </w:pPr>
      <w:r w:rsidRPr="00860724">
        <w:t>La alineatul 71.01.01 “Construcții”, fondurile alocate inițial, în sumă de 31.830 mii lei, au fost dimunate la 23.155 mii lei, fiind utilizate pentru lucrări de investiții în continuare la „Sediul Parchetului de pe lângă Judecătoria Săveni”, consolidările aferente lucrărilor de reparaţii capitale de la Parchetul de pe lângă Tribunalul Dâmboviţa şi demararea achiziţiei unui sediu pentru structura centrală D.I.I.C.O.T.</w:t>
      </w:r>
    </w:p>
    <w:p w:rsidR="000C2F4F" w:rsidRPr="00860724" w:rsidRDefault="000C2F4F" w:rsidP="009D203C">
      <w:pPr>
        <w:pStyle w:val="AddParagraf"/>
        <w:spacing w:after="0" w:line="276" w:lineRule="auto"/>
      </w:pPr>
      <w:r w:rsidRPr="00860724">
        <w:t>La art.71.03 „Reparatii capitale”, Ministerul Public a executat  lucrari de reparatii capitale in suma de 2.494 mii lei, faţă de bugetul iniţial de 12.170 mii lei, pentru:</w:t>
      </w:r>
    </w:p>
    <w:p w:rsidR="000C2F4F" w:rsidRPr="00860724" w:rsidRDefault="000C2F4F" w:rsidP="009D203C">
      <w:pPr>
        <w:pStyle w:val="AddParagraf"/>
        <w:numPr>
          <w:ilvl w:val="0"/>
          <w:numId w:val="35"/>
        </w:numPr>
        <w:spacing w:after="0" w:line="276" w:lineRule="auto"/>
      </w:pPr>
      <w:r w:rsidRPr="00860724">
        <w:t>reparaţia clădirilor Parchetului de pe lângă Tribunalul Dâmboviţa şi a Parchetului de pe lângă Judecătoria Babadag;</w:t>
      </w:r>
    </w:p>
    <w:p w:rsidR="000C2F4F" w:rsidRPr="00860724" w:rsidRDefault="000C2F4F" w:rsidP="009D203C">
      <w:pPr>
        <w:pStyle w:val="AddParagraf"/>
        <w:numPr>
          <w:ilvl w:val="0"/>
          <w:numId w:val="35"/>
        </w:numPr>
        <w:spacing w:after="0" w:line="276" w:lineRule="auto"/>
      </w:pPr>
      <w:r w:rsidRPr="00860724">
        <w:t>execuţie reparaţie învelitoare clădire Parchetul de pe lângă Tribunalul Covasna;</w:t>
      </w:r>
    </w:p>
    <w:p w:rsidR="000C2F4F" w:rsidRPr="00860724" w:rsidRDefault="000C2F4F" w:rsidP="009D203C">
      <w:pPr>
        <w:pStyle w:val="AddParagraf"/>
        <w:numPr>
          <w:ilvl w:val="0"/>
          <w:numId w:val="35"/>
        </w:numPr>
        <w:spacing w:after="0" w:line="276" w:lineRule="auto"/>
      </w:pPr>
      <w:r w:rsidRPr="00860724">
        <w:t>proiectare reparaţii terase şi anvelopare la sediul PT Bucureşti;</w:t>
      </w:r>
    </w:p>
    <w:p w:rsidR="000C2F4F" w:rsidRPr="00860724" w:rsidRDefault="000C2F4F" w:rsidP="009D203C">
      <w:pPr>
        <w:pStyle w:val="AddParagraf"/>
        <w:numPr>
          <w:ilvl w:val="0"/>
          <w:numId w:val="35"/>
        </w:numPr>
        <w:spacing w:after="0" w:line="276" w:lineRule="auto"/>
      </w:pPr>
      <w:r w:rsidRPr="00860724">
        <w:t>execuţie reparaţie la acoperişul de tip terasă de la Parchetul de pe lângă Tribunalul  Dâmboviţa;</w:t>
      </w:r>
    </w:p>
    <w:p w:rsidR="000C2F4F" w:rsidRPr="00860724" w:rsidRDefault="000C2F4F" w:rsidP="009D203C">
      <w:pPr>
        <w:pStyle w:val="AddParagraf"/>
        <w:numPr>
          <w:ilvl w:val="0"/>
          <w:numId w:val="35"/>
        </w:numPr>
        <w:spacing w:after="0" w:line="276" w:lineRule="auto"/>
      </w:pPr>
      <w:r w:rsidRPr="00860724">
        <w:t>proiectare „Lucrari la învelitoarea acoperişului şi instalaţia termică la sediul Parchetului de pe lângă Judecătoria TG. Neamt”;</w:t>
      </w:r>
    </w:p>
    <w:p w:rsidR="000C2F4F" w:rsidRPr="00860724" w:rsidRDefault="000C2F4F" w:rsidP="009D203C">
      <w:pPr>
        <w:pStyle w:val="AddParagraf"/>
        <w:numPr>
          <w:ilvl w:val="0"/>
          <w:numId w:val="35"/>
        </w:numPr>
        <w:spacing w:after="0" w:line="276" w:lineRule="auto"/>
      </w:pPr>
      <w:r w:rsidRPr="00860724">
        <w:t>proiectare „Reabilitare etaj şi şarpantă la cladirea Parchetului de pe lângă Judecătoria Sighetul Marmaţiei”;</w:t>
      </w:r>
    </w:p>
    <w:p w:rsidR="000C2F4F" w:rsidRPr="00860724" w:rsidRDefault="000C2F4F" w:rsidP="009D203C">
      <w:pPr>
        <w:pStyle w:val="AddParagraf"/>
        <w:numPr>
          <w:ilvl w:val="0"/>
          <w:numId w:val="35"/>
        </w:numPr>
        <w:spacing w:after="0" w:line="276" w:lineRule="auto"/>
      </w:pPr>
      <w:r w:rsidRPr="00860724">
        <w:t>proiectare „Reamenajare, refacere faţadă şi schimbare acoperiş la cladirea Parchetului de pe lângă Tribunalul Braşov”;</w:t>
      </w:r>
    </w:p>
    <w:p w:rsidR="000C2F4F" w:rsidRPr="00860724" w:rsidRDefault="000C2F4F" w:rsidP="009D203C">
      <w:pPr>
        <w:pStyle w:val="AddParagraf"/>
        <w:numPr>
          <w:ilvl w:val="0"/>
          <w:numId w:val="35"/>
        </w:numPr>
        <w:spacing w:after="0" w:line="276" w:lineRule="auto"/>
      </w:pPr>
      <w:r w:rsidRPr="00860724">
        <w:t>proiectare „Acoperire scară exterioară şi reabilitare instalaţii electrice şi gaz la cladirea Parchetului de pe lângă Judecătoria Haţeg”</w:t>
      </w:r>
    </w:p>
    <w:p w:rsidR="000C2F4F" w:rsidRPr="00860724" w:rsidRDefault="000C2F4F" w:rsidP="009D203C">
      <w:pPr>
        <w:pStyle w:val="AddParagraf"/>
        <w:numPr>
          <w:ilvl w:val="0"/>
          <w:numId w:val="35"/>
        </w:numPr>
        <w:spacing w:after="0" w:line="276" w:lineRule="auto"/>
      </w:pPr>
      <w:r w:rsidRPr="00860724">
        <w:t>proiectare refacere hidroizolaţie pentru terasa circulabilă ţi învelitoare la sediul Parchetului de pe lângă Tribunalul Giurgiu;</w:t>
      </w:r>
    </w:p>
    <w:p w:rsidR="000C2F4F" w:rsidRPr="00860724" w:rsidRDefault="000C2F4F" w:rsidP="009D203C">
      <w:pPr>
        <w:pStyle w:val="AddParagraf"/>
        <w:numPr>
          <w:ilvl w:val="0"/>
          <w:numId w:val="35"/>
        </w:numPr>
        <w:spacing w:after="0" w:line="276" w:lineRule="auto"/>
      </w:pPr>
      <w:r w:rsidRPr="00860724">
        <w:t>achiziţie execuţie sistem integrat de control acces la sediul PICCJ;</w:t>
      </w:r>
    </w:p>
    <w:p w:rsidR="000C2F4F" w:rsidRPr="00860724" w:rsidRDefault="000C2F4F" w:rsidP="009D203C">
      <w:pPr>
        <w:pStyle w:val="AddParagraf"/>
        <w:spacing w:after="0" w:line="276" w:lineRule="auto"/>
      </w:pPr>
      <w:r w:rsidRPr="00860724">
        <w:t xml:space="preserve">Dotările independente alocate au fost în sumă de 20.482 mii lei, faţă de 16.280 mii lei prevederi bugetare iniţiale și au fost utilizate pentru înlocuirea echipamentelor de tehnică de calcul şi a echipamentelor periferice uzate fizic, precum şi pentru achiziţionarea de sisteme de înregistrare audio-video şi sisteme alarmare incendiu conform noilor modificări legislative. Fondurile au fost alocate atât pentru PICCJ, DNA şi DIICOT, cât şi pentru alte unităţi de parchet din cadrul Ministerului Public: PCA Alba – 149 mii lei, PCA Bacau – 70 mii lei, PCA Brasov – 211 mii lei, PCA Cluj – 214 mii lei, PCA Constanta – 98 mii lei, PCA Craiova – 139 mii lei, PCA Galaţi – 188 mii lei, PCA Iaşi – 82 mii lei, PCA Oradea – 231 mii lei, PCA Piteşti – 195 mii lei, PCA Ploieşti – 259 mii lei, PCA Suceava – 187 mii lei, PCA Tg Mureş – 112  mii lei, PCA Timişoara – 188 mii lei, PCA Bucureşti – 311 mii lei. </w:t>
      </w:r>
    </w:p>
    <w:p w:rsidR="000C2F4F" w:rsidRPr="00860724" w:rsidRDefault="000C2F4F" w:rsidP="009D203C">
      <w:pPr>
        <w:pStyle w:val="AddParagraf"/>
        <w:spacing w:after="0" w:line="276" w:lineRule="auto"/>
      </w:pPr>
      <w:r w:rsidRPr="00860724">
        <w:t>Parchetele deţin în majoritatea cazurilor sedii în proprietate, doar o mica parte fiind închiriate.  Numărul total de sedii este de 186, pentru un număr de 246 unităţi (fără DNA si DIICOT).</w:t>
      </w:r>
    </w:p>
    <w:p w:rsidR="000C2F4F" w:rsidRPr="00860724" w:rsidRDefault="000C2F4F" w:rsidP="009D203C">
      <w:pPr>
        <w:pStyle w:val="AddParagraf"/>
        <w:spacing w:after="0" w:line="276" w:lineRule="auto"/>
      </w:pPr>
      <w:r w:rsidRPr="00860724">
        <w:t>Stadiul sediilor parchetelor se prezintă astfel:</w:t>
      </w:r>
    </w:p>
    <w:p w:rsidR="00F628D9" w:rsidRDefault="000C2F4F" w:rsidP="009D203C">
      <w:pPr>
        <w:pStyle w:val="AddParagraf"/>
        <w:spacing w:after="0" w:line="276" w:lineRule="auto"/>
      </w:pPr>
      <w:r w:rsidRPr="00860724">
        <w:t xml:space="preserve">- </w:t>
      </w:r>
      <w:r w:rsidR="00F628D9" w:rsidRPr="00860724">
        <w:t>sedii stare foarte bună     - 50;</w:t>
      </w:r>
    </w:p>
    <w:p w:rsidR="000C2F4F" w:rsidRPr="00860724" w:rsidRDefault="00F628D9" w:rsidP="009D203C">
      <w:pPr>
        <w:pStyle w:val="AddParagraf"/>
        <w:spacing w:after="0" w:line="276" w:lineRule="auto"/>
      </w:pPr>
      <w:r>
        <w:t xml:space="preserve">- </w:t>
      </w:r>
      <w:r w:rsidR="000C2F4F" w:rsidRPr="00860724">
        <w:t>sedii stare bună                 - 88;</w:t>
      </w:r>
    </w:p>
    <w:p w:rsidR="000C2F4F" w:rsidRPr="00860724" w:rsidRDefault="00F628D9" w:rsidP="009D203C">
      <w:pPr>
        <w:pStyle w:val="AddParagraf"/>
        <w:spacing w:after="0" w:line="276" w:lineRule="auto"/>
      </w:pPr>
      <w:r>
        <w:t>-</w:t>
      </w:r>
      <w:r w:rsidR="000C2F4F" w:rsidRPr="00860724">
        <w:t xml:space="preserve"> sedii investiţii  noi             - 26;</w:t>
      </w:r>
    </w:p>
    <w:p w:rsidR="000C2F4F" w:rsidRPr="00860724" w:rsidRDefault="000C2F4F" w:rsidP="009D203C">
      <w:pPr>
        <w:pStyle w:val="AddParagraf"/>
        <w:spacing w:after="0" w:line="276" w:lineRule="auto"/>
      </w:pPr>
      <w:r w:rsidRPr="00860724">
        <w:t>- sedii stare satisfăcătoare - 22.</w:t>
      </w:r>
    </w:p>
    <w:p w:rsidR="000C2F4F" w:rsidRDefault="000C2F4F"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Default="009D203C" w:rsidP="000C2F4F">
      <w:pPr>
        <w:rPr>
          <w:lang w:val="ro-RO"/>
        </w:rPr>
      </w:pPr>
    </w:p>
    <w:p w:rsidR="009D203C" w:rsidRPr="00860724" w:rsidRDefault="009D203C" w:rsidP="000C2F4F">
      <w:pPr>
        <w:rPr>
          <w:lang w:val="ro-RO"/>
        </w:rPr>
      </w:pPr>
    </w:p>
    <w:p w:rsidR="00625F9B" w:rsidRPr="00860724" w:rsidRDefault="00625F9B" w:rsidP="00D65D5E">
      <w:pPr>
        <w:pStyle w:val="Frspaiere"/>
        <w:jc w:val="both"/>
        <w:rPr>
          <w:sz w:val="24"/>
          <w:szCs w:val="24"/>
          <w:lang w:val="ro-RO"/>
        </w:rPr>
      </w:pPr>
    </w:p>
    <w:p w:rsidR="002E6CF8" w:rsidRDefault="00450FA7" w:rsidP="000D005D">
      <w:pPr>
        <w:pStyle w:val="Titlu1"/>
      </w:pPr>
      <w:bookmarkStart w:id="97" w:name="_Toc504987143"/>
      <w:r w:rsidRPr="00860724">
        <w:t>Capitolul VIII</w:t>
      </w:r>
      <w:r w:rsidR="00052FD2" w:rsidRPr="00860724">
        <w:t xml:space="preserve"> </w:t>
      </w:r>
    </w:p>
    <w:p w:rsidR="00625F9B" w:rsidRDefault="00450FA7" w:rsidP="000D005D">
      <w:pPr>
        <w:pStyle w:val="Titlu1"/>
      </w:pPr>
      <w:r w:rsidRPr="00860724">
        <w:t>Date statistice privind cooperarea internaţională</w:t>
      </w:r>
      <w:bookmarkEnd w:id="97"/>
    </w:p>
    <w:p w:rsidR="002E6CF8" w:rsidRPr="002E6CF8" w:rsidRDefault="002E6CF8" w:rsidP="002E6CF8">
      <w:pPr>
        <w:rPr>
          <w:lang w:val="ro-RO" w:eastAsia="x-none"/>
        </w:rPr>
      </w:pPr>
    </w:p>
    <w:p w:rsidR="00F94664" w:rsidRPr="006C5EC5" w:rsidRDefault="00F94664" w:rsidP="006C5EC5">
      <w:pPr>
        <w:pStyle w:val="Listparagraf"/>
        <w:numPr>
          <w:ilvl w:val="0"/>
          <w:numId w:val="25"/>
        </w:numPr>
        <w:spacing w:after="120" w:line="276" w:lineRule="auto"/>
        <w:jc w:val="both"/>
        <w:rPr>
          <w:rFonts w:asciiTheme="minorHAnsi" w:hAnsiTheme="minorHAnsi" w:cstheme="minorHAnsi"/>
          <w:color w:val="000000" w:themeColor="text1"/>
          <w:u w:val="single"/>
          <w:lang w:val="ro-RO"/>
        </w:rPr>
      </w:pPr>
      <w:r w:rsidRPr="006C5EC5">
        <w:rPr>
          <w:rFonts w:asciiTheme="minorHAnsi" w:hAnsiTheme="minorHAnsi" w:cstheme="minorHAnsi"/>
          <w:color w:val="000000" w:themeColor="text1"/>
          <w:u w:val="single"/>
          <w:lang w:val="ro-RO"/>
        </w:rPr>
        <w:t>Extrădarea activă</w:t>
      </w:r>
    </w:p>
    <w:p w:rsidR="00F94664" w:rsidRPr="006C5EC5" w:rsidRDefault="00F94664" w:rsidP="006C5EC5">
      <w:pPr>
        <w:spacing w:after="120"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În anul 2017, </w:t>
      </w:r>
      <w:r w:rsidR="002E6CF8">
        <w:rPr>
          <w:rFonts w:asciiTheme="minorHAnsi" w:hAnsiTheme="minorHAnsi" w:cstheme="minorHAnsi"/>
          <w:color w:val="000000" w:themeColor="text1"/>
          <w:lang w:val="ro-RO"/>
        </w:rPr>
        <w:t>Serviciul de specialitate din cadrul Ministerului Justiției</w:t>
      </w:r>
      <w:r w:rsidRPr="006C5EC5">
        <w:rPr>
          <w:rFonts w:asciiTheme="minorHAnsi" w:hAnsiTheme="minorHAnsi" w:cstheme="minorHAnsi"/>
          <w:color w:val="000000" w:themeColor="text1"/>
          <w:lang w:val="ro-RO"/>
        </w:rPr>
        <w:t xml:space="preserve"> a solicitat, la propunerea instanţelor judecătoreşti, extrădarea unui număr de 87 de persoane localizate pe teritoriile mai multor state: Albania, Argentina, Australia, Canada, Elveția, Federația Rusă, Israel, Iordania, Liban, Mexic, Republica Moldova, Muntenegru, Norvegia, Peru, Panama, Serbia, Statele Unite ale Americii, Regatul Thailandei, Tanzania, Tunisia, Turcia și Ucraina. Dintre acestea, 10 persoane au consimțit la predarea simplificată (și-au dat acordul la extrădare). Cele mai multe cereri de extrădare au fost transmise către Statele Unite ale Americii (12) și Ucraina (10).</w:t>
      </w:r>
    </w:p>
    <w:p w:rsidR="00F94664" w:rsidRPr="006C5EC5" w:rsidRDefault="00F94664" w:rsidP="006C5EC5">
      <w:pPr>
        <w:spacing w:after="120"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Din numărul total al persoanelor sus menţionate, un procent de 98% sunt căutate pentru executarea unor pedepse cu închisoare, aplicate prin hotărâri de condamnare definitive, iar restul pentru punerea în executare a unor mandate de arestare preventivă emise în faza urmăririi penale sau judecății, după caz.</w:t>
      </w:r>
    </w:p>
    <w:p w:rsidR="00F94664" w:rsidRPr="006C5EC5" w:rsidRDefault="00F94664" w:rsidP="006C5EC5">
      <w:pPr>
        <w:spacing w:after="120" w:line="276" w:lineRule="auto"/>
        <w:ind w:firstLine="36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Din perspectiva tipologiei infracţionale, extrădarea a fost solicitată pentru infracţiuni grave, precum traficul de droguri, traficul de persoane, traficul de minori, terorism, criminalitatea informatică, infracțiuni de corupţie, infracţiuni de fals, infracţiuni contra vieţii persoanei, infracţiuni contra libertăţii persoanei (lipsire de libertate în mod ilegal şi violare de domiciliu), dar şi pentru infracţiuni economice, inclusiv fiscale). </w:t>
      </w:r>
    </w:p>
    <w:p w:rsidR="00F94664" w:rsidRPr="006C5EC5" w:rsidRDefault="00F94664" w:rsidP="006C5EC5">
      <w:pPr>
        <w:numPr>
          <w:ilvl w:val="0"/>
          <w:numId w:val="17"/>
        </w:numPr>
        <w:tabs>
          <w:tab w:val="left" w:pos="720"/>
        </w:tabs>
        <w:autoSpaceDE w:val="0"/>
        <w:autoSpaceDN w:val="0"/>
        <w:adjustRightInd w:val="0"/>
        <w:spacing w:after="120" w:line="276" w:lineRule="auto"/>
        <w:jc w:val="both"/>
        <w:rPr>
          <w:rFonts w:asciiTheme="minorHAnsi" w:hAnsiTheme="minorHAnsi" w:cstheme="minorHAnsi"/>
          <w:color w:val="000000" w:themeColor="text1"/>
          <w:u w:val="single"/>
          <w:lang w:val="ro-RO"/>
        </w:rPr>
      </w:pPr>
      <w:r w:rsidRPr="006C5EC5">
        <w:rPr>
          <w:rFonts w:asciiTheme="minorHAnsi" w:hAnsiTheme="minorHAnsi" w:cstheme="minorHAnsi"/>
          <w:bCs/>
          <w:color w:val="000000" w:themeColor="text1"/>
          <w:u w:val="single"/>
          <w:lang w:val="ro-RO"/>
        </w:rPr>
        <w:t>Extrădare pasivă</w:t>
      </w:r>
    </w:p>
    <w:p w:rsidR="00F94664" w:rsidRPr="006C5EC5" w:rsidRDefault="00F94664" w:rsidP="006C5EC5">
      <w:pPr>
        <w:spacing w:after="120"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Au fost recepționate si s-a efectuat examenul de regularitate pentru </w:t>
      </w:r>
      <w:r w:rsidRPr="006C5EC5">
        <w:rPr>
          <w:rFonts w:asciiTheme="minorHAnsi" w:hAnsiTheme="minorHAnsi" w:cstheme="minorHAnsi"/>
          <w:b/>
          <w:color w:val="000000" w:themeColor="text1"/>
          <w:lang w:val="ro-RO"/>
        </w:rPr>
        <w:t>29</w:t>
      </w:r>
      <w:r w:rsidRPr="006C5EC5">
        <w:rPr>
          <w:rFonts w:asciiTheme="minorHAnsi" w:hAnsiTheme="minorHAnsi" w:cstheme="minorHAnsi"/>
          <w:b/>
          <w:bCs/>
          <w:color w:val="000000" w:themeColor="text1"/>
          <w:lang w:val="ro-RO"/>
        </w:rPr>
        <w:t xml:space="preserve"> cereri de extrădare</w:t>
      </w:r>
      <w:r w:rsidRPr="006C5EC5">
        <w:rPr>
          <w:rFonts w:asciiTheme="minorHAnsi" w:hAnsiTheme="minorHAnsi" w:cstheme="minorHAnsi"/>
          <w:color w:val="000000" w:themeColor="text1"/>
          <w:lang w:val="ro-RO"/>
        </w:rPr>
        <w:t xml:space="preserve"> formulate de alte state, respectiv: Republica Moldova, Statele Unite ale Americii, Turcia și Ucraina.</w:t>
      </w:r>
    </w:p>
    <w:p w:rsidR="00F94664" w:rsidRPr="006C5EC5" w:rsidRDefault="00F94664" w:rsidP="006C5EC5">
      <w:pPr>
        <w:spacing w:after="120"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Din perspectiva tipologiei infracţionale, extrădarea şi arestarea provizorie în vederea extrădării au fost solicitate pentru infracţiuni de criminalitate informatică, înşelăciune, fraudă bancară, înșelăciune, infracțiuni de natură sexuală, participare la o grupare teroristă. </w:t>
      </w:r>
    </w:p>
    <w:p w:rsidR="00F94664" w:rsidRPr="006C5EC5" w:rsidRDefault="00F94664" w:rsidP="006C5EC5">
      <w:pPr>
        <w:spacing w:line="276" w:lineRule="auto"/>
        <w:ind w:firstLine="720"/>
        <w:jc w:val="both"/>
        <w:rPr>
          <w:rFonts w:asciiTheme="minorHAnsi" w:hAnsiTheme="minorHAnsi" w:cstheme="minorHAnsi"/>
          <w:b/>
          <w:i/>
          <w:color w:val="000000" w:themeColor="text1"/>
          <w:u w:val="single"/>
          <w:lang w:val="ro-RO"/>
        </w:rPr>
      </w:pPr>
      <w:r w:rsidRPr="006C5EC5">
        <w:rPr>
          <w:rFonts w:asciiTheme="minorHAnsi" w:hAnsiTheme="minorHAnsi" w:cstheme="minorHAnsi"/>
          <w:b/>
          <w:i/>
          <w:color w:val="000000" w:themeColor="text1"/>
          <w:u w:val="single"/>
          <w:lang w:val="ro-RO"/>
        </w:rPr>
        <w:t>Mandate europene de arestare</w:t>
      </w:r>
    </w:p>
    <w:p w:rsidR="00F94664" w:rsidRPr="006C5EC5" w:rsidRDefault="00F94664" w:rsidP="006C5EC5">
      <w:pPr>
        <w:spacing w:line="276" w:lineRule="auto"/>
        <w:ind w:firstLine="720"/>
        <w:jc w:val="both"/>
        <w:rPr>
          <w:rFonts w:asciiTheme="minorHAnsi" w:hAnsiTheme="minorHAnsi" w:cstheme="minorHAnsi"/>
          <w:color w:val="000000" w:themeColor="text1"/>
          <w:lang w:val="ro-RO"/>
        </w:rPr>
      </w:pPr>
    </w:p>
    <w:p w:rsidR="00F94664" w:rsidRPr="006C5EC5" w:rsidRDefault="00F94664" w:rsidP="006C5EC5">
      <w:pPr>
        <w:spacing w:after="120"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În anul 2017, instanţele judecătoreşti au emise un număr de 1.350 de mandate europene de arestare.</w:t>
      </w:r>
    </w:p>
    <w:p w:rsidR="00F94664" w:rsidRPr="006C5EC5" w:rsidRDefault="00F94664" w:rsidP="006C5EC5">
      <w:pPr>
        <w:spacing w:after="120"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Principalele motive de refuz a executării mandatelor europene de arestare emise de autoritățile române fiind: condițiile de detenție neconforme standardelor internaționale care pot fi asigurate de autoritățile române (motiv invocat în principal de Germania, Regatul Suediei, Regatul Danemarcei, Olanda), rezidența persoanei solicitate pe teritoriul statului solicitat, preluarea executării pedepsei de către statul solicitat, lipsa dublei incriminări, garanții considerate ca fiind insuficiente cu privire la rejudecarea persoanei solicitate.</w:t>
      </w:r>
    </w:p>
    <w:p w:rsidR="00F94664" w:rsidRPr="006C5EC5" w:rsidRDefault="00F94664" w:rsidP="006C5EC5">
      <w:pPr>
        <w:spacing w:after="120"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Din perspectiva tipologiei infracționale, situaţia mandatelor europene de arestare emise de instanţele române se prezintă astfel:</w:t>
      </w:r>
    </w:p>
    <w:p w:rsidR="00F94664" w:rsidRPr="00860724" w:rsidRDefault="00F94664" w:rsidP="006C5EC5">
      <w:pPr>
        <w:ind w:firstLine="720"/>
        <w:rPr>
          <w:b/>
          <w:color w:val="000000" w:themeColor="text1"/>
          <w:lang w:val="ro-RO"/>
        </w:rPr>
      </w:pPr>
    </w:p>
    <w:p w:rsidR="00F94664" w:rsidRPr="00860724" w:rsidRDefault="00F94664" w:rsidP="006C5EC5">
      <w:pPr>
        <w:ind w:firstLine="720"/>
        <w:rPr>
          <w:b/>
          <w:color w:val="000000" w:themeColor="text1"/>
          <w:lang w:val="ro-RO"/>
        </w:rPr>
      </w:pPr>
    </w:p>
    <w:p w:rsidR="00F94664" w:rsidRPr="00860724" w:rsidRDefault="00F94664" w:rsidP="006C5EC5">
      <w:pPr>
        <w:ind w:firstLine="720"/>
        <w:rPr>
          <w:b/>
          <w:color w:val="000000" w:themeColor="text1"/>
          <w:lang w:val="ro-RO"/>
        </w:rPr>
      </w:pPr>
    </w:p>
    <w:p w:rsidR="00F94664" w:rsidRPr="00860724" w:rsidRDefault="00F94664" w:rsidP="006C5EC5">
      <w:pPr>
        <w:ind w:firstLine="720"/>
        <w:rPr>
          <w:b/>
          <w:color w:val="000000" w:themeColor="text1"/>
          <w:lang w:val="ro-RO"/>
        </w:rPr>
      </w:pPr>
    </w:p>
    <w:p w:rsidR="00F94664" w:rsidRPr="00860724" w:rsidRDefault="00F94664" w:rsidP="006C5EC5">
      <w:pPr>
        <w:ind w:firstLine="720"/>
        <w:rPr>
          <w:b/>
          <w:color w:val="000000" w:themeColor="text1"/>
          <w:lang w:val="ro-RO"/>
        </w:rPr>
      </w:pPr>
    </w:p>
    <w:p w:rsidR="00F94664" w:rsidRPr="00860724" w:rsidRDefault="00F94664" w:rsidP="006C5EC5">
      <w:pPr>
        <w:ind w:firstLine="720"/>
        <w:rPr>
          <w:b/>
          <w:color w:val="000000" w:themeColor="text1"/>
          <w:lang w:val="ro-RO"/>
        </w:rPr>
      </w:pPr>
    </w:p>
    <w:p w:rsidR="00F94664" w:rsidRPr="00860724" w:rsidRDefault="00F94664" w:rsidP="00F94664">
      <w:pPr>
        <w:rPr>
          <w:b/>
          <w:color w:val="000000" w:themeColor="text1"/>
          <w:lang w:val="ro-RO"/>
        </w:rPr>
      </w:pPr>
    </w:p>
    <w:p w:rsidR="00F94664" w:rsidRPr="00860724" w:rsidRDefault="00F94664" w:rsidP="00F94664">
      <w:pPr>
        <w:rPr>
          <w:b/>
          <w:lang w:val="ro-RO"/>
        </w:rPr>
      </w:pPr>
      <w:r w:rsidRPr="00860724">
        <w:rPr>
          <w:b/>
          <w:lang w:val="ro-RO"/>
        </w:rPr>
        <w:t>Statistica mandatelor europene de arestare în funcţie de natura infracţiunilor</w:t>
      </w:r>
    </w:p>
    <w:p w:rsidR="00F94664" w:rsidRPr="00860724" w:rsidRDefault="00F94664" w:rsidP="00F94664">
      <w:pPr>
        <w:rPr>
          <w:b/>
          <w:lang w:val="ro-RO"/>
        </w:rPr>
      </w:pPr>
    </w:p>
    <w:p w:rsidR="00F94664" w:rsidRPr="00860724" w:rsidRDefault="00F94664" w:rsidP="00F94664">
      <w:pPr>
        <w:rPr>
          <w:color w:val="00B050"/>
          <w:lang w:val="ro-RO"/>
        </w:rPr>
      </w:pPr>
      <w:r w:rsidRPr="00860724">
        <w:rPr>
          <w:noProof/>
          <w:lang w:val="ro-RO" w:eastAsia="ro-RO"/>
        </w:rPr>
        <w:drawing>
          <wp:inline distT="0" distB="0" distL="0" distR="0" wp14:anchorId="6B0FCFC2" wp14:editId="58A23438">
            <wp:extent cx="5765800" cy="3898900"/>
            <wp:effectExtent l="0" t="0" r="0" b="0"/>
            <wp:docPr id="27" name="Char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F94664" w:rsidRPr="00860724" w:rsidRDefault="00F94664" w:rsidP="00F94664">
      <w:pPr>
        <w:rPr>
          <w:color w:val="00B050"/>
          <w:lang w:val="ro-RO"/>
        </w:rPr>
      </w:pPr>
    </w:p>
    <w:p w:rsidR="00F94664" w:rsidRPr="006C5EC5" w:rsidRDefault="00F94664" w:rsidP="006C5EC5">
      <w:pPr>
        <w:spacing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la nivelul curţilor de apel au fost sesizate cu 1.460 de cereri de predare a unor persoane în baza mandatelor europene de arestare emise de celelalte state membre ale Uniunii Europene. Motivele principale de refuz al executării mandatelor europene </w:t>
      </w:r>
      <w:r w:rsidR="00F628D9">
        <w:rPr>
          <w:rFonts w:asciiTheme="minorHAnsi" w:hAnsiTheme="minorHAnsi" w:cstheme="minorHAnsi"/>
          <w:lang w:val="ro-RO"/>
        </w:rPr>
        <w:t>d</w:t>
      </w:r>
      <w:r w:rsidRPr="006C5EC5">
        <w:rPr>
          <w:rFonts w:asciiTheme="minorHAnsi" w:hAnsiTheme="minorHAnsi" w:cstheme="minorHAnsi"/>
          <w:lang w:val="ro-RO"/>
        </w:rPr>
        <w:t xml:space="preserve">e arestare primite spre executare fiind: retragerea mandatului de către autoritatea emitentă, recunoașterea pe cale incidentală a hotărârii de condamnare și preluarea executării pedepsei (în cazul cetățenilor români care și-au exprimat acordul în acest sens), netransmiterea de către instanța străină emitentă a mandatului/a traducerii/a informațiilor suplimentare solicitate de autoritatea română de executare, intervenirea prescripției răspunderii penale, persoana </w:t>
      </w:r>
      <w:r w:rsidR="00F628D9">
        <w:rPr>
          <w:rFonts w:asciiTheme="minorHAnsi" w:hAnsiTheme="minorHAnsi" w:cstheme="minorHAnsi"/>
          <w:lang w:val="ro-RO"/>
        </w:rPr>
        <w:t>indicată nu e cea căutată, lipsa</w:t>
      </w:r>
      <w:r w:rsidRPr="006C5EC5">
        <w:rPr>
          <w:rFonts w:asciiTheme="minorHAnsi" w:hAnsiTheme="minorHAnsi" w:cstheme="minorHAnsi"/>
          <w:lang w:val="ro-RO"/>
        </w:rPr>
        <w:t xml:space="preserve"> dubl</w:t>
      </w:r>
      <w:r w:rsidR="00F628D9">
        <w:rPr>
          <w:rFonts w:asciiTheme="minorHAnsi" w:hAnsiTheme="minorHAnsi" w:cstheme="minorHAnsi"/>
          <w:lang w:val="ro-RO"/>
        </w:rPr>
        <w:t>ei incriminări</w:t>
      </w:r>
      <w:r w:rsidRPr="006C5EC5">
        <w:rPr>
          <w:rFonts w:asciiTheme="minorHAnsi" w:hAnsiTheme="minorHAnsi" w:cstheme="minorHAnsi"/>
          <w:lang w:val="ro-RO"/>
        </w:rPr>
        <w:t xml:space="preserve">. </w:t>
      </w:r>
    </w:p>
    <w:p w:rsidR="00F94664" w:rsidRPr="006C5EC5" w:rsidRDefault="00F94664" w:rsidP="006C5EC5">
      <w:pPr>
        <w:spacing w:line="276" w:lineRule="auto"/>
        <w:jc w:val="both"/>
        <w:rPr>
          <w:rFonts w:asciiTheme="minorHAnsi" w:hAnsiTheme="minorHAnsi" w:cstheme="minorHAnsi"/>
          <w:b/>
          <w:u w:val="single"/>
          <w:lang w:val="ro-RO"/>
        </w:rPr>
      </w:pPr>
    </w:p>
    <w:p w:rsidR="00F94664" w:rsidRPr="006C5EC5" w:rsidRDefault="00F94664" w:rsidP="006C5EC5">
      <w:pPr>
        <w:spacing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Transferul în România al cetăţenilor români condamnaţi în străinătate</w:t>
      </w:r>
    </w:p>
    <w:p w:rsidR="00F94664" w:rsidRPr="006C5EC5" w:rsidRDefault="00F94664" w:rsidP="006C5EC5">
      <w:pPr>
        <w:spacing w:line="276" w:lineRule="auto"/>
        <w:jc w:val="both"/>
        <w:rPr>
          <w:rFonts w:asciiTheme="minorHAnsi" w:hAnsiTheme="minorHAnsi" w:cstheme="minorHAnsi"/>
          <w:b/>
          <w:i/>
          <w:u w:val="single"/>
          <w:lang w:val="ro-RO"/>
        </w:rPr>
      </w:pP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2017, pe rolul </w:t>
      </w:r>
      <w:r w:rsidR="002E6CF8">
        <w:rPr>
          <w:rFonts w:asciiTheme="minorHAnsi" w:hAnsiTheme="minorHAnsi" w:cstheme="minorHAnsi"/>
          <w:lang w:val="ro-RO"/>
        </w:rPr>
        <w:t>Serviciul de specialitate din cadrul Ministerului Justiției</w:t>
      </w:r>
      <w:r w:rsidR="002E6CF8" w:rsidRPr="006C5EC5">
        <w:rPr>
          <w:rFonts w:asciiTheme="minorHAnsi" w:hAnsiTheme="minorHAnsi" w:cstheme="minorHAnsi"/>
          <w:lang w:val="ro-RO"/>
        </w:rPr>
        <w:t xml:space="preserve"> </w:t>
      </w:r>
      <w:r w:rsidRPr="006C5EC5">
        <w:rPr>
          <w:rFonts w:asciiTheme="minorHAnsi" w:hAnsiTheme="minorHAnsi" w:cstheme="minorHAnsi"/>
          <w:lang w:val="ro-RO"/>
        </w:rPr>
        <w:t xml:space="preserve">s-au înregistrat de 395 noi dosare de transferare a unor cetățeni români din statul de condamnare în țara de origine – România (din state precum: Italia, Spania, Germania, Ungaria, Norvegia, Regatul Unit al Marii Britanii și Irlandei de Nord) și 42 de dosare de transfer ale unor cetățeni străini în statul de cetățenie (cum ar fi Italia, Ungaria, Germania, Olanda), aceștia fiind condamnați de autoritățile române. </w:t>
      </w:r>
    </w:p>
    <w:p w:rsidR="00F94664" w:rsidRPr="006C5EC5" w:rsidRDefault="00F94664" w:rsidP="006C5EC5">
      <w:pPr>
        <w:spacing w:after="120" w:line="276" w:lineRule="auto"/>
        <w:ind w:firstLine="708"/>
        <w:jc w:val="both"/>
        <w:rPr>
          <w:rFonts w:asciiTheme="minorHAnsi" w:hAnsiTheme="minorHAnsi" w:cstheme="minorHAnsi"/>
          <w:iCs/>
          <w:shd w:val="clear" w:color="auto" w:fill="FFFFFF"/>
          <w:lang w:val="ro-RO"/>
        </w:rPr>
      </w:pPr>
      <w:r w:rsidRPr="006C5EC5">
        <w:rPr>
          <w:rFonts w:asciiTheme="minorHAnsi" w:hAnsiTheme="minorHAnsi" w:cstheme="minorHAnsi"/>
          <w:lang w:val="ro-RO"/>
        </w:rPr>
        <w:t xml:space="preserve">Cererile s-au întemeiat fie pe dispozițiile Convenției europene asupra transferării persoanelor condamnate (Strasbourg, 1983, fie pe dispozițiile </w:t>
      </w:r>
      <w:r w:rsidRPr="006C5EC5">
        <w:rPr>
          <w:rFonts w:asciiTheme="minorHAnsi" w:hAnsiTheme="minorHAnsi" w:cstheme="minorHAnsi"/>
          <w:iCs/>
          <w:shd w:val="clear" w:color="auto" w:fill="FFFFFF"/>
          <w:lang w:val="ro-RO"/>
        </w:rPr>
        <w:t xml:space="preserve">Deciziei-cadru 2008/909/JAI a Consiliului din 27 noiembrie 2008 privind aplicarea principiului recunoașterii reciproce în cazul hotărârilor judecătorești în materie penală care impun pedepse sau măsuri privative de libertate în scopul executării lor în Uniunea Europeană (numărul cererilor transmise în temeiul acestui instrument fiind în continuă creștere). Rolul Ministerul Justiției este acela de a verifica întreaga documentație pentru cererile </w:t>
      </w:r>
      <w:r w:rsidR="00F628D9">
        <w:rPr>
          <w:rFonts w:asciiTheme="minorHAnsi" w:hAnsiTheme="minorHAnsi" w:cstheme="minorHAnsi"/>
          <w:iCs/>
          <w:shd w:val="clear" w:color="auto" w:fill="FFFFFF"/>
          <w:lang w:val="ro-RO"/>
        </w:rPr>
        <w:t>d</w:t>
      </w:r>
      <w:r w:rsidRPr="006C5EC5">
        <w:rPr>
          <w:rFonts w:asciiTheme="minorHAnsi" w:hAnsiTheme="minorHAnsi" w:cstheme="minorHAnsi"/>
          <w:iCs/>
          <w:shd w:val="clear" w:color="auto" w:fill="FFFFFF"/>
          <w:lang w:val="ro-RO"/>
        </w:rPr>
        <w:t xml:space="preserve">e transfer ale </w:t>
      </w:r>
      <w:r w:rsidR="00F628D9">
        <w:rPr>
          <w:rFonts w:asciiTheme="minorHAnsi" w:hAnsiTheme="minorHAnsi" w:cstheme="minorHAnsi"/>
          <w:iCs/>
          <w:shd w:val="clear" w:color="auto" w:fill="FFFFFF"/>
          <w:lang w:val="ro-RO"/>
        </w:rPr>
        <w:t>persoanelor condamnate</w:t>
      </w:r>
      <w:r w:rsidRPr="006C5EC5">
        <w:rPr>
          <w:rFonts w:asciiTheme="minorHAnsi" w:hAnsiTheme="minorHAnsi" w:cstheme="minorHAnsi"/>
          <w:iCs/>
          <w:shd w:val="clear" w:color="auto" w:fill="FFFFFF"/>
          <w:lang w:val="ro-RO"/>
        </w:rPr>
        <w:t xml:space="preserve"> din străinătate în România dar și de a emite certificatul în cazul cetățenilor străini condamnați de autoritățile române.</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Procedura de transferare se desfășoară în baza DC 2008/909/JAI (în cazul </w:t>
      </w:r>
      <w:r w:rsidR="00F628D9">
        <w:rPr>
          <w:rFonts w:asciiTheme="minorHAnsi" w:hAnsiTheme="minorHAnsi" w:cstheme="minorHAnsi"/>
          <w:lang w:val="ro-RO"/>
        </w:rPr>
        <w:t>statelor membre</w:t>
      </w:r>
      <w:r w:rsidRPr="006C5EC5">
        <w:rPr>
          <w:rFonts w:asciiTheme="minorHAnsi" w:hAnsiTheme="minorHAnsi" w:cstheme="minorHAnsi"/>
          <w:lang w:val="ro-RO"/>
        </w:rPr>
        <w:t xml:space="preserve"> UE)</w:t>
      </w:r>
      <w:r w:rsidR="00F628D9">
        <w:rPr>
          <w:rFonts w:asciiTheme="minorHAnsi" w:hAnsiTheme="minorHAnsi" w:cstheme="minorHAnsi"/>
          <w:lang w:val="ro-RO"/>
        </w:rPr>
        <w:t>;</w:t>
      </w:r>
      <w:r w:rsidRPr="006C5EC5">
        <w:rPr>
          <w:rFonts w:asciiTheme="minorHAnsi" w:hAnsiTheme="minorHAnsi" w:cstheme="minorHAnsi"/>
          <w:lang w:val="ro-RO"/>
        </w:rPr>
        <w:t xml:space="preserve"> cât și în temeiul convențiilor multilaterale și tratatelor bilaterale (cel mai utilizat fiind cel încheiat cu Regatul Norvegiei).</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Ministerul Justiției primește toate cererile formulate de alte state, având ca obiect transferarea cetățenilor români aflați în executarea unor pedepse privative pe teritoriile acestora, efectuează controlul de regularitate (din perspectiva cadrului juridic național și internațional) și se asigură că sunt disponibile toate documentele și informațiile necesare în vederea sesizării autorităților judiciare. De asemenea, întreprinde demersuri în vederea informării persoanei condamnate și a statului emitent cu privire la soluția dispusă în cauză.</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În cazurile în care cetățenii străini aflați în executarea unor pedepse privative de libertate în România solicită transferarea în statul de cetățenie, Ministerul Justiției, primind aceste solicitări, împreună cu referatul sau încheierea judecătorului delegat cu supravegherea privării de libertate din cadrul penitenciarului, apreciază dacă sunt întrunite toate condițiile în vederea sesizării statului străin, atât din punctul de vedere al legislației naționale, cât și din punct de al cadrului juridic internațional. Cererea de transferare sau după caz certificatul (în relația cu statele membre UE) presupune furnizarea tuturor informațiilor privind atât persoana, cât și faptele pentru care a fost condamnată, situația sa juridică, perspectivele de liberare condiționată, necesare pentru ca statul de executare să aprecieze perspectivele de reintegrare socială a persoanelor condamnate.</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cursul procedurii de transferare, Ministerul Justiției oferă toate informațiile și clarificările necesare atât autorităților române cât și celor străine în vederea recunoașterii hotărârilor de condamnare. Complexitatea activității este determinată și de diferențele între sistemele de drept și implicit sistemele sancționatorii (în special în relația cu statele de </w:t>
      </w:r>
      <w:r w:rsidRPr="006C5EC5">
        <w:rPr>
          <w:rFonts w:asciiTheme="minorHAnsi" w:hAnsiTheme="minorHAnsi" w:cstheme="minorHAnsi"/>
          <w:i/>
          <w:lang w:val="ro-RO"/>
        </w:rPr>
        <w:t>common law</w:t>
      </w:r>
      <w:r w:rsidRPr="006C5EC5">
        <w:rPr>
          <w:rFonts w:asciiTheme="minorHAnsi" w:hAnsiTheme="minorHAnsi" w:cstheme="minorHAnsi"/>
          <w:lang w:val="ro-RO"/>
        </w:rPr>
        <w:t xml:space="preserve"> – SUA, Marea Britanie).</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vederea preluării/predării persoanelor condamnate, Ministerul Justiției colaborează cu Centrul de Cooperare Polițienească Internațională și Administrația Națională a Penitenciarelor. </w:t>
      </w:r>
    </w:p>
    <w:p w:rsidR="00F94664" w:rsidRPr="006C5EC5" w:rsidRDefault="00F94664" w:rsidP="006C5EC5">
      <w:pPr>
        <w:suppressAutoHyphens/>
        <w:spacing w:after="120"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Cereri de tranzit</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 xml:space="preserve">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b/>
          <w:lang w:val="ro-RO"/>
        </w:rPr>
        <w:t>a solicitat şi a obţinut</w:t>
      </w:r>
      <w:r w:rsidRPr="006C5EC5">
        <w:rPr>
          <w:rFonts w:asciiTheme="minorHAnsi" w:hAnsiTheme="minorHAnsi" w:cstheme="minorHAnsi"/>
          <w:lang w:val="ro-RO"/>
        </w:rPr>
        <w:t xml:space="preserve"> autorizarea tranzitării (pe cale aeriană cu escală) teritoriilor altor state într-un număr de </w:t>
      </w:r>
      <w:r w:rsidRPr="006C5EC5">
        <w:rPr>
          <w:rFonts w:asciiTheme="minorHAnsi" w:hAnsiTheme="minorHAnsi" w:cstheme="minorHAnsi"/>
          <w:b/>
          <w:lang w:val="ro-RO"/>
        </w:rPr>
        <w:t>211 dosare de cooperare judiciară internaţională în materie penală</w:t>
      </w:r>
      <w:r w:rsidRPr="006C5EC5">
        <w:rPr>
          <w:rFonts w:asciiTheme="minorHAnsi" w:hAnsiTheme="minorHAnsi" w:cstheme="minorHAnsi"/>
          <w:lang w:val="ro-RO"/>
        </w:rPr>
        <w:t xml:space="preserve">. Statele tranzitate (solicitate) de escortele Ministerului Administraţiei şi Internelor care au adus în ţară persoane extrădate sau predate în baza unor mandate europene de arestare sunt: </w:t>
      </w:r>
      <w:r w:rsidRPr="006C5EC5">
        <w:rPr>
          <w:rFonts w:asciiTheme="minorHAnsi" w:hAnsiTheme="minorHAnsi" w:cstheme="minorHAnsi"/>
          <w:b/>
          <w:lang w:val="ro-RO"/>
        </w:rPr>
        <w:t>Olanda, Ungaria, Austria, Franța.</w:t>
      </w:r>
    </w:p>
    <w:p w:rsidR="00F94664" w:rsidRPr="006C5EC5" w:rsidRDefault="00F94664" w:rsidP="006C5EC5">
      <w:pPr>
        <w:spacing w:after="120"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Efectuarea, pe cale de comisie rogatorie internaţională, de acte procedurale în cauze instrumentate de autorităţile române</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b/>
          <w:u w:val="single"/>
          <w:lang w:val="ro-RO"/>
        </w:rPr>
        <w:t>Comisiile rogatorii</w:t>
      </w:r>
      <w:r w:rsidRPr="006C5EC5">
        <w:rPr>
          <w:rFonts w:asciiTheme="minorHAnsi" w:hAnsiTheme="minorHAnsi" w:cstheme="minorHAnsi"/>
          <w:lang w:val="ro-RO"/>
        </w:rPr>
        <w:t xml:space="preserve">, atât cele active, cât și cele pasive, reprezintă o altă instituție deosebit de importantă în materia cooperării judiciare internaționale, deoarece în baza acestora, atât autoritățile judiciare române, cât și cele străine obțin probe necesare instrumentării în bune condiții a dosarelor de urmărire penală, precum și respectarea drepturilor procesuale ale părților pe parcursul judecății. </w:t>
      </w:r>
    </w:p>
    <w:p w:rsidR="00F94664" w:rsidRPr="00E84C0D"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Cererile înregistrate în anul 2017 au avut ca obiect în principal</w:t>
      </w:r>
      <w:r w:rsidRPr="00E84C0D">
        <w:rPr>
          <w:rFonts w:asciiTheme="minorHAnsi" w:hAnsiTheme="minorHAnsi" w:cstheme="minorHAnsi"/>
          <w:lang w:val="ro-RO"/>
        </w:rPr>
        <w:t xml:space="preserve">, audierea, în calitate de inculpat, martor, parte vătămată, a unor persoane domiciliate sau deţinute pe teritoriile altor state, obţinerea de documente şi informaţii, transferul temporar al persoanelor deţinute în străinătate în vederea participării la judecată în calitate de inculpat, obţinerea de informaţii cu privire la situaţia juridică a inculpaţilor deţinuţi în străinătate, comunicarea de citaţii, hotărâri judecătoreşti şi rechizitorii persoanelor aflate pe teritoriile altor state.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Astfel, în perioada de referință, Ministerul Justiției, prin Direcția de specialitate a instrumentat 603 de cereri emise de autoritățile române transmise (prin intermediul Ministerului Justiției) spre executare autorităților române în vederea transmiterii către destinatari.</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Din perspectiva tipologiei infracţionale, cererile au vizat săvârşirea de infracţiuni grave: criminalitate informatică (inclusiv fraudă informatică), spălare de bani, trafic de persoane, trafic de minori, trafic de droguri, infracţiuni economice, infracţiuni contra vieţii dar și infracțiuni privind patrimoniul (furt, tâlhărie).</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 xml:space="preserve">State solicitate (exemplificativ): </w:t>
      </w:r>
      <w:r w:rsidRPr="006C5EC5">
        <w:rPr>
          <w:rFonts w:asciiTheme="minorHAnsi" w:hAnsiTheme="minorHAnsi" w:cstheme="minorHAnsi"/>
          <w:b/>
          <w:lang w:val="ro-RO"/>
        </w:rPr>
        <w:t xml:space="preserve">Germania, Austria Italia, Franța, Federația Rusă </w:t>
      </w:r>
      <w:r w:rsidRPr="006C5EC5">
        <w:rPr>
          <w:rFonts w:asciiTheme="minorHAnsi" w:hAnsiTheme="minorHAnsi" w:cstheme="minorHAnsi"/>
          <w:lang w:val="ro-RO"/>
        </w:rPr>
        <w:t xml:space="preserve">dar și state de pe alte continente: </w:t>
      </w:r>
      <w:r w:rsidRPr="006C5EC5">
        <w:rPr>
          <w:rFonts w:asciiTheme="minorHAnsi" w:hAnsiTheme="minorHAnsi" w:cstheme="minorHAnsi"/>
          <w:b/>
          <w:lang w:val="ro-RO"/>
        </w:rPr>
        <w:t>Irak, Siria, Thailanda, Noua Zeelandă, SUA, Canada, Turcia, Federația Rusă.</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b/>
          <w:i/>
          <w:u w:val="single"/>
          <w:lang w:val="ro-RO"/>
        </w:rPr>
        <w:t>Efectuarea, pe cale de comisie rogatorie internaţională, de acte procedurale în cauze instrumentate de autorităţile străine</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 xml:space="preserve">În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 gestionat (primire, analiză, transmitere, coordonare) un număr de 708 de cereri (transmise prin intermediul Ministerului Justiției) formulate de autorităţile străine din: </w:t>
      </w:r>
      <w:r w:rsidRPr="006C5EC5">
        <w:rPr>
          <w:rFonts w:asciiTheme="minorHAnsi" w:hAnsiTheme="minorHAnsi" w:cstheme="minorHAnsi"/>
          <w:b/>
          <w:lang w:val="ro-RO"/>
        </w:rPr>
        <w:t>Statele Unite ale Americii, Israel, Slovenia, Portugalia, Franţa, Cipru, Grecia, Italia, Elveţia, Republica Moldova, Olanda, Marea Britanie, Canada, Serbia, Monaco, Germania, Turcia, Bosnia şi Herţegovina, Bulgaria, Slovacia, Principatul Liechteinstein, Confederația Elvețiană.</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Cererile înregistrate în anul 2017 au avut ca obiect </w:t>
      </w:r>
      <w:r w:rsidRPr="006C5EC5">
        <w:rPr>
          <w:rFonts w:asciiTheme="minorHAnsi" w:hAnsiTheme="minorHAnsi" w:cstheme="minorHAnsi"/>
          <w:b/>
          <w:lang w:val="ro-RO"/>
        </w:rPr>
        <w:t>audierea, în calitate de inculpat, martor, parte vătămată, a unor persoane domiciliate sau deţinute în România, efectuarea de expertize şi comunicarea de citații, hotărâri judecătoreşti şi rechizitorii persoanelor domiciliate în România.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Din perspectiva tipologiei infracţionale, cererile au fost formulate în cauze privind infracţiuni de contrabandă, trafic de droguri, trafic de persoane, infracţiuni bancare, criminalitate informatică, înşelăciune, ameninţare. </w:t>
      </w:r>
    </w:p>
    <w:p w:rsidR="00F94664" w:rsidRPr="00E84C0D" w:rsidRDefault="00F94664" w:rsidP="00E84C0D">
      <w:pPr>
        <w:spacing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Audieri prin videoconferinţă</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Rolul Ministerului Justiției în ceea ce privește audierile prin videoconferință este acela de facilitare a contactului între autoritățile judiciare române și străine, în special în vederea identificării autorității competente să execute astfel de cereri, precum și pentru stabilirea detaliilor tehnice în scopul realizării legăturii video. Majoritatea cererilor de audiere prin videoconferință și care au fost recepționate de Ministerul Justiției în calitate de autoritate centrală au fost formulate în faza de judecată.</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a gestionat (primire, analiză, transmitere, coordonare) un număr de 40</w:t>
      </w:r>
      <w:r w:rsidRPr="006C5EC5">
        <w:rPr>
          <w:rFonts w:asciiTheme="minorHAnsi" w:hAnsiTheme="minorHAnsi" w:cstheme="minorHAnsi"/>
          <w:b/>
          <w:lang w:val="ro-RO"/>
        </w:rPr>
        <w:t xml:space="preserve"> de cereri de audieri prin video-conferinţă</w:t>
      </w:r>
      <w:r w:rsidRPr="006C5EC5">
        <w:rPr>
          <w:rFonts w:asciiTheme="minorHAnsi" w:hAnsiTheme="minorHAnsi" w:cstheme="minorHAnsi"/>
          <w:lang w:val="ro-RO"/>
        </w:rPr>
        <w:t xml:space="preserve"> </w:t>
      </w:r>
      <w:r w:rsidR="00E84C0D">
        <w:rPr>
          <w:rFonts w:asciiTheme="minorHAnsi" w:hAnsiTheme="minorHAnsi" w:cstheme="minorHAnsi"/>
          <w:lang w:val="ro-RO"/>
        </w:rPr>
        <w:t xml:space="preserve"> </w:t>
      </w:r>
      <w:r w:rsidRPr="006C5EC5">
        <w:rPr>
          <w:rFonts w:asciiTheme="minorHAnsi" w:hAnsiTheme="minorHAnsi" w:cstheme="minorHAnsi"/>
          <w:lang w:val="ro-RO"/>
        </w:rPr>
        <w:t>formulate de instanţele judecătoreşti române (</w:t>
      </w:r>
      <w:r w:rsidRPr="006C5EC5">
        <w:rPr>
          <w:rFonts w:asciiTheme="minorHAnsi" w:hAnsiTheme="minorHAnsi" w:cstheme="minorHAnsi"/>
          <w:i/>
          <w:lang w:val="ro-RO"/>
        </w:rPr>
        <w:t>judecătorii, tribunale, curţi de apel şi Înalta Curte de Casaţie şi Justiţie</w:t>
      </w:r>
      <w:r w:rsidRPr="006C5EC5">
        <w:rPr>
          <w:rFonts w:asciiTheme="minorHAnsi" w:hAnsiTheme="minorHAnsi" w:cstheme="minorHAnsi"/>
          <w:lang w:val="ro-RO"/>
        </w:rPr>
        <w:t>) și 20 de cereri transmise direct (și nu prin intermediul Ministerului Justiției) către autoritățile străine de executare, utilizând contactul direct permis de instrumentele juridice internaționale.</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 xml:space="preserve">Din perspectiva tipologiei infracţionale, cererile au vizat audierea în cauze penale având ca obiect cercetarea unor persoane sub aspectul săvârşirii infracţiunilor: </w:t>
      </w:r>
      <w:r w:rsidRPr="006C5EC5">
        <w:rPr>
          <w:rFonts w:asciiTheme="minorHAnsi" w:hAnsiTheme="minorHAnsi" w:cstheme="minorHAnsi"/>
          <w:b/>
          <w:lang w:val="ro-RO"/>
        </w:rPr>
        <w:t>trafic de stupefiante, trafic de persoane, spălare de bani, infracţiuni de corupţie</w:t>
      </w:r>
      <w:r w:rsidRPr="006C5EC5">
        <w:rPr>
          <w:rFonts w:asciiTheme="minorHAnsi" w:hAnsiTheme="minorHAnsi" w:cstheme="minorHAnsi"/>
          <w:lang w:val="ro-RO"/>
        </w:rPr>
        <w:t xml:space="preserve">, </w:t>
      </w:r>
      <w:r w:rsidRPr="006C5EC5">
        <w:rPr>
          <w:rFonts w:asciiTheme="minorHAnsi" w:hAnsiTheme="minorHAnsi" w:cstheme="minorHAnsi"/>
          <w:b/>
          <w:lang w:val="ro-RO"/>
        </w:rPr>
        <w:t>infracţiuni contra patrimoniului, ucidere din culpă, înșelăciune, criminalitate informatică, punerea în circulație de monedă străină contrafăcută, sustragere de sub sechestru.</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Cererile au fost adresate în special către următoarele state: Italia, Olanda, Austria, Germania, Ungaria, Spania.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Tot 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 gestionat (primire, analiză, transmitere, coordonare) un număr de </w:t>
      </w:r>
      <w:r w:rsidRPr="006C5EC5">
        <w:rPr>
          <w:rFonts w:asciiTheme="minorHAnsi" w:hAnsiTheme="minorHAnsi" w:cstheme="minorHAnsi"/>
          <w:b/>
          <w:lang w:val="ro-RO"/>
        </w:rPr>
        <w:t>30 de cereri de audieri prin video-conferinţă</w:t>
      </w:r>
      <w:r w:rsidRPr="006C5EC5">
        <w:rPr>
          <w:rFonts w:asciiTheme="minorHAnsi" w:hAnsiTheme="minorHAnsi" w:cstheme="minorHAnsi"/>
          <w:lang w:val="ro-RO"/>
        </w:rPr>
        <w:t xml:space="preserve"> formulate de autorităţile străine la care adăugăm un număr de 48 de cereri de audiere transmise direct de autoritățile străine eminente, autorităților române de executare.</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Printre instanțele care au primit spre executare astfel de cereri de audiere prin video-conferinţă formulate de alte state sunt: Curtea de Apel Alba Iulia, Curtea de Apel Bacău, Curtea de Apel Braşov, </w:t>
      </w:r>
      <w:r w:rsidRPr="00E84C0D">
        <w:rPr>
          <w:rFonts w:asciiTheme="minorHAnsi" w:hAnsiTheme="minorHAnsi" w:cstheme="minorHAnsi"/>
          <w:lang w:val="ro-RO"/>
        </w:rPr>
        <w:t>Curtea de Apel Bucureşti, Curtea de Apel Cluj, Curtea de Apel Constanţa, Curtea de Apel Craiova, Curtea de Apel Galaţi</w:t>
      </w:r>
      <w:r w:rsidRPr="006C5EC5">
        <w:rPr>
          <w:rFonts w:asciiTheme="minorHAnsi" w:hAnsiTheme="minorHAnsi" w:cstheme="minorHAnsi"/>
          <w:lang w:val="ro-RO"/>
        </w:rPr>
        <w:t>, Curtea de Apel Iaşi, Curtea de Apel Piteşti, Curtea de Apel Ploieşti, Curtea de Apel Suceava, Curtea de Apel Târgu Mureş, Curtea de Apel Timişoara.</w:t>
      </w:r>
    </w:p>
    <w:p w:rsidR="00F94664" w:rsidRPr="00E84C0D"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Din perspectiva tipologiei infracţionale, cererile au fost formulate în cauze având ca obiect cercetarea mai multor persoane sub aspectul săvârşirii de infracţiuni grave: </w:t>
      </w:r>
      <w:r w:rsidRPr="00E84C0D">
        <w:rPr>
          <w:rFonts w:asciiTheme="minorHAnsi" w:hAnsiTheme="minorHAnsi" w:cstheme="minorHAnsi"/>
          <w:lang w:val="ro-RO"/>
        </w:rPr>
        <w:t>spălare de bani, trafic de persoane, trafic de droguri, prostituţie, proxenetism, criminalitate informatică (skimming bancar), infracţiuni de fals, infracţiuni contra vieţii, infracţiuni contra patrimoniului (consecinţe grave şi deosebit de grave).</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Cererile au fost adresate în special de următoarele state: Italia, Austria, Olanda, Polonia, Germania, Suedia. </w:t>
      </w:r>
    </w:p>
    <w:p w:rsidR="00F94664" w:rsidRPr="006C5EC5" w:rsidRDefault="00F94664" w:rsidP="006C5EC5">
      <w:pPr>
        <w:spacing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Transferul de proceduri penale în şi din România</w:t>
      </w:r>
    </w:p>
    <w:p w:rsidR="00F94664" w:rsidRPr="006C5EC5" w:rsidRDefault="00F94664" w:rsidP="006C5EC5">
      <w:pPr>
        <w:spacing w:line="276" w:lineRule="auto"/>
        <w:jc w:val="both"/>
        <w:rPr>
          <w:rFonts w:asciiTheme="minorHAnsi" w:hAnsiTheme="minorHAnsi" w:cstheme="minorHAnsi"/>
          <w:lang w:val="ro-RO"/>
        </w:rPr>
      </w:pP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 gestionat (primire, analiză, transmitere, coordonare) </w:t>
      </w:r>
      <w:r w:rsidRPr="006C5EC5">
        <w:rPr>
          <w:rFonts w:asciiTheme="minorHAnsi" w:hAnsiTheme="minorHAnsi" w:cstheme="minorHAnsi"/>
          <w:b/>
          <w:lang w:val="ro-RO"/>
        </w:rPr>
        <w:t>14 de cereri de preluare a urmăririi penale</w:t>
      </w:r>
      <w:r w:rsidRPr="006C5EC5">
        <w:rPr>
          <w:rFonts w:asciiTheme="minorHAnsi" w:hAnsiTheme="minorHAnsi" w:cstheme="minorHAnsi"/>
          <w:lang w:val="ro-RO"/>
        </w:rPr>
        <w:t xml:space="preserve"> formulate de alte state în cauze având ca obiect săvârşirea de către cetăţeni români de infracţiuni pe teritoriile următoarelor state: Austria, Slovenia, Confederația Elvețiană, Spania, Bosnia, Luxembourg, Moldova.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De asemenea, instanțele române, au transmis, prin intermediul Direcției de specialitate un număr de 21 cereri de transfer de proceduri către alte state cum ar fi: Ucraina, Bulgaria, Germania, Austria, Slovenia.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b/>
          <w:lang w:val="ro-RO"/>
        </w:rPr>
        <w:t>Din perspectiva tipologiei infracţionale</w:t>
      </w:r>
      <w:r w:rsidRPr="006C5EC5">
        <w:rPr>
          <w:rFonts w:asciiTheme="minorHAnsi" w:hAnsiTheme="minorHAnsi" w:cstheme="minorHAnsi"/>
          <w:lang w:val="ro-RO"/>
        </w:rPr>
        <w:t xml:space="preserve">, infracţiunile săvârşite fac parte din categoria </w:t>
      </w:r>
      <w:r w:rsidRPr="006C5EC5">
        <w:rPr>
          <w:rFonts w:asciiTheme="minorHAnsi" w:hAnsiTheme="minorHAnsi" w:cstheme="minorHAnsi"/>
          <w:b/>
          <w:lang w:val="ro-RO"/>
        </w:rPr>
        <w:t>infracţiunilor contra patrimoniului, contra persoanei, la regimul circulaţiei pe drumurile publice şi contrabanda</w:t>
      </w:r>
      <w:r w:rsidRPr="006C5EC5">
        <w:rPr>
          <w:rFonts w:asciiTheme="minorHAnsi" w:hAnsiTheme="minorHAnsi" w:cstheme="minorHAnsi"/>
          <w:lang w:val="ro-RO"/>
        </w:rPr>
        <w:t xml:space="preserve">.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b/>
          <w:i/>
          <w:u w:val="single"/>
          <w:lang w:val="ro-RO"/>
        </w:rPr>
        <w:t>Măsuri asigurătorii</w:t>
      </w:r>
      <w:r w:rsidRPr="006C5EC5">
        <w:rPr>
          <w:rFonts w:asciiTheme="minorHAnsi" w:hAnsiTheme="minorHAnsi" w:cstheme="minorHAnsi"/>
          <w:b/>
          <w:i/>
          <w:lang w:val="ro-RO"/>
        </w:rPr>
        <w:t xml:space="preserve"> (ordine de indisponibilizare emise în baza DC 2003/577/JAI din 22 iulie 2003)</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s-a transmis prin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două ordine de indisponibilizare emise de instanțele române destinat autorităților străine.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i/>
          <w:lang w:val="ro-RO"/>
        </w:rPr>
        <w:t xml:space="preserve">Cu privire la ordinele de confiscare emise în baza DC </w:t>
      </w:r>
      <w:r w:rsidRPr="006C5EC5">
        <w:rPr>
          <w:rFonts w:asciiTheme="minorHAnsi" w:hAnsiTheme="minorHAnsi" w:cstheme="minorHAnsi"/>
          <w:b/>
          <w:i/>
          <w:lang w:val="ro-RO"/>
        </w:rPr>
        <w:t>2006/783/JAI din 26 februarie 2009</w:t>
      </w:r>
      <w:r w:rsidRPr="006C5EC5">
        <w:rPr>
          <w:rFonts w:asciiTheme="minorHAnsi" w:hAnsiTheme="minorHAnsi" w:cstheme="minorHAnsi"/>
          <w:b/>
          <w:lang w:val="ro-RO"/>
        </w:rPr>
        <w:t xml:space="preserve">: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aceeași perioadă de referință,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a gestionat un număr de 11 ordine de confiscare emise de autoritățile străine vizând infracțiunile de înșelăciune în bandă organizată, spălare de bani rezultați dintr-o înșelăciune în bandă organizată.</w:t>
      </w:r>
    </w:p>
    <w:p w:rsidR="00F94664" w:rsidRDefault="00F94664" w:rsidP="006C5EC5">
      <w:pPr>
        <w:pStyle w:val="Listparagraf"/>
        <w:autoSpaceDE w:val="0"/>
        <w:autoSpaceDN w:val="0"/>
        <w:adjustRightInd w:val="0"/>
        <w:spacing w:line="276" w:lineRule="auto"/>
        <w:ind w:left="0" w:firstLine="708"/>
        <w:jc w:val="both"/>
        <w:rPr>
          <w:rFonts w:asciiTheme="minorHAnsi" w:hAnsiTheme="minorHAnsi" w:cstheme="minorHAnsi"/>
          <w:lang w:val="ro-RO"/>
        </w:rPr>
      </w:pPr>
      <w:r w:rsidRPr="006C5EC5">
        <w:rPr>
          <w:rFonts w:asciiTheme="minorHAnsi" w:hAnsiTheme="minorHAnsi" w:cstheme="minorHAnsi"/>
          <w:iCs/>
          <w:u w:val="single"/>
          <w:lang w:val="ro-RO"/>
        </w:rPr>
        <w:t>Cu privire la Decizia-cadru 2009/829/JAI</w:t>
      </w:r>
      <w:r w:rsidRPr="006C5EC5">
        <w:rPr>
          <w:rFonts w:asciiTheme="minorHAnsi" w:hAnsiTheme="minorHAnsi" w:cstheme="minorHAnsi"/>
          <w:iCs/>
          <w:lang w:val="ro-RO"/>
        </w:rPr>
        <w:t xml:space="preserve"> a Consiliului din 23 octombrie 2009 privind aplicarea, între statele membre ale Uniunii Europene, a principiului recunoaşterii reciproce în materia deciziilor privind măsurile de supraveghere judiciară ca alternativă la arestarea preventivă, </w:t>
      </w:r>
      <w:r w:rsidRPr="006C5EC5">
        <w:rPr>
          <w:rFonts w:asciiTheme="minorHAnsi" w:hAnsiTheme="minorHAnsi" w:cstheme="minorHAnsi"/>
          <w:lang w:val="ro-RO"/>
        </w:rPr>
        <w:t xml:space="preserve">instanțele române au transmis direct o cerere destinată autorităților bulgare și au primit (direct) 2 cereri adresate de autoritățile din Spania și Ungaria. </w:t>
      </w:r>
    </w:p>
    <w:p w:rsidR="006C5EC5" w:rsidRPr="006C5EC5" w:rsidRDefault="006C5EC5" w:rsidP="006C5EC5">
      <w:pPr>
        <w:pStyle w:val="Listparagraf"/>
        <w:autoSpaceDE w:val="0"/>
        <w:autoSpaceDN w:val="0"/>
        <w:adjustRightInd w:val="0"/>
        <w:spacing w:line="276" w:lineRule="auto"/>
        <w:ind w:left="0" w:firstLine="708"/>
        <w:jc w:val="both"/>
        <w:rPr>
          <w:rFonts w:asciiTheme="minorHAnsi" w:hAnsiTheme="minorHAnsi" w:cstheme="minorHAnsi"/>
          <w:lang w:val="ro-RO"/>
        </w:rPr>
      </w:pPr>
    </w:p>
    <w:p w:rsidR="00F94664" w:rsidRPr="006C5EC5" w:rsidRDefault="00F94664" w:rsidP="006C5EC5">
      <w:pPr>
        <w:autoSpaceDE w:val="0"/>
        <w:autoSpaceDN w:val="0"/>
        <w:adjustRightInd w:val="0"/>
        <w:spacing w:line="276" w:lineRule="auto"/>
        <w:ind w:firstLine="708"/>
        <w:jc w:val="both"/>
        <w:rPr>
          <w:rFonts w:asciiTheme="minorHAnsi" w:hAnsiTheme="minorHAnsi" w:cstheme="minorHAnsi"/>
          <w:b/>
          <w:i/>
          <w:u w:val="single"/>
          <w:lang w:val="ro-RO"/>
        </w:rPr>
      </w:pPr>
      <w:r w:rsidRPr="006C5EC5">
        <w:rPr>
          <w:rFonts w:asciiTheme="minorHAnsi" w:hAnsiTheme="minorHAnsi" w:cstheme="minorHAnsi"/>
          <w:b/>
          <w:i/>
          <w:u w:val="single"/>
          <w:lang w:val="ro-RO"/>
        </w:rPr>
        <w:t>Sancţiuni pecuniare (DC 2005/214/JAI din 24 februarie 2005)</w:t>
      </w:r>
    </w:p>
    <w:p w:rsidR="00F94664" w:rsidRPr="006C5EC5" w:rsidRDefault="00F94664" w:rsidP="006C5EC5">
      <w:pPr>
        <w:autoSpaceDE w:val="0"/>
        <w:autoSpaceDN w:val="0"/>
        <w:adjustRightInd w:val="0"/>
        <w:spacing w:line="276" w:lineRule="auto"/>
        <w:jc w:val="both"/>
        <w:rPr>
          <w:rFonts w:asciiTheme="minorHAnsi" w:hAnsiTheme="minorHAnsi" w:cstheme="minorHAnsi"/>
          <w:b/>
          <w:u w:val="single"/>
          <w:lang w:val="ro-RO"/>
        </w:rPr>
      </w:pPr>
    </w:p>
    <w:p w:rsidR="00F94664" w:rsidRPr="006C5EC5" w:rsidRDefault="00F94664" w:rsidP="006C5EC5">
      <w:pPr>
        <w:autoSpaceDE w:val="0"/>
        <w:autoSpaceDN w:val="0"/>
        <w:adjustRightInd w:val="0"/>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 gestionat (primire, analiză, transmitere, coordonare) </w:t>
      </w:r>
      <w:r w:rsidRPr="006C5EC5">
        <w:rPr>
          <w:rFonts w:asciiTheme="minorHAnsi" w:hAnsiTheme="minorHAnsi" w:cstheme="minorHAnsi"/>
          <w:b/>
          <w:lang w:val="ro-RO"/>
        </w:rPr>
        <w:t xml:space="preserve">1622 de hotărâri definitive </w:t>
      </w:r>
      <w:r w:rsidRPr="006C5EC5">
        <w:rPr>
          <w:rFonts w:asciiTheme="minorHAnsi" w:hAnsiTheme="minorHAnsi" w:cstheme="minorHAnsi"/>
          <w:lang w:val="ro-RO"/>
        </w:rPr>
        <w:t>prin care persoanelor aflate pe teritoriul României au fost obligate la plata unor sancţiuni pecuniare. La acestea se adaugă 10 cereri emise de autoritățile române. Hotărârile au fost date fie de organe de urmărire penală, fie de instanţe, fie de autorităţi administrative. Hotărârile au fost luate ca urmare a săvârşirii unei fapte, care potrivit legislaţiei statului emitent, este infracţiune sau în legătură cu fapte, care potrivit legislaţiei statului emitent, sunt infracţiuni (infracţiuni administrative) sau în legătură cu o faptă, care potrivit legislaţiei statului emitent, constituie o încălcare a normelor legale (contravenţii).</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Suma totală depășește 400.000 euro. Valoarea medie a unei sancţiuni pecuniare este de 300 euro.</w:t>
      </w:r>
    </w:p>
    <w:p w:rsidR="00F94664" w:rsidRPr="006C5EC5" w:rsidRDefault="00F94664" w:rsidP="006C5EC5">
      <w:pPr>
        <w:spacing w:after="120" w:line="276" w:lineRule="auto"/>
        <w:ind w:firstLine="708"/>
        <w:jc w:val="both"/>
        <w:rPr>
          <w:rFonts w:asciiTheme="minorHAnsi" w:hAnsiTheme="minorHAnsi" w:cstheme="minorHAnsi"/>
          <w:b/>
          <w:lang w:val="ro-RO"/>
        </w:rPr>
      </w:pPr>
      <w:r w:rsidRPr="006C5EC5">
        <w:rPr>
          <w:rFonts w:asciiTheme="minorHAnsi" w:hAnsiTheme="minorHAnsi" w:cstheme="minorHAnsi"/>
          <w:lang w:val="ro-RO"/>
        </w:rPr>
        <w:t xml:space="preserve">Statele solicitante sunt, în principal: Germania, Olanda, Slovenia, Ungaria, Franţa, Marea Britanie. Majoritatea sancţiunilor pecuniare au fost aplicate pentru săvârşirea de </w:t>
      </w:r>
      <w:r w:rsidRPr="006C5EC5">
        <w:rPr>
          <w:rFonts w:asciiTheme="minorHAnsi" w:hAnsiTheme="minorHAnsi" w:cstheme="minorHAnsi"/>
          <w:b/>
          <w:lang w:val="ro-RO"/>
        </w:rPr>
        <w:t>infracţiuni la regimul circulaţiei pe drumurile publice</w:t>
      </w:r>
      <w:r w:rsidRPr="006C5EC5">
        <w:rPr>
          <w:rFonts w:asciiTheme="minorHAnsi" w:hAnsiTheme="minorHAnsi" w:cstheme="minorHAnsi"/>
          <w:lang w:val="ro-RO"/>
        </w:rPr>
        <w:t xml:space="preserve"> </w:t>
      </w:r>
      <w:r w:rsidRPr="006C5EC5">
        <w:rPr>
          <w:rFonts w:asciiTheme="minorHAnsi" w:hAnsiTheme="minorHAnsi" w:cstheme="minorHAnsi"/>
          <w:b/>
          <w:lang w:val="ro-RO"/>
        </w:rPr>
        <w:t>sau infracțiuni contra patrimoniului.</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În anul 2017</w:t>
      </w:r>
      <w:r w:rsidR="00E84C0D" w:rsidRPr="006C5EC5">
        <w:rPr>
          <w:rFonts w:asciiTheme="minorHAnsi" w:hAnsiTheme="minorHAnsi" w:cstheme="minorHAnsi"/>
          <w:lang w:val="ro-RO"/>
        </w:rPr>
        <w:t xml:space="preserve">,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 gestionat (primire, analiză, transmitere, coordonare) </w:t>
      </w:r>
      <w:r w:rsidRPr="006C5EC5">
        <w:rPr>
          <w:rFonts w:asciiTheme="minorHAnsi" w:hAnsiTheme="minorHAnsi" w:cstheme="minorHAnsi"/>
          <w:b/>
          <w:lang w:val="ro-RO"/>
        </w:rPr>
        <w:t xml:space="preserve">23 hotărâri definitive </w:t>
      </w:r>
      <w:r w:rsidRPr="006C5EC5">
        <w:rPr>
          <w:rFonts w:asciiTheme="minorHAnsi" w:hAnsiTheme="minorHAnsi" w:cstheme="minorHAnsi"/>
          <w:lang w:val="ro-RO"/>
        </w:rPr>
        <w:t>prin care persoanel</w:t>
      </w:r>
      <w:r w:rsidR="008B3522">
        <w:rPr>
          <w:rFonts w:asciiTheme="minorHAnsi" w:hAnsiTheme="minorHAnsi" w:cstheme="minorHAnsi"/>
          <w:lang w:val="ro-RO"/>
        </w:rPr>
        <w:t>e</w:t>
      </w:r>
      <w:r w:rsidRPr="006C5EC5">
        <w:rPr>
          <w:rFonts w:asciiTheme="minorHAnsi" w:hAnsiTheme="minorHAnsi" w:cstheme="minorHAnsi"/>
          <w:lang w:val="ro-RO"/>
        </w:rPr>
        <w:t xml:space="preserve"> aflate pe teritoriul altor state membre ale Uniunii Europene au fost obligate la plata unor sancţiuni pecuniare constând </w:t>
      </w:r>
      <w:r w:rsidRPr="006C5EC5">
        <w:rPr>
          <w:rFonts w:asciiTheme="minorHAnsi" w:hAnsiTheme="minorHAnsi" w:cstheme="minorHAnsi"/>
          <w:b/>
          <w:lang w:val="ro-RO"/>
        </w:rPr>
        <w:t xml:space="preserve">în </w:t>
      </w:r>
      <w:r w:rsidRPr="006C5EC5">
        <w:rPr>
          <w:rFonts w:asciiTheme="minorHAnsi" w:hAnsiTheme="minorHAnsi" w:cstheme="minorHAnsi"/>
          <w:b/>
          <w:i/>
          <w:lang w:val="ro-RO"/>
        </w:rPr>
        <w:t xml:space="preserve">cheltuieli judiciare avansate de stat şi despăgubiri ( în sumă de peste 25.400 lei) </w:t>
      </w:r>
      <w:r w:rsidRPr="006C5EC5">
        <w:rPr>
          <w:rFonts w:asciiTheme="minorHAnsi" w:hAnsiTheme="minorHAnsi" w:cstheme="minorHAnsi"/>
          <w:b/>
          <w:lang w:val="ro-RO"/>
        </w:rPr>
        <w:t xml:space="preserve">aplicate prin hotărâri judecătoreşti definitive date în cauze în care au fost cercetate persoane sub aspectul săvârşirii de infracţiuni de evaziune fiscală, trafic de droguri, trafic de persoane şi ucidere din culpă.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b/>
          <w:i/>
          <w:u w:val="single"/>
          <w:lang w:val="ro-RO"/>
        </w:rPr>
        <w:t>Punerea în executare a cheltuielilor judiciare avansate de stat în relaţia cu state nemembre ale Uniunii Europene</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perioada de referință 194 de cereri procesate prin intermediul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 xml:space="preserve">au avut ca obiect recunoașterea și executarea pe teritoriul altor state a sentințelor penale de condamnare emise de autorităților române. Aceste cereri au fost transmise, spre executare autorităților din Republica Moldova, Turcia, Bulgaria, Ucraina. </w:t>
      </w:r>
    </w:p>
    <w:p w:rsidR="00F94664" w:rsidRPr="006C5EC5" w:rsidRDefault="00F94664" w:rsidP="006C5EC5">
      <w:pPr>
        <w:spacing w:after="120" w:line="276" w:lineRule="auto"/>
        <w:ind w:firstLine="708"/>
        <w:jc w:val="both"/>
        <w:rPr>
          <w:rFonts w:asciiTheme="minorHAnsi" w:hAnsiTheme="minorHAnsi" w:cstheme="minorHAnsi"/>
          <w:b/>
          <w:u w:val="single"/>
          <w:lang w:val="ro-RO"/>
        </w:rPr>
      </w:pPr>
      <w:r w:rsidRPr="006C5EC5">
        <w:rPr>
          <w:rFonts w:asciiTheme="minorHAnsi" w:hAnsiTheme="minorHAnsi" w:cstheme="minorHAnsi"/>
          <w:b/>
          <w:u w:val="single"/>
          <w:lang w:val="ro-RO"/>
        </w:rPr>
        <w:t>Comunicarea de informaţii din cazierul judiciar şi de hotărâri judecătoreşti</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În anul 2017, </w:t>
      </w:r>
      <w:r w:rsidR="00E84C0D">
        <w:rPr>
          <w:rFonts w:asciiTheme="minorHAnsi" w:hAnsiTheme="minorHAnsi" w:cstheme="minorHAnsi"/>
          <w:lang w:val="ro-RO"/>
        </w:rPr>
        <w:t>serviciul de specialitate din cadrul Ministerului Justiției</w:t>
      </w:r>
      <w:r w:rsidR="00E84C0D" w:rsidRPr="006C5EC5">
        <w:rPr>
          <w:rFonts w:asciiTheme="minorHAnsi" w:hAnsiTheme="minorHAnsi" w:cstheme="minorHAnsi"/>
          <w:lang w:val="ro-RO"/>
        </w:rPr>
        <w:t xml:space="preserve"> </w:t>
      </w:r>
      <w:r w:rsidRPr="006C5EC5">
        <w:rPr>
          <w:rFonts w:asciiTheme="minorHAnsi" w:hAnsiTheme="minorHAnsi" w:cstheme="minorHAnsi"/>
          <w:lang w:val="ro-RO"/>
        </w:rPr>
        <w:t>a primit a gestionat (primire, analiză, transmitere) un număr de 177 de caziere judiciare şi hotărâri judecătoreşti date de instanţele străine şi române împotriva unor cetăţeni români sau străini, după caz. Cererile au avut ca obiect comunicarea hotărâri judecătoreşti date de instanţele străine împotriva unor cetăţeni străini (art. 22 din Convenţia Consiliului Europei din 1959).</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În anul 2017, corespondentul naţional la Reţeaua Judiciară Europeană în materie penală a  acordat asistenţă (consultări, puncte de vedere, facilitarea primirii unui răspuns mai rapid din partea autorităților străine, obținerea de documente şi informaţii cu privire la situaţia juridică a unor persoane aflate în detenţie ori din cazierul judiciar sau deblocarea unor cereri de cooperare judiciară transmise anterior, acoperind o gamă foarte largă de forme de asistență judiciară internațională în materie penală: audierea prin videoconferință, extrădare, mandat european de arestare, etc.) la cererea autorităţilor din: Germania, Olanda, Danemarca precum şi la cererea instanţelor române - judecătorii, tribunale şi Înalta Curte de Casaţie şi Justiţie şi parchete.</w:t>
      </w:r>
    </w:p>
    <w:p w:rsidR="00F94664" w:rsidRPr="006C5EC5" w:rsidRDefault="00F94664" w:rsidP="006C5EC5">
      <w:pPr>
        <w:spacing w:after="120" w:line="276" w:lineRule="auto"/>
        <w:ind w:firstLine="708"/>
        <w:jc w:val="both"/>
        <w:rPr>
          <w:rFonts w:asciiTheme="minorHAnsi" w:hAnsiTheme="minorHAnsi" w:cstheme="minorHAnsi"/>
          <w:i/>
          <w:lang w:val="ro-RO"/>
        </w:rPr>
      </w:pPr>
      <w:r w:rsidRPr="006C5EC5">
        <w:rPr>
          <w:rFonts w:asciiTheme="minorHAnsi" w:hAnsiTheme="minorHAnsi" w:cstheme="minorHAnsi"/>
          <w:b/>
          <w:i/>
          <w:u w:val="single"/>
          <w:lang w:val="ro-RO"/>
        </w:rPr>
        <w:t>Reţeaua Judiciară Europeană în materie penală</w:t>
      </w:r>
    </w:p>
    <w:p w:rsidR="00F94664" w:rsidRPr="006C5EC5" w:rsidRDefault="00F94664" w:rsidP="006C5EC5">
      <w:pPr>
        <w:suppressAutoHyphens/>
        <w:spacing w:after="120" w:line="276" w:lineRule="auto"/>
        <w:ind w:firstLine="630"/>
        <w:jc w:val="both"/>
        <w:rPr>
          <w:rFonts w:asciiTheme="minorHAnsi" w:hAnsiTheme="minorHAnsi" w:cstheme="minorHAnsi"/>
          <w:lang w:val="ro-RO"/>
        </w:rPr>
      </w:pPr>
      <w:r w:rsidRPr="006C5EC5">
        <w:rPr>
          <w:rFonts w:asciiTheme="minorHAnsi" w:hAnsiTheme="minorHAnsi" w:cstheme="minorHAnsi"/>
          <w:lang w:val="ro-RO"/>
        </w:rPr>
        <w:t>În ceea ce priveşte reuniunile Reţelei Judiciare Europene organizate în anul 2017, reprezentarea României a fost asigurată după cum urmează:</w:t>
      </w:r>
    </w:p>
    <w:p w:rsidR="00F94664" w:rsidRPr="006C5EC5" w:rsidRDefault="00F94664" w:rsidP="006C5EC5">
      <w:pPr>
        <w:numPr>
          <w:ilvl w:val="0"/>
          <w:numId w:val="18"/>
        </w:numPr>
        <w:suppressAutoHyphens/>
        <w:spacing w:after="120" w:line="276" w:lineRule="auto"/>
        <w:ind w:firstLine="630"/>
        <w:jc w:val="both"/>
        <w:rPr>
          <w:rFonts w:asciiTheme="minorHAnsi" w:hAnsiTheme="minorHAnsi" w:cstheme="minorHAnsi"/>
          <w:lang w:val="ro-RO"/>
        </w:rPr>
      </w:pPr>
      <w:r w:rsidRPr="006C5EC5">
        <w:rPr>
          <w:rFonts w:asciiTheme="minorHAnsi" w:hAnsiTheme="minorHAnsi" w:cstheme="minorHAnsi"/>
          <w:lang w:val="ro-RO"/>
        </w:rPr>
        <w:t xml:space="preserve">29 - 30 iunie 2017, Valletta: cea de-a 48-a reuniune Plenară a Rețelei Judiciare Europene. Au participat reprezentanți ai Parchetului General.Tematica discuțiilor s-a axat pe combaterea infracțiunilor de spălarea banilor și ordinul european de anchetă. </w:t>
      </w:r>
    </w:p>
    <w:p w:rsidR="00F94664" w:rsidRPr="006C5EC5" w:rsidRDefault="00F94664" w:rsidP="006C5EC5">
      <w:pPr>
        <w:numPr>
          <w:ilvl w:val="0"/>
          <w:numId w:val="18"/>
        </w:numPr>
        <w:suppressAutoHyphens/>
        <w:spacing w:after="120" w:line="276" w:lineRule="auto"/>
        <w:ind w:firstLine="630"/>
        <w:jc w:val="both"/>
        <w:rPr>
          <w:rFonts w:asciiTheme="minorHAnsi" w:hAnsiTheme="minorHAnsi" w:cstheme="minorHAnsi"/>
          <w:b/>
          <w:u w:val="single"/>
          <w:lang w:val="ro-RO"/>
        </w:rPr>
      </w:pPr>
      <w:r w:rsidRPr="006C5EC5">
        <w:rPr>
          <w:rFonts w:asciiTheme="minorHAnsi" w:hAnsiTheme="minorHAnsi" w:cstheme="minorHAnsi"/>
          <w:lang w:val="ro-RO"/>
        </w:rPr>
        <w:t>23 - 24 noiembrie 2017, Tallinn: cea de-a 49-a reuniune Plenară a Rețelei Judiciare Europene. Au participat reprezentanți ai Ministerului Justiției și ai Parchetului General.Tematica discuțiilor s-a axat pe teme precum mandatul european de arestare și ordinul european de anchetă.</w:t>
      </w:r>
    </w:p>
    <w:p w:rsidR="00F94664" w:rsidRPr="006C5EC5" w:rsidRDefault="00F94664" w:rsidP="006C5EC5">
      <w:pPr>
        <w:spacing w:after="120" w:line="276" w:lineRule="auto"/>
        <w:ind w:firstLine="630"/>
        <w:jc w:val="both"/>
        <w:rPr>
          <w:rFonts w:asciiTheme="minorHAnsi" w:hAnsiTheme="minorHAnsi" w:cstheme="minorHAnsi"/>
          <w:i/>
          <w:u w:val="single"/>
          <w:lang w:val="ro-RO"/>
        </w:rPr>
      </w:pPr>
      <w:r w:rsidRPr="006C5EC5">
        <w:rPr>
          <w:rFonts w:asciiTheme="minorHAnsi" w:hAnsiTheme="minorHAnsi" w:cstheme="minorHAnsi"/>
          <w:i/>
          <w:u w:val="single"/>
          <w:lang w:val="ro-RO"/>
        </w:rPr>
        <w:t xml:space="preserve">Reţeaua Judiciară Română de cooperare în materie penală </w:t>
      </w:r>
    </w:p>
    <w:p w:rsidR="00F94664" w:rsidRPr="006C5EC5" w:rsidRDefault="00F94664" w:rsidP="006C5EC5">
      <w:pPr>
        <w:suppressAutoHyphens/>
        <w:spacing w:after="120" w:line="276" w:lineRule="auto"/>
        <w:ind w:firstLine="630"/>
        <w:jc w:val="both"/>
        <w:rPr>
          <w:rFonts w:asciiTheme="minorHAnsi" w:hAnsiTheme="minorHAnsi" w:cstheme="minorHAnsi"/>
          <w:lang w:val="ro-RO"/>
        </w:rPr>
      </w:pPr>
      <w:r w:rsidRPr="006C5EC5">
        <w:rPr>
          <w:rFonts w:asciiTheme="minorHAnsi" w:hAnsiTheme="minorHAnsi" w:cstheme="minorHAnsi"/>
          <w:lang w:val="ro-RO"/>
        </w:rPr>
        <w:t xml:space="preserve">Rolul Rețelei judiciare române in materie penala este acela de: </w:t>
      </w:r>
    </w:p>
    <w:p w:rsidR="00F94664" w:rsidRPr="006C5EC5" w:rsidRDefault="00F94664" w:rsidP="006C5EC5">
      <w:pPr>
        <w:pStyle w:val="Listparagraf"/>
        <w:numPr>
          <w:ilvl w:val="0"/>
          <w:numId w:val="19"/>
        </w:numPr>
        <w:suppressAutoHyphens/>
        <w:spacing w:after="120" w:line="276" w:lineRule="auto"/>
        <w:jc w:val="both"/>
        <w:rPr>
          <w:rFonts w:asciiTheme="minorHAnsi" w:hAnsiTheme="minorHAnsi" w:cstheme="minorHAnsi"/>
          <w:lang w:val="ro-RO"/>
        </w:rPr>
      </w:pPr>
      <w:r w:rsidRPr="006C5EC5">
        <w:rPr>
          <w:rFonts w:asciiTheme="minorHAnsi" w:hAnsiTheme="minorHAnsi" w:cstheme="minorHAnsi"/>
          <w:lang w:val="ro-RO"/>
        </w:rPr>
        <w:t>facilitare in plan practic a cooperării judiciare internaționale in materie penală (fiind desemnate puncte naționale de contact care pot facilita schimbul de informații si contactul direct intre autorităților romane și străine);</w:t>
      </w:r>
    </w:p>
    <w:p w:rsidR="00F94664" w:rsidRPr="006C5EC5" w:rsidRDefault="00F94664" w:rsidP="006C5EC5">
      <w:pPr>
        <w:pStyle w:val="Listparagraf"/>
        <w:numPr>
          <w:ilvl w:val="0"/>
          <w:numId w:val="19"/>
        </w:numPr>
        <w:suppressAutoHyphens/>
        <w:spacing w:after="120" w:line="276" w:lineRule="auto"/>
        <w:jc w:val="both"/>
        <w:rPr>
          <w:rFonts w:asciiTheme="minorHAnsi" w:hAnsiTheme="minorHAnsi" w:cstheme="minorHAnsi"/>
          <w:lang w:val="ro-RO"/>
        </w:rPr>
      </w:pPr>
      <w:r w:rsidRPr="006C5EC5">
        <w:rPr>
          <w:rFonts w:asciiTheme="minorHAnsi" w:hAnsiTheme="minorHAnsi" w:cstheme="minorHAnsi"/>
          <w:lang w:val="ro-RO"/>
        </w:rPr>
        <w:t>for de dezbatere a noilor probleme de drept în domeniul cooperării judiciare internaționale in materie penala si a noilor reglementări legislative in materie (fie ele naționale sau europene) precum și a modului de interpretare a acestora;</w:t>
      </w:r>
    </w:p>
    <w:p w:rsidR="00F94664" w:rsidRPr="006C5EC5" w:rsidRDefault="00F94664" w:rsidP="006C5EC5">
      <w:pPr>
        <w:pStyle w:val="Listparagraf"/>
        <w:numPr>
          <w:ilvl w:val="0"/>
          <w:numId w:val="19"/>
        </w:numPr>
        <w:suppressAutoHyphens/>
        <w:spacing w:after="120" w:line="276" w:lineRule="auto"/>
        <w:jc w:val="both"/>
        <w:rPr>
          <w:rFonts w:asciiTheme="minorHAnsi" w:hAnsiTheme="minorHAnsi" w:cstheme="minorHAnsi"/>
          <w:lang w:val="ro-RO"/>
        </w:rPr>
      </w:pPr>
      <w:r w:rsidRPr="006C5EC5">
        <w:rPr>
          <w:rFonts w:asciiTheme="minorHAnsi" w:hAnsiTheme="minorHAnsi" w:cstheme="minorHAnsi"/>
          <w:lang w:val="ro-RO"/>
        </w:rPr>
        <w:t>identificarea problemelor de practica judiciara și dezbaterea unor posibile practici unitare).</w:t>
      </w:r>
    </w:p>
    <w:p w:rsidR="00F94664" w:rsidRPr="006C5EC5" w:rsidRDefault="00F94664" w:rsidP="006C5EC5">
      <w:pPr>
        <w:suppressAutoHyphens/>
        <w:spacing w:line="276" w:lineRule="auto"/>
        <w:ind w:firstLine="708"/>
        <w:jc w:val="both"/>
        <w:rPr>
          <w:rFonts w:asciiTheme="minorHAnsi" w:hAnsiTheme="minorHAnsi" w:cstheme="minorHAnsi"/>
          <w:lang w:val="ro-RO"/>
        </w:rPr>
      </w:pPr>
      <w:r w:rsidRPr="006C5EC5">
        <w:rPr>
          <w:rFonts w:asciiTheme="minorHAnsi" w:hAnsiTheme="minorHAnsi" w:cstheme="minorHAnsi"/>
          <w:lang w:val="ro-RO"/>
        </w:rPr>
        <w:t xml:space="preserve">Rețeaua Judiciară Română în materie penală este compusă din judecători ai Înaltei Curţi de Casaţie, procurori ai Parchetului de pe lângă Înalta Curte de Casaţie şi Justiţie, judecători din cadrul curţilor de apel şi procurori ai parchetelor ai parchetelor de pe lângă curţile de apel, precum şi personalul cu atribuţii în domeniul cooperării judiciare în materie penală al direcţiei de specialitate a Ministerului Justiţiei, desemnaţi în condiţiile legii. </w:t>
      </w:r>
    </w:p>
    <w:p w:rsidR="00F94664" w:rsidRPr="006C5EC5" w:rsidRDefault="00F94664" w:rsidP="006C5EC5">
      <w:pPr>
        <w:suppressAutoHyphens/>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Reuniunile bianuale ale RJR s-au desfășurat după cum urmează:</w:t>
      </w:r>
    </w:p>
    <w:p w:rsidR="00F94664" w:rsidRPr="006C5EC5" w:rsidRDefault="00F94664" w:rsidP="006C5EC5">
      <w:pPr>
        <w:pStyle w:val="Listparagraf"/>
        <w:numPr>
          <w:ilvl w:val="0"/>
          <w:numId w:val="20"/>
        </w:numPr>
        <w:suppressAutoHyphens/>
        <w:spacing w:after="120" w:line="276" w:lineRule="auto"/>
        <w:jc w:val="both"/>
        <w:rPr>
          <w:rFonts w:asciiTheme="minorHAnsi" w:hAnsiTheme="minorHAnsi" w:cstheme="minorHAnsi"/>
          <w:lang w:val="ro-RO"/>
        </w:rPr>
      </w:pPr>
      <w:r w:rsidRPr="006C5EC5">
        <w:rPr>
          <w:rFonts w:asciiTheme="minorHAnsi" w:hAnsiTheme="minorHAnsi" w:cstheme="minorHAnsi"/>
          <w:lang w:val="ro-RO"/>
        </w:rPr>
        <w:t>27 – 28 februarie 2017 la București;</w:t>
      </w:r>
    </w:p>
    <w:p w:rsidR="00F94664" w:rsidRDefault="00F94664" w:rsidP="006C5EC5">
      <w:pPr>
        <w:pStyle w:val="Listparagraf"/>
        <w:numPr>
          <w:ilvl w:val="0"/>
          <w:numId w:val="20"/>
        </w:numPr>
        <w:suppressAutoHyphens/>
        <w:spacing w:after="120" w:line="276" w:lineRule="auto"/>
        <w:jc w:val="both"/>
        <w:rPr>
          <w:rFonts w:asciiTheme="minorHAnsi" w:hAnsiTheme="minorHAnsi" w:cstheme="minorHAnsi"/>
          <w:lang w:val="ro-RO"/>
        </w:rPr>
      </w:pPr>
      <w:r w:rsidRPr="006C5EC5">
        <w:rPr>
          <w:rFonts w:asciiTheme="minorHAnsi" w:hAnsiTheme="minorHAnsi" w:cstheme="minorHAnsi"/>
          <w:lang w:val="ro-RO"/>
        </w:rPr>
        <w:t>4 – 6 octombrie 2017 la Brașov</w:t>
      </w:r>
    </w:p>
    <w:p w:rsidR="006C5EC5" w:rsidRDefault="006C5EC5" w:rsidP="006C5EC5">
      <w:pPr>
        <w:suppressAutoHyphens/>
        <w:spacing w:after="120" w:line="276" w:lineRule="auto"/>
        <w:jc w:val="both"/>
        <w:rPr>
          <w:rFonts w:asciiTheme="minorHAnsi" w:hAnsiTheme="minorHAnsi" w:cstheme="minorHAnsi"/>
          <w:lang w:val="ro-RO"/>
        </w:rPr>
      </w:pPr>
    </w:p>
    <w:p w:rsidR="006C5EC5" w:rsidRDefault="006C5EC5" w:rsidP="006C5EC5">
      <w:pPr>
        <w:suppressAutoHyphens/>
        <w:spacing w:after="120" w:line="276" w:lineRule="auto"/>
        <w:jc w:val="both"/>
        <w:rPr>
          <w:rFonts w:asciiTheme="minorHAnsi" w:hAnsiTheme="minorHAnsi" w:cstheme="minorHAnsi"/>
          <w:lang w:val="ro-RO"/>
        </w:rPr>
      </w:pPr>
    </w:p>
    <w:p w:rsidR="006C5EC5" w:rsidRDefault="006C5EC5" w:rsidP="006C5EC5">
      <w:pPr>
        <w:suppressAutoHyphens/>
        <w:spacing w:after="120" w:line="276" w:lineRule="auto"/>
        <w:jc w:val="both"/>
        <w:rPr>
          <w:rFonts w:asciiTheme="minorHAnsi" w:hAnsiTheme="minorHAnsi" w:cstheme="minorHAnsi"/>
          <w:lang w:val="ro-RO"/>
        </w:rPr>
      </w:pPr>
    </w:p>
    <w:p w:rsidR="006C5EC5" w:rsidRDefault="006C5EC5" w:rsidP="006C5EC5">
      <w:pPr>
        <w:suppressAutoHyphens/>
        <w:spacing w:after="120" w:line="276" w:lineRule="auto"/>
        <w:jc w:val="both"/>
        <w:rPr>
          <w:rFonts w:asciiTheme="minorHAnsi" w:hAnsiTheme="minorHAnsi" w:cstheme="minorHAnsi"/>
          <w:lang w:val="ro-RO"/>
        </w:rPr>
      </w:pPr>
    </w:p>
    <w:p w:rsidR="006C5EC5" w:rsidRPr="006C5EC5" w:rsidRDefault="006C5EC5" w:rsidP="006C5EC5">
      <w:pPr>
        <w:suppressAutoHyphens/>
        <w:spacing w:after="120" w:line="276" w:lineRule="auto"/>
        <w:jc w:val="both"/>
        <w:rPr>
          <w:rFonts w:asciiTheme="minorHAnsi" w:hAnsiTheme="minorHAnsi" w:cstheme="minorHAnsi"/>
          <w:lang w:val="ro-RO"/>
        </w:rPr>
      </w:pPr>
    </w:p>
    <w:p w:rsidR="00F94664" w:rsidRPr="006C5EC5" w:rsidRDefault="006C5EC5" w:rsidP="006C5EC5">
      <w:pPr>
        <w:tabs>
          <w:tab w:val="left" w:pos="0"/>
        </w:tabs>
        <w:spacing w:line="276" w:lineRule="auto"/>
        <w:ind w:right="567"/>
        <w:jc w:val="both"/>
        <w:rPr>
          <w:rFonts w:asciiTheme="minorHAnsi" w:hAnsiTheme="minorHAnsi" w:cstheme="minorHAnsi"/>
          <w:b/>
          <w:i/>
          <w:lang w:val="ro-RO"/>
        </w:rPr>
      </w:pPr>
      <w:r>
        <w:rPr>
          <w:rFonts w:asciiTheme="minorHAnsi" w:hAnsiTheme="minorHAnsi" w:cstheme="minorHAnsi"/>
          <w:b/>
          <w:i/>
          <w:lang w:val="ro-RO"/>
        </w:rPr>
        <w:tab/>
      </w:r>
      <w:r>
        <w:rPr>
          <w:rFonts w:asciiTheme="minorHAnsi" w:hAnsiTheme="minorHAnsi" w:cstheme="minorHAnsi"/>
          <w:b/>
          <w:i/>
          <w:lang w:val="ro-RO"/>
        </w:rPr>
        <w:tab/>
      </w:r>
      <w:r w:rsidR="00F94664" w:rsidRPr="006C5EC5">
        <w:rPr>
          <w:rFonts w:asciiTheme="minorHAnsi" w:hAnsiTheme="minorHAnsi" w:cstheme="minorHAnsi"/>
          <w:b/>
          <w:i/>
          <w:lang w:val="ro-RO"/>
        </w:rPr>
        <w:t>II. Cooperarea judiciară în materie civilă sub aspect operațional</w:t>
      </w:r>
    </w:p>
    <w:p w:rsidR="00F94664" w:rsidRPr="006C5EC5" w:rsidRDefault="00F94664" w:rsidP="006C5EC5">
      <w:pPr>
        <w:tabs>
          <w:tab w:val="left" w:pos="0"/>
        </w:tabs>
        <w:spacing w:line="276" w:lineRule="auto"/>
        <w:ind w:right="567"/>
        <w:jc w:val="both"/>
        <w:rPr>
          <w:rFonts w:asciiTheme="minorHAnsi" w:hAnsiTheme="minorHAnsi" w:cstheme="minorHAnsi"/>
          <w:b/>
          <w:i/>
          <w:u w:val="single"/>
          <w:lang w:val="ro-RO"/>
        </w:rPr>
      </w:pPr>
    </w:p>
    <w:p w:rsidR="00F94664" w:rsidRPr="006C5EC5" w:rsidRDefault="00F94664" w:rsidP="006C5EC5">
      <w:pPr>
        <w:pStyle w:val="Default"/>
        <w:numPr>
          <w:ilvl w:val="0"/>
          <w:numId w:val="37"/>
        </w:numPr>
        <w:spacing w:line="276" w:lineRule="auto"/>
        <w:ind w:right="79"/>
        <w:jc w:val="both"/>
        <w:rPr>
          <w:rFonts w:asciiTheme="minorHAnsi" w:hAnsiTheme="minorHAnsi" w:cstheme="minorHAnsi"/>
          <w:b/>
          <w:color w:val="auto"/>
        </w:rPr>
      </w:pPr>
      <w:r w:rsidRPr="006C5EC5">
        <w:rPr>
          <w:rFonts w:asciiTheme="minorHAnsi" w:hAnsiTheme="minorHAnsi" w:cstheme="minorHAnsi"/>
          <w:b/>
          <w:i/>
          <w:color w:val="auto"/>
        </w:rPr>
        <w:t>Date relevante privind lucrările efectuate în domeniul cooperării judiciare internaţionale în materie civilă şi comercială</w:t>
      </w:r>
      <w:r w:rsidR="00E84C0D">
        <w:rPr>
          <w:rFonts w:asciiTheme="minorHAnsi" w:hAnsiTheme="minorHAnsi" w:cstheme="minorHAnsi"/>
          <w:b/>
          <w:i/>
          <w:color w:val="auto"/>
        </w:rPr>
        <w:t xml:space="preserve"> </w:t>
      </w:r>
      <w:r w:rsidRPr="006C5EC5">
        <w:rPr>
          <w:rFonts w:asciiTheme="minorHAnsi" w:hAnsiTheme="minorHAnsi" w:cstheme="minorHAnsi"/>
          <w:b/>
          <w:i/>
          <w:color w:val="auto"/>
        </w:rPr>
        <w:t xml:space="preserve"> în cadrul Serviciului de cooperare judiciară internaţională în materie civilă şi comercială </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bCs/>
          <w:color w:val="auto"/>
        </w:rPr>
        <w:t>616</w:t>
      </w:r>
      <w:r w:rsidRPr="006C5EC5">
        <w:rPr>
          <w:rFonts w:asciiTheme="minorHAnsi" w:hAnsiTheme="minorHAnsi" w:cstheme="minorHAnsi"/>
          <w:b/>
          <w:bCs/>
          <w:color w:val="auto"/>
        </w:rPr>
        <w:t xml:space="preserve"> </w:t>
      </w:r>
      <w:r w:rsidRPr="006C5EC5">
        <w:rPr>
          <w:rFonts w:asciiTheme="minorHAnsi" w:hAnsiTheme="minorHAnsi" w:cstheme="minorHAnsi"/>
          <w:color w:val="auto"/>
        </w:rPr>
        <w:t>cereri de asistenţă judiciară având ca obiect comunicări de acte, formulate de instanţele judec</w:t>
      </w:r>
      <w:r w:rsidR="00E84C0D">
        <w:rPr>
          <w:rFonts w:asciiTheme="minorHAnsi" w:hAnsiTheme="minorHAnsi" w:cstheme="minorHAnsi"/>
          <w:color w:val="auto"/>
        </w:rPr>
        <w:t>ătoreşti române, transmise în staele membre</w:t>
      </w:r>
      <w:r w:rsidRPr="006C5EC5">
        <w:rPr>
          <w:rFonts w:asciiTheme="minorHAnsi" w:hAnsiTheme="minorHAnsi" w:cstheme="minorHAnsi"/>
          <w:color w:val="auto"/>
        </w:rPr>
        <w:t xml:space="preserve"> ale UE, în baza Regulamentului nr.1393/2007 privind comunicarea actelor judiciare şi extrajudiciare în materie civilă, majoritatea cu Germania, Italia, Spania, Marea Britanie, Olanda, Cipru, Irlanda, Polonia, Austria, Ungaria, Grecia;</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bCs/>
          <w:color w:val="auto"/>
        </w:rPr>
        <w:t>260</w:t>
      </w:r>
      <w:r w:rsidRPr="006C5EC5">
        <w:rPr>
          <w:rFonts w:asciiTheme="minorHAnsi" w:hAnsiTheme="minorHAnsi" w:cstheme="minorHAnsi"/>
          <w:b/>
          <w:bCs/>
          <w:color w:val="auto"/>
        </w:rPr>
        <w:t xml:space="preserve"> </w:t>
      </w:r>
      <w:r w:rsidRPr="006C5EC5">
        <w:rPr>
          <w:rFonts w:asciiTheme="minorHAnsi" w:hAnsiTheme="minorHAnsi" w:cstheme="minorHAnsi"/>
          <w:color w:val="auto"/>
        </w:rPr>
        <w:t>cereri de asistenţă judiciară având ca obiect comunicări de acte către persoane fizice/juridice cu domiciliul/sediul în România, formulate de instanţele judecătoreşti din Statele Membre ale Uniunii Europene, în baza Regulamentului nr.1393/2007 privind comunicarea actelor judiciare şi extrajudiciare în materie civilă, majoritatea cu Franța, Germania, Italia, Spania, Marea Britanie, Olanda, Cipru, Belgia, Croația, Cehia, Slovacia, Austria, Ungaria</w:t>
      </w:r>
      <w:r w:rsidRPr="006C5EC5">
        <w:rPr>
          <w:rFonts w:asciiTheme="minorHAnsi" w:hAnsiTheme="minorHAnsi" w:cstheme="minorHAnsi"/>
          <w:b/>
          <w:color w:val="auto"/>
        </w:rPr>
        <w:t>,</w:t>
      </w:r>
      <w:r w:rsidRPr="006C5EC5">
        <w:rPr>
          <w:rFonts w:asciiTheme="minorHAnsi" w:hAnsiTheme="minorHAnsi" w:cstheme="minorHAnsi"/>
          <w:color w:val="auto"/>
        </w:rPr>
        <w:t xml:space="preserve"> Grecia;</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color w:val="auto"/>
        </w:rPr>
        <w:t>45 cereri de deblocare formulate de instanțele române sau străine în aplicarea Regulamentului nr.1393/2007, majoritatea cu Italia, Spania, Germania, Marea Britanie, Portugalia, Ungaria, Austria, Franța, Irlanda, Grecia, Cipru, Belgia Luxemburg, Bulgaria, Austria, Finlanda;</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bCs/>
          <w:color w:val="auto"/>
        </w:rPr>
        <w:t>587</w:t>
      </w:r>
      <w:r w:rsidRPr="006C5EC5">
        <w:rPr>
          <w:rFonts w:asciiTheme="minorHAnsi" w:hAnsiTheme="minorHAnsi" w:cstheme="minorHAnsi"/>
          <w:b/>
          <w:bCs/>
          <w:color w:val="auto"/>
        </w:rPr>
        <w:t xml:space="preserve"> </w:t>
      </w:r>
      <w:r w:rsidRPr="006C5EC5">
        <w:rPr>
          <w:rFonts w:asciiTheme="minorHAnsi" w:hAnsiTheme="minorHAnsi" w:cstheme="minorHAnsi"/>
          <w:color w:val="auto"/>
        </w:rPr>
        <w:t>cereri de comisie rogatorie formulate de instanțele române, transmise în SM ale UE, în baza Regulamentului nr. 1206/2001 privind cooperarea între instanțele statelor membre în domeniul obţinerii de probe în materie civilă sau comercială majoritatea cu Germania, Italia, Spania, Marea Britanie, Franța;</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bCs/>
          <w:color w:val="auto"/>
        </w:rPr>
        <w:t>29</w:t>
      </w:r>
      <w:r w:rsidRPr="006C5EC5">
        <w:rPr>
          <w:rFonts w:asciiTheme="minorHAnsi" w:hAnsiTheme="minorHAnsi" w:cstheme="minorHAnsi"/>
          <w:b/>
          <w:bCs/>
          <w:color w:val="auto"/>
        </w:rPr>
        <w:t xml:space="preserve"> </w:t>
      </w:r>
      <w:r w:rsidRPr="006C5EC5">
        <w:rPr>
          <w:rFonts w:asciiTheme="minorHAnsi" w:hAnsiTheme="minorHAnsi" w:cstheme="minorHAnsi"/>
          <w:color w:val="auto"/>
        </w:rPr>
        <w:t>cereri de comisie rogatorie formulate de instanţele SM ale UE în baza Regulamentului nr. 1206/2001 privind cooperarea între instanţele statelor membre în domeniul obţinerii de probe în materie civilă sau comercială majoritatea cu Germania, Italia, Spania, Austria;</w:t>
      </w:r>
    </w:p>
    <w:p w:rsidR="00F94664" w:rsidRPr="006C5EC5" w:rsidRDefault="00F94664" w:rsidP="006C5EC5">
      <w:pPr>
        <w:pStyle w:val="Default"/>
        <w:numPr>
          <w:ilvl w:val="0"/>
          <w:numId w:val="21"/>
        </w:numPr>
        <w:spacing w:line="276" w:lineRule="auto"/>
        <w:ind w:right="79"/>
        <w:jc w:val="both"/>
        <w:rPr>
          <w:rFonts w:asciiTheme="minorHAnsi" w:hAnsiTheme="minorHAnsi" w:cstheme="minorHAnsi"/>
          <w:color w:val="auto"/>
        </w:rPr>
      </w:pPr>
      <w:r w:rsidRPr="006C5EC5">
        <w:rPr>
          <w:rFonts w:asciiTheme="minorHAnsi" w:hAnsiTheme="minorHAnsi" w:cstheme="minorHAnsi"/>
          <w:color w:val="auto"/>
        </w:rPr>
        <w:t>3 cereri de obținere de probe direct formulate de instanțele străine, transmise MJ RO, în baza Regulamentului nr. 1206/2001 privind cooperarea între instanțele statelor membre în domeniul obţinerii de probe în materie civilă sau comercială ;</w:t>
      </w:r>
    </w:p>
    <w:p w:rsidR="00F94664" w:rsidRPr="006C5EC5" w:rsidRDefault="00F94664" w:rsidP="006C5EC5">
      <w:pPr>
        <w:pStyle w:val="Default"/>
        <w:numPr>
          <w:ilvl w:val="0"/>
          <w:numId w:val="21"/>
        </w:numPr>
        <w:spacing w:after="120" w:line="276" w:lineRule="auto"/>
        <w:ind w:right="79"/>
        <w:jc w:val="both"/>
        <w:rPr>
          <w:rFonts w:asciiTheme="minorHAnsi" w:hAnsiTheme="minorHAnsi" w:cstheme="minorHAnsi"/>
          <w:color w:val="auto"/>
        </w:rPr>
      </w:pPr>
      <w:r w:rsidRPr="006C5EC5">
        <w:rPr>
          <w:rFonts w:asciiTheme="minorHAnsi" w:hAnsiTheme="minorHAnsi" w:cstheme="minorHAnsi"/>
          <w:color w:val="auto"/>
        </w:rPr>
        <w:t>200</w:t>
      </w:r>
      <w:r w:rsidRPr="006C5EC5">
        <w:rPr>
          <w:rFonts w:asciiTheme="minorHAnsi" w:hAnsiTheme="minorHAnsi" w:cstheme="minorHAnsi"/>
          <w:b/>
          <w:color w:val="auto"/>
        </w:rPr>
        <w:t xml:space="preserve"> </w:t>
      </w:r>
      <w:r w:rsidRPr="006C5EC5">
        <w:rPr>
          <w:rFonts w:asciiTheme="minorHAnsi" w:hAnsiTheme="minorHAnsi" w:cstheme="minorHAnsi"/>
          <w:color w:val="auto"/>
        </w:rPr>
        <w:t>cereri de deblocare formulate de instanțele române sau străine în aplicarea Regulamentului nr. 1206/2001, majoritatea cu Italia, Spania, Germania, Cipru, Marea Britanie, Austria, Franța, Ungaria, Olanda, Portugalia, Irlanda, Belgia, Bulgaria, Slovenia, Slovacia, Grecia, Cehia.</w:t>
      </w:r>
    </w:p>
    <w:p w:rsidR="00F94664" w:rsidRPr="006C5EC5" w:rsidRDefault="00F94664" w:rsidP="006C5EC5">
      <w:pPr>
        <w:pStyle w:val="Default"/>
        <w:spacing w:after="120" w:line="276" w:lineRule="auto"/>
        <w:ind w:right="79" w:firstLine="708"/>
        <w:jc w:val="both"/>
        <w:rPr>
          <w:rFonts w:asciiTheme="minorHAnsi" w:hAnsiTheme="minorHAnsi" w:cstheme="minorHAnsi"/>
          <w:color w:val="auto"/>
        </w:rPr>
      </w:pPr>
      <w:r w:rsidRPr="006C5EC5">
        <w:rPr>
          <w:rFonts w:asciiTheme="minorHAnsi" w:hAnsiTheme="minorHAnsi" w:cstheme="minorHAnsi"/>
          <w:color w:val="auto"/>
        </w:rPr>
        <w:t>De asemenea, la Ministerul Justiției au fost înregistrate şi transmise/primite, în/din străinătate (state nemembre ale Uniunii Europene):</w:t>
      </w:r>
    </w:p>
    <w:p w:rsidR="00F94664" w:rsidRPr="006C5EC5" w:rsidRDefault="00F94664" w:rsidP="006C5EC5">
      <w:pPr>
        <w:pStyle w:val="Listparagraf"/>
        <w:numPr>
          <w:ilvl w:val="0"/>
          <w:numId w:val="22"/>
        </w:numPr>
        <w:spacing w:after="120" w:line="276" w:lineRule="auto"/>
        <w:jc w:val="both"/>
        <w:rPr>
          <w:rFonts w:asciiTheme="minorHAnsi" w:hAnsiTheme="minorHAnsi" w:cstheme="minorHAnsi"/>
          <w:lang w:val="ro-RO"/>
        </w:rPr>
      </w:pPr>
      <w:r w:rsidRPr="006C5EC5">
        <w:rPr>
          <w:rFonts w:asciiTheme="minorHAnsi" w:hAnsiTheme="minorHAnsi" w:cstheme="minorHAnsi"/>
          <w:lang w:val="ro-RO"/>
        </w:rPr>
        <w:t>1018</w:t>
      </w:r>
      <w:r w:rsidRPr="006C5EC5">
        <w:rPr>
          <w:rFonts w:asciiTheme="minorHAnsi" w:hAnsiTheme="minorHAnsi" w:cstheme="minorHAnsi"/>
          <w:b/>
          <w:lang w:val="ro-RO"/>
        </w:rPr>
        <w:t xml:space="preserve"> </w:t>
      </w:r>
      <w:r w:rsidRPr="006C5EC5">
        <w:rPr>
          <w:rFonts w:asciiTheme="minorHAnsi" w:hAnsiTheme="minorHAnsi" w:cstheme="minorHAnsi"/>
          <w:lang w:val="ro-RO"/>
        </w:rPr>
        <w:t>cereri de asistenţă judiciară având ca obiect comunicări de acte, formulate în baza Convenției privind notificarea şi comunicarea de acte judiciare şi extrajudiciare, Haga, 1965, precum şi a tratatelor/convențiilor bilaterale/curtoaziei internaţionale, majoritatea cu SUA, Canada, Egipt, Turcia, Elveția, Rep. Moldova, Maroc, Serbia, Japonia, Albania, Irak, Pakistan, Liberia, Vietnam, Quatar, Liban, Panama, Israel, Australia, Iran, India, Africa de Sud, Thailanda, Ucraina, Islanda, Emiratele Arabe Unite, Brazilia, R.P.Chineză;</w:t>
      </w:r>
    </w:p>
    <w:p w:rsidR="00F94664" w:rsidRPr="006C5EC5" w:rsidRDefault="00F94664" w:rsidP="006C5EC5">
      <w:pPr>
        <w:pStyle w:val="Listparagraf"/>
        <w:numPr>
          <w:ilvl w:val="0"/>
          <w:numId w:val="22"/>
        </w:numPr>
        <w:spacing w:after="120" w:line="276" w:lineRule="auto"/>
        <w:jc w:val="both"/>
        <w:rPr>
          <w:rFonts w:asciiTheme="minorHAnsi" w:hAnsiTheme="minorHAnsi" w:cstheme="minorHAnsi"/>
          <w:lang w:val="ro-RO"/>
        </w:rPr>
      </w:pPr>
      <w:r w:rsidRPr="006C5EC5">
        <w:rPr>
          <w:rFonts w:asciiTheme="minorHAnsi" w:hAnsiTheme="minorHAnsi" w:cstheme="minorHAnsi"/>
          <w:lang w:val="ro-RO"/>
        </w:rPr>
        <w:t>118</w:t>
      </w:r>
      <w:r w:rsidRPr="006C5EC5">
        <w:rPr>
          <w:rFonts w:asciiTheme="minorHAnsi" w:hAnsiTheme="minorHAnsi" w:cstheme="minorHAnsi"/>
          <w:b/>
          <w:lang w:val="ro-RO"/>
        </w:rPr>
        <w:t xml:space="preserve"> </w:t>
      </w:r>
      <w:r w:rsidRPr="006C5EC5">
        <w:rPr>
          <w:rFonts w:asciiTheme="minorHAnsi" w:hAnsiTheme="minorHAnsi" w:cstheme="minorHAnsi"/>
          <w:lang w:val="ro-RO"/>
        </w:rPr>
        <w:t>cereri de asistenţă judiciară internaţională având ca obiect obţinerea de probe, formulate de instanţele judecătoreşti, în baza Convenţiei privind obţinerea de probe în străinătate, Haga, 1970, precum şi a tratatelor/convenţiilor bilaterale/ curtoaziei internaţionale, majoritatea cu SUA, Turcia, Rep. Moldova, Norvegia, Danemarca, Israel, Japonia, Emiratele Arabe Unite, Islanda, Rusia, Mexic, Elveția.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i/>
          <w:lang w:val="ro-RO"/>
        </w:rPr>
        <w:t>În domeniul aspectelor civile ale răpirii internaționale de copii și exercitării/organizării unui drept de vizită transfrontier</w:t>
      </w:r>
      <w:r w:rsidRPr="006C5EC5">
        <w:rPr>
          <w:rFonts w:asciiTheme="minorHAnsi" w:hAnsiTheme="minorHAnsi" w:cstheme="minorHAnsi"/>
          <w:lang w:val="ro-RO"/>
        </w:rPr>
        <w:t xml:space="preserve">, în cursul anului 2017, au fost înregistrate 112 cereri noi în aplicarea  Regulamentului (CE) nr. 2201/2003 al Consiliului din 27.11.2003 privind competența, recunoașterea și executarea hotărârilor judecătorești în materie matrimonială și în materia răspunderii părintești și Convenției de la Haga din 25 octombrie 1980 asupra aspectelor civile ale răpirii internaționale de copii, majoritatea în relația cu Germania, Italia, Spania, Marea Britanie, Franța, Republica Moldova, Elveția, Canada, SUA, Grecia, Irlanda.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i/>
          <w:lang w:val="ro-RO"/>
        </w:rPr>
        <w:t>În domeniul obligaţiilor de întreţinere</w:t>
      </w:r>
      <w:r w:rsidRPr="006C5EC5">
        <w:rPr>
          <w:rFonts w:asciiTheme="minorHAnsi" w:hAnsiTheme="minorHAnsi" w:cstheme="minorHAnsi"/>
          <w:b/>
          <w:lang w:val="ro-RO"/>
        </w:rPr>
        <w:t xml:space="preserve">, </w:t>
      </w:r>
      <w:r w:rsidRPr="006C5EC5">
        <w:rPr>
          <w:rFonts w:asciiTheme="minorHAnsi" w:hAnsiTheme="minorHAnsi" w:cstheme="minorHAnsi"/>
          <w:lang w:val="ro-RO"/>
        </w:rPr>
        <w:t xml:space="preserve">aferent anului 2017, se aflau în curs de soluționare aproximativ 150 de dosare în/din străinătate, având în vedere caracterul succesiv al executării silite, în aplicarea Regulamentului (CE) nr. 4/2009 privind competenţa, legea aplicabilă, recunoaşterea şi executarea hotărârilor şi cooperarea în materie de obligaţii de întreţinere, la care se adaugă 71 de dosare noi, în relaţia cu următoarele </w:t>
      </w:r>
      <w:r w:rsidR="008B3522">
        <w:rPr>
          <w:rFonts w:asciiTheme="minorHAnsi" w:hAnsiTheme="minorHAnsi" w:cstheme="minorHAnsi"/>
          <w:lang w:val="ro-RO"/>
        </w:rPr>
        <w:t>state membre</w:t>
      </w:r>
      <w:r w:rsidRPr="006C5EC5">
        <w:rPr>
          <w:rFonts w:asciiTheme="minorHAnsi" w:hAnsiTheme="minorHAnsi" w:cstheme="minorHAnsi"/>
          <w:lang w:val="ro-RO"/>
        </w:rPr>
        <w:t xml:space="preserve"> ale UE: Belgia, Cehia, Germania, Danemarca, Finlanda, Franţa, Ungaria, Italia, Olanda, Austria, Polonia, Portugalia, Suedia, Slovacia, Spania, Marea Britanie, Grecia, Irlanda. În plus, au fost soluţionate aproximativ 142 de cereri de localizare a adresei debitorilor, la solicitarea instanţelor române/străine. </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În domeniul obligaţiilor de întreţinere, aferent anului 2017, se aflau în curs de soluţionare aproximativ 100 de dosare în/din străinătate, în aplicarea convențiilor bilaterale sau Convenţiei de la New York din 1956 privind obligaţiilor de întreţinere, la care se adaugă 7 de dosare noi, în relaţia cu state membre şi nemembre ale UE (Argentina, Brazilia, Australia, Belgia, Cehia, Germania, Danemarca, Elveţia, Franţa, Grecia, Israel, Ungaria, Irlanda, Italia, Maroc, Moldova, Noua Zeelandă, Olanda, Austria, Polonia, Suedia, Slovacia, Spania, Turcia, Ucraina).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În domeniul obligațiilor de întreținere, aferent anului 2017, se aflau în curs de soluționare 5 dosare de obținere a pensiei de întreținere din Norvegia, în aplicarea Convenției de la Haga din 2007 privind obținerea pensiei de întreținere din străinătate pentru copii și alți membri ai familiei, aprobată de Uniunea Europeană prin Decizia Consiliului nr.2011/432/UE din 9 iunie 2011, la care se adaugă 4 dosare noi cu SUA și Norvegia, precum și 6 cereri de localizare a adresei debitorilor, la solicitarea instanţelor române/străine.</w:t>
      </w:r>
    </w:p>
    <w:p w:rsidR="00F94664" w:rsidRPr="006C5EC5" w:rsidRDefault="00F94664" w:rsidP="006C5EC5">
      <w:pPr>
        <w:spacing w:after="120" w:line="276" w:lineRule="auto"/>
        <w:ind w:firstLine="360"/>
        <w:jc w:val="both"/>
        <w:rPr>
          <w:rFonts w:asciiTheme="minorHAnsi" w:hAnsiTheme="minorHAnsi" w:cstheme="minorHAnsi"/>
          <w:i/>
          <w:lang w:val="ro-RO"/>
        </w:rPr>
      </w:pPr>
      <w:r w:rsidRPr="006C5EC5">
        <w:rPr>
          <w:rFonts w:asciiTheme="minorHAnsi" w:hAnsiTheme="minorHAnsi" w:cstheme="minorHAnsi"/>
          <w:i/>
          <w:lang w:val="ro-RO"/>
        </w:rPr>
        <w:t>Alte cereri de cooperare judiciară internațională înregistrate la nivelul DDICJ</w:t>
      </w:r>
    </w:p>
    <w:p w:rsidR="00F94664" w:rsidRPr="006C5EC5" w:rsidRDefault="00F94664" w:rsidP="006C5EC5">
      <w:pPr>
        <w:pStyle w:val="Listparagraf"/>
        <w:numPr>
          <w:ilvl w:val="0"/>
          <w:numId w:val="23"/>
        </w:numPr>
        <w:spacing w:after="120" w:line="276" w:lineRule="auto"/>
        <w:jc w:val="both"/>
        <w:rPr>
          <w:rFonts w:asciiTheme="minorHAnsi" w:hAnsiTheme="minorHAnsi" w:cstheme="minorHAnsi"/>
          <w:lang w:val="ro-RO"/>
        </w:rPr>
      </w:pPr>
      <w:r w:rsidRPr="006C5EC5">
        <w:rPr>
          <w:rFonts w:asciiTheme="minorHAnsi" w:hAnsiTheme="minorHAnsi" w:cstheme="minorHAnsi"/>
          <w:lang w:val="ro-RO"/>
        </w:rPr>
        <w:t>10 lucrări/memorii privind aplicarea apostilei/supralegalizarea actelor și 52 de cereri de supralegalizare a actelor oficiale emise de autoritățile române judiciare pentru a fi folosite în statele necontractate la Convenția de la Haga din 1961 privind apostila, majoritatea în relația cu Canada, Vietnam, Arabia Saudită, Filipine, Egipt, Tunisia, Emiratele Arabe Unite etc;</w:t>
      </w:r>
    </w:p>
    <w:p w:rsidR="00F94664" w:rsidRPr="006C5EC5" w:rsidRDefault="00F94664" w:rsidP="006C5EC5">
      <w:pPr>
        <w:pStyle w:val="Listparagraf"/>
        <w:numPr>
          <w:ilvl w:val="0"/>
          <w:numId w:val="23"/>
        </w:numPr>
        <w:spacing w:after="120" w:line="276" w:lineRule="auto"/>
        <w:jc w:val="both"/>
        <w:rPr>
          <w:rFonts w:asciiTheme="minorHAnsi" w:hAnsiTheme="minorHAnsi" w:cstheme="minorHAnsi"/>
          <w:lang w:val="ro-RO"/>
        </w:rPr>
      </w:pPr>
      <w:r w:rsidRPr="006C5EC5">
        <w:rPr>
          <w:rFonts w:asciiTheme="minorHAnsi" w:hAnsiTheme="minorHAnsi" w:cstheme="minorHAnsi"/>
          <w:lang w:val="ro-RO"/>
        </w:rPr>
        <w:t>76 lucrări/cereri de obținere a conținutului dreptului străin, ajutor public judiciar, , exequatur, acte de stare civilă, aflarea domiciliului, majoritatea în relația cu state ca Republica Moldova, Ucraina, Italia, Germania, Franța, Slovacia, Spania, Belgia, Turcia;</w:t>
      </w:r>
    </w:p>
    <w:p w:rsidR="00F94664" w:rsidRPr="006C5EC5" w:rsidRDefault="00F94664" w:rsidP="006C5EC5">
      <w:pPr>
        <w:pStyle w:val="Listparagraf"/>
        <w:numPr>
          <w:ilvl w:val="0"/>
          <w:numId w:val="23"/>
        </w:numPr>
        <w:spacing w:after="120" w:line="276" w:lineRule="auto"/>
        <w:jc w:val="both"/>
        <w:rPr>
          <w:rFonts w:asciiTheme="minorHAnsi" w:hAnsiTheme="minorHAnsi" w:cstheme="minorHAnsi"/>
          <w:lang w:val="ro-RO"/>
        </w:rPr>
      </w:pPr>
      <w:r w:rsidRPr="006C5EC5">
        <w:rPr>
          <w:rFonts w:asciiTheme="minorHAnsi" w:hAnsiTheme="minorHAnsi" w:cstheme="minorHAnsi"/>
          <w:lang w:val="ro-RO"/>
        </w:rPr>
        <w:t>137 cereri de asistență privind aplicarea art. 55 și 56 din Regulamentul nr. 2201/2003 (informații situație minor, plasamente internaționale, transfer proceduri privind minori), majoritatea cu Marea Britanie și Germania.</w:t>
      </w:r>
    </w:p>
    <w:p w:rsidR="00F94664" w:rsidRPr="006C5EC5" w:rsidRDefault="00F94664" w:rsidP="006C5EC5">
      <w:pPr>
        <w:spacing w:after="120" w:line="276" w:lineRule="auto"/>
        <w:ind w:firstLine="708"/>
        <w:jc w:val="both"/>
        <w:rPr>
          <w:rFonts w:asciiTheme="minorHAnsi" w:hAnsiTheme="minorHAnsi" w:cstheme="minorHAnsi"/>
          <w:lang w:val="ro-RO"/>
        </w:rPr>
      </w:pPr>
      <w:r w:rsidRPr="006C5EC5">
        <w:rPr>
          <w:rFonts w:asciiTheme="minorHAnsi" w:hAnsiTheme="minorHAnsi" w:cstheme="minorHAnsi"/>
          <w:lang w:val="ro-RO"/>
        </w:rPr>
        <w:t>Ca o concluzie, se remarcă cre</w:t>
      </w:r>
      <w:r w:rsidR="00E84C0D">
        <w:rPr>
          <w:rFonts w:asciiTheme="minorHAnsi" w:hAnsiTheme="minorHAnsi" w:cstheme="minorHAnsi"/>
          <w:lang w:val="ro-RO"/>
        </w:rPr>
        <w:t>șterea numărului de cereri în statele membre</w:t>
      </w:r>
      <w:r w:rsidRPr="006C5EC5">
        <w:rPr>
          <w:rFonts w:asciiTheme="minorHAnsi" w:hAnsiTheme="minorHAnsi" w:cstheme="minorHAnsi"/>
          <w:lang w:val="ro-RO"/>
        </w:rPr>
        <w:t xml:space="preserve"> ale UE având ca obiect înapoierea minorilor, instituirea unor măsuri de protecție a copiilor aflați în situații de risc în străinătate și deblocări ale comisiilor rogatorii. În ceea ce privește spațiul extra comunitar, a crescut numărul de comunicări de acte în relația cu statele terțe cu care România nu are niciun cadru convențional comun.</w:t>
      </w:r>
    </w:p>
    <w:p w:rsidR="00F94664" w:rsidRPr="006C5EC5" w:rsidRDefault="00F94664" w:rsidP="006C5EC5">
      <w:pPr>
        <w:pStyle w:val="Listparagraf"/>
        <w:numPr>
          <w:ilvl w:val="0"/>
          <w:numId w:val="37"/>
        </w:numPr>
        <w:spacing w:after="120" w:line="276" w:lineRule="auto"/>
        <w:jc w:val="both"/>
        <w:rPr>
          <w:rFonts w:asciiTheme="minorHAnsi" w:hAnsiTheme="minorHAnsi" w:cstheme="minorHAnsi"/>
          <w:b/>
          <w:i/>
          <w:lang w:val="ro-RO"/>
        </w:rPr>
      </w:pPr>
      <w:r w:rsidRPr="006C5EC5">
        <w:rPr>
          <w:rFonts w:asciiTheme="minorHAnsi" w:hAnsiTheme="minorHAnsi" w:cstheme="minorHAnsi"/>
          <w:b/>
          <w:i/>
          <w:lang w:val="ro-RO"/>
        </w:rPr>
        <w:t>Reţeaua Judiciară Europeană în Materie Civilă şi Comercială – activităţi desfăşurate în cursul anului 2017.</w:t>
      </w:r>
    </w:p>
    <w:p w:rsidR="00F94664" w:rsidRPr="006C5EC5" w:rsidRDefault="00F94664" w:rsidP="006C5EC5">
      <w:pPr>
        <w:spacing w:after="120" w:line="276" w:lineRule="auto"/>
        <w:ind w:firstLine="708"/>
        <w:jc w:val="both"/>
        <w:rPr>
          <w:rFonts w:asciiTheme="minorHAnsi" w:hAnsiTheme="minorHAnsi" w:cstheme="minorHAnsi"/>
          <w:b/>
          <w:lang w:val="ro-RO" w:eastAsia="en-GB"/>
        </w:rPr>
      </w:pPr>
      <w:r w:rsidRPr="006C5EC5">
        <w:rPr>
          <w:rFonts w:asciiTheme="minorHAnsi" w:hAnsiTheme="minorHAnsi" w:cstheme="minorHAnsi"/>
          <w:i/>
          <w:lang w:val="ro-RO"/>
        </w:rPr>
        <w:t>În cursul anului 2017, Reţeaua Judiciară Europeană în materie civilă şi comercială a organizat 6 reuniuni</w:t>
      </w:r>
      <w:r w:rsidRPr="006C5EC5">
        <w:rPr>
          <w:rFonts w:asciiTheme="minorHAnsi" w:hAnsiTheme="minorHAnsi" w:cstheme="minorHAnsi"/>
          <w:b/>
          <w:lang w:val="ro-RO"/>
        </w:rPr>
        <w:t xml:space="preserve"> </w:t>
      </w:r>
      <w:r w:rsidRPr="006C5EC5">
        <w:rPr>
          <w:rFonts w:asciiTheme="minorHAnsi" w:hAnsiTheme="minorHAnsi" w:cstheme="minorHAnsi"/>
          <w:lang w:val="ro-RO"/>
        </w:rPr>
        <w:t xml:space="preserve">(4 întâlniri la Bruxelles-Belgia, 1 în Malta și 1 în Estonia-Tallinn dedicate reuniunii plenare; obligațiilor de întreținere; Regulamentului Bruxelles IIbis și aspectelor civile ale răpirii internaționale de copii; comunicării actelor și obținerii probelor; </w:t>
      </w:r>
      <w:r w:rsidRPr="006C5EC5">
        <w:rPr>
          <w:rStyle w:val="Robust"/>
          <w:rFonts w:asciiTheme="minorHAnsi" w:hAnsiTheme="minorHAnsi" w:cstheme="minorHAnsi"/>
          <w:lang w:val="ro-RO"/>
        </w:rPr>
        <w:t xml:space="preserve">obținerii conținutului dreptului străin; procedurilor europene </w:t>
      </w:r>
      <w:r w:rsidRPr="006C5EC5">
        <w:rPr>
          <w:rFonts w:asciiTheme="minorHAnsi" w:hAnsiTheme="minorHAnsi" w:cstheme="minorHAnsi"/>
          <w:bCs/>
          <w:lang w:val="ro-RO"/>
        </w:rPr>
        <w:t>de instituire a unei proceduri europene de somație de plată și pentru ordonanța asigurătorie europeană de indisponibilizare a conturilor bancare în vederea facilitării recuperării transfrontaliere a datoriilor în materie civilă și comercială; dreptului concurenței, dreptului consumatorilor și insolvenței; colectării datelor statistice privind aplicarea instrumentelor UE. Totodată, au fost prezentate materiale cu privire la exemplu Finlandei privind modalitatea de înființare, la nivel național, a unei Rețele; Ziua Justiției sărbătorită în Franța; rapoartele naționale de activitate ale punctelor de contact; ghidul privind obligațiile de întreținere; stadiul publicării fișelor de țară (conținutul dreptului fiecărui SM al UE) pe site-ul E-Justice; stadiul migrării Atlasului Judiciar European în materie civilă și comercială  pe site-ul E-Justice.</w:t>
      </w:r>
    </w:p>
    <w:p w:rsidR="00F94664" w:rsidRPr="006C5EC5" w:rsidRDefault="00F94664" w:rsidP="006C5EC5">
      <w:pPr>
        <w:spacing w:after="120" w:line="276" w:lineRule="auto"/>
        <w:ind w:firstLine="708"/>
        <w:jc w:val="both"/>
        <w:rPr>
          <w:rFonts w:asciiTheme="minorHAnsi" w:hAnsiTheme="minorHAnsi" w:cstheme="minorHAnsi"/>
          <w:bCs/>
          <w:lang w:val="ro-RO"/>
        </w:rPr>
      </w:pPr>
      <w:r w:rsidRPr="006C5EC5">
        <w:rPr>
          <w:rFonts w:asciiTheme="minorHAnsi" w:hAnsiTheme="minorHAnsi" w:cstheme="minorHAnsi"/>
          <w:lang w:val="ro-RO"/>
        </w:rPr>
        <w:t xml:space="preserve">România a fost reprezentată la toate aceste reuniuni, în funcţie de temele discutate, de către reprezentanţi ai autorităţii centrale desemnate în baza </w:t>
      </w:r>
      <w:r w:rsidRPr="006C5EC5">
        <w:rPr>
          <w:rFonts w:asciiTheme="minorHAnsi" w:hAnsiTheme="minorHAnsi" w:cstheme="minorHAnsi"/>
          <w:bCs/>
          <w:lang w:val="ro-RO"/>
        </w:rPr>
        <w:t xml:space="preserve">Regulamentului Bruxelles II bis </w:t>
      </w:r>
      <w:r w:rsidRPr="006C5EC5">
        <w:rPr>
          <w:rFonts w:asciiTheme="minorHAnsi" w:hAnsiTheme="minorHAnsi" w:cstheme="minorHAnsi"/>
          <w:lang w:val="ro-RO"/>
        </w:rPr>
        <w:t>și aspectelor civile ale răpirii internaționale de copii</w:t>
      </w:r>
      <w:r w:rsidRPr="006C5EC5">
        <w:rPr>
          <w:rFonts w:asciiTheme="minorHAnsi" w:hAnsiTheme="minorHAnsi" w:cstheme="minorHAnsi"/>
          <w:bCs/>
          <w:lang w:val="ro-RO"/>
        </w:rPr>
        <w:t>, precum şi de către judecători, membri ai Reţelei Judiciare Române în materie civilă şi comercială din cadrul Curții de Apel Brașov (1), București (2), Cluj (2), Galați (1) Iași (2), Ploiești (1), Suceava (2), Timișoara (1), Tg. Mureș (2).</w:t>
      </w:r>
    </w:p>
    <w:p w:rsidR="00F94664" w:rsidRPr="006C5EC5" w:rsidRDefault="00F94664" w:rsidP="006C5EC5">
      <w:pPr>
        <w:spacing w:after="120" w:line="276" w:lineRule="auto"/>
        <w:ind w:firstLine="360"/>
        <w:jc w:val="both"/>
        <w:rPr>
          <w:rFonts w:asciiTheme="minorHAnsi" w:hAnsiTheme="minorHAnsi" w:cstheme="minorHAnsi"/>
          <w:b/>
          <w:lang w:val="ro-RO" w:eastAsia="en-GB"/>
        </w:rPr>
      </w:pPr>
      <w:r w:rsidRPr="006C5EC5">
        <w:rPr>
          <w:rFonts w:asciiTheme="minorHAnsi" w:hAnsiTheme="minorHAnsi" w:cstheme="minorHAnsi"/>
          <w:bCs/>
          <w:lang w:val="ro-RO"/>
        </w:rPr>
        <w:t>Reprezentanții ministerului justiției, punctele naționale de contact și judecătorii</w:t>
      </w:r>
      <w:r w:rsidRPr="006C5EC5">
        <w:rPr>
          <w:rFonts w:asciiTheme="minorHAnsi" w:hAnsiTheme="minorHAnsi" w:cstheme="minorHAnsi"/>
          <w:lang w:val="ro-RO"/>
        </w:rPr>
        <w:t xml:space="preserve"> </w:t>
      </w:r>
      <w:r w:rsidRPr="006C5EC5">
        <w:rPr>
          <w:rFonts w:asciiTheme="minorHAnsi" w:hAnsiTheme="minorHAnsi" w:cstheme="minorHAnsi"/>
          <w:bCs/>
          <w:lang w:val="ro-RO"/>
        </w:rPr>
        <w:t>membri ai Reţelei Judiciare Globale pentru Convenţia de la Haga din 1980 asupra aspectelor civile ale răpirii internaţionale de copii, numiți prin OMJ nr. 1075/C/27.04.2007 au participat la reuniuni dedicate următoarelor domenii:</w:t>
      </w:r>
    </w:p>
    <w:p w:rsidR="00F94664" w:rsidRPr="006C5EC5" w:rsidRDefault="00F94664" w:rsidP="006C5EC5">
      <w:pPr>
        <w:pStyle w:val="Listparagraf"/>
        <w:numPr>
          <w:ilvl w:val="0"/>
          <w:numId w:val="24"/>
        </w:numPr>
        <w:tabs>
          <w:tab w:val="left" w:pos="0"/>
          <w:tab w:val="left" w:pos="9639"/>
        </w:tabs>
        <w:spacing w:after="120" w:line="276" w:lineRule="auto"/>
        <w:ind w:right="79"/>
        <w:jc w:val="both"/>
        <w:rPr>
          <w:rFonts w:asciiTheme="minorHAnsi" w:hAnsiTheme="minorHAnsi" w:cstheme="minorHAnsi"/>
          <w:bCs/>
          <w:lang w:val="ro-RO"/>
        </w:rPr>
      </w:pPr>
      <w:r w:rsidRPr="006C5EC5">
        <w:rPr>
          <w:rFonts w:asciiTheme="minorHAnsi" w:hAnsiTheme="minorHAnsi" w:cstheme="minorHAnsi"/>
          <w:b/>
          <w:bCs/>
          <w:lang w:val="ro-RO"/>
        </w:rPr>
        <w:t>cooperarea judiciară internațională, tratate și relații internaționale (</w:t>
      </w:r>
      <w:r w:rsidRPr="006C5EC5">
        <w:rPr>
          <w:rFonts w:asciiTheme="minorHAnsi" w:hAnsiTheme="minorHAnsi" w:cstheme="minorHAnsi"/>
          <w:bCs/>
          <w:lang w:val="ro-RO"/>
        </w:rPr>
        <w:t>Reuniunea Grupului de lucru tehnic româno-moldav, Chișinău, 25-26.09.2017);</w:t>
      </w:r>
    </w:p>
    <w:p w:rsidR="00F94664" w:rsidRPr="006C5EC5" w:rsidRDefault="00F94664" w:rsidP="006C5EC5">
      <w:pPr>
        <w:pStyle w:val="Listparagraf"/>
        <w:numPr>
          <w:ilvl w:val="0"/>
          <w:numId w:val="24"/>
        </w:numPr>
        <w:tabs>
          <w:tab w:val="left" w:pos="0"/>
          <w:tab w:val="left" w:pos="9639"/>
        </w:tabs>
        <w:spacing w:after="120" w:line="276" w:lineRule="auto"/>
        <w:ind w:right="79"/>
        <w:jc w:val="both"/>
        <w:rPr>
          <w:rFonts w:asciiTheme="minorHAnsi" w:hAnsiTheme="minorHAnsi" w:cstheme="minorHAnsi"/>
          <w:bCs/>
          <w:lang w:val="ro-RO"/>
        </w:rPr>
      </w:pPr>
      <w:r w:rsidRPr="006C5EC5">
        <w:rPr>
          <w:rFonts w:asciiTheme="minorHAnsi" w:hAnsiTheme="minorHAnsi" w:cstheme="minorHAnsi"/>
          <w:b/>
          <w:bCs/>
          <w:lang w:val="ro-RO"/>
        </w:rPr>
        <w:t>aplicarea Regulamentului Bruxelles II bis și Convențiilor de la Haga în domeniul dreptului familiei</w:t>
      </w:r>
      <w:r w:rsidRPr="006C5EC5">
        <w:rPr>
          <w:rFonts w:asciiTheme="minorHAnsi" w:hAnsiTheme="minorHAnsi" w:cstheme="minorHAnsi"/>
          <w:bCs/>
          <w:lang w:val="ro-RO"/>
        </w:rPr>
        <w:t xml:space="preserve"> (Reuniunea Rețelei Judiciare Franceze în materie civilă și comercială, dedicată dreptului familiei ”Cuplurile și paternitatea în spațul judiciar european: de la Regulamentul Bruxelles II bis la practica judiciară”, Școala Națională a Magistraturii, Paris, 6-7.09.2017 și Cea de-a  șaptea Comisie Specială de la Haga, 10-17.10.2017 privind funcționarea practică a Convențiilor de la Haga din 1980 asupra aspectelor civile ale răpirii internaționale de copii și din 1996 privind competenţa, legea aplicabilă, recunoaşterea, executarea şi cooperarea cu privire la răspunderea părintească şi măsurile privind protecţia copiilor);</w:t>
      </w:r>
    </w:p>
    <w:p w:rsidR="00F94664" w:rsidRPr="006C5EC5" w:rsidRDefault="00F94664" w:rsidP="006C5EC5">
      <w:pPr>
        <w:pStyle w:val="Listparagraf"/>
        <w:numPr>
          <w:ilvl w:val="0"/>
          <w:numId w:val="24"/>
        </w:numPr>
        <w:tabs>
          <w:tab w:val="left" w:pos="0"/>
          <w:tab w:val="left" w:pos="9639"/>
        </w:tabs>
        <w:spacing w:after="120" w:line="276" w:lineRule="auto"/>
        <w:ind w:right="79"/>
        <w:jc w:val="both"/>
        <w:rPr>
          <w:rFonts w:asciiTheme="minorHAnsi" w:hAnsiTheme="minorHAnsi" w:cstheme="minorHAnsi"/>
          <w:bCs/>
          <w:lang w:val="ro-RO"/>
        </w:rPr>
      </w:pPr>
      <w:r w:rsidRPr="006C5EC5">
        <w:rPr>
          <w:rFonts w:asciiTheme="minorHAnsi" w:hAnsiTheme="minorHAnsi" w:cstheme="minorHAnsi"/>
          <w:b/>
          <w:bCs/>
          <w:lang w:val="ro-RO"/>
        </w:rPr>
        <w:t>recunoașterea și executarea hotărârilor judecătorești străine pronunțate în statele terțe în materie civilă și comercială</w:t>
      </w:r>
      <w:r w:rsidRPr="006C5EC5">
        <w:rPr>
          <w:rFonts w:asciiTheme="minorHAnsi" w:hAnsiTheme="minorHAnsi" w:cstheme="minorHAnsi"/>
          <w:bCs/>
          <w:lang w:val="ro-RO"/>
        </w:rPr>
        <w:t xml:space="preserve"> (Reuniunea Experților organizată de Ministerul Justiției din Elveția în temeiul art. 5 din Protocolul nr. 2 la Convenția de la Lugano din 30.10.2007 privind competența, recunoașterea și executarea hotărârilor în materie civilă şi comercială, Basel, 16-17.10.2017, și Comisia Specială privind negocierea unui proiect de convenție internațională dedicată recunoașterii și executării hotărârilor judecătorești străine în materie civilă, organizată de Conferința de la Haga de Drept Internaţional Privat, Haga, 13-17.11.2017).</w:t>
      </w:r>
    </w:p>
    <w:p w:rsidR="00F94664" w:rsidRPr="006C5EC5" w:rsidRDefault="006C5EC5" w:rsidP="006C5EC5">
      <w:pPr>
        <w:tabs>
          <w:tab w:val="left" w:pos="0"/>
          <w:tab w:val="left" w:pos="810"/>
        </w:tabs>
        <w:spacing w:after="120" w:line="276" w:lineRule="auto"/>
        <w:ind w:right="21"/>
        <w:jc w:val="both"/>
        <w:rPr>
          <w:rFonts w:asciiTheme="minorHAnsi" w:hAnsiTheme="minorHAnsi" w:cstheme="minorHAnsi"/>
          <w:b/>
          <w:bCs/>
          <w:i/>
          <w:lang w:val="ro-RO"/>
        </w:rPr>
      </w:pPr>
      <w:r>
        <w:rPr>
          <w:rFonts w:asciiTheme="minorHAnsi" w:hAnsiTheme="minorHAnsi" w:cstheme="minorHAnsi"/>
          <w:b/>
          <w:i/>
          <w:lang w:val="ro-RO"/>
        </w:rPr>
        <w:tab/>
      </w:r>
      <w:r w:rsidR="00F94664" w:rsidRPr="006C5EC5">
        <w:rPr>
          <w:rFonts w:asciiTheme="minorHAnsi" w:hAnsiTheme="minorHAnsi" w:cstheme="minorHAnsi"/>
          <w:b/>
          <w:i/>
          <w:lang w:val="ro-RO"/>
        </w:rPr>
        <w:t>C).Reţeaua Judiciară Română în Materie Civilă şi Comercială – activităţi desfăşurate în cursul anului 2017.</w:t>
      </w:r>
    </w:p>
    <w:p w:rsidR="00F94664" w:rsidRPr="006C5EC5" w:rsidRDefault="008070DE" w:rsidP="006C5EC5">
      <w:pPr>
        <w:tabs>
          <w:tab w:val="left" w:pos="0"/>
        </w:tabs>
        <w:spacing w:after="120" w:line="276" w:lineRule="auto"/>
        <w:ind w:right="79"/>
        <w:jc w:val="both"/>
        <w:rPr>
          <w:rFonts w:asciiTheme="minorHAnsi" w:hAnsiTheme="minorHAnsi" w:cstheme="minorHAnsi"/>
          <w:b/>
          <w:bCs/>
          <w:lang w:val="ro-RO"/>
        </w:rPr>
      </w:pPr>
      <w:r>
        <w:rPr>
          <w:rFonts w:asciiTheme="minorHAnsi" w:hAnsiTheme="minorHAnsi" w:cstheme="minorHAnsi"/>
          <w:lang w:val="ro-RO"/>
        </w:rPr>
        <w:tab/>
      </w:r>
      <w:r w:rsidR="00F94664" w:rsidRPr="006C5EC5">
        <w:rPr>
          <w:rFonts w:asciiTheme="minorHAnsi" w:hAnsiTheme="minorHAnsi" w:cstheme="minorHAnsi"/>
          <w:lang w:val="ro-RO"/>
        </w:rPr>
        <w:t xml:space="preserve">Corespondenta la nivel național a Rețelei Judiciare Europene în materie civilă şi comercială este Rețeaua Judiciară Română în materie civilă şi comercială, a cărei componență a fost actualizată în 2016 prin </w:t>
      </w:r>
      <w:r w:rsidR="00F94664" w:rsidRPr="006C5EC5">
        <w:rPr>
          <w:rFonts w:asciiTheme="minorHAnsi" w:hAnsiTheme="minorHAnsi" w:cstheme="minorHAnsi"/>
          <w:b/>
          <w:lang w:val="ro-RO"/>
        </w:rPr>
        <w:t xml:space="preserve">Ordinul ministrului justiţiei </w:t>
      </w:r>
      <w:r w:rsidR="00F94664" w:rsidRPr="006C5EC5">
        <w:rPr>
          <w:rFonts w:asciiTheme="minorHAnsi" w:hAnsiTheme="minorHAnsi" w:cstheme="minorHAnsi"/>
          <w:b/>
          <w:bCs/>
          <w:lang w:val="ro-RO"/>
        </w:rPr>
        <w:t>nr. 4314/05.12.2016.</w:t>
      </w:r>
    </w:p>
    <w:p w:rsidR="00F94664" w:rsidRPr="006C5EC5" w:rsidRDefault="008070DE" w:rsidP="006C5EC5">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bCs/>
          <w:lang w:val="ro-RO"/>
        </w:rPr>
        <w:tab/>
      </w:r>
      <w:r w:rsidR="00F94664" w:rsidRPr="006C5EC5">
        <w:rPr>
          <w:rFonts w:asciiTheme="minorHAnsi" w:hAnsiTheme="minorHAnsi" w:cstheme="minorHAnsi"/>
          <w:bCs/>
          <w:lang w:val="ro-RO"/>
        </w:rPr>
        <w:t xml:space="preserve">Reţeaua judiciară română în materie civilă şi comercială este formată din </w:t>
      </w:r>
      <w:r w:rsidR="00F94664" w:rsidRPr="006C5EC5">
        <w:rPr>
          <w:rFonts w:asciiTheme="minorHAnsi" w:hAnsiTheme="minorHAnsi" w:cstheme="minorHAnsi"/>
          <w:lang w:val="ro-RO"/>
        </w:rPr>
        <w:t>judecători de la secţiile civile ale Înaltei Curţi de Casaţie şi Justiţie, curţilor de apel, precum şi de la instanţele/secţiile specializate pentru minori şi familie; cele două puncte naţionale de contact din cadrul Ministerului Justiţiei; două persoane reprezentând Ministerul Justiţiei, autoritatea centrală română cu atribuţii în domeniul cooperării; trei</w:t>
      </w:r>
      <w:r w:rsidR="00F94664" w:rsidRPr="006C5EC5">
        <w:rPr>
          <w:rFonts w:asciiTheme="minorHAnsi" w:hAnsiTheme="minorHAnsi" w:cstheme="minorHAnsi"/>
          <w:bCs/>
          <w:lang w:val="ro-RO"/>
        </w:rPr>
        <w:t xml:space="preserve"> membri ai asociaţiilor profesionale ai avocaţilor, notarilor şi executorilor judecătoreşti; doi </w:t>
      </w:r>
      <w:r w:rsidR="00F94664" w:rsidRPr="006C5EC5">
        <w:rPr>
          <w:rFonts w:asciiTheme="minorHAnsi" w:hAnsiTheme="minorHAnsi" w:cstheme="minorHAnsi"/>
          <w:lang w:val="ro-RO"/>
        </w:rPr>
        <w:t>judecători de la Tribunalul București de legătură din Reţeaua Globală pentru Convenţia de la Haga din 1980 cu privire la aspectele civile ale răpirii internaţionale de copii; un judecător desemnat în cadrul autorităţii române de decizie pentru soluţionarea cererilor de obţinere a compensaţiilor financiare din România în străinătate pentru victimele infracţiunilor violente. Membri Reţelei Judiciare Române în materie civilă şi comercială reprezintă, la rândul lor, puncte locale de contact care diseminează informaţiile de drept al UE şi drept internaţional privat.</w:t>
      </w:r>
    </w:p>
    <w:p w:rsidR="00F94664" w:rsidRPr="006C5EC5" w:rsidRDefault="008070DE" w:rsidP="006C5EC5">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Reuniunea Rețelei judiciare române în materie civilă şi comercială a fost organizată în perioada 25-26.05.2017 la Tulcea împreună cu Rețeaua EuroQuod, pentru a celebra a 10 ani de la aderarea României la UE. Reuniunea a fost organizată de Institutul Naţional al Magistraturii, beneficiind de sprijinul judecătorilor din cadrul Tribunalului Tulcea.</w:t>
      </w:r>
    </w:p>
    <w:p w:rsidR="00F94664" w:rsidRPr="006C5EC5" w:rsidRDefault="008070DE" w:rsidP="006C5EC5">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Agenda de discuții a cuprins teme precum organizarea și contenciosul tribunalului UE, procedura hotărârilor preliminare și experiență românească; clauzele abuzive în contractele încheiate cu consumatorii; răspunderea statului pentru prejudicii produse particularilor prin încălcarea dreptului UE, și, nu în ultimul rând, discuții pe secțiuni (migrație și dreptul la azil, cooperare judiciară în materie penală și litigiile de muncă). În ceea ce privește cooperare judiciară internațională în materie civilă și comercială au fost prezentate evoluția legislativă a UE (2007-2017), evoluția rețelelor judiciare europene și române (2007-2017), proiectele europene derulate de Ministerul Justiției (2007-2017), jurisprudența recentă a UE, noutăți legislative și instrumente aflate în curs de dezbatere/negociere. Acest eveniment poate fi considerat un exemplu de colaborare interinstituțională între factorii direct implicați în domeniul aplicării dreptului Uniunii Europene.</w:t>
      </w:r>
    </w:p>
    <w:p w:rsidR="00F94664" w:rsidRPr="006C5EC5" w:rsidRDefault="008070DE" w:rsidP="006C5EC5">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Cu această ocazie, au fost distribuite participanților mai multe publicații, în limba română, tipărite de Comisia Europeană, și anume Ghidul practic pentru aplicarea Regulamentului BII bis; Cooperarea judiciară în materie civilă – Un ghid pentru practicienii din domeniul dreptului; Broșurile Răpirea transfrontalieră a copilului de către un părinte și Încredințarea copilului și drepturile de vizită peste granițele UE; Culegerea de Legislație UE în domeniul cooperării judiciare internaționale în materie civilă și comercială.</w:t>
      </w:r>
    </w:p>
    <w:p w:rsidR="00F94664" w:rsidRPr="006C5EC5" w:rsidRDefault="008070DE" w:rsidP="006C5EC5">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Nu în ultimul rând, a fost finalizat, fără a fi încă publicat, Cel de-al treilea Buletin al Rețelei Judiciare Române în materie civilă și comercială. Acesta este  dedicat jurisprudenţei naționale a statelor contractante la Convenţiile de la Lugano din 16 septembrie 1988 și 30 octombrie 2007 privind competenţa jurisdicţională de drept internaţional privat şi procedura de recunoaştere şi încuviinţare a executării silite a hotărârilor judecătoreşti străine în materie civilă şi comercială.</w:t>
      </w:r>
    </w:p>
    <w:p w:rsidR="00F94664" w:rsidRPr="006C5EC5" w:rsidRDefault="008070DE" w:rsidP="008070DE">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b/>
          <w:lang w:val="ro-RO"/>
        </w:rPr>
        <w:tab/>
      </w:r>
      <w:r w:rsidR="00F94664" w:rsidRPr="006C5EC5">
        <w:rPr>
          <w:rFonts w:asciiTheme="minorHAnsi" w:hAnsiTheme="minorHAnsi" w:cstheme="minorHAnsi"/>
          <w:b/>
          <w:lang w:val="ro-RO"/>
        </w:rPr>
        <w:t>Activitatea punctelor naționale de contact a constat în facilitarea deblocării unor cereri de comunicări de acte și obținere de probe, precum și în facilitatea obținerii informațiilor privind conținutul dreptului român/străin, în domeniul dreptului familiei (căsătorie, adopție, divorț, filiație, tutelă, curatelă, obligații de întreținere), succesiunilor, asigurărilor, drepturilor reale, prescripției etc. Cererile au fost formulate de instanțele române sau punctele naționale străine preponderent din Germania, Spania, Italia, Marea Britanie, Ungaria, Austria, Suedia, Portugalia, Cehia, Polonia.</w:t>
      </w:r>
    </w:p>
    <w:p w:rsidR="00F94664" w:rsidRPr="006C5EC5" w:rsidRDefault="008070DE" w:rsidP="008070DE">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Totodată au fost transmise circulare către membri Rețelei Judiciare Române în materie civilă și comercială privind comunicarea actelor judiciare și extrajudiciare destinatarilor cu domiciliu/sediul în străinătate; comunicarea actelor în Italia; aflarea domiciliului în Israel a participanților la proces.</w:t>
      </w:r>
    </w:p>
    <w:p w:rsidR="00F94664" w:rsidRPr="006C5EC5" w:rsidRDefault="00E84C0D" w:rsidP="008070DE">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 xml:space="preserve">Punctele naționale de contact au distribuit instanțelor și membrilor Rețelei Judiciare Române în materie civilă și comercială afișele dedicate popularizării noului site al Rețelei Judiciare Europene în materie civilă și comercială și punctelor naționale de contact din Statele Membre ale UE, și anume </w:t>
      </w:r>
      <w:hyperlink r:id="rId115" w:history="1">
        <w:r w:rsidR="00F94664" w:rsidRPr="006C5EC5">
          <w:rPr>
            <w:rStyle w:val="Hyperlink"/>
            <w:rFonts w:asciiTheme="minorHAnsi" w:hAnsiTheme="minorHAnsi" w:cstheme="minorHAnsi"/>
            <w:lang w:val="ro-RO"/>
          </w:rPr>
          <w:t>http://e-justice.europa.eu/ejncivil</w:t>
        </w:r>
      </w:hyperlink>
      <w:r w:rsidR="00F94664" w:rsidRPr="006C5EC5">
        <w:rPr>
          <w:rFonts w:asciiTheme="minorHAnsi" w:hAnsiTheme="minorHAnsi" w:cstheme="minorHAnsi"/>
          <w:lang w:val="ro-RO"/>
        </w:rPr>
        <w:t>.</w:t>
      </w:r>
    </w:p>
    <w:p w:rsidR="00F94664" w:rsidRPr="006C5EC5" w:rsidRDefault="008070DE" w:rsidP="008070DE">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Ca și noutate se remarcă solicitările Comisie</w:t>
      </w:r>
      <w:r w:rsidR="008B3522">
        <w:rPr>
          <w:rFonts w:asciiTheme="minorHAnsi" w:hAnsiTheme="minorHAnsi" w:cstheme="minorHAnsi"/>
          <w:lang w:val="ro-RO"/>
        </w:rPr>
        <w:t>i</w:t>
      </w:r>
      <w:r w:rsidR="00F94664" w:rsidRPr="006C5EC5">
        <w:rPr>
          <w:rFonts w:asciiTheme="minorHAnsi" w:hAnsiTheme="minorHAnsi" w:cstheme="minorHAnsi"/>
          <w:lang w:val="ro-RO"/>
        </w:rPr>
        <w:t xml:space="preserve"> privind transmiterea textului hotărârilor judecătorești și rezumatului acestora în limba română, cu precădere a hotărârilor pronunțate în aplicarea Convențiilor de la Lugano și Regulamentelor Bruxelles I și I bis și publicarea acestora pe site-ul Jure Collection, baza de date a Comisiei.</w:t>
      </w:r>
    </w:p>
    <w:p w:rsidR="00F94664" w:rsidRPr="006C5EC5" w:rsidRDefault="008070DE" w:rsidP="008070DE">
      <w:pPr>
        <w:tabs>
          <w:tab w:val="left" w:pos="0"/>
        </w:tabs>
        <w:spacing w:after="120" w:line="276" w:lineRule="auto"/>
        <w:ind w:right="79"/>
        <w:jc w:val="both"/>
        <w:rPr>
          <w:rFonts w:asciiTheme="minorHAnsi" w:hAnsiTheme="minorHAnsi" w:cstheme="minorHAnsi"/>
          <w:b/>
          <w:i/>
          <w:lang w:val="ro-RO"/>
        </w:rPr>
      </w:pPr>
      <w:r>
        <w:rPr>
          <w:rFonts w:asciiTheme="minorHAnsi" w:hAnsiTheme="minorHAnsi" w:cstheme="minorHAnsi"/>
          <w:b/>
          <w:i/>
          <w:lang w:val="ro-RO"/>
        </w:rPr>
        <w:tab/>
      </w:r>
      <w:r w:rsidR="00F94664" w:rsidRPr="006C5EC5">
        <w:rPr>
          <w:rFonts w:asciiTheme="minorHAnsi" w:hAnsiTheme="minorHAnsi" w:cstheme="minorHAnsi"/>
          <w:b/>
          <w:i/>
          <w:lang w:val="ro-RO"/>
        </w:rPr>
        <w:t>D) Alte activităţi desfășurate de reprezentanții ministerului justiției și punctele naționale de contact, membri în Reţeaua Judiciară Română în Materie Civilă şi Comercială.</w:t>
      </w:r>
    </w:p>
    <w:p w:rsidR="00F94664" w:rsidRPr="006C5EC5" w:rsidRDefault="008070DE" w:rsidP="008070DE">
      <w:pPr>
        <w:tabs>
          <w:tab w:val="left" w:pos="0"/>
          <w:tab w:val="left" w:pos="72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În cadrul Proiectului european „Seminar european - Cooperarea dintre Statele Membre ale Uniunii Europene în vederea soluționării cauzelor civile referitoare la deplasarea sau reținerea ilicită a unui copil” (JUST/2015/JTRA/AG/EJTR/8681), care va avea loc în 13-14.03.2018, s-au desfășurat procedurile de selecție a experților și raportorilor.</w:t>
      </w:r>
    </w:p>
    <w:p w:rsidR="00F94664" w:rsidRPr="006C5EC5" w:rsidRDefault="008070DE" w:rsidP="008070DE">
      <w:pPr>
        <w:tabs>
          <w:tab w:val="left" w:pos="0"/>
        </w:tabs>
        <w:spacing w:after="120" w:line="276" w:lineRule="auto"/>
        <w:ind w:right="79"/>
        <w:jc w:val="both"/>
        <w:rPr>
          <w:rFonts w:asciiTheme="minorHAnsi" w:hAnsiTheme="minorHAnsi" w:cstheme="minorHAnsi"/>
          <w:lang w:val="ro-RO"/>
        </w:rPr>
      </w:pPr>
      <w:r>
        <w:rPr>
          <w:rFonts w:asciiTheme="minorHAnsi" w:hAnsiTheme="minorHAnsi" w:cstheme="minorHAnsi"/>
          <w:lang w:val="ro-RO"/>
        </w:rPr>
        <w:tab/>
      </w:r>
      <w:r w:rsidR="00F94664" w:rsidRPr="006C5EC5">
        <w:rPr>
          <w:rFonts w:asciiTheme="minorHAnsi" w:hAnsiTheme="minorHAnsi" w:cstheme="minorHAnsi"/>
          <w:lang w:val="ro-RO"/>
        </w:rPr>
        <w:t>Au fost redactate puncte de vedere, respectiv elemente de mandat la solicitarea Ministerului Afacerilor Externe, cu privire la efectele BREXIT-ului asupra cooperării judiciare internaționale, respectiv cu privire la Propunerea de revizuire a Regulamentului Consiliului privind competența, recunoașterea şi executarea hotărârilor în materie matrimonială şi în materia autorității părintești şi privind răpirea internațională de copii (Regulamentul Bruxelles IIbis - reformare).</w:t>
      </w:r>
    </w:p>
    <w:p w:rsidR="00F94664" w:rsidRPr="006C5EC5" w:rsidRDefault="008070DE" w:rsidP="008070DE">
      <w:pPr>
        <w:tabs>
          <w:tab w:val="left" w:pos="0"/>
        </w:tabs>
        <w:spacing w:after="120" w:line="276" w:lineRule="auto"/>
        <w:ind w:right="79"/>
        <w:jc w:val="both"/>
        <w:rPr>
          <w:rFonts w:asciiTheme="minorHAnsi" w:hAnsiTheme="minorHAnsi" w:cstheme="minorHAnsi"/>
          <w:b/>
          <w:color w:val="000000" w:themeColor="text1"/>
          <w:lang w:val="ro-RO"/>
        </w:rPr>
      </w:pPr>
      <w:r>
        <w:rPr>
          <w:rFonts w:asciiTheme="minorHAnsi" w:hAnsiTheme="minorHAnsi" w:cstheme="minorHAnsi"/>
          <w:lang w:val="ro-RO"/>
        </w:rPr>
        <w:tab/>
      </w:r>
      <w:r w:rsidR="00F94664" w:rsidRPr="006C5EC5">
        <w:rPr>
          <w:rFonts w:asciiTheme="minorHAnsi" w:hAnsiTheme="minorHAnsi" w:cstheme="minorHAnsi"/>
          <w:lang w:val="ro-RO"/>
        </w:rPr>
        <w:t xml:space="preserve">Totodată, au fost primiți în cadrul Direcției Drept Internațional și Cooperare Judiciară peste 25 de studenți sau masteranzi pentru stagii de practică de aproximativ 2 săptămâni sau în cadrul Programului de Internship organizat de Guvernul României în perioada 17.07.2017 – 18.09.2017 din Ministerul </w:t>
      </w:r>
      <w:r w:rsidR="00F94664" w:rsidRPr="006C5EC5">
        <w:rPr>
          <w:rFonts w:asciiTheme="minorHAnsi" w:hAnsiTheme="minorHAnsi" w:cstheme="minorHAnsi"/>
          <w:color w:val="000000" w:themeColor="text1"/>
          <w:lang w:val="ro-RO"/>
        </w:rPr>
        <w:t>Justiției.</w:t>
      </w:r>
    </w:p>
    <w:p w:rsidR="00F94664" w:rsidRDefault="00F94664" w:rsidP="008070DE">
      <w:pPr>
        <w:spacing w:line="276" w:lineRule="auto"/>
        <w:jc w:val="both"/>
        <w:rPr>
          <w:rFonts w:asciiTheme="minorHAnsi" w:hAnsiTheme="minorHAnsi" w:cstheme="minorHAnsi"/>
          <w:lang w:val="ro-RO" w:eastAsia="x-none"/>
        </w:rPr>
      </w:pPr>
    </w:p>
    <w:p w:rsidR="008070DE" w:rsidRDefault="008070DE" w:rsidP="008070DE">
      <w:pPr>
        <w:spacing w:line="276" w:lineRule="auto"/>
        <w:jc w:val="both"/>
        <w:rPr>
          <w:rFonts w:asciiTheme="minorHAnsi" w:hAnsiTheme="minorHAnsi" w:cstheme="minorHAnsi"/>
          <w:lang w:val="ro-RO" w:eastAsia="x-none"/>
        </w:rPr>
      </w:pPr>
    </w:p>
    <w:p w:rsidR="008070DE" w:rsidRPr="006C5EC5" w:rsidRDefault="008070DE" w:rsidP="008070DE">
      <w:pPr>
        <w:spacing w:line="276" w:lineRule="auto"/>
        <w:jc w:val="both"/>
        <w:rPr>
          <w:rFonts w:asciiTheme="minorHAnsi" w:hAnsiTheme="minorHAnsi" w:cstheme="minorHAnsi"/>
          <w:lang w:val="ro-RO" w:eastAsia="x-none"/>
        </w:rPr>
      </w:pPr>
    </w:p>
    <w:p w:rsidR="00625F9B" w:rsidRDefault="00625F9B"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Default="00E84C0D" w:rsidP="006C5EC5">
      <w:pPr>
        <w:pStyle w:val="Frspaiere"/>
        <w:spacing w:line="276" w:lineRule="auto"/>
        <w:jc w:val="both"/>
        <w:rPr>
          <w:rFonts w:asciiTheme="minorHAnsi" w:hAnsiTheme="minorHAnsi" w:cstheme="minorHAnsi"/>
          <w:sz w:val="24"/>
          <w:szCs w:val="24"/>
          <w:lang w:val="ro-RO"/>
        </w:rPr>
      </w:pPr>
    </w:p>
    <w:p w:rsidR="00E84C0D" w:rsidRPr="006C5EC5" w:rsidRDefault="00E84C0D" w:rsidP="006C5EC5">
      <w:pPr>
        <w:pStyle w:val="Frspaiere"/>
        <w:spacing w:line="276" w:lineRule="auto"/>
        <w:jc w:val="both"/>
        <w:rPr>
          <w:rFonts w:asciiTheme="minorHAnsi" w:hAnsiTheme="minorHAnsi" w:cstheme="minorHAnsi"/>
          <w:sz w:val="24"/>
          <w:szCs w:val="24"/>
          <w:lang w:val="ro-RO"/>
        </w:rPr>
      </w:pPr>
    </w:p>
    <w:p w:rsidR="00473B92" w:rsidRDefault="00473B92" w:rsidP="00473B92">
      <w:pPr>
        <w:pStyle w:val="Titlu1"/>
      </w:pPr>
      <w:bookmarkStart w:id="98" w:name="_Toc504987144"/>
      <w:r w:rsidRPr="008070DE">
        <w:t xml:space="preserve">Capitolul IX </w:t>
      </w:r>
    </w:p>
    <w:p w:rsidR="00473B92" w:rsidRPr="008070DE" w:rsidRDefault="00473B92" w:rsidP="00473B92">
      <w:pPr>
        <w:pStyle w:val="Titlu1"/>
      </w:pPr>
      <w:r w:rsidRPr="008070DE">
        <w:t>Apărarea independenţei şi imparţialităţii sistemului judiciar</w:t>
      </w:r>
      <w:bookmarkEnd w:id="98"/>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În anul 2017, la Inspecția Judiciară au fost înregistrate 19 </w:t>
      </w:r>
      <w:r w:rsidRPr="006C5EC5">
        <w:rPr>
          <w:rFonts w:asciiTheme="minorHAnsi" w:hAnsiTheme="minorHAnsi" w:cstheme="minorHAnsi"/>
          <w:b/>
          <w:bCs/>
          <w:color w:val="000000" w:themeColor="text1"/>
          <w:kern w:val="32"/>
          <w:lang w:val="ro-RO"/>
        </w:rPr>
        <w:t xml:space="preserve">sesizări </w:t>
      </w:r>
      <w:r w:rsidRPr="006C5EC5">
        <w:rPr>
          <w:rFonts w:asciiTheme="minorHAnsi" w:hAnsiTheme="minorHAnsi" w:cstheme="minorHAnsi"/>
          <w:color w:val="000000" w:themeColor="text1"/>
          <w:lang w:val="ro-RO"/>
        </w:rPr>
        <w:t>formulate de Consiliul Superior al Magistraturii, având ca obiect apărarea independenţei şi imparţialităţii sistemului judiciar. Situaţia acestora se prezintă astfel:</w:t>
      </w:r>
    </w:p>
    <w:p w:rsidR="00473B92" w:rsidRPr="006C5EC5" w:rsidRDefault="00473B92" w:rsidP="00473B92">
      <w:pPr>
        <w:spacing w:line="276" w:lineRule="auto"/>
        <w:ind w:firstLine="360"/>
        <w:jc w:val="both"/>
        <w:rPr>
          <w:rFonts w:asciiTheme="minorHAnsi" w:hAnsiTheme="minorHAnsi" w:cstheme="minorHAnsi"/>
          <w:b/>
          <w:color w:val="000000" w:themeColor="text1"/>
          <w:lang w:val="ro-RO"/>
        </w:rPr>
      </w:pPr>
      <w:r w:rsidRPr="006C5EC5">
        <w:rPr>
          <w:rFonts w:asciiTheme="minorHAnsi" w:hAnsiTheme="minorHAnsi" w:cstheme="minorHAnsi"/>
          <w:color w:val="000000" w:themeColor="text1"/>
          <w:lang w:val="ro-RO"/>
        </w:rPr>
        <w:tab/>
      </w:r>
      <w:r w:rsidRPr="006C5EC5">
        <w:rPr>
          <w:rFonts w:asciiTheme="minorHAnsi" w:hAnsiTheme="minorHAnsi" w:cstheme="minorHAnsi"/>
          <w:b/>
          <w:color w:val="000000" w:themeColor="text1"/>
          <w:lang w:val="ro-RO"/>
        </w:rPr>
        <w:t xml:space="preserve">A) La Direcția de inspecție judiciară pentru judecători  </w:t>
      </w:r>
    </w:p>
    <w:p w:rsidR="00473B92" w:rsidRPr="006C5EC5" w:rsidRDefault="00473B92" w:rsidP="00473B92">
      <w:pPr>
        <w:spacing w:line="276" w:lineRule="auto"/>
        <w:ind w:firstLine="708"/>
        <w:jc w:val="both"/>
        <w:rPr>
          <w:rFonts w:asciiTheme="minorHAnsi" w:hAnsiTheme="minorHAnsi" w:cstheme="minorHAnsi"/>
          <w:b/>
          <w:i/>
          <w:color w:val="000000" w:themeColor="text1"/>
          <w:lang w:val="ro-RO"/>
        </w:rPr>
      </w:pPr>
      <w:r w:rsidRPr="006C5EC5">
        <w:rPr>
          <w:rFonts w:asciiTheme="minorHAnsi" w:hAnsiTheme="minorHAnsi" w:cstheme="minorHAnsi"/>
          <w:b/>
          <w:bCs/>
          <w:i/>
          <w:color w:val="000000" w:themeColor="text1"/>
          <w:kern w:val="32"/>
          <w:lang w:val="ro-RO"/>
        </w:rPr>
        <w:t>- 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490/IJ/224/DIJ/2017</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 solicitarea Consiliului Superior al Magistraturii de efectuare a unor verificări cu privire la apărarea independenţei sistemului judiciar urmare</w:t>
      </w:r>
      <w:r w:rsidRPr="006C5EC5">
        <w:rPr>
          <w:rFonts w:asciiTheme="minorHAnsi" w:hAnsiTheme="minorHAnsi" w:cstheme="minorHAnsi"/>
          <w:color w:val="000000" w:themeColor="text1"/>
          <w:lang w:val="ro-RO"/>
        </w:rPr>
        <w:t xml:space="preserve"> a </w:t>
      </w:r>
      <w:r w:rsidRPr="006C5EC5">
        <w:rPr>
          <w:rFonts w:asciiTheme="minorHAnsi" w:hAnsiTheme="minorHAnsi" w:cstheme="minorHAnsi"/>
          <w:bCs/>
          <w:color w:val="000000" w:themeColor="text1"/>
          <w:kern w:val="32"/>
          <w:lang w:val="ro-RO"/>
        </w:rPr>
        <w:t xml:space="preserve">sesizării Direcţiei Naţionale Anticorupţie cu privire la informaţiile prezentate pe postul ROMÂNIA TV în data de 13.01.2017, în cadrul  emisiunii "Ora de vârf", precum şi faţă de informaţiile prezentate pe acelaşi post TV în data de 16.01.2017. </w:t>
      </w:r>
    </w:p>
    <w:p w:rsidR="00473B92" w:rsidRPr="006C5EC5" w:rsidRDefault="00473B92" w:rsidP="00473B92">
      <w:pPr>
        <w:spacing w:line="276" w:lineRule="auto"/>
        <w:ind w:firstLine="708"/>
        <w:contextualSpacing/>
        <w:jc w:val="both"/>
        <w:rPr>
          <w:rFonts w:asciiTheme="minorHAnsi" w:hAnsiTheme="minorHAnsi" w:cstheme="minorHAnsi"/>
          <w:bCs/>
          <w:color w:val="000000" w:themeColor="text1"/>
          <w:kern w:val="32"/>
          <w:lang w:val="ro-RO"/>
        </w:rPr>
      </w:pPr>
      <w:r w:rsidRPr="006C5EC5">
        <w:rPr>
          <w:rFonts w:asciiTheme="minorHAnsi" w:hAnsiTheme="minorHAnsi" w:cstheme="minorHAnsi"/>
          <w:b/>
          <w:bCs/>
          <w:color w:val="000000" w:themeColor="text1"/>
          <w:kern w:val="32"/>
          <w:lang w:val="ro-RO"/>
        </w:rPr>
        <w:t xml:space="preserve">- </w:t>
      </w:r>
      <w:r w:rsidRPr="006C5EC5">
        <w:rPr>
          <w:rFonts w:asciiTheme="minorHAnsi" w:hAnsiTheme="minorHAnsi" w:cstheme="minorHAnsi"/>
          <w:b/>
          <w:bCs/>
          <w:i/>
          <w:color w:val="000000" w:themeColor="text1"/>
          <w:kern w:val="32"/>
          <w:lang w:val="ro-RO"/>
        </w:rPr>
        <w:t>lucrarea nr.</w:t>
      </w:r>
      <w:r w:rsidRPr="006C5EC5">
        <w:rPr>
          <w:rFonts w:asciiTheme="minorHAnsi" w:hAnsiTheme="minorHAnsi" w:cstheme="minorHAnsi"/>
          <w:b/>
          <w:color w:val="000000" w:themeColor="text1"/>
          <w:lang w:val="ro-RO"/>
        </w:rPr>
        <w:t xml:space="preserve"> </w:t>
      </w:r>
      <w:r w:rsidRPr="006C5EC5">
        <w:rPr>
          <w:rFonts w:asciiTheme="minorHAnsi" w:hAnsiTheme="minorHAnsi" w:cstheme="minorHAnsi"/>
          <w:b/>
          <w:bCs/>
          <w:i/>
          <w:color w:val="000000" w:themeColor="text1"/>
          <w:kern w:val="32"/>
          <w:lang w:val="ro-RO"/>
        </w:rPr>
        <w:t xml:space="preserve">1075/IJ/503/DIJ/2017 </w:t>
      </w:r>
      <w:r w:rsidRPr="006C5EC5">
        <w:rPr>
          <w:rFonts w:asciiTheme="minorHAnsi" w:hAnsiTheme="minorHAnsi" w:cstheme="minorHAnsi"/>
          <w:b/>
          <w:bCs/>
          <w:color w:val="000000" w:themeColor="text1"/>
          <w:kern w:val="32"/>
          <w:lang w:val="ro-RO"/>
        </w:rPr>
        <w:t>– solicitarea Consiliului Superior al Magistraturii de</w:t>
      </w:r>
      <w:r w:rsidRPr="006C5EC5">
        <w:rPr>
          <w:rFonts w:asciiTheme="minorHAnsi" w:hAnsiTheme="minorHAnsi" w:cstheme="minorHAnsi"/>
          <w:bCs/>
          <w:color w:val="000000" w:themeColor="text1"/>
          <w:kern w:val="32"/>
          <w:lang w:val="ro-RO"/>
        </w:rPr>
        <w:t xml:space="preserve"> efectuare a unor verificări cu privire la apărarea independenţei sistemului judiciar ca urmare a sesizării formulate de Direcţia Naţională Anticorupţie cu privire la afirmaţiile domului C.P.T. făcute în cadrul unui interviu acordat postului BBC şi preluat de mass - media din  România;</w:t>
      </w:r>
    </w:p>
    <w:p w:rsidR="00473B92" w:rsidRPr="000A4CF5" w:rsidRDefault="00473B92" w:rsidP="00473B92">
      <w:pPr>
        <w:tabs>
          <w:tab w:val="left" w:pos="0"/>
          <w:tab w:val="left" w:pos="810"/>
          <w:tab w:val="left" w:pos="900"/>
        </w:tabs>
        <w:spacing w:line="276" w:lineRule="auto"/>
        <w:ind w:firstLine="709"/>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La data de 09.05.2017 Plenul Consiliului Superior al Magistraturii a constatat ca rămasă fără obiect analizarea Raportului Inspecţiei Judiciare.</w:t>
      </w:r>
    </w:p>
    <w:p w:rsidR="00473B92" w:rsidRPr="006C5EC5" w:rsidRDefault="00473B92" w:rsidP="00473B92">
      <w:pPr>
        <w:spacing w:line="276" w:lineRule="auto"/>
        <w:ind w:firstLine="708"/>
        <w:contextualSpacing/>
        <w:jc w:val="both"/>
        <w:rPr>
          <w:rFonts w:asciiTheme="minorHAnsi" w:hAnsiTheme="minorHAnsi" w:cstheme="minorHAnsi"/>
          <w:bCs/>
          <w:color w:val="000000" w:themeColor="text1"/>
          <w:kern w:val="32"/>
          <w:lang w:val="ro-RO"/>
        </w:rPr>
      </w:pPr>
      <w:r w:rsidRPr="006C5EC5">
        <w:rPr>
          <w:rFonts w:asciiTheme="minorHAnsi" w:hAnsiTheme="minorHAnsi" w:cstheme="minorHAnsi"/>
          <w:bCs/>
          <w:i/>
          <w:color w:val="000000" w:themeColor="text1"/>
          <w:kern w:val="32"/>
          <w:lang w:val="ro-RO"/>
        </w:rPr>
        <w:t xml:space="preserve">- </w:t>
      </w:r>
      <w:r w:rsidRPr="006C5EC5">
        <w:rPr>
          <w:rFonts w:asciiTheme="minorHAnsi" w:hAnsiTheme="minorHAnsi" w:cstheme="minorHAnsi"/>
          <w:b/>
          <w:bCs/>
          <w:i/>
          <w:color w:val="000000" w:themeColor="text1"/>
          <w:kern w:val="32"/>
          <w:lang w:val="ro-RO"/>
        </w:rPr>
        <w:t>lucrarea nr.</w:t>
      </w:r>
      <w:r w:rsidRPr="006C5EC5">
        <w:rPr>
          <w:rFonts w:asciiTheme="minorHAnsi" w:hAnsiTheme="minorHAnsi" w:cstheme="minorHAnsi"/>
          <w:i/>
          <w:color w:val="000000" w:themeColor="text1"/>
          <w:lang w:val="ro-RO"/>
        </w:rPr>
        <w:t xml:space="preserve"> </w:t>
      </w:r>
      <w:r w:rsidRPr="006C5EC5">
        <w:rPr>
          <w:rFonts w:asciiTheme="minorHAnsi" w:hAnsiTheme="minorHAnsi" w:cstheme="minorHAnsi"/>
          <w:b/>
          <w:bCs/>
          <w:i/>
          <w:color w:val="000000" w:themeColor="text1"/>
          <w:kern w:val="32"/>
          <w:lang w:val="ro-RO"/>
        </w:rPr>
        <w:t xml:space="preserve">816/IJ/351/DIJ/2017 </w:t>
      </w:r>
      <w:r w:rsidRPr="006C5EC5">
        <w:rPr>
          <w:rFonts w:asciiTheme="minorHAnsi" w:hAnsiTheme="minorHAnsi" w:cstheme="minorHAnsi"/>
          <w:bCs/>
          <w:color w:val="000000" w:themeColor="text1"/>
          <w:kern w:val="32"/>
          <w:lang w:val="ro-RO"/>
        </w:rPr>
        <w:t>privind solicitarea Consiliului Superior al Magistraturii de efectuare a unor verificări cu privire la apărarea independenţei sistemului judiciar urmare sesizării DNA cu privire la afirmaţiile cuprinse în raportul privind justiţia din România publica</w:t>
      </w:r>
      <w:r w:rsidR="00AA1246">
        <w:rPr>
          <w:rFonts w:asciiTheme="minorHAnsi" w:hAnsiTheme="minorHAnsi" w:cstheme="minorHAnsi"/>
          <w:bCs/>
          <w:color w:val="000000" w:themeColor="text1"/>
          <w:kern w:val="32"/>
          <w:lang w:val="ro-RO"/>
        </w:rPr>
        <w:t>t</w:t>
      </w:r>
      <w:r w:rsidRPr="006C5EC5">
        <w:rPr>
          <w:rFonts w:asciiTheme="minorHAnsi" w:hAnsiTheme="minorHAnsi" w:cstheme="minorHAnsi"/>
          <w:bCs/>
          <w:color w:val="000000" w:themeColor="text1"/>
          <w:kern w:val="32"/>
          <w:lang w:val="ro-RO"/>
        </w:rPr>
        <w:t xml:space="preserve"> în limba engleză care acreditează ideea că activitatea magistraţilor implicaţi în înfăptuirea procesului judiciar se desfăşoară cu </w:t>
      </w:r>
      <w:r w:rsidR="00AA1246">
        <w:rPr>
          <w:rFonts w:asciiTheme="minorHAnsi" w:hAnsiTheme="minorHAnsi" w:cstheme="minorHAnsi"/>
          <w:bCs/>
          <w:color w:val="000000" w:themeColor="text1"/>
          <w:kern w:val="32"/>
          <w:lang w:val="ro-RO"/>
        </w:rPr>
        <w:t>încălcarea pricipiilor legale;</w:t>
      </w:r>
    </w:p>
    <w:p w:rsidR="00473B92" w:rsidRPr="000A4CF5" w:rsidRDefault="00473B92" w:rsidP="00473B92">
      <w:pPr>
        <w:spacing w:line="276" w:lineRule="auto"/>
        <w:ind w:firstLine="708"/>
        <w:contextualSpacing/>
        <w:jc w:val="both"/>
        <w:rPr>
          <w:rFonts w:asciiTheme="minorHAnsi" w:hAnsiTheme="minorHAnsi" w:cstheme="minorHAnsi"/>
          <w:bCs/>
          <w:color w:val="000000" w:themeColor="text1"/>
          <w:kern w:val="32"/>
          <w:lang w:val="ro-RO"/>
        </w:rPr>
      </w:pPr>
      <w:r w:rsidRPr="000A4CF5">
        <w:rPr>
          <w:rFonts w:asciiTheme="minorHAnsi" w:hAnsiTheme="minorHAnsi" w:cstheme="minorHAnsi"/>
          <w:bCs/>
          <w:color w:val="000000" w:themeColor="text1"/>
          <w:kern w:val="32"/>
          <w:lang w:val="ro-RO"/>
        </w:rPr>
        <w:t>Prin Hotărârea nr. 560/09.05.2017, s-a conexat raportul nr.735/IJ/138/DIP/2017 cu prezentul raport, Plenul Consiliului Superior al Magistraturii şi-a însuşit concluziile Inspecţiei Judiciare în sensul că informaţiile transmise în spaţiul public au fost de natură să afecteze independenţa şi imparţialitatea procurorilor DNA şi, implicit, a întregului sistem judiciar.</w:t>
      </w:r>
    </w:p>
    <w:p w:rsidR="00473B92" w:rsidRDefault="00473B92" w:rsidP="00473B92">
      <w:pPr>
        <w:spacing w:line="276" w:lineRule="auto"/>
        <w:ind w:firstLine="708"/>
        <w:contextualSpacing/>
        <w:jc w:val="both"/>
        <w:rPr>
          <w:rFonts w:asciiTheme="minorHAnsi" w:hAnsiTheme="minorHAnsi" w:cstheme="minorHAnsi"/>
          <w:bCs/>
          <w:color w:val="000000" w:themeColor="text1"/>
          <w:kern w:val="32"/>
          <w:lang w:val="ro-RO"/>
        </w:rPr>
      </w:pPr>
      <w:r w:rsidRPr="006C5EC5">
        <w:rPr>
          <w:rFonts w:asciiTheme="minorHAnsi" w:hAnsiTheme="minorHAnsi" w:cstheme="minorHAnsi"/>
          <w:bCs/>
          <w:color w:val="000000" w:themeColor="text1"/>
          <w:kern w:val="32"/>
          <w:lang w:val="ro-RO"/>
        </w:rPr>
        <w:t xml:space="preserve"> - </w:t>
      </w:r>
      <w:r w:rsidRPr="006C5EC5">
        <w:rPr>
          <w:rFonts w:asciiTheme="minorHAnsi" w:hAnsiTheme="minorHAnsi" w:cstheme="minorHAnsi"/>
          <w:b/>
          <w:bCs/>
          <w:i/>
          <w:color w:val="000000" w:themeColor="text1"/>
          <w:kern w:val="32"/>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bCs/>
          <w:i/>
          <w:color w:val="000000" w:themeColor="text1"/>
          <w:kern w:val="32"/>
          <w:lang w:val="ro-RO"/>
        </w:rPr>
        <w:t xml:space="preserve">5717/IJ/2582/DIJ/2017 </w:t>
      </w:r>
      <w:r w:rsidRPr="006C5EC5">
        <w:rPr>
          <w:rFonts w:asciiTheme="minorHAnsi" w:hAnsiTheme="minorHAnsi" w:cstheme="minorHAnsi"/>
          <w:bCs/>
          <w:color w:val="000000" w:themeColor="text1"/>
          <w:kern w:val="32"/>
          <w:lang w:val="ro-RO"/>
        </w:rPr>
        <w:t>- solicitarea Consiliului Superior al Magistraturii de efectuare a unor verificări cu privire la apărarea independenţei sistemului judiciar, ca urmare a sesizării formulată de doamna C.B. cu privire la afirmaţiile lui D.V., la ieşirea din închisoare.</w:t>
      </w:r>
    </w:p>
    <w:p w:rsidR="00473B92" w:rsidRPr="006C5EC5" w:rsidRDefault="00473B92" w:rsidP="00473B92">
      <w:pPr>
        <w:spacing w:line="276" w:lineRule="auto"/>
        <w:ind w:firstLine="708"/>
        <w:contextualSpacing/>
        <w:jc w:val="both"/>
        <w:rPr>
          <w:rFonts w:asciiTheme="minorHAnsi" w:hAnsiTheme="minorHAnsi" w:cstheme="minorHAnsi"/>
          <w:bCs/>
          <w:color w:val="000000" w:themeColor="text1"/>
          <w:kern w:val="32"/>
          <w:lang w:val="ro-RO"/>
        </w:rPr>
      </w:pPr>
      <w:r>
        <w:rPr>
          <w:rFonts w:asciiTheme="minorHAnsi" w:hAnsiTheme="minorHAnsi" w:cstheme="minorHAnsi"/>
          <w:color w:val="000000" w:themeColor="text1"/>
          <w:lang w:val="ro-RO"/>
        </w:rPr>
        <w:t>Prin Hotărârea nr.32/11.0</w:t>
      </w:r>
      <w:r w:rsidRPr="000A4CF5">
        <w:rPr>
          <w:rFonts w:asciiTheme="minorHAnsi" w:hAnsiTheme="minorHAnsi" w:cstheme="minorHAnsi"/>
          <w:color w:val="000000" w:themeColor="text1"/>
          <w:lang w:val="ro-RO"/>
        </w:rPr>
        <w:t>1.201</w:t>
      </w:r>
      <w:r>
        <w:rPr>
          <w:rFonts w:asciiTheme="minorHAnsi" w:hAnsiTheme="minorHAnsi" w:cstheme="minorHAnsi"/>
          <w:color w:val="000000" w:themeColor="text1"/>
          <w:lang w:val="ro-RO"/>
        </w:rPr>
        <w:t>8</w:t>
      </w:r>
      <w:r w:rsidRPr="000A4CF5">
        <w:rPr>
          <w:rFonts w:asciiTheme="minorHAnsi" w:hAnsiTheme="minorHAnsi" w:cstheme="minorHAnsi"/>
          <w:color w:val="000000" w:themeColor="text1"/>
          <w:lang w:val="ro-RO"/>
        </w:rPr>
        <w:t xml:space="preserve">, Plenul Consiliului Superior al Magistraturii a </w:t>
      </w:r>
      <w:r>
        <w:rPr>
          <w:rFonts w:asciiTheme="minorHAnsi" w:hAnsiTheme="minorHAnsi" w:cstheme="minorHAnsi"/>
          <w:color w:val="000000" w:themeColor="text1"/>
          <w:lang w:val="ro-RO"/>
        </w:rPr>
        <w:t>respins cererea de aparare a independenţei sistemului judiciar formulată de doamna judecător Camelia Bogdan.</w:t>
      </w:r>
      <w:r w:rsidRPr="000A4CF5">
        <w:rPr>
          <w:rFonts w:asciiTheme="minorHAnsi" w:hAnsiTheme="minorHAnsi" w:cstheme="minorHAnsi"/>
          <w:color w:val="000000" w:themeColor="text1"/>
          <w:lang w:val="ro-RO"/>
        </w:rPr>
        <w:t xml:space="preserve"> </w:t>
      </w:r>
    </w:p>
    <w:p w:rsidR="00473B92" w:rsidRPr="006C5EC5" w:rsidRDefault="00473B92" w:rsidP="00473B92">
      <w:pPr>
        <w:spacing w:line="276" w:lineRule="auto"/>
        <w:ind w:firstLine="708"/>
        <w:jc w:val="both"/>
        <w:rPr>
          <w:rFonts w:asciiTheme="minorHAnsi" w:hAnsiTheme="minorHAnsi" w:cstheme="minorHAnsi"/>
          <w:bCs/>
          <w:i/>
          <w:color w:val="000000" w:themeColor="text1"/>
          <w:kern w:val="32"/>
          <w:lang w:val="ro-RO"/>
        </w:rPr>
      </w:pPr>
      <w:r w:rsidRPr="006C5EC5">
        <w:rPr>
          <w:rFonts w:asciiTheme="minorHAnsi" w:hAnsiTheme="minorHAnsi" w:cstheme="minorHAnsi"/>
          <w:bCs/>
          <w:color w:val="000000" w:themeColor="text1"/>
          <w:kern w:val="32"/>
          <w:lang w:val="ro-RO"/>
        </w:rPr>
        <w:t xml:space="preserve">- </w:t>
      </w:r>
      <w:r w:rsidRPr="006C5EC5">
        <w:rPr>
          <w:rFonts w:asciiTheme="minorHAnsi" w:hAnsiTheme="minorHAnsi" w:cstheme="minorHAnsi"/>
          <w:b/>
          <w:bCs/>
          <w:i/>
          <w:color w:val="000000" w:themeColor="text1"/>
          <w:kern w:val="32"/>
          <w:lang w:val="ro-RO"/>
        </w:rPr>
        <w:t xml:space="preserve">lucrarea nr. </w:t>
      </w:r>
      <w:r w:rsidRPr="006C5EC5">
        <w:rPr>
          <w:rFonts w:asciiTheme="minorHAnsi" w:hAnsiTheme="minorHAnsi" w:cstheme="minorHAnsi"/>
          <w:b/>
          <w:i/>
          <w:color w:val="000000" w:themeColor="text1"/>
          <w:lang w:val="ro-RO"/>
        </w:rPr>
        <w:t xml:space="preserve">6972/IJ/3131/DIJ/2017 </w:t>
      </w:r>
      <w:r w:rsidRPr="006C5EC5">
        <w:rPr>
          <w:rFonts w:asciiTheme="minorHAnsi" w:hAnsiTheme="minorHAnsi" w:cstheme="minorHAnsi"/>
          <w:bCs/>
          <w:color w:val="000000" w:themeColor="text1"/>
          <w:kern w:val="32"/>
          <w:lang w:val="ro-RO"/>
        </w:rPr>
        <w:t>–solicitarea Consiliului Superior al Magistraturii de efectuare a unor verificări cu privire la apărarea independenţei sistemului judiciar, urmare a sesizării formulată de doamna C.B., prin care solicită apărarea reputaţiei sistemului judiciar în raport cu apariţia pe site-ul www.luju.ro a articolului “</w:t>
      </w:r>
      <w:r w:rsidRPr="006C5EC5">
        <w:rPr>
          <w:rFonts w:asciiTheme="minorHAnsi" w:hAnsiTheme="minorHAnsi" w:cstheme="minorHAnsi"/>
          <w:i/>
          <w:color w:val="000000" w:themeColor="text1"/>
          <w:lang w:val="ro-RO"/>
        </w:rPr>
        <w:t>INTERVENTII SUBTERANE – Sistemul incearca sa obtina la Inalta Curte anularea excluderii din magistratura a executantei Camelia Bogdan si sa ii inlocuiasca sanctiunea cu una mai blanda, astfel incat judecatoarea sa poata fi folosita mai departe in instante. Cerem SRI sa monitorizeze operatiunea pentru a preveni un atentat la siguranta nationala. Speram ca informatia sa fie falsa</w:t>
      </w:r>
      <w:r w:rsidRPr="006C5EC5">
        <w:rPr>
          <w:rFonts w:asciiTheme="minorHAnsi" w:hAnsiTheme="minorHAnsi" w:cstheme="minorHAnsi"/>
          <w:bCs/>
          <w:i/>
          <w:color w:val="000000" w:themeColor="text1"/>
          <w:kern w:val="32"/>
          <w:lang w:val="ro-RO"/>
        </w:rPr>
        <w:t>.”</w:t>
      </w:r>
    </w:p>
    <w:p w:rsidR="00473B92" w:rsidRPr="000A4CF5" w:rsidRDefault="00473B92" w:rsidP="00473B92">
      <w:pPr>
        <w:spacing w:line="276" w:lineRule="auto"/>
        <w:ind w:firstLine="708"/>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Prin Hotărârea nr.1218/16.11.2017, Plenul Consiliului Superior al Magistraturii a admis cererea</w:t>
      </w:r>
      <w:r>
        <w:rPr>
          <w:rFonts w:asciiTheme="minorHAnsi" w:hAnsiTheme="minorHAnsi" w:cstheme="minorHAnsi"/>
          <w:color w:val="000000" w:themeColor="text1"/>
          <w:lang w:val="ro-RO"/>
        </w:rPr>
        <w:t xml:space="preserve"> formulată de doamna judecător Camelia Bogdan prin care a solicitat apărarea reputaţiei sistemului judiciar, ca urmare a apariţiei pe site-ul luju.ro la data de 08 septembrie 2017 a articolului „Intervenţii subterane”</w:t>
      </w:r>
      <w:r w:rsidRPr="000A4CF5">
        <w:rPr>
          <w:rFonts w:asciiTheme="minorHAnsi" w:hAnsiTheme="minorHAnsi" w:cstheme="minorHAnsi"/>
          <w:color w:val="000000" w:themeColor="text1"/>
          <w:lang w:val="ro-RO"/>
        </w:rPr>
        <w:t xml:space="preserve">. </w:t>
      </w:r>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sidRPr="00E84C0D">
        <w:rPr>
          <w:rFonts w:asciiTheme="minorHAnsi" w:hAnsiTheme="minorHAnsi" w:cstheme="minorHAnsi"/>
          <w:b/>
          <w:i/>
          <w:color w:val="000000" w:themeColor="text1"/>
          <w:lang w:val="ro-RO"/>
        </w:rPr>
        <w:t>-lucrarea nr.</w:t>
      </w:r>
      <w:r w:rsidRPr="00E84C0D">
        <w:rPr>
          <w:rFonts w:asciiTheme="minorHAnsi" w:hAnsiTheme="minorHAnsi" w:cstheme="minorHAnsi"/>
          <w:b/>
          <w:color w:val="000000" w:themeColor="text1"/>
          <w:lang w:val="ro-RO"/>
        </w:rPr>
        <w:t xml:space="preserve"> </w:t>
      </w:r>
      <w:r w:rsidRPr="00E84C0D">
        <w:rPr>
          <w:rFonts w:asciiTheme="minorHAnsi" w:hAnsiTheme="minorHAnsi" w:cstheme="minorHAnsi"/>
          <w:b/>
          <w:i/>
          <w:color w:val="000000" w:themeColor="text1"/>
          <w:lang w:val="ro-RO"/>
        </w:rPr>
        <w:t>7777/IJ/3451/DIJ/2017</w:t>
      </w:r>
      <w:r w:rsidRPr="006C5EC5">
        <w:rPr>
          <w:rFonts w:asciiTheme="minorHAnsi" w:hAnsiTheme="minorHAnsi" w:cstheme="minorHAnsi"/>
          <w:i/>
          <w:color w:val="000000" w:themeColor="text1"/>
          <w:lang w:val="ro-RO"/>
        </w:rPr>
        <w:t xml:space="preserve"> - </w:t>
      </w:r>
      <w:r w:rsidRPr="006C5EC5">
        <w:rPr>
          <w:rFonts w:asciiTheme="minorHAnsi" w:hAnsiTheme="minorHAnsi" w:cstheme="minorHAnsi"/>
          <w:color w:val="000000" w:themeColor="text1"/>
          <w:lang w:val="ro-RO"/>
        </w:rPr>
        <w:t xml:space="preserve">solicitarea </w:t>
      </w:r>
      <w:r w:rsidRPr="006C5EC5">
        <w:rPr>
          <w:rFonts w:asciiTheme="minorHAnsi" w:hAnsiTheme="minorHAnsi" w:cstheme="minorHAnsi"/>
          <w:bCs/>
          <w:color w:val="000000" w:themeColor="text1"/>
          <w:kern w:val="32"/>
          <w:lang w:val="ro-RO"/>
        </w:rPr>
        <w:t xml:space="preserve">Consiliului Superior al Magistraturii de efectuare a unor verificări cu privire la </w:t>
      </w:r>
      <w:r w:rsidRPr="006C5EC5">
        <w:rPr>
          <w:rFonts w:asciiTheme="minorHAnsi" w:hAnsiTheme="minorHAnsi" w:cstheme="minorHAnsi"/>
          <w:color w:val="000000" w:themeColor="text1"/>
          <w:lang w:val="ro-RO"/>
        </w:rPr>
        <w:t xml:space="preserve">apărarea reputaţiei sistemului judiciar în raport cu afirmaţiile apărute pe site-ul www.luju.ro. </w:t>
      </w:r>
    </w:p>
    <w:p w:rsidR="00473B92" w:rsidRDefault="00473B92" w:rsidP="00473B92">
      <w:pPr>
        <w:spacing w:line="276" w:lineRule="auto"/>
        <w:ind w:firstLine="708"/>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Prin Hotărârea nr.</w:t>
      </w:r>
      <w:r>
        <w:rPr>
          <w:rFonts w:asciiTheme="minorHAnsi" w:hAnsiTheme="minorHAnsi" w:cstheme="minorHAnsi"/>
          <w:color w:val="000000" w:themeColor="text1"/>
          <w:lang w:val="ro-RO"/>
        </w:rPr>
        <w:t>367/27.03</w:t>
      </w:r>
      <w:r w:rsidRPr="000A4CF5">
        <w:rPr>
          <w:rFonts w:asciiTheme="minorHAnsi" w:hAnsiTheme="minorHAnsi" w:cstheme="minorHAnsi"/>
          <w:color w:val="000000" w:themeColor="text1"/>
          <w:lang w:val="ro-RO"/>
        </w:rPr>
        <w:t>.201</w:t>
      </w:r>
      <w:r>
        <w:rPr>
          <w:rFonts w:asciiTheme="minorHAnsi" w:hAnsiTheme="minorHAnsi" w:cstheme="minorHAnsi"/>
          <w:color w:val="000000" w:themeColor="text1"/>
          <w:lang w:val="ro-RO"/>
        </w:rPr>
        <w:t>8</w:t>
      </w:r>
      <w:r w:rsidRPr="000A4CF5">
        <w:rPr>
          <w:rFonts w:asciiTheme="minorHAnsi" w:hAnsiTheme="minorHAnsi" w:cstheme="minorHAnsi"/>
          <w:color w:val="000000" w:themeColor="text1"/>
          <w:lang w:val="ro-RO"/>
        </w:rPr>
        <w:t xml:space="preserve">, Plenul Consiliului Superior al Magistraturii a </w:t>
      </w:r>
      <w:r>
        <w:rPr>
          <w:rFonts w:asciiTheme="minorHAnsi" w:hAnsiTheme="minorHAnsi" w:cstheme="minorHAnsi"/>
          <w:color w:val="000000" w:themeColor="text1"/>
          <w:lang w:val="ro-RO"/>
        </w:rPr>
        <w:t xml:space="preserve">respins </w:t>
      </w:r>
      <w:r w:rsidRPr="000A4CF5">
        <w:rPr>
          <w:rFonts w:asciiTheme="minorHAnsi" w:hAnsiTheme="minorHAnsi" w:cstheme="minorHAnsi"/>
          <w:color w:val="000000" w:themeColor="text1"/>
          <w:lang w:val="ro-RO"/>
        </w:rPr>
        <w:t>cererea</w:t>
      </w:r>
      <w:r>
        <w:rPr>
          <w:rFonts w:asciiTheme="minorHAnsi" w:hAnsiTheme="minorHAnsi" w:cstheme="minorHAnsi"/>
          <w:color w:val="000000" w:themeColor="text1"/>
          <w:lang w:val="ro-RO"/>
        </w:rPr>
        <w:t xml:space="preserve"> de apărare a „reputaţiei sistemului judiciar” formulată de doamna judecător Camelia Bogdan.</w:t>
      </w:r>
    </w:p>
    <w:p w:rsidR="00473B92" w:rsidRPr="006C5EC5" w:rsidRDefault="00473B92" w:rsidP="00473B92">
      <w:pPr>
        <w:tabs>
          <w:tab w:val="left" w:pos="709"/>
        </w:tabs>
        <w:spacing w:line="276" w:lineRule="auto"/>
        <w:contextualSpacing/>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 xml:space="preserve">B) La Direcția de inspecție judiciară pentru procurori </w:t>
      </w:r>
    </w:p>
    <w:p w:rsidR="00473B92" w:rsidRPr="006C5EC5" w:rsidRDefault="00473B92" w:rsidP="00473B92">
      <w:pPr>
        <w:spacing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268/IJ/59/DIP/2017</w:t>
      </w:r>
      <w:r w:rsidRPr="006C5EC5">
        <w:rPr>
          <w:rFonts w:asciiTheme="minorHAnsi" w:hAnsiTheme="minorHAnsi" w:cstheme="minorHAnsi"/>
          <w:bCs/>
          <w:color w:val="000000" w:themeColor="text1"/>
          <w:kern w:val="32"/>
          <w:lang w:val="ro-RO"/>
        </w:rPr>
        <w:t>– solicitarea Consiliului Superior al Magistraturii de efectuare a unor verificări</w:t>
      </w:r>
      <w:r w:rsidRPr="006C5EC5">
        <w:rPr>
          <w:rFonts w:asciiTheme="minorHAnsi" w:hAnsiTheme="minorHAnsi" w:cstheme="minorHAnsi"/>
          <w:color w:val="000000" w:themeColor="text1"/>
          <w:lang w:val="ro-RO"/>
        </w:rPr>
        <w:t xml:space="preserve"> cu privire la eventuala atingere adusă independenţei justiţiei, urmare a declaraţiilor publice formulate  la postul de televiziune România TV de inculpatul S.G., (fost deputat) în perioada 28.12.2016 – 05.01.2017.</w:t>
      </w:r>
    </w:p>
    <w:p w:rsidR="00473B92" w:rsidRPr="006C5EC5" w:rsidRDefault="00473B92" w:rsidP="00473B92">
      <w:pPr>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Cs/>
          <w:i/>
          <w:color w:val="000000" w:themeColor="text1"/>
          <w:kern w:val="32"/>
          <w:lang w:val="ro-RO"/>
        </w:rPr>
        <w:t xml:space="preserve"> - </w:t>
      </w:r>
      <w:r w:rsidRPr="006C5EC5">
        <w:rPr>
          <w:rFonts w:asciiTheme="minorHAnsi" w:hAnsiTheme="minorHAnsi" w:cstheme="minorHAnsi"/>
          <w:b/>
          <w:bCs/>
          <w:i/>
          <w:color w:val="000000" w:themeColor="text1"/>
          <w:kern w:val="32"/>
          <w:lang w:val="ro-RO"/>
        </w:rPr>
        <w:t xml:space="preserve">lucrarea nr. </w:t>
      </w:r>
      <w:r w:rsidRPr="006C5EC5">
        <w:rPr>
          <w:rFonts w:asciiTheme="minorHAnsi" w:hAnsiTheme="minorHAnsi" w:cstheme="minorHAnsi"/>
          <w:b/>
          <w:i/>
          <w:color w:val="000000" w:themeColor="text1"/>
          <w:lang w:val="ro-RO"/>
        </w:rPr>
        <w:t xml:space="preserve">490/IJ/99/DIP/2017 </w:t>
      </w:r>
      <w:r w:rsidRPr="006C5EC5">
        <w:rPr>
          <w:rFonts w:asciiTheme="minorHAnsi" w:hAnsiTheme="minorHAnsi" w:cstheme="minorHAnsi"/>
          <w:bCs/>
          <w:i/>
          <w:color w:val="000000" w:themeColor="text1"/>
          <w:kern w:val="32"/>
          <w:lang w:val="ro-RO"/>
        </w:rPr>
        <w:t xml:space="preserve">– </w:t>
      </w:r>
      <w:r w:rsidRPr="006C5EC5">
        <w:rPr>
          <w:rFonts w:asciiTheme="minorHAnsi" w:hAnsiTheme="minorHAnsi" w:cstheme="minorHAnsi"/>
          <w:bCs/>
          <w:color w:val="000000" w:themeColor="text1"/>
          <w:kern w:val="32"/>
          <w:lang w:val="ro-RO"/>
        </w:rPr>
        <w:t xml:space="preserve">solicitarea Consiliului Superior al Magistraturii de efectuare a unor verificări </w:t>
      </w:r>
      <w:r w:rsidRPr="006C5EC5">
        <w:rPr>
          <w:rFonts w:asciiTheme="minorHAnsi" w:hAnsiTheme="minorHAnsi" w:cstheme="minorHAnsi"/>
          <w:color w:val="000000" w:themeColor="text1"/>
          <w:lang w:val="ro-RO"/>
        </w:rPr>
        <w:t>cu privire la apărarea independenţei sistemului judiciar, ca urmare a  informaţiilor prezentate pe postul România TV din data de 13.01.2017 în cadrul emisiunii ,,Ora de vârf” moderată de prezentatorul Andreea Creţulescu, precum şi faţă de informaţiile prezentate pe acelaşi post TV la data de 16.01.2017.</w:t>
      </w:r>
    </w:p>
    <w:p w:rsidR="00473B92" w:rsidRPr="006C5EC5" w:rsidRDefault="00473B92" w:rsidP="00473B92">
      <w:pPr>
        <w:tabs>
          <w:tab w:val="left" w:pos="0"/>
          <w:tab w:val="left" w:pos="9540"/>
        </w:tabs>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 xml:space="preserve">619/IJ/118/DIP/2017 </w:t>
      </w:r>
      <w:r w:rsidRPr="006C5EC5">
        <w:rPr>
          <w:rFonts w:asciiTheme="minorHAnsi" w:hAnsiTheme="minorHAnsi" w:cstheme="minorHAnsi"/>
          <w:bCs/>
          <w:i/>
          <w:color w:val="000000" w:themeColor="text1"/>
          <w:kern w:val="32"/>
          <w:lang w:val="ro-RO"/>
        </w:rPr>
        <w:t>–</w:t>
      </w:r>
      <w:r w:rsidRPr="006C5EC5">
        <w:rPr>
          <w:rFonts w:asciiTheme="minorHAnsi" w:hAnsiTheme="minorHAnsi" w:cstheme="minorHAnsi"/>
          <w:bCs/>
          <w:color w:val="000000" w:themeColor="text1"/>
          <w:kern w:val="32"/>
          <w:lang w:val="ro-RO"/>
        </w:rPr>
        <w:t xml:space="preserve"> solicitarea Consiliului Superior al Magistraturii de efectuare a unor verificări</w:t>
      </w:r>
      <w:r w:rsidRPr="006C5EC5">
        <w:rPr>
          <w:rFonts w:asciiTheme="minorHAnsi" w:hAnsiTheme="minorHAnsi" w:cstheme="minorHAnsi"/>
          <w:color w:val="000000" w:themeColor="text1"/>
          <w:lang w:val="ro-RO"/>
        </w:rPr>
        <w:t xml:space="preserve"> cu privire la sesizarea Direcţiei Naţionale Anticorupţie, relativ la situaţia constatată în legătură cu informaţiile prezentate pe postul „Antena 3” în data de 19.01.2017, în cadrul Emisiunii „Sinteza Zilei”, pentru a se stabili dacă s-a adus atingere independenţei justiţiei, cu consecinţa subminării autorităţii acesteia. </w:t>
      </w:r>
    </w:p>
    <w:p w:rsidR="00473B92" w:rsidRPr="00E84C0D" w:rsidRDefault="00473B92" w:rsidP="00473B92">
      <w:pPr>
        <w:spacing w:line="276" w:lineRule="auto"/>
        <w:ind w:firstLine="708"/>
        <w:contextualSpacing/>
        <w:jc w:val="both"/>
        <w:rPr>
          <w:rFonts w:asciiTheme="minorHAnsi" w:hAnsiTheme="minorHAnsi" w:cstheme="minorHAnsi"/>
          <w:bCs/>
          <w:color w:val="000000" w:themeColor="text1"/>
          <w:lang w:val="ro-RO"/>
        </w:rPr>
      </w:pPr>
      <w:r w:rsidRPr="00E84C0D">
        <w:rPr>
          <w:rFonts w:asciiTheme="minorHAnsi" w:hAnsiTheme="minorHAnsi" w:cstheme="minorHAnsi"/>
          <w:bCs/>
          <w:color w:val="000000" w:themeColor="text1"/>
          <w:lang w:val="ro-RO"/>
        </w:rPr>
        <w:t xml:space="preserve">Cu privire la cele trei lucrări menţionate mai sus Plenul Consiliului Superior al Magistraturii, la data 28.02.2017, a hotărât restituirea rapoartelor Inspecţiei Judiciare în vederea completării verificărilor şi cercetărilor, conexării, precum şi abordării unitare a aspectelor similare care vizează independenţa justiţiei în ansamblu. </w:t>
      </w:r>
    </w:p>
    <w:p w:rsidR="00473B92" w:rsidRPr="00E84C0D" w:rsidRDefault="00473B92" w:rsidP="00473B92">
      <w:pPr>
        <w:spacing w:line="276" w:lineRule="auto"/>
        <w:ind w:firstLine="708"/>
        <w:contextualSpacing/>
        <w:jc w:val="both"/>
        <w:rPr>
          <w:rFonts w:asciiTheme="minorHAnsi" w:hAnsiTheme="minorHAnsi" w:cstheme="minorHAnsi"/>
          <w:bCs/>
          <w:color w:val="000000" w:themeColor="text1"/>
          <w:lang w:val="ro-RO"/>
        </w:rPr>
      </w:pPr>
      <w:r w:rsidRPr="00E84C0D">
        <w:rPr>
          <w:rFonts w:asciiTheme="minorHAnsi" w:hAnsiTheme="minorHAnsi" w:cstheme="minorHAnsi"/>
          <w:color w:val="000000" w:themeColor="text1"/>
          <w:lang w:val="ro-RO"/>
        </w:rPr>
        <w:t xml:space="preserve">Plenul Consiliului Superior al Magistraturii, prin </w:t>
      </w:r>
      <w:r w:rsidRPr="00E84C0D">
        <w:rPr>
          <w:rFonts w:asciiTheme="minorHAnsi" w:hAnsiTheme="minorHAnsi" w:cstheme="minorHAnsi"/>
          <w:bCs/>
          <w:color w:val="000000" w:themeColor="text1"/>
          <w:kern w:val="32"/>
          <w:lang w:val="ro-RO"/>
        </w:rPr>
        <w:t>Hotărârea</w:t>
      </w:r>
      <w:r w:rsidRPr="00E84C0D">
        <w:rPr>
          <w:rFonts w:asciiTheme="minorHAnsi" w:hAnsiTheme="minorHAnsi" w:cstheme="minorHAnsi"/>
          <w:color w:val="000000" w:themeColor="text1"/>
          <w:lang w:val="ro-RO"/>
        </w:rPr>
        <w:t xml:space="preserve"> nr. 500/25.04.2017 şi-a însuşit </w:t>
      </w:r>
      <w:r w:rsidRPr="00E84C0D">
        <w:rPr>
          <w:rFonts w:asciiTheme="minorHAnsi" w:hAnsiTheme="minorHAnsi" w:cstheme="minorHAnsi"/>
          <w:bCs/>
          <w:color w:val="000000" w:themeColor="text1"/>
          <w:lang w:val="ro-RO"/>
        </w:rPr>
        <w:t xml:space="preserve">concluziile raportului unitar </w:t>
      </w:r>
      <w:r w:rsidRPr="00E84C0D">
        <w:rPr>
          <w:rFonts w:asciiTheme="minorHAnsi" w:hAnsiTheme="minorHAnsi" w:cstheme="minorHAnsi"/>
          <w:color w:val="000000" w:themeColor="text1"/>
          <w:lang w:val="ro-RO" w:eastAsia="ro-RO"/>
        </w:rPr>
        <w:t>nr. 268/IJ/59/DIP/2017 apreciind</w:t>
      </w:r>
      <w:r w:rsidRPr="00E84C0D">
        <w:rPr>
          <w:rFonts w:asciiTheme="minorHAnsi" w:hAnsiTheme="minorHAnsi" w:cstheme="minorHAnsi"/>
          <w:color w:val="000000" w:themeColor="text1"/>
          <w:lang w:val="ro-RO"/>
        </w:rPr>
        <w:t xml:space="preserve">  că d</w:t>
      </w:r>
      <w:r w:rsidRPr="00E84C0D">
        <w:rPr>
          <w:rFonts w:asciiTheme="minorHAnsi" w:hAnsiTheme="minorHAnsi" w:cstheme="minorHAnsi"/>
          <w:color w:val="000000" w:themeColor="text1"/>
          <w:lang w:val="ro-RO" w:eastAsia="ro-RO"/>
        </w:rPr>
        <w:t>eclaraţiile publice ce fac obiectul Raportului Inspecţiei Judiciare sunt de natură să afecteze prestigiul şi independenţa sistemului judiciar</w:t>
      </w:r>
      <w:r w:rsidRPr="00E84C0D">
        <w:rPr>
          <w:rFonts w:asciiTheme="minorHAnsi" w:hAnsiTheme="minorHAnsi" w:cstheme="minorHAnsi"/>
          <w:color w:val="000000" w:themeColor="text1"/>
          <w:lang w:val="ro-RO"/>
        </w:rPr>
        <w:t>.</w:t>
      </w:r>
    </w:p>
    <w:p w:rsidR="00473B92" w:rsidRPr="006C5EC5" w:rsidRDefault="00473B92" w:rsidP="00473B92">
      <w:pPr>
        <w:spacing w:line="276" w:lineRule="auto"/>
        <w:ind w:firstLine="708"/>
        <w:jc w:val="both"/>
        <w:rPr>
          <w:rFonts w:asciiTheme="minorHAnsi" w:hAnsiTheme="minorHAnsi" w:cstheme="minorHAnsi"/>
          <w:b/>
          <w:color w:val="000000" w:themeColor="text1"/>
          <w:lang w:val="ro-RO"/>
        </w:rPr>
      </w:pPr>
      <w:r w:rsidRPr="006C5EC5">
        <w:rPr>
          <w:rFonts w:asciiTheme="minorHAnsi" w:hAnsiTheme="minorHAnsi" w:cstheme="minorHAnsi"/>
          <w:b/>
          <w:bCs/>
          <w:color w:val="000000" w:themeColor="text1"/>
          <w:kern w:val="32"/>
          <w:lang w:val="ro-RO"/>
        </w:rPr>
        <w:t xml:space="preserve">- </w:t>
      </w:r>
      <w:r w:rsidRPr="006C5EC5">
        <w:rPr>
          <w:rFonts w:asciiTheme="minorHAnsi" w:hAnsiTheme="minorHAnsi" w:cstheme="minorHAnsi"/>
          <w:b/>
          <w:bCs/>
          <w:i/>
          <w:color w:val="000000" w:themeColor="text1"/>
          <w:kern w:val="32"/>
          <w:lang w:val="ro-RO"/>
        </w:rPr>
        <w:t>lucrarea</w:t>
      </w:r>
      <w:r w:rsidRPr="006C5EC5">
        <w:rPr>
          <w:rFonts w:asciiTheme="minorHAnsi" w:hAnsiTheme="minorHAnsi" w:cstheme="minorHAnsi"/>
          <w:bCs/>
          <w:i/>
          <w:color w:val="000000" w:themeColor="text1"/>
          <w:kern w:val="32"/>
          <w:lang w:val="ro-RO"/>
        </w:rPr>
        <w:t xml:space="preserve"> </w:t>
      </w:r>
      <w:r w:rsidRPr="006C5EC5">
        <w:rPr>
          <w:rFonts w:asciiTheme="minorHAnsi" w:hAnsiTheme="minorHAnsi" w:cstheme="minorHAnsi"/>
          <w:b/>
          <w:bCs/>
          <w:i/>
          <w:color w:val="000000" w:themeColor="text1"/>
          <w:kern w:val="32"/>
          <w:lang w:val="ro-RO"/>
        </w:rPr>
        <w:t xml:space="preserve">nr. </w:t>
      </w:r>
      <w:r w:rsidRPr="006C5EC5">
        <w:rPr>
          <w:rFonts w:asciiTheme="minorHAnsi" w:hAnsiTheme="minorHAnsi" w:cstheme="minorHAnsi"/>
          <w:b/>
          <w:i/>
          <w:color w:val="000000" w:themeColor="text1"/>
          <w:lang w:val="ro-RO"/>
        </w:rPr>
        <w:t>429/IJ/88/DIP/2017</w:t>
      </w:r>
      <w:r w:rsidRPr="006C5EC5">
        <w:rPr>
          <w:rFonts w:asciiTheme="minorHAnsi" w:hAnsiTheme="minorHAnsi" w:cstheme="minorHAnsi"/>
          <w:b/>
          <w:color w:val="000000" w:themeColor="text1"/>
          <w:lang w:val="ro-RO"/>
        </w:rPr>
        <w:t xml:space="preserve"> </w:t>
      </w:r>
      <w:r w:rsidRPr="006C5EC5">
        <w:rPr>
          <w:rFonts w:asciiTheme="minorHAnsi" w:hAnsiTheme="minorHAnsi" w:cstheme="minorHAnsi"/>
          <w:bCs/>
          <w:i/>
          <w:color w:val="000000" w:themeColor="text1"/>
          <w:kern w:val="32"/>
          <w:lang w:val="ro-RO"/>
        </w:rPr>
        <w:t>-</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 xml:space="preserve">sesizarea Consiliului Superior al Magistraturii de efectuare a unor verificări privind apărarea independenţei sistemului judiciar ce are la bază solicitarea formulată de către Direcţia Naţională Anticorupţie privind </w:t>
      </w:r>
      <w:r w:rsidRPr="006C5EC5">
        <w:rPr>
          <w:rFonts w:asciiTheme="minorHAnsi" w:hAnsiTheme="minorHAnsi" w:cstheme="minorHAnsi"/>
          <w:color w:val="000000" w:themeColor="text1"/>
          <w:lang w:val="ro-RO"/>
        </w:rPr>
        <w:t>analizarea şi formularea unui punct de vedere faţă de afirmaţiile conţinute în raportul intitulat “</w:t>
      </w:r>
      <w:r w:rsidRPr="006C5EC5">
        <w:rPr>
          <w:rFonts w:asciiTheme="minorHAnsi" w:hAnsiTheme="minorHAnsi" w:cstheme="minorHAnsi"/>
          <w:i/>
          <w:color w:val="000000" w:themeColor="text1"/>
          <w:lang w:val="ro-RO"/>
        </w:rPr>
        <w:t>Fighting corruption with con tricks: Romania's assault on the rule of law!” (Falsa luptă împotriva corupţiei: asaltul asupra statului de drept în România)</w:t>
      </w:r>
      <w:r w:rsidRPr="006C5EC5">
        <w:rPr>
          <w:rFonts w:asciiTheme="minorHAnsi" w:hAnsiTheme="minorHAnsi" w:cstheme="minorHAnsi"/>
          <w:color w:val="000000" w:themeColor="text1"/>
          <w:lang w:val="ro-RO"/>
        </w:rPr>
        <w:t>, publicat în limba engleză de David Clark, sub egida Henry Jackson Society.</w:t>
      </w:r>
    </w:p>
    <w:p w:rsidR="00473B92" w:rsidRPr="006C5EC5" w:rsidRDefault="00473B92" w:rsidP="00473B92">
      <w:pPr>
        <w:tabs>
          <w:tab w:val="left" w:pos="9540"/>
        </w:tabs>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
          <w:bCs/>
          <w:color w:val="000000" w:themeColor="text1"/>
          <w:kern w:val="32"/>
          <w:lang w:val="ro-RO"/>
        </w:rPr>
        <w:t>-</w:t>
      </w:r>
      <w:r w:rsidRPr="006C5EC5">
        <w:rPr>
          <w:rFonts w:asciiTheme="minorHAnsi" w:hAnsiTheme="minorHAnsi" w:cstheme="minorHAnsi"/>
          <w:bCs/>
          <w:color w:val="000000" w:themeColor="text1"/>
          <w:kern w:val="32"/>
          <w:lang w:val="ro-RO"/>
        </w:rPr>
        <w:t xml:space="preserve"> </w:t>
      </w:r>
      <w:r w:rsidRPr="006C5EC5">
        <w:rPr>
          <w:rFonts w:asciiTheme="minorHAnsi" w:hAnsiTheme="minorHAnsi" w:cstheme="minorHAnsi"/>
          <w:b/>
          <w:bCs/>
          <w:i/>
          <w:color w:val="000000" w:themeColor="text1"/>
          <w:kern w:val="32"/>
          <w:lang w:val="ro-RO"/>
        </w:rPr>
        <w:t xml:space="preserve">lucrarea nr. </w:t>
      </w:r>
      <w:r w:rsidRPr="006C5EC5">
        <w:rPr>
          <w:rFonts w:asciiTheme="minorHAnsi" w:hAnsiTheme="minorHAnsi" w:cstheme="minorHAnsi"/>
          <w:b/>
          <w:i/>
          <w:color w:val="000000" w:themeColor="text1"/>
          <w:lang w:val="ro-RO"/>
        </w:rPr>
        <w:t xml:space="preserve">735/IJ/138/DIP/2017 </w:t>
      </w:r>
      <w:r w:rsidRPr="006C5EC5">
        <w:rPr>
          <w:rFonts w:asciiTheme="minorHAnsi" w:hAnsiTheme="minorHAnsi" w:cstheme="minorHAnsi"/>
          <w:bCs/>
          <w:color w:val="000000" w:themeColor="text1"/>
          <w:kern w:val="32"/>
          <w:lang w:val="ro-RO"/>
        </w:rPr>
        <w:t>- solicitarea Consiliului Superior al Magistraturii de efectuare a unor verificări</w:t>
      </w:r>
      <w:r w:rsidRPr="006C5EC5">
        <w:rPr>
          <w:rFonts w:asciiTheme="minorHAnsi" w:hAnsiTheme="minorHAnsi" w:cstheme="minorHAnsi"/>
          <w:color w:val="000000" w:themeColor="text1"/>
          <w:lang w:val="ro-RO"/>
        </w:rPr>
        <w:t xml:space="preserve"> cu privire la sesizarea Direcţiei Naţionale Anticorupţie în legătură cu informaţiile  apărute în presă, în perioada  25-27 ianuarie 2017, respectiv articolele „Un ofiţer SRI aruncă bomba! SRI a cerut înscenarea unui dosar pe numele afaceristului D.A.. Se dorea eliminarea lui.”, „Exclusiv. Avem dovada că videoconferinţele C. – K. se desfăşurau săptămânal! Comisia de control a SRI poate obţine toate înregistrările! Aşa vom afla dacă şi cum se fabricau  dosarele de corupţie!” publicate pe site-ul „</w:t>
      </w:r>
      <w:hyperlink r:id="rId116" w:history="1">
        <w:r w:rsidRPr="006C5EC5">
          <w:rPr>
            <w:rStyle w:val="Hyperlink"/>
            <w:rFonts w:asciiTheme="minorHAnsi" w:hAnsiTheme="minorHAnsi" w:cstheme="minorHAnsi"/>
            <w:color w:val="000000" w:themeColor="text1"/>
            <w:lang w:val="ro-RO"/>
          </w:rPr>
          <w:t>www.evz.ro</w:t>
        </w:r>
      </w:hyperlink>
      <w:r w:rsidRPr="006C5EC5">
        <w:rPr>
          <w:rFonts w:asciiTheme="minorHAnsi" w:hAnsiTheme="minorHAnsi" w:cstheme="minorHAnsi"/>
          <w:color w:val="000000" w:themeColor="text1"/>
          <w:lang w:val="ro-RO"/>
        </w:rPr>
        <w:t xml:space="preserve">” şi articolul „Exclusiv. Document exploziv: Mărturie şoc despre SRI în faţa justiţiei britanice în scandalul A.: Direcţia specială P.” publicat pe site-ul www.flux24.ro, de natură să aducă atingere independenţei şi imparţialităţii procurorilor Direcţiei Naţionale Anticorupţie, precum şi independenţei sistemului judiciar, în ansamblul său. </w:t>
      </w:r>
    </w:p>
    <w:p w:rsidR="00473B92" w:rsidRPr="00E84C0D" w:rsidRDefault="00473B92" w:rsidP="00473B92">
      <w:pPr>
        <w:tabs>
          <w:tab w:val="left" w:pos="9540"/>
        </w:tabs>
        <w:spacing w:line="276" w:lineRule="auto"/>
        <w:ind w:firstLine="709"/>
        <w:jc w:val="both"/>
        <w:rPr>
          <w:rFonts w:asciiTheme="minorHAnsi" w:hAnsiTheme="minorHAnsi" w:cstheme="minorHAnsi"/>
          <w:color w:val="000000" w:themeColor="text1"/>
          <w:lang w:val="ro-RO" w:eastAsia="ro-RO"/>
        </w:rPr>
      </w:pPr>
      <w:r w:rsidRPr="00E84C0D">
        <w:rPr>
          <w:rFonts w:asciiTheme="minorHAnsi" w:hAnsiTheme="minorHAnsi" w:cstheme="minorHAnsi"/>
          <w:bCs/>
          <w:color w:val="000000" w:themeColor="text1"/>
          <w:lang w:val="ro-RO" w:eastAsia="ro-RO"/>
        </w:rPr>
        <w:t>La data de 09.05.2017 Plenul Consiliului Superior al Magistraturii a hotărât conexarea celor două lucrări menţionate mai sus, iar prin</w:t>
      </w:r>
      <w:r w:rsidRPr="00E84C0D">
        <w:rPr>
          <w:rFonts w:asciiTheme="minorHAnsi" w:hAnsiTheme="minorHAnsi" w:cstheme="minorHAnsi"/>
          <w:bCs/>
          <w:color w:val="000000" w:themeColor="text1"/>
          <w:kern w:val="32"/>
          <w:lang w:val="ro-RO"/>
        </w:rPr>
        <w:t xml:space="preserve"> Hotărârea nr. 56/09.05.2017, şi-a însuşit concluziile raportului Inspecţiei Judiciare şi </w:t>
      </w:r>
      <w:r w:rsidRPr="00E84C0D">
        <w:rPr>
          <w:rFonts w:asciiTheme="minorHAnsi" w:hAnsiTheme="minorHAnsi" w:cstheme="minorHAnsi"/>
          <w:bCs/>
          <w:color w:val="000000" w:themeColor="text1"/>
          <w:lang w:val="ro-RO" w:eastAsia="ro-RO"/>
        </w:rPr>
        <w:t xml:space="preserve">a apreciat că </w:t>
      </w:r>
      <w:r w:rsidRPr="00E84C0D">
        <w:rPr>
          <w:rFonts w:asciiTheme="minorHAnsi" w:hAnsiTheme="minorHAnsi" w:cstheme="minorHAnsi"/>
          <w:color w:val="000000" w:themeColor="text1"/>
          <w:lang w:val="ro-RO" w:eastAsia="ro-RO"/>
        </w:rPr>
        <w:t>informaţiile transmise în spaţiul public, în perioada 25-27 ianuarie 2017, prin intermediul articolelor „Un ofiţer SRI aruncă bomba! SRI a cerut înscenarea unui dosar pe numele afaceristului D.A.. Se dorea eliminarea lui.”, „Exclusiv. Document exploziv: Mărturie şoc despre SRI în faţa justiţiei britanice în scandalul A.: Direcţia specială Periş” şi „Exclusiv. Avem dovada că videoconferinţele C.-K. se desfăşurau săptămânal! Comisia de control a SRI poate obţine toate înregistrările! Aşa vom afla dacă şi cum se fabricau dosarele de corupţie!” au fost de natură să afecteze independenţa şi imparţialitatea procurorilor Direcţiei Naţionale Anticorupţie şi, implicit, a întregului sistem judiciar.</w:t>
      </w:r>
    </w:p>
    <w:p w:rsidR="00473B92" w:rsidRPr="006C5EC5" w:rsidRDefault="00473B92" w:rsidP="00473B92">
      <w:pPr>
        <w:tabs>
          <w:tab w:val="left" w:pos="0"/>
          <w:tab w:val="left" w:pos="810"/>
          <w:tab w:val="left" w:pos="900"/>
        </w:tabs>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
          <w:color w:val="000000" w:themeColor="text1"/>
          <w:lang w:val="ro-RO" w:eastAsia="ro-RO"/>
        </w:rPr>
        <w:t xml:space="preserve"> </w:t>
      </w: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 xml:space="preserve">1075/IJ/191/DIP/2017 </w:t>
      </w:r>
      <w:r w:rsidRPr="006C5EC5">
        <w:rPr>
          <w:rFonts w:asciiTheme="minorHAnsi" w:hAnsiTheme="minorHAnsi" w:cstheme="minorHAnsi"/>
          <w:b/>
          <w:bCs/>
          <w:i/>
          <w:color w:val="000000" w:themeColor="text1"/>
          <w:kern w:val="32"/>
          <w:lang w:val="ro-RO"/>
        </w:rPr>
        <w:t xml:space="preserve">- </w:t>
      </w:r>
      <w:r w:rsidRPr="006C5EC5">
        <w:rPr>
          <w:rFonts w:asciiTheme="minorHAnsi" w:hAnsiTheme="minorHAnsi" w:cstheme="minorHAnsi"/>
          <w:bCs/>
          <w:color w:val="000000" w:themeColor="text1"/>
          <w:kern w:val="32"/>
          <w:lang w:val="ro-RO"/>
        </w:rPr>
        <w:t>solicitarea Consiliului Superior al Magistraturii de efectuare a unor verificări referitor la</w:t>
      </w:r>
      <w:r w:rsidRPr="006C5EC5">
        <w:rPr>
          <w:rFonts w:asciiTheme="minorHAnsi" w:hAnsiTheme="minorHAnsi" w:cstheme="minorHAnsi"/>
          <w:color w:val="000000" w:themeColor="text1"/>
          <w:lang w:val="ro-RO"/>
        </w:rPr>
        <w:t xml:space="preserve"> sesizarea formulată de Direcţia Naţională Anticorupţie, cu privire la posibila afectare a independenţei sistemului judiciar din România prin afirmaţiile făcute de către Preşedintele Senatului României, domnul C.P.T., în cadrul interviului acordat postului de televiziune BBC la data de 06.02.2017 şi preluat în mass-media din România.</w:t>
      </w:r>
    </w:p>
    <w:p w:rsidR="00473B92" w:rsidRPr="00E84C0D" w:rsidRDefault="00473B92" w:rsidP="00473B92">
      <w:pPr>
        <w:tabs>
          <w:tab w:val="left" w:pos="0"/>
          <w:tab w:val="left" w:pos="810"/>
          <w:tab w:val="left" w:pos="900"/>
        </w:tabs>
        <w:spacing w:line="276" w:lineRule="auto"/>
        <w:ind w:firstLine="709"/>
        <w:jc w:val="both"/>
        <w:rPr>
          <w:rFonts w:asciiTheme="minorHAnsi" w:hAnsiTheme="minorHAnsi" w:cstheme="minorHAnsi"/>
          <w:color w:val="000000" w:themeColor="text1"/>
          <w:lang w:val="ro-RO"/>
        </w:rPr>
      </w:pPr>
      <w:r w:rsidRPr="00E84C0D">
        <w:rPr>
          <w:rFonts w:asciiTheme="minorHAnsi" w:hAnsiTheme="minorHAnsi" w:cstheme="minorHAnsi"/>
          <w:bCs/>
          <w:color w:val="000000" w:themeColor="text1"/>
          <w:kern w:val="32"/>
          <w:lang w:val="ro-RO"/>
        </w:rPr>
        <w:t xml:space="preserve"> </w:t>
      </w:r>
      <w:r w:rsidRPr="00E84C0D">
        <w:rPr>
          <w:rFonts w:asciiTheme="minorHAnsi" w:hAnsiTheme="minorHAnsi" w:cstheme="minorHAnsi"/>
          <w:color w:val="000000" w:themeColor="text1"/>
          <w:lang w:val="ro-RO"/>
        </w:rPr>
        <w:t>La data de 09.05.2017 Plenul Consiliului Superior al Magistraturii a constatat ca rămasă fără obiect analizarea Raportului Inspecţiei Judiciare.</w:t>
      </w:r>
    </w:p>
    <w:p w:rsidR="00473B92" w:rsidRPr="006C5EC5" w:rsidRDefault="00473B92" w:rsidP="00473B92">
      <w:pPr>
        <w:tabs>
          <w:tab w:val="left" w:pos="0"/>
          <w:tab w:val="left" w:pos="810"/>
          <w:tab w:val="left" w:pos="900"/>
        </w:tabs>
        <w:spacing w:line="276" w:lineRule="auto"/>
        <w:ind w:firstLine="709"/>
        <w:jc w:val="both"/>
        <w:rPr>
          <w:rFonts w:asciiTheme="minorHAnsi" w:hAnsiTheme="minorHAnsi" w:cstheme="minorHAnsi"/>
          <w:i/>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 xml:space="preserve">1545/IJ/274/DIP/2017 </w:t>
      </w:r>
      <w:r w:rsidRPr="006C5EC5">
        <w:rPr>
          <w:rFonts w:asciiTheme="minorHAnsi" w:hAnsiTheme="minorHAnsi" w:cstheme="minorHAnsi"/>
          <w:b/>
          <w:bCs/>
          <w:i/>
          <w:color w:val="000000" w:themeColor="text1"/>
          <w:kern w:val="32"/>
          <w:lang w:val="ro-RO"/>
        </w:rPr>
        <w:t xml:space="preserve">- </w:t>
      </w:r>
      <w:r w:rsidRPr="006C5EC5">
        <w:rPr>
          <w:rFonts w:asciiTheme="minorHAnsi" w:hAnsiTheme="minorHAnsi" w:cstheme="minorHAnsi"/>
          <w:bCs/>
          <w:color w:val="000000" w:themeColor="text1"/>
          <w:kern w:val="32"/>
          <w:lang w:val="ro-RO"/>
        </w:rPr>
        <w:t>solicitarea Consiliului Superior al Magistraturii ce are la bază sesizarea formulată de către Direcţia Naţională Anticorupţie,</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 xml:space="preserve">de efectuare a verificărilor cu privire la </w:t>
      </w:r>
      <w:r w:rsidRPr="006C5EC5">
        <w:rPr>
          <w:rFonts w:asciiTheme="minorHAnsi" w:hAnsiTheme="minorHAnsi" w:cstheme="minorHAnsi"/>
          <w:color w:val="000000" w:themeColor="text1"/>
          <w:lang w:val="ro-RO"/>
        </w:rPr>
        <w:t>situaţia constatată în legătură cu informaţiile prezentate pe postul de televiziune Antena 3 la data de 21 februarie 2017, conform cărora o persoană ar fi fost arestată şi condamnată în mod nelegal, ca urmare a unei anchete desfăşurate de către Direcţia Naţională Anticorupţie, apreciate ca fiind de natură a submina autoritatea judecătorească şi a pune în discuţie deontologia profesională a magistraților.</w:t>
      </w:r>
    </w:p>
    <w:p w:rsidR="00473B92" w:rsidRPr="00E84C0D" w:rsidRDefault="00473B92" w:rsidP="00473B92">
      <w:pPr>
        <w:tabs>
          <w:tab w:val="left" w:pos="0"/>
          <w:tab w:val="left" w:pos="810"/>
          <w:tab w:val="left" w:pos="900"/>
        </w:tabs>
        <w:spacing w:line="276" w:lineRule="auto"/>
        <w:ind w:firstLine="709"/>
        <w:jc w:val="both"/>
        <w:rPr>
          <w:rFonts w:asciiTheme="minorHAnsi" w:hAnsiTheme="minorHAnsi" w:cstheme="minorHAnsi"/>
          <w:color w:val="000000" w:themeColor="text1"/>
          <w:lang w:val="ro-RO"/>
        </w:rPr>
      </w:pPr>
      <w:r w:rsidRPr="00E84C0D">
        <w:rPr>
          <w:rFonts w:asciiTheme="minorHAnsi" w:hAnsiTheme="minorHAnsi" w:cstheme="minorHAnsi"/>
          <w:color w:val="000000" w:themeColor="text1"/>
          <w:lang w:val="ro-RO"/>
        </w:rPr>
        <w:t xml:space="preserve">Plenul Consiliului Superior al Magistraturii, prin </w:t>
      </w:r>
      <w:r w:rsidRPr="00E84C0D">
        <w:rPr>
          <w:rFonts w:asciiTheme="minorHAnsi" w:hAnsiTheme="minorHAnsi" w:cstheme="minorHAnsi"/>
          <w:bCs/>
          <w:color w:val="000000" w:themeColor="text1"/>
          <w:kern w:val="32"/>
          <w:lang w:val="ro-RO"/>
        </w:rPr>
        <w:t xml:space="preserve">Hotărârea nr. 501/25.04.2017, </w:t>
      </w:r>
      <w:r w:rsidRPr="00E84C0D">
        <w:rPr>
          <w:rFonts w:asciiTheme="minorHAnsi" w:hAnsiTheme="minorHAnsi" w:cstheme="minorHAnsi"/>
          <w:color w:val="000000" w:themeColor="text1"/>
          <w:lang w:val="ro-RO"/>
        </w:rPr>
        <w:t>a luat act</w:t>
      </w:r>
      <w:r w:rsidRPr="00E84C0D">
        <w:rPr>
          <w:rFonts w:asciiTheme="minorHAnsi" w:hAnsiTheme="minorHAnsi" w:cstheme="minorHAnsi"/>
          <w:color w:val="000000" w:themeColor="text1"/>
          <w:lang w:val="ro-RO" w:eastAsia="ro-RO"/>
        </w:rPr>
        <w:t xml:space="preserve"> de retragerea solicitării formulate de Direcţia Naţională Anticorupţie privind apărarea independenţei sistemului judiciar.</w:t>
      </w:r>
    </w:p>
    <w:p w:rsidR="00473B92" w:rsidRPr="006C5EC5" w:rsidRDefault="00473B92" w:rsidP="00473B92">
      <w:pPr>
        <w:tabs>
          <w:tab w:val="left" w:pos="0"/>
        </w:tabs>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
          <w:bCs/>
          <w:i/>
          <w:color w:val="000000" w:themeColor="text1"/>
          <w:kern w:val="32"/>
          <w:lang w:val="ro-RO"/>
        </w:rPr>
        <w:t>- lucrarea</w:t>
      </w:r>
      <w:r w:rsidRPr="006C5EC5">
        <w:rPr>
          <w:rFonts w:asciiTheme="minorHAnsi" w:hAnsiTheme="minorHAnsi" w:cstheme="minorHAnsi"/>
          <w:bCs/>
          <w:i/>
          <w:color w:val="000000" w:themeColor="text1"/>
          <w:kern w:val="32"/>
          <w:lang w:val="ro-RO"/>
        </w:rPr>
        <w:t xml:space="preserve"> </w:t>
      </w:r>
      <w:r w:rsidRPr="006C5EC5">
        <w:rPr>
          <w:rFonts w:asciiTheme="minorHAnsi" w:hAnsiTheme="minorHAnsi" w:cstheme="minorHAnsi"/>
          <w:b/>
          <w:bCs/>
          <w:i/>
          <w:color w:val="000000" w:themeColor="text1"/>
          <w:kern w:val="32"/>
          <w:lang w:val="ro-RO"/>
        </w:rPr>
        <w:t xml:space="preserve">nr. </w:t>
      </w:r>
      <w:r w:rsidRPr="006C5EC5">
        <w:rPr>
          <w:rFonts w:asciiTheme="minorHAnsi" w:hAnsiTheme="minorHAnsi" w:cstheme="minorHAnsi"/>
          <w:b/>
          <w:i/>
          <w:color w:val="000000" w:themeColor="text1"/>
          <w:lang w:val="ro-RO"/>
        </w:rPr>
        <w:t xml:space="preserve">6715/IJ/1405/DIP/2017 </w:t>
      </w:r>
      <w:r w:rsidRPr="006C5EC5">
        <w:rPr>
          <w:rFonts w:asciiTheme="minorHAnsi" w:hAnsiTheme="minorHAnsi" w:cstheme="minorHAnsi"/>
          <w:b/>
          <w:bCs/>
          <w:i/>
          <w:color w:val="000000" w:themeColor="text1"/>
          <w:kern w:val="32"/>
          <w:lang w:val="ro-RO"/>
        </w:rPr>
        <w:t>-</w:t>
      </w:r>
      <w:r w:rsidRPr="006C5EC5">
        <w:rPr>
          <w:rFonts w:asciiTheme="minorHAnsi" w:hAnsiTheme="minorHAnsi" w:cstheme="minorHAnsi"/>
          <w:bCs/>
          <w:color w:val="000000" w:themeColor="text1"/>
          <w:kern w:val="32"/>
          <w:lang w:val="ro-RO"/>
        </w:rPr>
        <w:t xml:space="preserve"> solicitarea Consiliului Superior al Magistraturii de efectuare a unor verificări privind apărarea independenţei sistemului judiciar ce are la bază sesizare formulată de către Direcţia Naţională Anticorupţie,</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ca</w:t>
      </w:r>
      <w:r w:rsidRPr="006C5EC5">
        <w:rPr>
          <w:rFonts w:asciiTheme="minorHAnsi" w:hAnsiTheme="minorHAnsi" w:cstheme="minorHAnsi"/>
          <w:color w:val="000000" w:themeColor="text1"/>
          <w:lang w:val="ro-RO"/>
        </w:rPr>
        <w:t xml:space="preserve"> urmare a  informaţiilor prezentate pe postul România TV din data de 11.09.2017, în cadrul emisiunii ,,Ediţie de seară” difuzată la ora 22.00, afirmaţii care au fost preluate de numeroase instituţii media în cursul zilei de 12.09.2017 şi ulterior.</w:t>
      </w:r>
    </w:p>
    <w:p w:rsidR="00473B92" w:rsidRPr="00E84C0D" w:rsidRDefault="00473B92" w:rsidP="00473B92">
      <w:pPr>
        <w:tabs>
          <w:tab w:val="left" w:pos="0"/>
        </w:tabs>
        <w:spacing w:line="276" w:lineRule="auto"/>
        <w:ind w:firstLine="709"/>
        <w:jc w:val="both"/>
        <w:rPr>
          <w:rFonts w:asciiTheme="minorHAnsi" w:hAnsiTheme="minorHAnsi" w:cstheme="minorHAnsi"/>
          <w:color w:val="000000" w:themeColor="text1"/>
          <w:lang w:val="ro-RO"/>
        </w:rPr>
      </w:pPr>
      <w:r w:rsidRPr="00E84C0D">
        <w:rPr>
          <w:rFonts w:asciiTheme="minorHAnsi" w:hAnsiTheme="minorHAnsi" w:cstheme="minorHAnsi"/>
          <w:bCs/>
          <w:color w:val="000000" w:themeColor="text1"/>
          <w:kern w:val="32"/>
          <w:lang w:val="ro-RO"/>
        </w:rPr>
        <w:t xml:space="preserve">Plenul Consiliului Superior al Magistraturii, prin Hotărârea nr. 1138/31.10.2017, şi-a însuşit concluziile raportului Inspecţiei Judiciare în sensul că declaraţiile emise în spaţiul public sunt de </w:t>
      </w:r>
      <w:r w:rsidRPr="00E84C0D">
        <w:rPr>
          <w:rFonts w:asciiTheme="minorHAnsi" w:hAnsiTheme="minorHAnsi" w:cstheme="minorHAnsi"/>
          <w:bCs/>
          <w:color w:val="000000" w:themeColor="text1"/>
          <w:lang w:val="ro-RO" w:eastAsia="ro-RO"/>
        </w:rPr>
        <w:t>sunt de natură să afecteze independenţa, prestigiul şi credibilitatea sistemului judiciar</w:t>
      </w:r>
      <w:r w:rsidRPr="00E84C0D">
        <w:rPr>
          <w:rFonts w:asciiTheme="minorHAnsi" w:hAnsiTheme="minorHAnsi" w:cstheme="minorHAnsi"/>
          <w:bCs/>
          <w:color w:val="000000" w:themeColor="text1"/>
          <w:kern w:val="32"/>
          <w:lang w:val="ro-RO"/>
        </w:rPr>
        <w:t>.</w:t>
      </w:r>
    </w:p>
    <w:p w:rsidR="00473B92" w:rsidRPr="006C5EC5" w:rsidRDefault="00473B92" w:rsidP="00473B92">
      <w:pPr>
        <w:tabs>
          <w:tab w:val="left" w:pos="0"/>
        </w:tabs>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 xml:space="preserve">6971/IJ/1448/DIP/2017 </w:t>
      </w:r>
      <w:r w:rsidRPr="006C5EC5">
        <w:rPr>
          <w:rFonts w:asciiTheme="minorHAnsi" w:hAnsiTheme="minorHAnsi" w:cstheme="minorHAnsi"/>
          <w:bCs/>
          <w:color w:val="000000" w:themeColor="text1"/>
          <w:kern w:val="32"/>
          <w:lang w:val="ro-RO"/>
        </w:rPr>
        <w:t>- privind sesizarea Consiliului Superior al Magistraturii</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 xml:space="preserve">de efectuare a verificărilor necesare </w:t>
      </w:r>
      <w:r w:rsidRPr="006C5EC5">
        <w:rPr>
          <w:rFonts w:asciiTheme="minorHAnsi" w:hAnsiTheme="minorHAnsi" w:cstheme="minorHAnsi"/>
          <w:color w:val="000000" w:themeColor="text1"/>
          <w:lang w:val="ro-RO"/>
        </w:rPr>
        <w:t>pentru a se stabili dacă şi în ce măsură a fost adusă atingere independenţei sistemului judiciar în ansamblul său, prin declaraţiile din data de 26 septembrie 2017 ale Ministrului Justiţiei, domnul T.T., prin care se făcea referire la ancheta Direcţiei Naţionale Anticorupţie ce stă la baza comunicării publice realizată prin comunicatul nr. 906/VIII/22 septembrie 2017.</w:t>
      </w:r>
    </w:p>
    <w:p w:rsidR="00473B92" w:rsidRPr="00E84C0D" w:rsidRDefault="00473B92" w:rsidP="00473B92">
      <w:pPr>
        <w:pStyle w:val="Default"/>
        <w:spacing w:line="276" w:lineRule="auto"/>
        <w:ind w:firstLine="708"/>
        <w:jc w:val="both"/>
        <w:rPr>
          <w:rFonts w:asciiTheme="minorHAnsi" w:hAnsiTheme="minorHAnsi" w:cstheme="minorHAnsi"/>
          <w:color w:val="000000" w:themeColor="text1"/>
          <w:lang w:eastAsia="en-US"/>
        </w:rPr>
      </w:pPr>
      <w:r w:rsidRPr="00E84C0D">
        <w:rPr>
          <w:rFonts w:asciiTheme="minorHAnsi" w:hAnsiTheme="minorHAnsi" w:cstheme="minorHAnsi"/>
          <w:bCs/>
          <w:color w:val="000000" w:themeColor="text1"/>
          <w:kern w:val="32"/>
        </w:rPr>
        <w:t xml:space="preserve">Prin Hotărârea nr. 1472/19.12.2017, Plenul Consiliului Superior al Magistraturii </w:t>
      </w:r>
      <w:r w:rsidRPr="00E84C0D">
        <w:rPr>
          <w:rFonts w:asciiTheme="minorHAnsi" w:hAnsiTheme="minorHAnsi" w:cstheme="minorHAnsi"/>
          <w:bCs/>
          <w:color w:val="000000" w:themeColor="text1"/>
          <w:lang w:eastAsia="en-US"/>
        </w:rPr>
        <w:t xml:space="preserve">Plenul Consiliului Superior al Magistraturii a hotărât admiterea cererii de apărare a independenţei sistemului judiciar formulată de procurorul şef al Direcţiei Naţionale Anticorupţie. </w:t>
      </w:r>
    </w:p>
    <w:p w:rsidR="00473B92" w:rsidRPr="006C5EC5" w:rsidRDefault="00473B92" w:rsidP="00473B92">
      <w:pPr>
        <w:spacing w:line="276" w:lineRule="auto"/>
        <w:ind w:firstLine="709"/>
        <w:jc w:val="both"/>
        <w:rPr>
          <w:rFonts w:asciiTheme="minorHAnsi" w:hAnsiTheme="minorHAnsi" w:cstheme="minorHAnsi"/>
          <w:b/>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color w:val="000000" w:themeColor="text1"/>
          <w:lang w:val="ro-RO"/>
        </w:rPr>
        <w:t xml:space="preserve">7034/IJ/1466/DIP/2017 </w:t>
      </w:r>
      <w:r w:rsidRPr="006C5EC5">
        <w:rPr>
          <w:rFonts w:asciiTheme="minorHAnsi" w:hAnsiTheme="minorHAnsi" w:cstheme="minorHAnsi"/>
          <w:bCs/>
          <w:color w:val="000000" w:themeColor="text1"/>
          <w:kern w:val="32"/>
          <w:lang w:val="ro-RO"/>
        </w:rPr>
        <w:t>- prin Hotărârea nr. 971 din data de 21 septembrie 2017, Plenul Consiliului Superior al Magistraturii a  hotărât sesizarea Inspecţiei Judiciare</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lang w:val="ro-RO"/>
        </w:rPr>
        <w:t xml:space="preserve">în vederea efectuării de verificări privind posibila afectare a independenţei întregului sistem judiciar, faţă de pretinsele presiuni pe care procurorul şef DNA, L.C.K., le-ar fi făcut asupra procurorului inspector M.F., desemnată sa cerceteze eventuale abateri disciplinare ale unor procurori DNA. </w:t>
      </w:r>
    </w:p>
    <w:p w:rsidR="00473B92" w:rsidRPr="00E84C0D" w:rsidRDefault="00473B92" w:rsidP="00473B92">
      <w:pPr>
        <w:pStyle w:val="Default"/>
        <w:spacing w:line="276" w:lineRule="auto"/>
        <w:ind w:firstLine="708"/>
        <w:jc w:val="both"/>
        <w:rPr>
          <w:rFonts w:asciiTheme="minorHAnsi" w:hAnsiTheme="minorHAnsi" w:cstheme="minorHAnsi"/>
          <w:color w:val="000000" w:themeColor="text1"/>
          <w:lang w:eastAsia="en-US"/>
        </w:rPr>
      </w:pPr>
      <w:r w:rsidRPr="00E84C0D">
        <w:rPr>
          <w:rFonts w:asciiTheme="minorHAnsi" w:hAnsiTheme="minorHAnsi" w:cstheme="minorHAnsi"/>
          <w:bCs/>
          <w:color w:val="000000" w:themeColor="text1"/>
          <w:kern w:val="32"/>
        </w:rPr>
        <w:t xml:space="preserve">Prin Hotărârea nr. 1471/19.12.2017 Plenul Consiliului Superior al Magistraturii </w:t>
      </w:r>
      <w:r w:rsidRPr="00E84C0D">
        <w:rPr>
          <w:rFonts w:asciiTheme="minorHAnsi" w:hAnsiTheme="minorHAnsi" w:cstheme="minorHAnsi"/>
          <w:bCs/>
          <w:color w:val="000000" w:themeColor="text1"/>
          <w:lang w:eastAsia="en-US"/>
        </w:rPr>
        <w:t xml:space="preserve">a hotărât respingerea cererii de apărare a independenţei sistemului judiciar formulată de Uniunea Naţională a Judecătorilor din România şi Asociaţia Magistraţilor din România, faţă de pretinsele presiuni pe care procurorul şef al DNA le-ar fi exercitat asupra doamnei inspector M.F.. </w:t>
      </w:r>
    </w:p>
    <w:p w:rsidR="00473B92" w:rsidRDefault="00473B92" w:rsidP="00473B92">
      <w:pPr>
        <w:spacing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b/>
          <w:i/>
          <w:color w:val="000000" w:themeColor="text1"/>
          <w:lang w:val="ro-RO"/>
        </w:rPr>
        <w:t xml:space="preserve">7064/IJ/1474/DIP/2017 </w:t>
      </w:r>
      <w:r w:rsidRPr="006C5EC5">
        <w:rPr>
          <w:rFonts w:asciiTheme="minorHAnsi" w:hAnsiTheme="minorHAnsi" w:cstheme="minorHAnsi"/>
          <w:bCs/>
          <w:color w:val="000000" w:themeColor="text1"/>
          <w:kern w:val="32"/>
          <w:lang w:val="ro-RO"/>
        </w:rPr>
        <w:t xml:space="preserve">- prin Hotărârea nr. 971 din data de 21 septembrie 2017, Plenul Consiliului Superior al Magistraturii a dispus </w:t>
      </w:r>
      <w:r w:rsidRPr="006C5EC5">
        <w:rPr>
          <w:rFonts w:asciiTheme="minorHAnsi" w:hAnsiTheme="minorHAnsi" w:cstheme="minorHAnsi"/>
          <w:color w:val="000000" w:themeColor="text1"/>
          <w:lang w:val="ro-RO"/>
        </w:rPr>
        <w:t xml:space="preserve">sesizarea din oficiu a Inspecţiei Judiciare în vederea efectuării de verificări care să stabilească dacă a fost încălcată independenţa funcţională şi operaţională a Inspecţiei Judiciare/inspectorilor judiciari în realizarea atribuţiilor de serviciu în raport de informaţiile apărute în presă în legătură cu verificările realizate la Direcţia Naţională Anticorupţie; dacă au existat situaţii de încălcare a independenţei Inspecţiei Judiciare prin presiuni interne şi externe; dacă au existat situaţii de încălcare a independenţei inspectorilor judiciari prin presiuni interne şi externe; modul de comunicare a conducerii Inspecţiei Judiciare cu ceilalţi inspectori, exclusiv prin prisma aspectelor care ţin de independenţa inspectorului judiciar;  dacă a existat o înregistrare a unei convorbiri, data pretinsei convorbiri, momentul în care conţinutul pretinsei convorbiri a fost adus la cunoştinţa inspectorului şef, motivele eventualei întârzieri şi orice alte aspecte relevante. </w:t>
      </w:r>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Ordinea de zi din data de 26.04.2018.</w:t>
      </w:r>
    </w:p>
    <w:p w:rsidR="00473B92" w:rsidRPr="006C5EC5" w:rsidRDefault="00473B92" w:rsidP="00473B92">
      <w:pPr>
        <w:spacing w:line="276" w:lineRule="auto"/>
        <w:ind w:firstLine="708"/>
        <w:jc w:val="both"/>
        <w:rPr>
          <w:rFonts w:asciiTheme="minorHAnsi" w:hAnsiTheme="minorHAnsi" w:cstheme="minorHAnsi"/>
          <w:i/>
          <w:color w:val="000000" w:themeColor="text1"/>
          <w:lang w:val="ro-RO"/>
        </w:rPr>
      </w:pPr>
      <w:r w:rsidRPr="006C5EC5">
        <w:rPr>
          <w:rFonts w:asciiTheme="minorHAnsi" w:hAnsiTheme="minorHAnsi" w:cstheme="minorHAnsi"/>
          <w:i/>
          <w:color w:val="000000" w:themeColor="text1"/>
          <w:lang w:val="ro-RO"/>
        </w:rPr>
        <w:t>Lucrare se află în curs de soluţionare la inspectorul judiciar.</w:t>
      </w:r>
    </w:p>
    <w:p w:rsidR="00473B92" w:rsidRPr="006C5EC5" w:rsidRDefault="00473B92" w:rsidP="00473B92">
      <w:pPr>
        <w:spacing w:line="276" w:lineRule="auto"/>
        <w:ind w:firstLine="708"/>
        <w:jc w:val="both"/>
        <w:rPr>
          <w:rFonts w:asciiTheme="minorHAnsi" w:hAnsiTheme="minorHAnsi" w:cstheme="minorHAnsi"/>
          <w:b/>
          <w:color w:val="000000" w:themeColor="text1"/>
          <w:lang w:val="ro-RO"/>
        </w:rPr>
      </w:pPr>
      <w:r w:rsidRPr="006C5EC5">
        <w:rPr>
          <w:rFonts w:asciiTheme="minorHAnsi" w:hAnsiTheme="minorHAnsi" w:cstheme="minorHAnsi"/>
          <w:b/>
          <w:bCs/>
          <w:i/>
          <w:color w:val="000000" w:themeColor="text1"/>
          <w:kern w:val="32"/>
          <w:lang w:val="ro-RO"/>
        </w:rPr>
        <w:t xml:space="preserve">- lucrarea nr. </w:t>
      </w:r>
      <w:r w:rsidRPr="006C5EC5">
        <w:rPr>
          <w:rFonts w:asciiTheme="minorHAnsi" w:hAnsiTheme="minorHAnsi" w:cstheme="minorHAnsi"/>
          <w:i/>
          <w:color w:val="000000" w:themeColor="text1"/>
          <w:lang w:val="ro-RO"/>
        </w:rPr>
        <w:t xml:space="preserve"> </w:t>
      </w:r>
      <w:r w:rsidRPr="006C5EC5">
        <w:rPr>
          <w:rFonts w:asciiTheme="minorHAnsi" w:hAnsiTheme="minorHAnsi" w:cstheme="minorHAnsi"/>
          <w:b/>
          <w:color w:val="000000" w:themeColor="text1"/>
          <w:lang w:val="ro-RO"/>
        </w:rPr>
        <w:t xml:space="preserve">8226/IJ/1731/DIP/2017 </w:t>
      </w:r>
      <w:r w:rsidRPr="006C5EC5">
        <w:rPr>
          <w:rFonts w:asciiTheme="minorHAnsi" w:hAnsiTheme="minorHAnsi" w:cstheme="minorHAnsi"/>
          <w:color w:val="000000" w:themeColor="text1"/>
          <w:lang w:val="ro-RO"/>
        </w:rPr>
        <w:t>-</w:t>
      </w:r>
      <w:r w:rsidRPr="006C5EC5">
        <w:rPr>
          <w:rFonts w:asciiTheme="minorHAnsi" w:hAnsiTheme="minorHAnsi" w:cstheme="minorHAnsi"/>
          <w:b/>
          <w:color w:val="000000" w:themeColor="text1"/>
          <w:lang w:val="ro-RO"/>
        </w:rPr>
        <w:t xml:space="preserve"> </w:t>
      </w:r>
      <w:r w:rsidRPr="006C5EC5">
        <w:rPr>
          <w:rFonts w:asciiTheme="minorHAnsi" w:hAnsiTheme="minorHAnsi" w:cstheme="minorHAnsi"/>
          <w:bCs/>
          <w:color w:val="000000" w:themeColor="text1"/>
          <w:kern w:val="32"/>
          <w:lang w:val="ro-RO"/>
        </w:rPr>
        <w:t xml:space="preserve">solicitarea Consiliului Superior al Magistraturii de efectuare a unor verificări privind </w:t>
      </w:r>
      <w:r w:rsidRPr="006C5EC5">
        <w:rPr>
          <w:rFonts w:asciiTheme="minorHAnsi" w:hAnsiTheme="minorHAnsi" w:cstheme="minorHAnsi"/>
          <w:color w:val="000000" w:themeColor="text1"/>
          <w:lang w:val="ro-RO"/>
        </w:rPr>
        <w:t>apărarea independenţei şi imparţialităţii procurorilor Direcţiei Naţionale Anticorupţie şi a independenţei sistemului judiciar în ansamblu</w:t>
      </w:r>
      <w:r w:rsidRPr="006C5EC5">
        <w:rPr>
          <w:rFonts w:asciiTheme="minorHAnsi" w:hAnsiTheme="minorHAnsi" w:cstheme="minorHAnsi"/>
          <w:bCs/>
          <w:color w:val="000000" w:themeColor="text1"/>
          <w:kern w:val="32"/>
          <w:lang w:val="ro-RO"/>
        </w:rPr>
        <w:t xml:space="preserve"> ce are la bază sesizarea formulată de către Direcţia Naţională Anticorupţie,</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Cs/>
          <w:color w:val="000000" w:themeColor="text1"/>
          <w:kern w:val="32"/>
          <w:lang w:val="ro-RO"/>
        </w:rPr>
        <w:t>ca</w:t>
      </w:r>
      <w:r w:rsidRPr="006C5EC5">
        <w:rPr>
          <w:rFonts w:asciiTheme="minorHAnsi" w:hAnsiTheme="minorHAnsi" w:cstheme="minorHAnsi"/>
          <w:color w:val="000000" w:themeColor="text1"/>
          <w:lang w:val="ro-RO"/>
        </w:rPr>
        <w:t xml:space="preserve"> urmare a apariţiei în mass-media de informaţii cu caracter denigrator la adresa profesionalismului procurorilor Direcţiei Naţionale Anticorupţie, prin care se afirmă că procurorii ,, amestecă fapte vechi de 16 ani clasate iniţial cu un denunţ OLAF din 2016 şi 515000 de puieţi de salcâm din comuna Crangeni", având la bază comunicatul de presă nr.1056/VIII/3/13.11.2017 prin care se făcea referire la faptul că procurorii Direcţiei Naţionale Anticorupţie fac cercetări faţă de liderul unui partid politic.</w:t>
      </w:r>
    </w:p>
    <w:p w:rsidR="00473B92" w:rsidRDefault="00473B92" w:rsidP="00473B92">
      <w:pPr>
        <w:tabs>
          <w:tab w:val="left" w:pos="709"/>
        </w:tabs>
        <w:spacing w:line="276" w:lineRule="auto"/>
        <w:contextualSpacing/>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w:t>
      </w:r>
      <w:r>
        <w:rPr>
          <w:rFonts w:asciiTheme="minorHAnsi" w:hAnsiTheme="minorHAnsi" w:cstheme="minorHAnsi"/>
          <w:color w:val="000000" w:themeColor="text1"/>
          <w:lang w:val="ro-RO"/>
        </w:rPr>
        <w:t>366/27.03</w:t>
      </w:r>
      <w:r w:rsidRPr="000A4CF5">
        <w:rPr>
          <w:rFonts w:asciiTheme="minorHAnsi" w:hAnsiTheme="minorHAnsi" w:cstheme="minorHAnsi"/>
          <w:color w:val="000000" w:themeColor="text1"/>
          <w:lang w:val="ro-RO"/>
        </w:rPr>
        <w:t>.201</w:t>
      </w:r>
      <w:r>
        <w:rPr>
          <w:rFonts w:asciiTheme="minorHAnsi" w:hAnsiTheme="minorHAnsi" w:cstheme="minorHAnsi"/>
          <w:color w:val="000000" w:themeColor="text1"/>
          <w:lang w:val="ro-RO"/>
        </w:rPr>
        <w:t>8</w:t>
      </w:r>
      <w:r w:rsidRPr="000A4CF5">
        <w:rPr>
          <w:rFonts w:asciiTheme="minorHAnsi" w:hAnsiTheme="minorHAnsi" w:cstheme="minorHAnsi"/>
          <w:color w:val="000000" w:themeColor="text1"/>
          <w:lang w:val="ro-RO"/>
        </w:rPr>
        <w:t xml:space="preserve">, Plenul Consiliului Superior al Magistraturii a </w:t>
      </w:r>
      <w:r>
        <w:t>respins cererea formulată de doamna Laura Codruţa Kovesi, procuror şef al Direcţiei Naţionale Anticorupţie, de apărare a independenţei sistemului judiciar în ansamblul său, cu privire la modul în care presa a reflectat informaţiile devenite publice prin comunicatul de presă nr.1056/VIII/3 din data de 13.11.2017 al Direcţiei Naţionale Anticorupţie.</w:t>
      </w:r>
    </w:p>
    <w:p w:rsidR="00473B92" w:rsidRPr="000A4CF5" w:rsidRDefault="00473B92" w:rsidP="00473B92">
      <w:pPr>
        <w:tabs>
          <w:tab w:val="left" w:pos="709"/>
        </w:tabs>
        <w:spacing w:line="276" w:lineRule="auto"/>
        <w:contextualSpacing/>
        <w:jc w:val="both"/>
        <w:rPr>
          <w:rFonts w:asciiTheme="minorHAnsi" w:hAnsiTheme="minorHAnsi" w:cstheme="minorHAnsi"/>
          <w:i/>
          <w:color w:val="000000" w:themeColor="text1"/>
          <w:lang w:val="ro-RO"/>
        </w:rPr>
      </w:pPr>
      <w:r w:rsidRPr="006C5EC5">
        <w:rPr>
          <w:rFonts w:asciiTheme="minorHAnsi" w:hAnsiTheme="minorHAnsi" w:cstheme="minorHAnsi"/>
          <w:bCs/>
          <w:color w:val="000000" w:themeColor="text1"/>
          <w:kern w:val="32"/>
          <w:lang w:val="ro-RO"/>
        </w:rPr>
        <w:tab/>
        <w:t xml:space="preserve">La Inspecția Judiciară au fost înregistrate </w:t>
      </w:r>
      <w:r w:rsidRPr="006C5EC5">
        <w:rPr>
          <w:rFonts w:asciiTheme="minorHAnsi" w:hAnsiTheme="minorHAnsi" w:cstheme="minorHAnsi"/>
          <w:b/>
          <w:bCs/>
          <w:color w:val="000000" w:themeColor="text1"/>
          <w:kern w:val="32"/>
          <w:lang w:val="ro-RO"/>
        </w:rPr>
        <w:t xml:space="preserve">24 sesizări </w:t>
      </w:r>
      <w:r w:rsidRPr="006C5EC5">
        <w:rPr>
          <w:rFonts w:asciiTheme="minorHAnsi" w:hAnsiTheme="minorHAnsi" w:cstheme="minorHAnsi"/>
          <w:color w:val="000000" w:themeColor="text1"/>
          <w:lang w:val="ro-RO"/>
        </w:rPr>
        <w:t>formulate de Consiliul Superior al Magistraturii, având ca obiect apărarea reputaţiei profesionale după cum urmează:</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lucrarea</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 xml:space="preserve">388/IJ/195/DIJ/2017 </w:t>
      </w:r>
      <w:r w:rsidRPr="006C5EC5">
        <w:rPr>
          <w:rFonts w:asciiTheme="minorHAnsi" w:hAnsiTheme="minorHAnsi" w:cstheme="minorHAnsi"/>
          <w:color w:val="000000" w:themeColor="text1"/>
          <w:lang w:val="ro-RO"/>
        </w:rPr>
        <w:t xml:space="preserve">- solicitarea Consiliului Superior al Magistraturii de efectuarea unor verifricări raportat la cererea de apărarea reputaţiei profesionale formulată de judecător C.B, din cadrul C.A.B, ca urmare a declaraţiilor făcute de S.G.A. (fost deputat) în cadrul unei serii de înregistrări video, prezentate, în mod succesiv, de postul Romania TV în perioada 03-05.01.2017. </w:t>
      </w:r>
    </w:p>
    <w:p w:rsidR="00473B92" w:rsidRDefault="00473B92" w:rsidP="00473B92">
      <w:pPr>
        <w:spacing w:line="276" w:lineRule="auto"/>
        <w:ind w:firstLine="708"/>
        <w:jc w:val="both"/>
        <w:rPr>
          <w:rFonts w:asciiTheme="minorHAnsi" w:hAnsiTheme="minorHAnsi" w:cstheme="minorHAnsi"/>
          <w:color w:val="000000" w:themeColor="text1"/>
          <w:lang w:val="ro-RO"/>
        </w:rPr>
      </w:pPr>
      <w:r>
        <w:rPr>
          <w:rFonts w:asciiTheme="minorHAnsi" w:hAnsiTheme="minorHAnsi" w:cstheme="minorHAnsi"/>
          <w:bCs/>
          <w:color w:val="000000" w:themeColor="text1"/>
          <w:kern w:val="32"/>
        </w:rPr>
        <w:t>Prin Hotărârea nr. 27/11.01</w:t>
      </w:r>
      <w:r w:rsidRPr="00E84C0D">
        <w:rPr>
          <w:rFonts w:asciiTheme="minorHAnsi" w:hAnsiTheme="minorHAnsi" w:cstheme="minorHAnsi"/>
          <w:bCs/>
          <w:color w:val="000000" w:themeColor="text1"/>
          <w:kern w:val="32"/>
        </w:rPr>
        <w:t xml:space="preserve">.2017 Plenul Consiliului Superior al Magistraturii </w:t>
      </w:r>
      <w:r>
        <w:rPr>
          <w:rFonts w:asciiTheme="minorHAnsi" w:hAnsiTheme="minorHAnsi" w:cstheme="minorHAnsi"/>
          <w:bCs/>
          <w:color w:val="000000" w:themeColor="text1"/>
        </w:rPr>
        <w:t>a</w:t>
      </w:r>
      <w:r w:rsidRPr="00E84C0D">
        <w:rPr>
          <w:rFonts w:asciiTheme="minorHAnsi" w:hAnsiTheme="minorHAnsi" w:cstheme="minorHAnsi"/>
          <w:bCs/>
          <w:color w:val="000000" w:themeColor="text1"/>
        </w:rPr>
        <w:t xml:space="preserve"> </w:t>
      </w:r>
      <w:r>
        <w:t>respins cererea de apărare a reputaţiei profesionale formulată de doamna judecător CAMELIA BOGDAN.</w:t>
      </w:r>
    </w:p>
    <w:p w:rsidR="00473B92"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ab/>
      </w:r>
      <w:r w:rsidRPr="006C5EC5">
        <w:rPr>
          <w:rFonts w:asciiTheme="minorHAnsi" w:hAnsiTheme="minorHAnsi" w:cstheme="minorHAnsi"/>
          <w:color w:val="000000" w:themeColor="text1"/>
          <w:lang w:val="ro-RO"/>
        </w:rPr>
        <w:t>-</w:t>
      </w:r>
      <w:r w:rsidRPr="006C5EC5">
        <w:rPr>
          <w:rFonts w:asciiTheme="minorHAnsi" w:hAnsiTheme="minorHAnsi" w:cstheme="minorHAnsi"/>
          <w:b/>
          <w:color w:val="000000" w:themeColor="text1"/>
          <w:lang w:val="ro-RO"/>
        </w:rPr>
        <w:t xml:space="preserve"> lucrarea</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543/IJ/243/DIJ/2017</w:t>
      </w:r>
      <w:r w:rsidRPr="006C5EC5">
        <w:rPr>
          <w:rFonts w:asciiTheme="minorHAnsi" w:hAnsiTheme="minorHAnsi" w:cstheme="minorHAnsi"/>
          <w:color w:val="000000" w:themeColor="text1"/>
          <w:lang w:val="ro-RO"/>
        </w:rPr>
        <w:t xml:space="preserve"> – solicitarea Consiliului Superior al Magistraturii de efectuarea unor verificări raportat la cererea de apărarea reputaţiei profesionale, formulată de judecător C.B, din cadrul C.A.B, ca urmare a informării adresată intanţei de domnul avocat F.C. în care</w:t>
      </w:r>
      <w:r w:rsidRPr="006C5EC5">
        <w:rPr>
          <w:rFonts w:asciiTheme="minorHAnsi" w:hAnsiTheme="minorHAnsi" w:cstheme="minorHAnsi"/>
          <w:i/>
          <w:color w:val="000000" w:themeColor="text1"/>
          <w:lang w:val="ro-RO"/>
        </w:rPr>
        <w:t xml:space="preserve"> </w:t>
      </w:r>
      <w:r w:rsidRPr="006C5EC5">
        <w:rPr>
          <w:rFonts w:asciiTheme="minorHAnsi" w:hAnsiTheme="minorHAnsi" w:cstheme="minorHAnsi"/>
          <w:color w:val="000000" w:themeColor="text1"/>
          <w:lang w:val="ro-RO"/>
        </w:rPr>
        <w:t>arătat, fără a indica în concret care sunt aspectele sau împrejurările, că dosarul nu ar fi fost repartizat aleatoriu.</w:t>
      </w:r>
    </w:p>
    <w:p w:rsidR="00473B92" w:rsidRDefault="00473B92" w:rsidP="00473B92">
      <w:pPr>
        <w:spacing w:line="276" w:lineRule="auto"/>
        <w:ind w:firstLine="708"/>
        <w:jc w:val="both"/>
        <w:rPr>
          <w:rFonts w:asciiTheme="minorHAnsi" w:hAnsiTheme="minorHAnsi" w:cstheme="minorHAnsi"/>
          <w:color w:val="000000" w:themeColor="text1"/>
          <w:lang w:val="ro-RO"/>
        </w:rPr>
      </w:pPr>
      <w:r>
        <w:rPr>
          <w:rFonts w:asciiTheme="minorHAnsi" w:hAnsiTheme="minorHAnsi" w:cstheme="minorHAnsi"/>
          <w:bCs/>
          <w:color w:val="000000" w:themeColor="text1"/>
          <w:kern w:val="32"/>
        </w:rPr>
        <w:t>Prin Hotărârea nr. 28/11.01</w:t>
      </w:r>
      <w:r w:rsidRPr="00E84C0D">
        <w:rPr>
          <w:rFonts w:asciiTheme="minorHAnsi" w:hAnsiTheme="minorHAnsi" w:cstheme="minorHAnsi"/>
          <w:bCs/>
          <w:color w:val="000000" w:themeColor="text1"/>
          <w:kern w:val="32"/>
        </w:rPr>
        <w:t xml:space="preserve">.2017 Plenul Consiliului Superior al Magistraturii </w:t>
      </w:r>
      <w:r>
        <w:rPr>
          <w:rFonts w:asciiTheme="minorHAnsi" w:hAnsiTheme="minorHAnsi" w:cstheme="minorHAnsi"/>
          <w:bCs/>
          <w:color w:val="000000" w:themeColor="text1"/>
        </w:rPr>
        <w:t>a</w:t>
      </w:r>
      <w:r w:rsidRPr="00E84C0D">
        <w:rPr>
          <w:rFonts w:asciiTheme="minorHAnsi" w:hAnsiTheme="minorHAnsi" w:cstheme="minorHAnsi"/>
          <w:bCs/>
          <w:color w:val="000000" w:themeColor="text1"/>
        </w:rPr>
        <w:t xml:space="preserve"> </w:t>
      </w:r>
      <w:r>
        <w:t>respins cererea de apărare a reputaţiei profesionale formulată de doamna judecător CAMELIA BOGDAN.</w:t>
      </w:r>
    </w:p>
    <w:p w:rsidR="00473B92" w:rsidRPr="006C5EC5" w:rsidRDefault="00473B92" w:rsidP="00473B92">
      <w:pPr>
        <w:spacing w:line="276" w:lineRule="auto"/>
        <w:jc w:val="both"/>
        <w:rPr>
          <w:rFonts w:asciiTheme="minorHAnsi" w:hAnsiTheme="minorHAnsi" w:cstheme="minorHAnsi"/>
          <w:i/>
          <w:color w:val="000000" w:themeColor="text1"/>
          <w:lang w:val="ro-RO"/>
        </w:rPr>
      </w:pPr>
      <w:r w:rsidRPr="006C5EC5">
        <w:rPr>
          <w:rFonts w:asciiTheme="minorHAnsi" w:hAnsiTheme="minorHAnsi" w:cstheme="minorHAnsi"/>
          <w:color w:val="000000" w:themeColor="text1"/>
          <w:lang w:val="ro-RO"/>
        </w:rPr>
        <w:tab/>
      </w:r>
      <w:r w:rsidRPr="006C5EC5">
        <w:rPr>
          <w:rFonts w:asciiTheme="minorHAnsi" w:hAnsiTheme="minorHAnsi" w:cstheme="minorHAnsi"/>
          <w:i/>
          <w:color w:val="000000" w:themeColor="text1"/>
          <w:lang w:val="ro-RO"/>
        </w:rPr>
        <w:t>-</w:t>
      </w:r>
      <w:r w:rsidRPr="006C5EC5">
        <w:rPr>
          <w:rFonts w:asciiTheme="minorHAnsi" w:hAnsiTheme="minorHAnsi" w:cstheme="minorHAnsi"/>
          <w:b/>
          <w:i/>
          <w:color w:val="000000" w:themeColor="text1"/>
          <w:lang w:val="ro-RO"/>
        </w:rPr>
        <w:t xml:space="preserve"> </w:t>
      </w:r>
      <w:r w:rsidRPr="006C5EC5">
        <w:rPr>
          <w:rFonts w:asciiTheme="minorHAnsi" w:hAnsiTheme="minorHAnsi" w:cstheme="minorHAnsi"/>
          <w:b/>
          <w:color w:val="000000" w:themeColor="text1"/>
          <w:lang w:val="ro-RO"/>
        </w:rPr>
        <w:t>lucrarea</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 xml:space="preserve">817/IJ/352/DIJ/2017 </w:t>
      </w:r>
      <w:r w:rsidRPr="006C5EC5">
        <w:rPr>
          <w:rFonts w:asciiTheme="minorHAnsi" w:hAnsiTheme="minorHAnsi" w:cstheme="minorHAnsi"/>
          <w:color w:val="000000" w:themeColor="text1"/>
          <w:lang w:val="ro-RO"/>
        </w:rPr>
        <w:t xml:space="preserve">- solicitarea Consiliului Superior al Magistraturii de efectuarea unor verificări raportat la cererea de apărarea reputaţiei profesionale, formulată de judecător C.B, din cadrul C.A.B, ca urmare a apariţiei articolului de presă </w:t>
      </w:r>
      <w:r w:rsidRPr="006C5EC5">
        <w:rPr>
          <w:rFonts w:asciiTheme="minorHAnsi" w:hAnsiTheme="minorHAnsi" w:cstheme="minorHAnsi"/>
          <w:i/>
          <w:color w:val="000000" w:themeColor="text1"/>
          <w:lang w:val="ro-RO"/>
        </w:rPr>
        <w:t>"Elan pune tunurile pe Camelia Bogdan".</w:t>
      </w:r>
    </w:p>
    <w:p w:rsidR="00473B92" w:rsidRDefault="00473B92" w:rsidP="00473B92">
      <w:pPr>
        <w:tabs>
          <w:tab w:val="left" w:pos="709"/>
          <w:tab w:val="left" w:pos="5103"/>
        </w:tabs>
        <w:spacing w:line="276" w:lineRule="auto"/>
        <w:jc w:val="both"/>
      </w:pPr>
      <w:r w:rsidRPr="006C5EC5">
        <w:rPr>
          <w:rFonts w:asciiTheme="minorHAnsi" w:hAnsiTheme="minorHAnsi" w:cstheme="minorHAnsi"/>
          <w:i/>
          <w:color w:val="000000" w:themeColor="text1"/>
          <w:lang w:val="ro-RO"/>
        </w:rPr>
        <w:tab/>
      </w:r>
      <w:r>
        <w:rPr>
          <w:rFonts w:asciiTheme="minorHAnsi" w:hAnsiTheme="minorHAnsi" w:cstheme="minorHAnsi"/>
          <w:bCs/>
          <w:color w:val="000000" w:themeColor="text1"/>
          <w:kern w:val="32"/>
        </w:rPr>
        <w:t>Prin Hotărârea nr. 30/11.01</w:t>
      </w:r>
      <w:r w:rsidRPr="00E84C0D">
        <w:rPr>
          <w:rFonts w:asciiTheme="minorHAnsi" w:hAnsiTheme="minorHAnsi" w:cstheme="minorHAnsi"/>
          <w:bCs/>
          <w:color w:val="000000" w:themeColor="text1"/>
          <w:kern w:val="32"/>
        </w:rPr>
        <w:t xml:space="preserve">.2017 Plenul Consiliului Superior al Magistraturii </w:t>
      </w:r>
      <w:r>
        <w:rPr>
          <w:rFonts w:asciiTheme="minorHAnsi" w:hAnsiTheme="minorHAnsi" w:cstheme="minorHAnsi"/>
          <w:bCs/>
          <w:color w:val="000000" w:themeColor="text1"/>
        </w:rPr>
        <w:t>a</w:t>
      </w:r>
      <w:r w:rsidRPr="00E84C0D">
        <w:rPr>
          <w:rFonts w:asciiTheme="minorHAnsi" w:hAnsiTheme="minorHAnsi" w:cstheme="minorHAnsi"/>
          <w:bCs/>
          <w:color w:val="000000" w:themeColor="text1"/>
        </w:rPr>
        <w:t xml:space="preserve"> </w:t>
      </w:r>
      <w:r>
        <w:t>respins cererea de apărare a reputaţiei profesionale formulată de doamna judecător CAMELIA BOGDAN.</w:t>
      </w:r>
    </w:p>
    <w:p w:rsidR="00473B92" w:rsidRPr="006C5EC5" w:rsidRDefault="00473B92" w:rsidP="00473B92">
      <w:pPr>
        <w:tabs>
          <w:tab w:val="left" w:pos="709"/>
          <w:tab w:val="left" w:pos="5103"/>
        </w:tabs>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 xml:space="preserve">851/IJ/363/DIJ/2017 </w:t>
      </w:r>
      <w:r w:rsidRPr="006C5EC5">
        <w:rPr>
          <w:rFonts w:asciiTheme="minorHAnsi" w:hAnsiTheme="minorHAnsi" w:cstheme="minorHAnsi"/>
          <w:color w:val="000000" w:themeColor="text1"/>
          <w:lang w:val="ro-RO"/>
        </w:rPr>
        <w:t>- solicitarea Consiliului Superior al Magistraturii de efectuarea unor verificări raportat la cererea de apărarea reputaţiei profesionale, formulată de judecător C.B, din cadrul C.A.B, ca urmare a "imixtiunilor care aduc atingere integrităţii sistemului judiciar".</w:t>
      </w:r>
    </w:p>
    <w:p w:rsidR="00473B92" w:rsidRDefault="00473B92" w:rsidP="00473B92">
      <w:pPr>
        <w:tabs>
          <w:tab w:val="left" w:pos="709"/>
          <w:tab w:val="left" w:pos="5103"/>
        </w:tabs>
        <w:spacing w:line="276" w:lineRule="auto"/>
        <w:jc w:val="both"/>
      </w:pPr>
      <w:r w:rsidRPr="006C5EC5">
        <w:rPr>
          <w:rFonts w:asciiTheme="minorHAnsi" w:hAnsiTheme="minorHAnsi" w:cstheme="minorHAnsi"/>
          <w:color w:val="000000" w:themeColor="text1"/>
          <w:lang w:val="ro-RO"/>
        </w:rPr>
        <w:tab/>
      </w:r>
      <w:r>
        <w:rPr>
          <w:rFonts w:asciiTheme="minorHAnsi" w:hAnsiTheme="minorHAnsi" w:cstheme="minorHAnsi"/>
          <w:bCs/>
          <w:color w:val="000000" w:themeColor="text1"/>
          <w:kern w:val="32"/>
        </w:rPr>
        <w:t>Prin Hotărârea nr. 29/11.01</w:t>
      </w:r>
      <w:r w:rsidRPr="00E84C0D">
        <w:rPr>
          <w:rFonts w:asciiTheme="minorHAnsi" w:hAnsiTheme="minorHAnsi" w:cstheme="minorHAnsi"/>
          <w:bCs/>
          <w:color w:val="000000" w:themeColor="text1"/>
          <w:kern w:val="32"/>
        </w:rPr>
        <w:t xml:space="preserve">.2017 Plenul Consiliului Superior al Magistraturii </w:t>
      </w:r>
      <w:r>
        <w:t>a luat act de retragerea cererii de apărare a reputaţiei profesionale formulate de doamna judecător BOGDAN CAMELIA, ce a constituit obiectul Raportului Inspecţiei Judiciare nr.851/IJ/363/DIJ/2017.</w:t>
      </w:r>
    </w:p>
    <w:p w:rsidR="00473B92" w:rsidRPr="006C5EC5" w:rsidRDefault="00473B92" w:rsidP="00473B92">
      <w:pPr>
        <w:tabs>
          <w:tab w:val="left" w:pos="709"/>
          <w:tab w:val="left" w:pos="5103"/>
        </w:tabs>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 xml:space="preserve">1338/619/DIJ/2017 </w:t>
      </w:r>
      <w:r w:rsidRPr="006C5EC5">
        <w:rPr>
          <w:rFonts w:asciiTheme="minorHAnsi" w:hAnsiTheme="minorHAnsi" w:cstheme="minorHAnsi"/>
          <w:color w:val="000000" w:themeColor="text1"/>
          <w:lang w:val="ro-RO"/>
        </w:rPr>
        <w:t xml:space="preserve">- solicitarea Consiliului Superior al Magistraturii de efectuarea unor verificări raportat la cererea de apărarea reputaţiei profesionale, formulată de judecător C.B, din cadrul C.A.B,ca urmare a susţinerilor în spaţiul public a afirmaţiilor conform cărora  excluderea sa din magistratură se bazează pe faptul că </w:t>
      </w:r>
      <w:r w:rsidRPr="006C5EC5">
        <w:rPr>
          <w:rFonts w:asciiTheme="minorHAnsi" w:hAnsiTheme="minorHAnsi" w:cstheme="minorHAnsi"/>
          <w:i/>
          <w:color w:val="000000" w:themeColor="text1"/>
          <w:lang w:val="ro-RO"/>
        </w:rPr>
        <w:t>"ar fi luat mită</w:t>
      </w:r>
      <w:r w:rsidRPr="006C5EC5">
        <w:rPr>
          <w:rFonts w:asciiTheme="minorHAnsi" w:hAnsiTheme="minorHAnsi" w:cstheme="minorHAnsi"/>
          <w:color w:val="000000" w:themeColor="text1"/>
          <w:lang w:val="ro-RO"/>
        </w:rPr>
        <w:t>".</w:t>
      </w:r>
    </w:p>
    <w:p w:rsidR="00473B92" w:rsidRDefault="00473B92" w:rsidP="00473B92">
      <w:pPr>
        <w:tabs>
          <w:tab w:val="left" w:pos="709"/>
          <w:tab w:val="left" w:pos="5103"/>
        </w:tabs>
        <w:spacing w:line="276" w:lineRule="auto"/>
        <w:jc w:val="both"/>
        <w:rPr>
          <w:rFonts w:asciiTheme="minorHAnsi" w:hAnsiTheme="minorHAnsi" w:cstheme="minorHAnsi"/>
          <w:bCs/>
          <w:color w:val="000000" w:themeColor="text1"/>
          <w:kern w:val="32"/>
        </w:rPr>
      </w:pPr>
      <w:r w:rsidRPr="006C5EC5">
        <w:rPr>
          <w:rFonts w:asciiTheme="minorHAnsi" w:hAnsiTheme="minorHAnsi" w:cstheme="minorHAnsi"/>
          <w:i/>
          <w:color w:val="000000" w:themeColor="text1"/>
          <w:lang w:val="ro-RO"/>
        </w:rPr>
        <w:tab/>
      </w:r>
      <w:r>
        <w:rPr>
          <w:rFonts w:asciiTheme="minorHAnsi" w:hAnsiTheme="minorHAnsi" w:cstheme="minorHAnsi"/>
          <w:bCs/>
          <w:color w:val="000000" w:themeColor="text1"/>
          <w:kern w:val="32"/>
        </w:rPr>
        <w:t>Prin Hotărârea nr. 31/11.01</w:t>
      </w:r>
      <w:r w:rsidRPr="00E84C0D">
        <w:rPr>
          <w:rFonts w:asciiTheme="minorHAnsi" w:hAnsiTheme="minorHAnsi" w:cstheme="minorHAnsi"/>
          <w:bCs/>
          <w:color w:val="000000" w:themeColor="text1"/>
          <w:kern w:val="32"/>
        </w:rPr>
        <w:t>.2017 Plenul Consiliului Superior al Magistraturii</w:t>
      </w:r>
      <w:r>
        <w:rPr>
          <w:rFonts w:asciiTheme="minorHAnsi" w:hAnsiTheme="minorHAnsi" w:cstheme="minorHAnsi"/>
          <w:bCs/>
          <w:color w:val="000000" w:themeColor="text1"/>
          <w:kern w:val="32"/>
        </w:rPr>
        <w:t xml:space="preserve"> a r</w:t>
      </w:r>
      <w:r>
        <w:t xml:space="preserve">espins cererea de apărare a reputaţiei profesionale formulată de doamna judecător CAMELIA BOGDAN, în raport de prezentarea punctului de vedere al Băncii Comerciale Romane faţă de afirmaţiile realizate de doamna judecător Camelia Bogdan, în cadrul mai multor articole publicate de către aceasta, pornind de la încheierea de Cameră Preliminară pronunţată la data de 10.06.2016 în dosarul 23 nr.2428/2/2016 al Curţii de Apel Bucureşti – Secţia a II-a penală </w:t>
      </w:r>
      <w:r w:rsidRPr="00785E65">
        <w:rPr>
          <w:b/>
        </w:rPr>
        <w:t>şi</w:t>
      </w:r>
      <w:r>
        <w:t xml:space="preserve"> a respins cererea de apărare a reputaţiei profesionale formulată de doamna judecător CAMELIA BOGDAN, în raport de prezentarea soluţiei pronunţate de Secţia pentru judecători în materie disciplinară a Consiliului Superior al Magistraturii de excludere din magistratură pentru că magistratul ar fi desfăşurat activităţi incompatibile cu statutul de judecător, respectiv ca a luat bani de la partea vătămată în procesul „Telepatia”</w:t>
      </w:r>
    </w:p>
    <w:p w:rsidR="00473B92" w:rsidRPr="006C5EC5" w:rsidRDefault="00473B92" w:rsidP="00473B92">
      <w:pPr>
        <w:tabs>
          <w:tab w:val="left" w:pos="709"/>
          <w:tab w:val="left" w:pos="5103"/>
        </w:tabs>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 xml:space="preserve">lucrarea nr. 1692/IJ/768/DIJ/2017 </w:t>
      </w:r>
      <w:r w:rsidRPr="006C5EC5">
        <w:rPr>
          <w:rFonts w:asciiTheme="minorHAnsi" w:hAnsiTheme="minorHAnsi" w:cstheme="minorHAnsi"/>
          <w:color w:val="000000" w:themeColor="text1"/>
          <w:lang w:val="ro-RO"/>
        </w:rPr>
        <w:t>- solicitarea Consiliului Superior al Magistraturii de efectuarea unor verificări raportat la cererea de apărarea reputaţiei profesionale, formulată de judecător C.B, din cadrul C.A.B, urmare afirmaţiilor proliferate în cadrul emisiunii „Sinteza zilei” din data de 08.02.2017, potrivit cărora a fost dată afară din magistratură pentru că ar fi predat prevenirea şi combatrea corupţiei funcţionarilor statului.</w:t>
      </w:r>
      <w:r w:rsidRPr="006C5EC5">
        <w:rPr>
          <w:rFonts w:asciiTheme="minorHAnsi" w:hAnsiTheme="minorHAnsi" w:cstheme="minorHAnsi"/>
          <w:color w:val="000000" w:themeColor="text1"/>
          <w:lang w:val="ro-RO"/>
        </w:rPr>
        <w:tab/>
      </w:r>
    </w:p>
    <w:p w:rsidR="00473B92" w:rsidRPr="006C5EC5" w:rsidRDefault="00473B92" w:rsidP="00473B92">
      <w:pPr>
        <w:spacing w:line="276" w:lineRule="auto"/>
        <w:jc w:val="both"/>
        <w:rPr>
          <w:rFonts w:asciiTheme="minorHAnsi" w:hAnsiTheme="minorHAnsi" w:cstheme="minorHAnsi"/>
          <w:i/>
          <w:color w:val="000000" w:themeColor="text1"/>
          <w:lang w:val="ro-RO"/>
        </w:rPr>
      </w:pPr>
      <w:r w:rsidRPr="006C5EC5">
        <w:rPr>
          <w:rFonts w:asciiTheme="minorHAnsi" w:hAnsiTheme="minorHAnsi" w:cstheme="minorHAnsi"/>
          <w:color w:val="000000" w:themeColor="text1"/>
          <w:lang w:val="ro-RO"/>
        </w:rPr>
        <w:tab/>
      </w:r>
      <w:r w:rsidRPr="006C5EC5">
        <w:rPr>
          <w:rFonts w:asciiTheme="minorHAnsi" w:hAnsiTheme="minorHAnsi" w:cstheme="minorHAnsi"/>
          <w:i/>
          <w:color w:val="000000" w:themeColor="text1"/>
          <w:lang w:val="ro-RO"/>
        </w:rPr>
        <w:t>Lucrarea a fost conexată la nr. 1338/IJ/619/DIJ/2017.</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2036/IJ/907/DIJ/2017 -</w:t>
      </w:r>
      <w:r w:rsidRPr="006C5EC5">
        <w:rPr>
          <w:rFonts w:asciiTheme="minorHAnsi" w:hAnsiTheme="minorHAnsi" w:cstheme="minorHAnsi"/>
          <w:color w:val="000000" w:themeColor="text1"/>
          <w:lang w:val="ro-RO"/>
        </w:rPr>
        <w:t xml:space="preserve"> solicitarea Consiliului Superior al Magistraturii de efectuarea unor verificări raportat la cererea de apărarea reputaţiei profesionale, formulată de judecător A.S., din cadrul T.T,  întrucât a susţinut că au fost exercitate presiuni de către unii procurori din cadrul DNA ST. T. asupra inclulpatului M.F.N. (persoana cu care în  perioada 2014-2016 a avut o relaţie), în scopul formulării unui denunţ calomnios împotriva acesteia. </w:t>
      </w:r>
    </w:p>
    <w:p w:rsidR="00473B92" w:rsidRPr="000A4CF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 </w:t>
      </w: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nr.627/25.05.2017, Plenul Consiliului Superior al Magistraturii a luat act de renunţare la cerere.</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ab/>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2819/IJ/1273/DIJ/2017</w:t>
      </w:r>
      <w:r w:rsidRPr="006C5EC5">
        <w:rPr>
          <w:rFonts w:asciiTheme="minorHAnsi" w:hAnsiTheme="minorHAnsi" w:cstheme="minorHAnsi"/>
          <w:color w:val="000000" w:themeColor="text1"/>
          <w:lang w:val="ro-RO"/>
        </w:rPr>
        <w:t xml:space="preserve">- solicitarea Consiliului Superior al Magistraturii de efectuarea unor verificări raportat la cererea de apărarea reputaţiei profesionale, formulată de judecător B.C.R din cadrul T.I, urmare a apariţiei în presă a  articolului </w:t>
      </w:r>
      <w:r w:rsidRPr="006C5EC5">
        <w:rPr>
          <w:rFonts w:asciiTheme="minorHAnsi" w:hAnsiTheme="minorHAnsi" w:cstheme="minorHAnsi"/>
          <w:i/>
          <w:color w:val="000000" w:themeColor="text1"/>
          <w:lang w:val="ro-RO"/>
        </w:rPr>
        <w:t>"Carne macră pentru procurori: autodenunţul unui miliardar"</w:t>
      </w:r>
      <w:r w:rsidRPr="006C5EC5">
        <w:rPr>
          <w:rFonts w:asciiTheme="minorHAnsi" w:hAnsiTheme="minorHAnsi" w:cstheme="minorHAnsi"/>
          <w:color w:val="000000" w:themeColor="text1"/>
          <w:lang w:val="ro-RO"/>
        </w:rPr>
        <w:t>,.</w:t>
      </w:r>
    </w:p>
    <w:p w:rsidR="00473B92" w:rsidRPr="000A4CF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 537/04.05.2017, Plenul Consiliului Superior al Magistraturii, a admis cererea.</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2934/IJ/1314/DIJ/2017</w:t>
      </w:r>
      <w:r w:rsidRPr="006C5EC5">
        <w:rPr>
          <w:rFonts w:asciiTheme="minorHAnsi" w:hAnsiTheme="minorHAnsi" w:cstheme="minorHAnsi"/>
          <w:color w:val="000000" w:themeColor="text1"/>
          <w:lang w:val="ro-RO"/>
        </w:rPr>
        <w:t xml:space="preserve"> - solicitarea Consiliului Superior al Magistraturii de efectuarea unor verificări raportat la cererea de apărarea reputaţiei profesionale, formulată de judecător C.N.L, din cadrul J.A, ca urmare afirmaţiilor apărute în mass media şi a unui amplu material denigrator la adresa scris de jurnalistul I.C.  </w:t>
      </w:r>
    </w:p>
    <w:p w:rsidR="00473B92" w:rsidRPr="000A4CF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 627/25.05.2017, Plenul Consiliului Superior al Magistraturii a respins cererea.</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ab/>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lucrarea nr.</w:t>
      </w:r>
      <w:r w:rsidRPr="006C5EC5">
        <w:rPr>
          <w:rFonts w:asciiTheme="minorHAnsi" w:hAnsiTheme="minorHAnsi" w:cstheme="minorHAnsi"/>
          <w:color w:val="000000" w:themeColor="text1"/>
          <w:lang w:val="ro-RO"/>
        </w:rPr>
        <w:t xml:space="preserve"> </w:t>
      </w:r>
      <w:r w:rsidRPr="006C5EC5">
        <w:rPr>
          <w:rFonts w:asciiTheme="minorHAnsi" w:hAnsiTheme="minorHAnsi" w:cstheme="minorHAnsi"/>
          <w:b/>
          <w:color w:val="000000" w:themeColor="text1"/>
          <w:lang w:val="ro-RO"/>
        </w:rPr>
        <w:t>4973/IJ/2238/DIJ/2017 -</w:t>
      </w:r>
      <w:r w:rsidRPr="006C5EC5">
        <w:rPr>
          <w:rFonts w:asciiTheme="minorHAnsi" w:hAnsiTheme="minorHAnsi" w:cstheme="minorHAnsi"/>
          <w:color w:val="000000" w:themeColor="text1"/>
          <w:lang w:val="ro-RO"/>
        </w:rPr>
        <w:t xml:space="preserve"> solicitarea Consiliului Superior al Magistraturii de efectuarea unor verificări raportat la cererea de apărarea reputaţiei profesionale, formulată de judecător C.I.D, din cadrul J.P., urmare a publicării la adata de 21.06.2017 a unui articolului pe site-ul www. luju.ro.</w:t>
      </w:r>
    </w:p>
    <w:p w:rsidR="00473B92" w:rsidRPr="000A4CF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nr.924/14.09.2017, Plenul Consiliului Superior al Magistraturii a admis cererea.</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ab/>
        <w:t xml:space="preserve">- </w:t>
      </w:r>
      <w:r w:rsidRPr="006C5EC5">
        <w:rPr>
          <w:rFonts w:asciiTheme="minorHAnsi" w:hAnsiTheme="minorHAnsi" w:cstheme="minorHAnsi"/>
          <w:color w:val="000000" w:themeColor="text1"/>
          <w:lang w:val="ro-RO"/>
        </w:rPr>
        <w:t xml:space="preserve">lucrarea nr. </w:t>
      </w:r>
      <w:r w:rsidRPr="006C5EC5">
        <w:rPr>
          <w:rFonts w:asciiTheme="minorHAnsi" w:hAnsiTheme="minorHAnsi" w:cstheme="minorHAnsi"/>
          <w:b/>
          <w:color w:val="000000" w:themeColor="text1"/>
          <w:lang w:val="ro-RO"/>
        </w:rPr>
        <w:t>5024/IJ/2263/DIJ/2017</w:t>
      </w:r>
      <w:r w:rsidRPr="006C5EC5">
        <w:rPr>
          <w:rFonts w:asciiTheme="minorHAnsi" w:hAnsiTheme="minorHAnsi" w:cstheme="minorHAnsi"/>
          <w:color w:val="000000" w:themeColor="text1"/>
          <w:lang w:val="ro-RO"/>
        </w:rPr>
        <w:t xml:space="preserve"> - solicitarea Consiliului Superior al Magistraturii de efectuarea unor verificări raportat la cererea de apărarea reputaţiei profesionale, formulată de judecător R.A.M, din cadrul J.P, urmare a unui articolul publicat pe </w:t>
      </w:r>
      <w:hyperlink r:id="rId117" w:history="1">
        <w:r w:rsidRPr="006C5EC5">
          <w:rPr>
            <w:rStyle w:val="Hyperlink"/>
            <w:rFonts w:asciiTheme="minorHAnsi" w:hAnsiTheme="minorHAnsi" w:cstheme="minorHAnsi"/>
            <w:color w:val="000000" w:themeColor="text1"/>
            <w:lang w:val="ro-RO"/>
          </w:rPr>
          <w:t>www.luju.ro</w:t>
        </w:r>
      </w:hyperlink>
      <w:r w:rsidRPr="006C5EC5">
        <w:rPr>
          <w:rFonts w:asciiTheme="minorHAnsi" w:hAnsiTheme="minorHAnsi" w:cstheme="minorHAnsi"/>
          <w:color w:val="000000" w:themeColor="text1"/>
          <w:lang w:val="ro-RO"/>
        </w:rPr>
        <w:t>.</w:t>
      </w:r>
    </w:p>
    <w:p w:rsidR="00473B92" w:rsidRPr="006C5EC5" w:rsidRDefault="00473B92" w:rsidP="00473B92">
      <w:pPr>
        <w:spacing w:line="276" w:lineRule="auto"/>
        <w:jc w:val="both"/>
        <w:rPr>
          <w:rFonts w:asciiTheme="minorHAnsi" w:hAnsiTheme="minorHAnsi" w:cstheme="minorHAnsi"/>
          <w:i/>
          <w:color w:val="000000" w:themeColor="text1"/>
          <w:lang w:val="ro-RO"/>
        </w:rPr>
      </w:pP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nr.925/14.09.2017, Plenul Consiliului Superior al Magistraturii, a admis cererea</w:t>
      </w:r>
      <w:r w:rsidRPr="006C5EC5">
        <w:rPr>
          <w:rFonts w:asciiTheme="minorHAnsi" w:hAnsiTheme="minorHAnsi" w:cstheme="minorHAnsi"/>
          <w:i/>
          <w:color w:val="000000" w:themeColor="text1"/>
          <w:lang w:val="ro-RO"/>
        </w:rPr>
        <w:t>.</w:t>
      </w:r>
    </w:p>
    <w:p w:rsidR="00473B92" w:rsidRPr="006C5EC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ab/>
      </w:r>
      <w:r w:rsidRPr="006C5EC5">
        <w:rPr>
          <w:rFonts w:asciiTheme="minorHAnsi" w:hAnsiTheme="minorHAnsi" w:cstheme="minorHAnsi"/>
          <w:color w:val="000000" w:themeColor="text1"/>
          <w:lang w:val="ro-RO"/>
        </w:rPr>
        <w:t xml:space="preserve">-lucrarea nr. </w:t>
      </w:r>
      <w:r w:rsidRPr="006C5EC5">
        <w:rPr>
          <w:rFonts w:asciiTheme="minorHAnsi" w:hAnsiTheme="minorHAnsi" w:cstheme="minorHAnsi"/>
          <w:b/>
          <w:color w:val="000000" w:themeColor="text1"/>
          <w:lang w:val="ro-RO"/>
        </w:rPr>
        <w:t>5155/IJ/2322/DIJ/2017</w:t>
      </w:r>
      <w:r w:rsidRPr="006C5EC5">
        <w:rPr>
          <w:rFonts w:asciiTheme="minorHAnsi" w:hAnsiTheme="minorHAnsi" w:cstheme="minorHAnsi"/>
          <w:color w:val="000000" w:themeColor="text1"/>
          <w:lang w:val="ro-RO"/>
        </w:rPr>
        <w:t xml:space="preserve"> - solicitarea Consiliului Superior al Magistraturii de efectuarea unor verificări raportat la cererea de apărarea reputaţiei profesionale, formulată de judecător L.-M.M., din cadrul J.P, urmare a unui articolul publicat pe </w:t>
      </w:r>
      <w:hyperlink r:id="rId118" w:history="1">
        <w:r w:rsidRPr="006C5EC5">
          <w:rPr>
            <w:rStyle w:val="Hyperlink"/>
            <w:rFonts w:asciiTheme="minorHAnsi" w:hAnsiTheme="minorHAnsi" w:cstheme="minorHAnsi"/>
            <w:color w:val="000000" w:themeColor="text1"/>
            <w:lang w:val="ro-RO"/>
          </w:rPr>
          <w:t>www.luju.ro</w:t>
        </w:r>
      </w:hyperlink>
      <w:r w:rsidRPr="006C5EC5">
        <w:rPr>
          <w:rFonts w:asciiTheme="minorHAnsi" w:hAnsiTheme="minorHAnsi" w:cstheme="minorHAnsi"/>
          <w:color w:val="000000" w:themeColor="text1"/>
          <w:lang w:val="ro-RO"/>
        </w:rPr>
        <w:t>.</w:t>
      </w:r>
    </w:p>
    <w:p w:rsidR="00473B92" w:rsidRPr="000A4CF5"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r>
      <w:r w:rsidRPr="000A4CF5">
        <w:rPr>
          <w:rFonts w:asciiTheme="minorHAnsi" w:hAnsiTheme="minorHAnsi" w:cstheme="minorHAnsi"/>
          <w:color w:val="000000" w:themeColor="text1"/>
          <w:lang w:val="ro-RO"/>
        </w:rPr>
        <w:t>Prin Hotărârea nr.926/14.09.2017, Plenul Consiliului Superior al Magistraturii, a admis cererea.</w:t>
      </w:r>
    </w:p>
    <w:p w:rsidR="00473B92" w:rsidRDefault="00473B92" w:rsidP="00473B92">
      <w:pPr>
        <w:spacing w:line="276" w:lineRule="auto"/>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ab/>
        <w:t xml:space="preserve">-lucrarea nr. </w:t>
      </w:r>
      <w:r w:rsidRPr="006C5EC5">
        <w:rPr>
          <w:rFonts w:asciiTheme="minorHAnsi" w:hAnsiTheme="minorHAnsi" w:cstheme="minorHAnsi"/>
          <w:b/>
          <w:color w:val="000000" w:themeColor="text1"/>
          <w:lang w:val="ro-RO"/>
        </w:rPr>
        <w:t>7500/IJ/3324/DIJ/2017</w:t>
      </w:r>
      <w:r w:rsidRPr="006C5EC5">
        <w:rPr>
          <w:rFonts w:asciiTheme="minorHAnsi" w:hAnsiTheme="minorHAnsi" w:cstheme="minorHAnsi"/>
          <w:color w:val="000000" w:themeColor="text1"/>
          <w:lang w:val="ro-RO"/>
        </w:rPr>
        <w:t xml:space="preserve"> - solicitarea Consiliului Superior al Magistraturii de efectuarea unor verificări raportat la cererea de apărarea reputaţiei profesionale, formulată de judecător G.A.M. din cadrul T.C, urmare a afirmaţiilor defăimătoare conţinute în articolele de presă apărute pe site-ul </w:t>
      </w:r>
      <w:hyperlink r:id="rId119" w:history="1">
        <w:r w:rsidRPr="006C5EC5">
          <w:rPr>
            <w:rStyle w:val="Hyperlink"/>
            <w:rFonts w:asciiTheme="minorHAnsi" w:hAnsiTheme="minorHAnsi" w:cstheme="minorHAnsi"/>
            <w:color w:val="000000" w:themeColor="text1"/>
            <w:lang w:val="ro-RO"/>
          </w:rPr>
          <w:t>www.clujust.ro</w:t>
        </w:r>
      </w:hyperlink>
      <w:r w:rsidRPr="006C5EC5">
        <w:rPr>
          <w:rFonts w:asciiTheme="minorHAnsi" w:hAnsiTheme="minorHAnsi" w:cstheme="minorHAnsi"/>
          <w:color w:val="000000" w:themeColor="text1"/>
          <w:lang w:val="ro-RO"/>
        </w:rPr>
        <w:t>.</w:t>
      </w:r>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Prin Hotărârea nr.1275/07.12</w:t>
      </w:r>
      <w:r w:rsidRPr="000A4CF5">
        <w:rPr>
          <w:rFonts w:asciiTheme="minorHAnsi" w:hAnsiTheme="minorHAnsi" w:cstheme="minorHAnsi"/>
          <w:color w:val="000000" w:themeColor="text1"/>
          <w:lang w:val="ro-RO"/>
        </w:rPr>
        <w:t>.2017</w:t>
      </w:r>
      <w:r>
        <w:rPr>
          <w:rFonts w:asciiTheme="minorHAnsi" w:hAnsiTheme="minorHAnsi" w:cstheme="minorHAnsi"/>
          <w:color w:val="000000" w:themeColor="text1"/>
          <w:lang w:val="ro-RO"/>
        </w:rPr>
        <w:t xml:space="preserve"> Plenul Consiliului Superior al Magistraturii a </w:t>
      </w:r>
      <w:r>
        <w:t>respins cererea de apărare a reputaţiei profesionale formulate de doamna GROZA ANCA MARIA, judecător în cadrul Tribunalului Cluj.</w:t>
      </w:r>
    </w:p>
    <w:p w:rsidR="00473B92" w:rsidRPr="006C5EC5" w:rsidRDefault="00473B92" w:rsidP="00473B92">
      <w:pPr>
        <w:spacing w:line="276" w:lineRule="auto"/>
        <w:jc w:val="both"/>
        <w:rPr>
          <w:rFonts w:asciiTheme="minorHAnsi" w:hAnsiTheme="minorHAnsi" w:cstheme="minorHAnsi"/>
          <w:b/>
          <w:color w:val="000000" w:themeColor="text1"/>
          <w:lang w:val="ro-RO"/>
        </w:rPr>
      </w:pPr>
      <w:r w:rsidRPr="006C5EC5">
        <w:rPr>
          <w:rFonts w:asciiTheme="minorHAnsi" w:hAnsiTheme="minorHAnsi" w:cstheme="minorHAnsi"/>
          <w:color w:val="000000" w:themeColor="text1"/>
          <w:lang w:val="ro-RO"/>
        </w:rPr>
        <w:tab/>
      </w:r>
      <w:r w:rsidRPr="006C5EC5">
        <w:rPr>
          <w:rFonts w:asciiTheme="minorHAnsi" w:hAnsiTheme="minorHAnsi" w:cstheme="minorHAnsi"/>
          <w:i/>
          <w:color w:val="000000" w:themeColor="text1"/>
          <w:lang w:val="ro-RO"/>
        </w:rPr>
        <w:t xml:space="preserve">- </w:t>
      </w:r>
      <w:r w:rsidRPr="006C5EC5">
        <w:rPr>
          <w:rFonts w:asciiTheme="minorHAnsi" w:hAnsiTheme="minorHAnsi" w:cstheme="minorHAnsi"/>
          <w:b/>
          <w:i/>
          <w:color w:val="000000" w:themeColor="text1"/>
          <w:lang w:val="ro-RO"/>
        </w:rPr>
        <w:t xml:space="preserve">lucrarea nr. 127/IJ/25/DIP/2017 </w:t>
      </w:r>
      <w:r w:rsidRPr="006C5EC5">
        <w:rPr>
          <w:rFonts w:asciiTheme="minorHAnsi" w:hAnsiTheme="minorHAnsi" w:cstheme="minorHAnsi"/>
          <w:i/>
          <w:color w:val="000000" w:themeColor="text1"/>
          <w:lang w:val="ro-RO"/>
        </w:rPr>
        <w:t>–</w:t>
      </w:r>
      <w:r w:rsidRPr="006C5EC5">
        <w:rPr>
          <w:rFonts w:asciiTheme="minorHAnsi" w:hAnsiTheme="minorHAnsi" w:cstheme="minorHAnsi"/>
          <w:color w:val="000000" w:themeColor="text1"/>
          <w:lang w:val="ro-RO"/>
        </w:rPr>
        <w:t xml:space="preserve"> solicitarea Consiliului Superior al Magistraturii de efectuare a unor verificări în raport de cererea de apărare a reputaţiei profesionale formulată de domnul V.M, procuror şef DIICOT, care a aratăt că urmare a întocmirii unui rechizitoriu şi înregistrării acestuia pe rolul Curţii de Apel B. judecătorul desemnat, doamna C.B., a iniţiat o corespondenţă cu mai multe instituţii cu referire la unele măsuri/chestiuni de drept incidente în cauză, de natură a-i afecta reputaţia profesională. </w:t>
      </w:r>
    </w:p>
    <w:p w:rsidR="00473B92" w:rsidRPr="000A4CF5" w:rsidRDefault="00473B92" w:rsidP="00473B92">
      <w:pPr>
        <w:spacing w:line="276" w:lineRule="auto"/>
        <w:ind w:firstLine="708"/>
        <w:contextualSpacing/>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Prin Hotărârea nr. 1000/02.02.201</w:t>
      </w:r>
      <w:r>
        <w:rPr>
          <w:rFonts w:asciiTheme="minorHAnsi" w:hAnsiTheme="minorHAnsi" w:cstheme="minorHAnsi"/>
          <w:color w:val="000000" w:themeColor="text1"/>
          <w:lang w:val="ro-RO"/>
        </w:rPr>
        <w:t>8</w:t>
      </w:r>
      <w:r w:rsidRPr="000A4CF5">
        <w:rPr>
          <w:rFonts w:asciiTheme="minorHAnsi" w:hAnsiTheme="minorHAnsi" w:cstheme="minorHAnsi"/>
          <w:color w:val="000000" w:themeColor="text1"/>
          <w:lang w:val="ro-RO"/>
        </w:rPr>
        <w:t xml:space="preserve">,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r w:rsidRPr="000A4CF5">
        <w:rPr>
          <w:rFonts w:asciiTheme="minorHAnsi" w:hAnsiTheme="minorHAnsi" w:cstheme="minorHAnsi"/>
          <w:bCs/>
          <w:color w:val="000000" w:themeColor="text1"/>
          <w:lang w:val="ro-RO"/>
        </w:rPr>
        <w:t>.</w:t>
      </w:r>
      <w:r w:rsidRPr="000A4CF5">
        <w:rPr>
          <w:rFonts w:asciiTheme="minorHAnsi" w:hAnsiTheme="minorHAnsi" w:cstheme="minorHAnsi"/>
          <w:color w:val="000000" w:themeColor="text1"/>
          <w:lang w:val="ro-RO"/>
        </w:rPr>
        <w:t xml:space="preserve"> </w:t>
      </w:r>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b/>
          <w:i/>
          <w:color w:val="000000" w:themeColor="text1"/>
          <w:lang w:val="ro-RO"/>
        </w:rPr>
        <w:t xml:space="preserve">- lucrarea nr. 1265/IJ/222/DIP/2017 </w:t>
      </w:r>
      <w:r w:rsidRPr="006C5EC5">
        <w:rPr>
          <w:rFonts w:asciiTheme="minorHAnsi" w:hAnsiTheme="minorHAnsi" w:cstheme="minorHAnsi"/>
          <w:color w:val="000000" w:themeColor="text1"/>
          <w:lang w:val="ro-RO"/>
        </w:rPr>
        <w:t>- solicitarea Consiliului Superior al Magistraturii de efectuare a unor verificări în raport de cererea de apărare a reputaţiei profesionale formulată de doamna procuror  C.L. din cadrul Parchetului de pe lângă Curtea de Apel P., prin faptul că în cursul serii de 14.02.2017, la postul de televiziune România TV, în cadrul emisiunii „Ediţie Specială”, a fost difuzată o înregistrare audio în care o persoană presupusă a fi procurorul N.M., din cadrul D.N.A., în discuţia telefonică purtată cu o doamnă (posibil soţia unui inculpat pe nume V.C.), a făcut afirmaţii denigratoare.</w:t>
      </w:r>
    </w:p>
    <w:p w:rsidR="00473B92" w:rsidRPr="000A4CF5" w:rsidRDefault="00473B92" w:rsidP="00473B92">
      <w:pPr>
        <w:spacing w:line="276" w:lineRule="auto"/>
        <w:ind w:firstLine="708"/>
        <w:contextualSpacing/>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 xml:space="preserve">Prin Hotărârea nr. 272/21.03.2017,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r w:rsidRPr="000A4CF5">
        <w:rPr>
          <w:rFonts w:asciiTheme="minorHAnsi" w:hAnsiTheme="minorHAnsi" w:cstheme="minorHAnsi"/>
          <w:bCs/>
          <w:color w:val="000000" w:themeColor="text1"/>
          <w:lang w:val="ro-RO"/>
        </w:rPr>
        <w:t>.</w:t>
      </w:r>
      <w:r w:rsidRPr="000A4CF5">
        <w:rPr>
          <w:rFonts w:asciiTheme="minorHAnsi" w:hAnsiTheme="minorHAnsi" w:cstheme="minorHAnsi"/>
          <w:color w:val="000000" w:themeColor="text1"/>
          <w:lang w:val="ro-RO"/>
        </w:rPr>
        <w:t xml:space="preserve"> </w:t>
      </w:r>
    </w:p>
    <w:p w:rsidR="00473B92" w:rsidRPr="006C5EC5" w:rsidRDefault="00473B92" w:rsidP="00473B92">
      <w:pPr>
        <w:spacing w:line="276" w:lineRule="auto"/>
        <w:ind w:firstLine="708"/>
        <w:contextualSpacing/>
        <w:jc w:val="both"/>
        <w:rPr>
          <w:rFonts w:asciiTheme="minorHAnsi" w:hAnsiTheme="minorHAnsi" w:cstheme="minorHAnsi"/>
          <w:i/>
          <w:color w:val="000000" w:themeColor="text1"/>
          <w:lang w:val="ro-RO"/>
        </w:rPr>
      </w:pPr>
      <w:r w:rsidRPr="006C5EC5">
        <w:rPr>
          <w:rFonts w:asciiTheme="minorHAnsi" w:hAnsiTheme="minorHAnsi" w:cstheme="minorHAnsi"/>
          <w:b/>
          <w:i/>
          <w:color w:val="000000" w:themeColor="text1"/>
          <w:lang w:val="ro-RO"/>
        </w:rPr>
        <w:t>- lucrarea nr. 1691/IJ/309/DIP/2017</w:t>
      </w:r>
      <w:r w:rsidRPr="006C5EC5">
        <w:rPr>
          <w:rFonts w:asciiTheme="minorHAnsi" w:hAnsiTheme="minorHAnsi" w:cstheme="minorHAnsi"/>
          <w:color w:val="000000" w:themeColor="text1"/>
          <w:lang w:val="ro-RO"/>
        </w:rPr>
        <w:t xml:space="preserve"> conexată cu </w:t>
      </w:r>
      <w:r w:rsidRPr="006C5EC5">
        <w:rPr>
          <w:rFonts w:asciiTheme="minorHAnsi" w:hAnsiTheme="minorHAnsi" w:cstheme="minorHAnsi"/>
          <w:b/>
          <w:i/>
          <w:color w:val="000000" w:themeColor="text1"/>
          <w:lang w:val="ro-RO"/>
        </w:rPr>
        <w:t>lucrarea nr. 1730/IJ/322/DIP/2017</w:t>
      </w:r>
      <w:r w:rsidRPr="006C5EC5">
        <w:rPr>
          <w:rFonts w:asciiTheme="minorHAnsi" w:hAnsiTheme="minorHAnsi" w:cstheme="minorHAnsi"/>
          <w:color w:val="000000" w:themeColor="text1"/>
          <w:lang w:val="ro-RO"/>
        </w:rPr>
        <w:t xml:space="preserve">- solicitarea Consiliului Superior al Magistraturii de efectuare a unor verificări în raport de cererea de apărare a reputaţiei profesionale formulată de domnul </w:t>
      </w:r>
      <w:r w:rsidRPr="006C5EC5">
        <w:rPr>
          <w:rFonts w:asciiTheme="minorHAnsi" w:hAnsiTheme="minorHAnsi" w:cstheme="minorHAnsi"/>
          <w:b/>
          <w:i/>
          <w:color w:val="000000" w:themeColor="text1"/>
          <w:lang w:val="ro-RO"/>
        </w:rPr>
        <w:t xml:space="preserve"> </w:t>
      </w:r>
      <w:r w:rsidRPr="006C5EC5">
        <w:rPr>
          <w:rFonts w:asciiTheme="minorHAnsi" w:hAnsiTheme="minorHAnsi" w:cstheme="minorHAnsi"/>
          <w:color w:val="000000" w:themeColor="text1"/>
          <w:lang w:val="ro-RO"/>
        </w:rPr>
        <w:t>A.B</w:t>
      </w:r>
      <w:r w:rsidRPr="006C5EC5">
        <w:rPr>
          <w:rFonts w:asciiTheme="minorHAnsi" w:hAnsiTheme="minorHAnsi" w:cstheme="minorHAnsi"/>
          <w:b/>
          <w:i/>
          <w:color w:val="000000" w:themeColor="text1"/>
          <w:lang w:val="ro-RO"/>
        </w:rPr>
        <w:t>.</w:t>
      </w:r>
      <w:r w:rsidRPr="006C5EC5">
        <w:rPr>
          <w:rFonts w:asciiTheme="minorHAnsi" w:hAnsiTheme="minorHAnsi" w:cstheme="minorHAnsi"/>
          <w:color w:val="000000" w:themeColor="text1"/>
          <w:lang w:val="ro-RO"/>
        </w:rPr>
        <w:t>, procuror în cadrul D.N.A. determinată de afirmaţiile făcute în articolul „Procurorul DNA B. a băgat în puşcărie un avocat, din dragoste”, publicat pe pagina de internet www.evz.ro în data de 28.02.2017, şi care a fost preluat ulterior de alte pagini de internet.</w:t>
      </w:r>
    </w:p>
    <w:p w:rsidR="00473B92" w:rsidRPr="000A4CF5" w:rsidRDefault="00473B92" w:rsidP="00473B92">
      <w:pPr>
        <w:spacing w:line="276" w:lineRule="auto"/>
        <w:ind w:firstLine="708"/>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Prin Hotărârea nr. 498/25.04.2017, Plenul Consiliului Superior al Magistraturii Magistraturii şi-a însuşit concluzia Inspecţiei Judiciare şi a admis cererea.</w:t>
      </w:r>
    </w:p>
    <w:p w:rsidR="00473B92" w:rsidRPr="006C5EC5" w:rsidRDefault="00473B92" w:rsidP="00473B92">
      <w:pPr>
        <w:spacing w:line="276" w:lineRule="auto"/>
        <w:ind w:firstLine="720"/>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 </w:t>
      </w:r>
      <w:r w:rsidRPr="006C5EC5">
        <w:rPr>
          <w:rFonts w:asciiTheme="minorHAnsi" w:hAnsiTheme="minorHAnsi" w:cstheme="minorHAnsi"/>
          <w:b/>
          <w:i/>
          <w:color w:val="000000" w:themeColor="text1"/>
          <w:lang w:val="ro-RO"/>
        </w:rPr>
        <w:t xml:space="preserve">lucrarea nr. </w:t>
      </w:r>
      <w:r w:rsidRPr="006C5EC5">
        <w:rPr>
          <w:rFonts w:asciiTheme="minorHAnsi" w:hAnsiTheme="minorHAnsi" w:cstheme="minorHAnsi"/>
          <w:b/>
          <w:color w:val="000000" w:themeColor="text1"/>
          <w:lang w:val="ro-RO"/>
        </w:rPr>
        <w:t xml:space="preserve">1975/IJ/368/DIP/2017 - </w:t>
      </w:r>
      <w:r w:rsidRPr="006C5EC5">
        <w:rPr>
          <w:rFonts w:asciiTheme="minorHAnsi" w:hAnsiTheme="minorHAnsi" w:cstheme="minorHAnsi"/>
          <w:color w:val="000000" w:themeColor="text1"/>
          <w:lang w:val="ro-RO"/>
        </w:rPr>
        <w:t>solicitarea Consiliului Superior al Magistraturii de efectuare a unor verificări în raport de cererea de apărare a reputaţiei profesionale formulată de domnul P.S.D., procuror şef adjunct al unei secţii din cadrul D.N.A. care a susţinut că aceasta i-a fost afectată prin publicarea, la data de 20 februarie 2017, pe site-ul „Lumea Justiţiei” a unui articol intitulat „Interceptări cu golanii de la DNA” , al cărui conţinut a fost ulterior preluat de televiziunile: „Antena 3”,  „România TV” şi „B1 TV” precum şi de alte publicaţii online.</w:t>
      </w:r>
    </w:p>
    <w:p w:rsidR="00473B92" w:rsidRPr="000A4CF5" w:rsidRDefault="00473B92" w:rsidP="00473B92">
      <w:pPr>
        <w:spacing w:line="276" w:lineRule="auto"/>
        <w:ind w:firstLine="708"/>
        <w:contextualSpacing/>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 xml:space="preserve">Prin Hotărârea nr. 499/25.04.2017,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r w:rsidRPr="000A4CF5">
        <w:rPr>
          <w:rFonts w:asciiTheme="minorHAnsi" w:hAnsiTheme="minorHAnsi" w:cstheme="minorHAnsi"/>
          <w:bCs/>
          <w:color w:val="000000" w:themeColor="text1"/>
          <w:lang w:val="ro-RO"/>
        </w:rPr>
        <w:t>.</w:t>
      </w:r>
      <w:r w:rsidRPr="000A4CF5">
        <w:rPr>
          <w:rFonts w:asciiTheme="minorHAnsi" w:hAnsiTheme="minorHAnsi" w:cstheme="minorHAnsi"/>
          <w:color w:val="000000" w:themeColor="text1"/>
          <w:lang w:val="ro-RO"/>
        </w:rPr>
        <w:t xml:space="preserve"> </w:t>
      </w:r>
    </w:p>
    <w:p w:rsidR="00473B92" w:rsidRPr="006C5EC5" w:rsidRDefault="00473B92" w:rsidP="00473B92">
      <w:pPr>
        <w:spacing w:line="276" w:lineRule="auto"/>
        <w:ind w:firstLine="709"/>
        <w:jc w:val="both"/>
        <w:rPr>
          <w:rFonts w:asciiTheme="minorHAnsi" w:hAnsiTheme="minorHAnsi" w:cstheme="minorHAnsi"/>
          <w:color w:val="000000" w:themeColor="text1"/>
          <w:lang w:val="ro-RO"/>
        </w:rPr>
      </w:pPr>
      <w:r w:rsidRPr="006C5EC5">
        <w:rPr>
          <w:rFonts w:asciiTheme="minorHAnsi" w:hAnsiTheme="minorHAnsi" w:cstheme="minorHAnsi"/>
          <w:color w:val="000000" w:themeColor="text1"/>
          <w:lang w:val="ro-RO"/>
        </w:rPr>
        <w:t xml:space="preserve">- </w:t>
      </w:r>
      <w:r w:rsidRPr="006C5EC5">
        <w:rPr>
          <w:rFonts w:asciiTheme="minorHAnsi" w:hAnsiTheme="minorHAnsi" w:cstheme="minorHAnsi"/>
          <w:b/>
          <w:i/>
          <w:color w:val="000000" w:themeColor="text1"/>
          <w:lang w:val="ro-RO"/>
        </w:rPr>
        <w:t xml:space="preserve">lucrarea nr. </w:t>
      </w:r>
      <w:r w:rsidRPr="006C5EC5">
        <w:rPr>
          <w:rFonts w:asciiTheme="minorHAnsi" w:hAnsiTheme="minorHAnsi" w:cstheme="minorHAnsi"/>
          <w:b/>
          <w:color w:val="000000" w:themeColor="text1"/>
          <w:lang w:val="ro-RO"/>
        </w:rPr>
        <w:t xml:space="preserve">2543/IJ/484/DIP/2017 </w:t>
      </w:r>
      <w:r w:rsidRPr="006C5EC5">
        <w:rPr>
          <w:rFonts w:asciiTheme="minorHAnsi" w:hAnsiTheme="minorHAnsi" w:cstheme="minorHAnsi"/>
          <w:color w:val="000000" w:themeColor="text1"/>
          <w:lang w:val="ro-RO"/>
        </w:rPr>
        <w:t>- solicitarea Consiliului Superior al Magistraturii de pefectuare a unor verificări în raport de cererea de apărare a reputaţiei profesionale formulată de domnul D.O. procuror în cadrul Parchetului de pe lângă Judecătoria T. care a arătat că urmarea a modului de instrumentare a unei cauze penale, au fost publicate articole de presă, online, în cotidianul „Impact Press” cu un conţinut defăimător la adresa sa, de natură a-i afecta reputaţia profesională, precum şi faptul că pe pagina de facebook a utilizatorului "C.B." au fost afişate comentarii cu caracter defăimător la un mesaj publicat de către acesta la data de 18.03.2017, toate cu referire la modul de instrumentare ale aceleiaşi cauze penale.</w:t>
      </w:r>
    </w:p>
    <w:p w:rsidR="00473B92" w:rsidRPr="006C5EC5" w:rsidRDefault="00473B92" w:rsidP="00473B92">
      <w:pPr>
        <w:spacing w:line="276" w:lineRule="auto"/>
        <w:ind w:firstLine="708"/>
        <w:jc w:val="both"/>
        <w:rPr>
          <w:rFonts w:asciiTheme="minorHAnsi" w:hAnsiTheme="minorHAnsi" w:cstheme="minorHAnsi"/>
          <w:b/>
          <w:color w:val="000000" w:themeColor="text1"/>
          <w:lang w:val="ro-RO"/>
        </w:rPr>
      </w:pPr>
      <w:r w:rsidRPr="000A4CF5">
        <w:rPr>
          <w:rFonts w:asciiTheme="minorHAnsi" w:hAnsiTheme="minorHAnsi" w:cstheme="minorHAnsi"/>
          <w:color w:val="000000" w:themeColor="text1"/>
          <w:lang w:val="ro-RO"/>
        </w:rPr>
        <w:t xml:space="preserve">Prin Hotărârea nr. 502/25.04.2017,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r w:rsidRPr="006C5EC5">
        <w:rPr>
          <w:rFonts w:asciiTheme="minorHAnsi" w:hAnsiTheme="minorHAnsi" w:cstheme="minorHAnsi"/>
          <w:i/>
          <w:color w:val="000000" w:themeColor="text1"/>
          <w:lang w:val="ro-RO"/>
        </w:rPr>
        <w:t>.</w:t>
      </w:r>
    </w:p>
    <w:p w:rsidR="00473B92" w:rsidRPr="006C5EC5" w:rsidRDefault="00473B92" w:rsidP="00473B92">
      <w:pPr>
        <w:autoSpaceDE w:val="0"/>
        <w:autoSpaceDN w:val="0"/>
        <w:adjustRightInd w:val="0"/>
        <w:spacing w:line="276" w:lineRule="auto"/>
        <w:ind w:firstLine="677"/>
        <w:jc w:val="both"/>
        <w:rPr>
          <w:rFonts w:asciiTheme="minorHAnsi" w:hAnsiTheme="minorHAnsi" w:cstheme="minorHAnsi"/>
          <w:color w:val="000000" w:themeColor="text1"/>
          <w:lang w:val="ro-RO"/>
        </w:rPr>
      </w:pPr>
      <w:r w:rsidRPr="006C5EC5">
        <w:rPr>
          <w:rFonts w:asciiTheme="minorHAnsi" w:hAnsiTheme="minorHAnsi" w:cstheme="minorHAnsi"/>
          <w:i/>
          <w:color w:val="000000" w:themeColor="text1"/>
          <w:lang w:val="ro-RO"/>
        </w:rPr>
        <w:t xml:space="preserve">- </w:t>
      </w:r>
      <w:r w:rsidRPr="006C5EC5">
        <w:rPr>
          <w:rFonts w:asciiTheme="minorHAnsi" w:hAnsiTheme="minorHAnsi" w:cstheme="minorHAnsi"/>
          <w:b/>
          <w:i/>
          <w:color w:val="000000" w:themeColor="text1"/>
          <w:lang w:val="ro-RO"/>
        </w:rPr>
        <w:t xml:space="preserve">lucrarea nr. 3052/IJ/571/DIP/2017 </w:t>
      </w:r>
      <w:r w:rsidRPr="006C5EC5">
        <w:rPr>
          <w:rFonts w:asciiTheme="minorHAnsi" w:hAnsiTheme="minorHAnsi" w:cstheme="minorHAnsi"/>
          <w:color w:val="000000" w:themeColor="text1"/>
          <w:lang w:val="ro-RO"/>
        </w:rPr>
        <w:t>- solicitarea Consiliului Superior al Magistraturii de efectuare a unor verificări în raport de cererea de apărare a reputaţiei profesionale formulată de domnul procuror I.T.L. din cadrul Parchetului de pe lângă  Judectoria  G. în raport de acţiunile prim procurorului O.F. care duce o campanie de denigrare a imaginii sale profesionale cu scopul de a-i compomite activitatea şi de a-l intimida, pe motiv de răzbunare deoarece anterior a sesizat Inspecţia Judiciară cu privire la imixtiunea lui în activitatea sa şi a unei colege a sale.</w:t>
      </w:r>
    </w:p>
    <w:p w:rsidR="00473B92" w:rsidRPr="000A4CF5" w:rsidRDefault="00473B92" w:rsidP="00473B92">
      <w:pPr>
        <w:spacing w:line="276" w:lineRule="auto"/>
        <w:ind w:firstLine="709"/>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 xml:space="preserve">Prin Hotărârea nr. 626/25.05.2017,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p>
    <w:p w:rsidR="00473B92" w:rsidRPr="006C5EC5" w:rsidRDefault="00473B92" w:rsidP="00473B92">
      <w:pPr>
        <w:spacing w:line="276" w:lineRule="auto"/>
        <w:ind w:firstLine="708"/>
        <w:jc w:val="both"/>
        <w:rPr>
          <w:rFonts w:asciiTheme="minorHAnsi" w:hAnsiTheme="minorHAnsi" w:cstheme="minorHAnsi"/>
          <w:b/>
          <w:color w:val="000000" w:themeColor="text1"/>
          <w:lang w:val="ro-RO"/>
        </w:rPr>
      </w:pPr>
      <w:r w:rsidRPr="006C5EC5">
        <w:rPr>
          <w:rFonts w:asciiTheme="minorHAnsi" w:hAnsiTheme="minorHAnsi" w:cstheme="minorHAnsi"/>
          <w:b/>
          <w:i/>
          <w:color w:val="000000" w:themeColor="text1"/>
          <w:lang w:val="ro-RO"/>
        </w:rPr>
        <w:t>- lucrarea nr. 4938/IJ/945/DIP/2017</w:t>
      </w:r>
      <w:r w:rsidRPr="006C5EC5">
        <w:rPr>
          <w:rFonts w:asciiTheme="minorHAnsi" w:hAnsiTheme="minorHAnsi" w:cstheme="minorHAnsi"/>
          <w:color w:val="000000" w:themeColor="text1"/>
          <w:lang w:val="ro-RO"/>
        </w:rPr>
        <w:t xml:space="preserve">- solicitarea Consiliului Superior al Magistraturii de efectuare a unor verificări ca urmare a  cererii de apărare a reputaţiei profesionale formulată de doamna procuror S.A.F. din cadrul DIICOT  ca urmare a publicării pe site-ul </w:t>
      </w:r>
      <w:hyperlink r:id="rId120" w:history="1">
        <w:r w:rsidRPr="006C5EC5">
          <w:rPr>
            <w:rStyle w:val="Hyperlink"/>
            <w:rFonts w:asciiTheme="minorHAnsi" w:hAnsiTheme="minorHAnsi" w:cstheme="minorHAnsi"/>
            <w:color w:val="000000" w:themeColor="text1"/>
            <w:lang w:val="ro-RO"/>
          </w:rPr>
          <w:t>www.tolo.ro</w:t>
        </w:r>
      </w:hyperlink>
      <w:r w:rsidRPr="006C5EC5">
        <w:rPr>
          <w:rStyle w:val="Hyperlink"/>
          <w:rFonts w:asciiTheme="minorHAnsi" w:hAnsiTheme="minorHAnsi" w:cstheme="minorHAnsi"/>
          <w:color w:val="000000" w:themeColor="text1"/>
          <w:lang w:val="ro-RO"/>
        </w:rPr>
        <w:t>,</w:t>
      </w:r>
      <w:r w:rsidRPr="006C5EC5">
        <w:rPr>
          <w:rFonts w:asciiTheme="minorHAnsi" w:hAnsiTheme="minorHAnsi" w:cstheme="minorHAnsi"/>
          <w:color w:val="000000" w:themeColor="text1"/>
          <w:lang w:val="ro-RO"/>
        </w:rPr>
        <w:t xml:space="preserve"> la data de 4 iulie 2016, a articolului „Sentinţă definitivă: Gazeta nu a încălcat reputaţia procurorului DNA A.S., magistrat care îi scăpase pe E.U. şi I.A.”  iar la data de 10 martie 2017, a articolului „După 6 ani noi tăcem, e timpul să vorbească justiţia”,  de natură să-i afecteze reputaţia profesională, „dar şi încrederea în imparţialitatea sistemului judiciar”.</w:t>
      </w:r>
    </w:p>
    <w:p w:rsidR="00473B92" w:rsidRPr="000A4CF5" w:rsidRDefault="00473B92" w:rsidP="00473B92">
      <w:pPr>
        <w:spacing w:line="276" w:lineRule="auto"/>
        <w:ind w:firstLine="708"/>
        <w:jc w:val="both"/>
        <w:rPr>
          <w:rFonts w:asciiTheme="minorHAnsi" w:hAnsiTheme="minorHAnsi" w:cstheme="minorHAnsi"/>
          <w:b/>
          <w:color w:val="000000" w:themeColor="text1"/>
          <w:lang w:val="ro-RO"/>
        </w:rPr>
      </w:pPr>
      <w:r w:rsidRPr="000A4CF5">
        <w:rPr>
          <w:rFonts w:asciiTheme="minorHAnsi" w:hAnsiTheme="minorHAnsi" w:cstheme="minorHAnsi"/>
          <w:color w:val="000000" w:themeColor="text1"/>
          <w:lang w:val="ro-RO"/>
        </w:rPr>
        <w:t xml:space="preserve">Prin Hotărârea nr. </w:t>
      </w:r>
      <w:r w:rsidRPr="000A4CF5">
        <w:rPr>
          <w:rFonts w:asciiTheme="minorHAnsi" w:hAnsiTheme="minorHAnsi" w:cstheme="minorHAnsi"/>
          <w:bCs/>
          <w:color w:val="000000" w:themeColor="text1"/>
          <w:lang w:val="ro-RO"/>
        </w:rPr>
        <w:t>928/14.09.2017</w:t>
      </w:r>
      <w:r w:rsidRPr="000A4CF5">
        <w:rPr>
          <w:rFonts w:asciiTheme="minorHAnsi" w:hAnsiTheme="minorHAnsi" w:cstheme="minorHAnsi"/>
          <w:color w:val="000000" w:themeColor="text1"/>
          <w:lang w:val="ro-RO"/>
        </w:rPr>
        <w:t xml:space="preserve">, Plenul Consiliului Superior al Magistraturii </w:t>
      </w:r>
      <w:r w:rsidRPr="000A4CF5">
        <w:rPr>
          <w:rFonts w:asciiTheme="minorHAnsi" w:hAnsiTheme="minorHAnsi" w:cstheme="minorHAnsi"/>
          <w:bCs/>
          <w:color w:val="000000" w:themeColor="text1"/>
          <w:lang w:val="ro-RO"/>
        </w:rPr>
        <w:t xml:space="preserve">a luat act de retragerea cererii </w:t>
      </w:r>
      <w:r w:rsidRPr="000A4CF5">
        <w:rPr>
          <w:rFonts w:asciiTheme="minorHAnsi" w:hAnsiTheme="minorHAnsi" w:cstheme="minorHAnsi"/>
          <w:color w:val="000000" w:themeColor="text1"/>
          <w:lang w:val="ro-RO"/>
        </w:rPr>
        <w:t>de apărare a reputaţiei profesionale.</w:t>
      </w:r>
    </w:p>
    <w:p w:rsidR="00473B92" w:rsidRPr="006C5EC5" w:rsidRDefault="00473B92" w:rsidP="00473B92">
      <w:pPr>
        <w:spacing w:line="276" w:lineRule="auto"/>
        <w:ind w:firstLine="708"/>
        <w:jc w:val="both"/>
        <w:rPr>
          <w:rFonts w:asciiTheme="minorHAnsi" w:hAnsiTheme="minorHAnsi" w:cstheme="minorHAnsi"/>
          <w:color w:val="000000" w:themeColor="text1"/>
          <w:lang w:val="ro-RO"/>
        </w:rPr>
      </w:pPr>
      <w:r w:rsidRPr="006C5EC5">
        <w:rPr>
          <w:rFonts w:asciiTheme="minorHAnsi" w:hAnsiTheme="minorHAnsi" w:cstheme="minorHAnsi"/>
          <w:b/>
          <w:i/>
          <w:color w:val="000000" w:themeColor="text1"/>
          <w:lang w:val="ro-RO"/>
        </w:rPr>
        <w:t xml:space="preserve">- lucrarea nr. 5072/IJ/974/DIP/2017 </w:t>
      </w:r>
      <w:r w:rsidRPr="006C5EC5">
        <w:rPr>
          <w:rFonts w:asciiTheme="minorHAnsi" w:hAnsiTheme="minorHAnsi" w:cstheme="minorHAnsi"/>
          <w:color w:val="000000" w:themeColor="text1"/>
          <w:lang w:val="ro-RO"/>
        </w:rPr>
        <w:t>- solicitarea Consiliului Superior al Magistraturii de efectuare a unor verificări ca urmare a cererii de apărare a reputaţiei profesionale formulată de doamna Ş.M.M. din cadrul Parchetului de pe lângă Judecătoria  S.,</w:t>
      </w:r>
      <w:r w:rsidRPr="006C5EC5">
        <w:rPr>
          <w:rFonts w:asciiTheme="minorHAnsi" w:hAnsiTheme="minorHAnsi" w:cstheme="minorHAnsi"/>
          <w:i/>
          <w:color w:val="000000" w:themeColor="text1"/>
          <w:lang w:val="ro-RO"/>
        </w:rPr>
        <w:t xml:space="preserve"> </w:t>
      </w:r>
      <w:r w:rsidRPr="006C5EC5">
        <w:rPr>
          <w:rFonts w:asciiTheme="minorHAnsi" w:hAnsiTheme="minorHAnsi" w:cstheme="minorHAnsi"/>
          <w:color w:val="000000" w:themeColor="text1"/>
          <w:lang w:val="ro-RO"/>
        </w:rPr>
        <w:t xml:space="preserve">în raport de aspectele semnalate în mass-media, respectiv apariţia unui articol publicat pe site-ul </w:t>
      </w:r>
      <w:hyperlink r:id="rId121" w:history="1">
        <w:r w:rsidRPr="006C5EC5">
          <w:rPr>
            <w:rStyle w:val="Hyperlink"/>
            <w:rFonts w:asciiTheme="minorHAnsi" w:hAnsiTheme="minorHAnsi" w:cstheme="minorHAnsi"/>
            <w:color w:val="000000" w:themeColor="text1"/>
            <w:lang w:val="ro-RO"/>
          </w:rPr>
          <w:t>www.imperativ.ro</w:t>
        </w:r>
      </w:hyperlink>
      <w:r w:rsidRPr="006C5EC5">
        <w:rPr>
          <w:rFonts w:asciiTheme="minorHAnsi" w:hAnsiTheme="minorHAnsi" w:cstheme="minorHAnsi"/>
          <w:color w:val="000000" w:themeColor="text1"/>
          <w:lang w:val="ro-RO"/>
        </w:rPr>
        <w:t xml:space="preserve"> din data de 20.06.2017, articol ce conţine afirmaţii grave şi nefondate, cu referire la aspecte din activitatea profesională, de natură a induce în conştiinţa opiniei publice ideea de imparţialitate prin concluziile pe care le-a formulat într-un dosar aflat pe rolul  J. S.. </w:t>
      </w:r>
    </w:p>
    <w:p w:rsidR="00473B92" w:rsidRPr="000A4CF5" w:rsidRDefault="00473B92" w:rsidP="00473B92">
      <w:pPr>
        <w:spacing w:line="276" w:lineRule="auto"/>
        <w:ind w:firstLine="708"/>
        <w:jc w:val="both"/>
        <w:rPr>
          <w:rFonts w:asciiTheme="minorHAnsi" w:hAnsiTheme="minorHAnsi" w:cstheme="minorHAnsi"/>
          <w:b/>
          <w:color w:val="000000" w:themeColor="text1"/>
          <w:lang w:val="ro-RO"/>
        </w:rPr>
      </w:pPr>
      <w:r w:rsidRPr="000A4CF5">
        <w:rPr>
          <w:rFonts w:asciiTheme="minorHAnsi" w:hAnsiTheme="minorHAnsi" w:cstheme="minorHAnsi"/>
          <w:color w:val="000000" w:themeColor="text1"/>
          <w:lang w:val="ro-RO"/>
        </w:rPr>
        <w:t xml:space="preserve">Prin Hotărârea nr. </w:t>
      </w:r>
      <w:r w:rsidRPr="000A4CF5">
        <w:rPr>
          <w:rFonts w:asciiTheme="minorHAnsi" w:hAnsiTheme="minorHAnsi" w:cstheme="minorHAnsi"/>
          <w:bCs/>
          <w:color w:val="000000" w:themeColor="text1"/>
          <w:lang w:val="ro-RO"/>
        </w:rPr>
        <w:t>927/14.09.2017</w:t>
      </w:r>
      <w:r w:rsidRPr="000A4CF5">
        <w:rPr>
          <w:rFonts w:asciiTheme="minorHAnsi" w:hAnsiTheme="minorHAnsi" w:cstheme="minorHAnsi"/>
          <w:color w:val="000000" w:themeColor="text1"/>
          <w:lang w:val="ro-RO"/>
        </w:rPr>
        <w:t>, Plenul Consiliului Superior al Magistraturii şi-a însuşit concluzia Inspecţiei Judiciare şi a admis cererea.</w:t>
      </w:r>
    </w:p>
    <w:p w:rsidR="00473B92" w:rsidRPr="006C5EC5" w:rsidRDefault="00473B92" w:rsidP="00473B92">
      <w:pPr>
        <w:spacing w:line="276" w:lineRule="auto"/>
        <w:ind w:firstLine="709"/>
        <w:jc w:val="both"/>
        <w:rPr>
          <w:rFonts w:asciiTheme="minorHAnsi" w:hAnsiTheme="minorHAnsi" w:cstheme="minorHAnsi"/>
          <w:b/>
          <w:color w:val="000000" w:themeColor="text1"/>
          <w:lang w:val="ro-RO"/>
        </w:rPr>
      </w:pPr>
      <w:r w:rsidRPr="006C5EC5">
        <w:rPr>
          <w:rFonts w:asciiTheme="minorHAnsi" w:hAnsiTheme="minorHAnsi" w:cstheme="minorHAnsi"/>
          <w:b/>
          <w:i/>
          <w:color w:val="000000" w:themeColor="text1"/>
          <w:lang w:val="ro-RO"/>
        </w:rPr>
        <w:t>- lucrarea nr. 5209/IJ/1007/DIP/2017 -</w:t>
      </w:r>
      <w:r w:rsidRPr="006C5EC5">
        <w:rPr>
          <w:rFonts w:asciiTheme="minorHAnsi" w:hAnsiTheme="minorHAnsi" w:cstheme="minorHAnsi"/>
          <w:color w:val="000000" w:themeColor="text1"/>
          <w:lang w:val="ro-RO"/>
        </w:rPr>
        <w:t xml:space="preserve"> solicitarea Consiliului Superior al Magistraturii de efectuare a unor verificări în raport de cererea de apărare a reputaţiei profesionale formulată de domnii procurori Ţ.D.F., M.I.M şi M.N ., din cadrul D.N.A. întucât consideră că testarea poligraf a unui magistrat poate deveni o practică de natură a aduce grave prejudicii independenţei magistratului, fie el procuror sau judecător, iar odată ce acest precedent va exista se va deschide calea spre vulnerabilizarea magistraţilor.  </w:t>
      </w:r>
    </w:p>
    <w:p w:rsidR="00473B92" w:rsidRPr="000A4CF5" w:rsidRDefault="00473B92" w:rsidP="00473B92">
      <w:pPr>
        <w:spacing w:line="276" w:lineRule="auto"/>
        <w:ind w:firstLine="708"/>
        <w:jc w:val="both"/>
        <w:rPr>
          <w:rFonts w:asciiTheme="minorHAnsi" w:hAnsiTheme="minorHAnsi" w:cstheme="minorHAnsi"/>
          <w:color w:val="000000" w:themeColor="text1"/>
          <w:lang w:val="ro-RO"/>
        </w:rPr>
      </w:pPr>
      <w:r w:rsidRPr="000A4CF5">
        <w:rPr>
          <w:rFonts w:asciiTheme="minorHAnsi" w:hAnsiTheme="minorHAnsi" w:cstheme="minorHAnsi"/>
          <w:color w:val="000000" w:themeColor="text1"/>
          <w:lang w:val="ro-RO"/>
        </w:rPr>
        <w:t>Lucrarea se află în curs de soluţionare la inspectorul judiciar.</w:t>
      </w:r>
    </w:p>
    <w:p w:rsidR="00473B92" w:rsidRPr="006C5EC5" w:rsidRDefault="00473B92" w:rsidP="00473B92">
      <w:pPr>
        <w:spacing w:line="276" w:lineRule="auto"/>
        <w:ind w:firstLine="709"/>
        <w:jc w:val="both"/>
        <w:rPr>
          <w:rFonts w:asciiTheme="minorHAnsi" w:hAnsiTheme="minorHAnsi" w:cstheme="minorHAnsi"/>
          <w:b/>
          <w:color w:val="000000" w:themeColor="text1"/>
          <w:lang w:val="ro-RO"/>
        </w:rPr>
      </w:pPr>
      <w:r w:rsidRPr="006C5EC5">
        <w:rPr>
          <w:rFonts w:asciiTheme="minorHAnsi" w:hAnsiTheme="minorHAnsi" w:cstheme="minorHAnsi"/>
          <w:b/>
          <w:color w:val="000000" w:themeColor="text1"/>
          <w:lang w:val="ro-RO"/>
        </w:rPr>
        <w:t xml:space="preserve">- lucrarea nr. 6601/IJ/1369/DIP/2017 </w:t>
      </w:r>
      <w:r w:rsidRPr="006C5EC5">
        <w:rPr>
          <w:rFonts w:asciiTheme="minorHAnsi" w:hAnsiTheme="minorHAnsi" w:cstheme="minorHAnsi"/>
          <w:color w:val="000000" w:themeColor="text1"/>
          <w:lang w:val="ro-RO"/>
        </w:rPr>
        <w:t>- prin hotărârea nr. 587/07.09.2017 Secţia pentru procurori a Consiliului Superior al Magistraturii a sesizat din oficiu Inspecţia Judiciară, în vederea efectuării de verificări cu privire la apărarea reputaţiei profesionale, a independenţei şi imparţialităţii doamnei procuror E.R., inspector în cadrul I.J., precum şi cu privire la independenţa sistemului judiciar, în raport de afirmaţiile făcute în cadrul emisiunilor „Sinteza Zilei”, difuzate pe postul de televiziune Antena 3 în datele de 05.09.2017 şi 06.09.2017.</w:t>
      </w:r>
    </w:p>
    <w:p w:rsidR="00473B92" w:rsidRDefault="00473B92" w:rsidP="00473B92">
      <w:pPr>
        <w:spacing w:line="276" w:lineRule="auto"/>
        <w:ind w:firstLine="708"/>
        <w:jc w:val="both"/>
        <w:rPr>
          <w:rFonts w:asciiTheme="minorHAnsi" w:hAnsiTheme="minorHAnsi"/>
          <w:i/>
          <w:color w:val="000000" w:themeColor="text1"/>
          <w:lang w:val="ro-RO"/>
        </w:rPr>
      </w:pPr>
      <w:r w:rsidRPr="000A4CF5">
        <w:rPr>
          <w:rFonts w:asciiTheme="minorHAnsi" w:hAnsiTheme="minorHAnsi" w:cstheme="minorHAnsi"/>
          <w:color w:val="000000" w:themeColor="text1"/>
          <w:lang w:val="ro-RO"/>
        </w:rPr>
        <w:t>Prin Hotărârea nr. 1139/31.10.2017, Plenul Consiliului Superior al Magistraturii şi-a însuşit concluzia Inspecţiei Judiciare şi a admis cererea.</w:t>
      </w:r>
    </w:p>
    <w:p w:rsidR="00473B92" w:rsidRDefault="00473B92" w:rsidP="00473B92">
      <w:pPr>
        <w:spacing w:line="276" w:lineRule="auto"/>
        <w:ind w:firstLine="708"/>
        <w:jc w:val="both"/>
        <w:rPr>
          <w:rFonts w:asciiTheme="minorHAnsi" w:hAnsiTheme="minorHAnsi"/>
          <w:color w:val="000000" w:themeColor="text1"/>
          <w:lang w:val="ro-RO"/>
        </w:rPr>
      </w:pPr>
      <w:r>
        <w:rPr>
          <w:rFonts w:asciiTheme="minorHAnsi" w:hAnsiTheme="minorHAnsi"/>
          <w:color w:val="000000" w:themeColor="text1"/>
          <w:lang w:val="ro-RO"/>
        </w:rPr>
        <w:t>Din punct de vedere statistic, situația se prezintă astfel:</w:t>
      </w:r>
    </w:p>
    <w:p w:rsidR="00473B92" w:rsidRPr="002E6900" w:rsidRDefault="00473B92" w:rsidP="00473B92">
      <w:pPr>
        <w:spacing w:line="276" w:lineRule="auto"/>
        <w:ind w:firstLine="708"/>
        <w:jc w:val="both"/>
        <w:rPr>
          <w:rFonts w:asciiTheme="minorHAnsi" w:hAnsiTheme="minorHAnsi"/>
          <w:color w:val="000000" w:themeColor="text1"/>
          <w:lang w:val="ro-RO"/>
        </w:rPr>
      </w:pPr>
    </w:p>
    <w:p w:rsidR="00473B92" w:rsidRPr="008070DE" w:rsidRDefault="00473B92" w:rsidP="00473B92">
      <w:pPr>
        <w:jc w:val="center"/>
        <w:rPr>
          <w:rFonts w:eastAsiaTheme="minorHAnsi"/>
          <w:b/>
          <w:bCs/>
          <w:lang w:val="ro-RO"/>
        </w:rPr>
      </w:pPr>
      <w:r w:rsidRPr="008070DE">
        <w:rPr>
          <w:rFonts w:eastAsiaTheme="minorHAnsi"/>
          <w:b/>
          <w:bCs/>
          <w:lang w:val="ro-RO"/>
        </w:rPr>
        <w:t xml:space="preserve">IAN – DEC. (19.12.)2017 </w:t>
      </w:r>
    </w:p>
    <w:tbl>
      <w:tblPr>
        <w:tblW w:w="5000" w:type="pct"/>
        <w:tblCellMar>
          <w:left w:w="0" w:type="dxa"/>
          <w:right w:w="0" w:type="dxa"/>
        </w:tblCellMar>
        <w:tblLook w:val="04A0" w:firstRow="1" w:lastRow="0" w:firstColumn="1" w:lastColumn="0" w:noHBand="0" w:noVBand="1"/>
      </w:tblPr>
      <w:tblGrid>
        <w:gridCol w:w="2398"/>
        <w:gridCol w:w="2826"/>
        <w:gridCol w:w="4677"/>
      </w:tblGrid>
      <w:tr w:rsidR="00473B92" w:rsidRPr="008070DE" w:rsidTr="005233B5">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73B92" w:rsidRPr="008070DE" w:rsidRDefault="00473B92" w:rsidP="005233B5">
            <w:pPr>
              <w:spacing w:line="252" w:lineRule="auto"/>
              <w:jc w:val="center"/>
              <w:rPr>
                <w:rFonts w:eastAsiaTheme="minorHAnsi"/>
                <w:b/>
                <w:bCs/>
                <w:lang w:val="ro-RO"/>
              </w:rPr>
            </w:pPr>
            <w:r w:rsidRPr="008070DE">
              <w:rPr>
                <w:rFonts w:eastAsiaTheme="minorHAnsi"/>
                <w:b/>
                <w:bCs/>
                <w:lang w:val="ro-RO"/>
              </w:rPr>
              <w:t>2017</w:t>
            </w:r>
          </w:p>
        </w:tc>
      </w:tr>
      <w:tr w:rsidR="00473B92" w:rsidRPr="008070DE" w:rsidTr="005233B5">
        <w:tc>
          <w:tcPr>
            <w:tcW w:w="1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3B92" w:rsidRPr="008070DE" w:rsidRDefault="00473B92" w:rsidP="005233B5">
            <w:pPr>
              <w:spacing w:line="252" w:lineRule="auto"/>
              <w:jc w:val="center"/>
              <w:rPr>
                <w:rFonts w:eastAsiaTheme="minorHAnsi"/>
                <w:b/>
                <w:bCs/>
                <w:lang w:val="ro-RO"/>
              </w:rPr>
            </w:pPr>
            <w:r>
              <w:rPr>
                <w:rFonts w:eastAsiaTheme="minorHAnsi"/>
                <w:b/>
                <w:bCs/>
                <w:lang w:val="ro-RO"/>
              </w:rPr>
              <w:t>Total hotărâri</w:t>
            </w:r>
            <w:r w:rsidRPr="008070DE">
              <w:rPr>
                <w:rFonts w:eastAsiaTheme="minorHAnsi"/>
                <w:b/>
                <w:bCs/>
                <w:lang w:val="ro-RO"/>
              </w:rPr>
              <w:t xml:space="preserve"> </w:t>
            </w:r>
          </w:p>
          <w:p w:rsidR="00473B92" w:rsidRPr="008070DE" w:rsidRDefault="00473B92" w:rsidP="005233B5">
            <w:pPr>
              <w:spacing w:line="252" w:lineRule="auto"/>
              <w:jc w:val="center"/>
              <w:rPr>
                <w:rFonts w:eastAsiaTheme="minorHAnsi"/>
                <w:b/>
                <w:bCs/>
                <w:lang w:val="ro-RO"/>
              </w:rPr>
            </w:pPr>
            <w:r w:rsidRPr="008070DE">
              <w:rPr>
                <w:rFonts w:eastAsiaTheme="minorHAnsi"/>
                <w:b/>
                <w:bCs/>
                <w:lang w:val="ro-RO"/>
              </w:rPr>
              <w:t>19</w:t>
            </w:r>
          </w:p>
        </w:tc>
        <w:tc>
          <w:tcPr>
            <w:tcW w:w="1427" w:type="pct"/>
            <w:tcBorders>
              <w:top w:val="nil"/>
              <w:left w:val="nil"/>
              <w:bottom w:val="single" w:sz="8" w:space="0" w:color="auto"/>
              <w:right w:val="single" w:sz="8" w:space="0" w:color="auto"/>
            </w:tcBorders>
            <w:tcMar>
              <w:top w:w="0" w:type="dxa"/>
              <w:left w:w="108" w:type="dxa"/>
              <w:bottom w:w="0" w:type="dxa"/>
              <w:right w:w="108" w:type="dxa"/>
            </w:tcMar>
            <w:hideMark/>
          </w:tcPr>
          <w:p w:rsidR="00473B92" w:rsidRDefault="00473B92" w:rsidP="005233B5">
            <w:pPr>
              <w:spacing w:line="252" w:lineRule="auto"/>
              <w:jc w:val="center"/>
              <w:rPr>
                <w:rFonts w:eastAsiaTheme="minorHAnsi"/>
                <w:b/>
                <w:bCs/>
                <w:i/>
                <w:iCs/>
                <w:lang w:val="ro-RO"/>
              </w:rPr>
            </w:pPr>
            <w:r>
              <w:rPr>
                <w:rFonts w:eastAsiaTheme="minorHAnsi"/>
                <w:b/>
                <w:bCs/>
                <w:i/>
                <w:iCs/>
                <w:lang w:val="ro-RO"/>
              </w:rPr>
              <w:t>Apărarea indepndenței sistemului judiciar</w:t>
            </w:r>
          </w:p>
          <w:p w:rsidR="00473B92" w:rsidRPr="008070DE" w:rsidRDefault="00473B92" w:rsidP="005233B5">
            <w:pPr>
              <w:spacing w:line="252" w:lineRule="auto"/>
              <w:jc w:val="center"/>
              <w:rPr>
                <w:rFonts w:eastAsiaTheme="minorHAnsi"/>
                <w:b/>
                <w:bCs/>
                <w:vertAlign w:val="superscript"/>
                <w:lang w:val="ro-RO"/>
              </w:rPr>
            </w:pPr>
            <w:r w:rsidRPr="008070DE">
              <w:rPr>
                <w:rFonts w:eastAsiaTheme="minorHAnsi"/>
                <w:b/>
                <w:bCs/>
                <w:lang w:val="ro-RO"/>
              </w:rPr>
              <w:t xml:space="preserve"> 6</w:t>
            </w:r>
          </w:p>
          <w:p w:rsidR="00473B92" w:rsidRPr="008070DE" w:rsidRDefault="00473B92" w:rsidP="005233B5">
            <w:pPr>
              <w:spacing w:line="252" w:lineRule="auto"/>
              <w:jc w:val="center"/>
              <w:rPr>
                <w:rFonts w:eastAsiaTheme="minorHAnsi"/>
                <w:b/>
                <w:bCs/>
                <w:lang w:val="ro-RO"/>
              </w:rPr>
            </w:pPr>
            <w:r w:rsidRPr="008070DE">
              <w:rPr>
                <w:rFonts w:eastAsiaTheme="minorHAnsi"/>
                <w:b/>
                <w:bCs/>
                <w:lang w:val="ro-RO"/>
              </w:rPr>
              <w:t>DIN CARE:</w:t>
            </w:r>
          </w:p>
        </w:tc>
        <w:tc>
          <w:tcPr>
            <w:tcW w:w="2362" w:type="pct"/>
            <w:tcBorders>
              <w:top w:val="nil"/>
              <w:left w:val="nil"/>
              <w:bottom w:val="single" w:sz="8" w:space="0" w:color="auto"/>
              <w:right w:val="single" w:sz="8" w:space="0" w:color="auto"/>
            </w:tcBorders>
            <w:tcMar>
              <w:top w:w="0" w:type="dxa"/>
              <w:left w:w="108" w:type="dxa"/>
              <w:bottom w:w="0" w:type="dxa"/>
              <w:right w:w="108" w:type="dxa"/>
            </w:tcMar>
            <w:hideMark/>
          </w:tcPr>
          <w:p w:rsidR="00473B92" w:rsidRDefault="00473B92" w:rsidP="005233B5">
            <w:pPr>
              <w:spacing w:line="252" w:lineRule="auto"/>
              <w:jc w:val="center"/>
              <w:rPr>
                <w:rFonts w:eastAsiaTheme="minorHAnsi"/>
                <w:b/>
                <w:bCs/>
                <w:i/>
                <w:iCs/>
                <w:lang w:val="ro-RO"/>
              </w:rPr>
            </w:pPr>
            <w:r>
              <w:rPr>
                <w:rFonts w:eastAsiaTheme="minorHAnsi"/>
                <w:b/>
                <w:bCs/>
                <w:i/>
                <w:iCs/>
                <w:lang w:val="ro-RO"/>
              </w:rPr>
              <w:t>A</w:t>
            </w:r>
            <w:r w:rsidRPr="002E6900">
              <w:rPr>
                <w:rFonts w:eastAsiaTheme="minorHAnsi"/>
                <w:b/>
                <w:bCs/>
                <w:i/>
                <w:iCs/>
                <w:lang w:val="ro-RO"/>
              </w:rPr>
              <w:t>părarea reputaţiei profesionale, a independenţei şi imparţialităţii</w:t>
            </w:r>
          </w:p>
          <w:p w:rsidR="00473B92" w:rsidRPr="008070DE" w:rsidRDefault="00473B92" w:rsidP="005233B5">
            <w:pPr>
              <w:spacing w:line="252" w:lineRule="auto"/>
              <w:jc w:val="center"/>
              <w:rPr>
                <w:rFonts w:eastAsiaTheme="minorHAnsi"/>
                <w:b/>
                <w:bCs/>
                <w:lang w:val="ro-RO"/>
              </w:rPr>
            </w:pPr>
            <w:r w:rsidRPr="008070DE">
              <w:rPr>
                <w:rFonts w:eastAsiaTheme="minorHAnsi"/>
                <w:b/>
                <w:bCs/>
                <w:lang w:val="ro-RO"/>
              </w:rPr>
              <w:t>13, DIN CARE:</w:t>
            </w:r>
          </w:p>
        </w:tc>
      </w:tr>
      <w:tr w:rsidR="00473B92" w:rsidRPr="008070DE" w:rsidTr="005233B5">
        <w:tc>
          <w:tcPr>
            <w:tcW w:w="1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73B92" w:rsidRPr="008070DE" w:rsidRDefault="00473B92" w:rsidP="005233B5">
            <w:pPr>
              <w:spacing w:line="252" w:lineRule="auto"/>
              <w:jc w:val="center"/>
              <w:rPr>
                <w:rFonts w:eastAsiaTheme="minorHAnsi"/>
                <w:b/>
                <w:bCs/>
                <w:lang w:val="ro-RO"/>
              </w:rPr>
            </w:pPr>
          </w:p>
        </w:tc>
        <w:tc>
          <w:tcPr>
            <w:tcW w:w="1427" w:type="pct"/>
            <w:tcBorders>
              <w:top w:val="nil"/>
              <w:left w:val="nil"/>
              <w:bottom w:val="single" w:sz="8" w:space="0" w:color="auto"/>
              <w:right w:val="single" w:sz="8" w:space="0" w:color="auto"/>
            </w:tcBorders>
            <w:tcMar>
              <w:top w:w="0" w:type="dxa"/>
              <w:left w:w="108" w:type="dxa"/>
              <w:bottom w:w="0" w:type="dxa"/>
              <w:right w:w="108" w:type="dxa"/>
            </w:tcMar>
            <w:hideMark/>
          </w:tcPr>
          <w:p w:rsidR="00473B92" w:rsidRPr="002E6900" w:rsidRDefault="00473B92" w:rsidP="005233B5">
            <w:pPr>
              <w:spacing w:line="252" w:lineRule="auto"/>
              <w:jc w:val="center"/>
              <w:rPr>
                <w:rFonts w:eastAsiaTheme="minorHAnsi"/>
                <w:b/>
                <w:bCs/>
                <w:i/>
                <w:iCs/>
                <w:lang w:val="ro-RO"/>
              </w:rPr>
            </w:pPr>
            <w:r w:rsidRPr="002E6900">
              <w:rPr>
                <w:rFonts w:eastAsiaTheme="minorHAnsi"/>
                <w:b/>
                <w:bCs/>
                <w:i/>
                <w:iCs/>
                <w:lang w:val="ro-RO"/>
              </w:rPr>
              <w:t>ADMISE: 5 ŞI RESPINSE: 1</w:t>
            </w:r>
          </w:p>
        </w:tc>
        <w:tc>
          <w:tcPr>
            <w:tcW w:w="2362" w:type="pct"/>
            <w:tcBorders>
              <w:top w:val="nil"/>
              <w:left w:val="nil"/>
              <w:bottom w:val="single" w:sz="8" w:space="0" w:color="auto"/>
              <w:right w:val="single" w:sz="8" w:space="0" w:color="auto"/>
            </w:tcBorders>
            <w:tcMar>
              <w:top w:w="0" w:type="dxa"/>
              <w:left w:w="108" w:type="dxa"/>
              <w:bottom w:w="0" w:type="dxa"/>
              <w:right w:w="108" w:type="dxa"/>
            </w:tcMar>
          </w:tcPr>
          <w:p w:rsidR="00473B92" w:rsidRPr="002E6900" w:rsidRDefault="00473B92" w:rsidP="005233B5">
            <w:pPr>
              <w:spacing w:line="252" w:lineRule="auto"/>
              <w:jc w:val="center"/>
              <w:rPr>
                <w:rFonts w:eastAsiaTheme="minorHAnsi"/>
                <w:b/>
                <w:bCs/>
                <w:i/>
                <w:iCs/>
                <w:lang w:val="ro-RO"/>
              </w:rPr>
            </w:pPr>
            <w:r w:rsidRPr="002E6900">
              <w:rPr>
                <w:rFonts w:eastAsiaTheme="minorHAnsi"/>
                <w:b/>
                <w:bCs/>
                <w:i/>
                <w:iCs/>
                <w:lang w:val="ro-RO"/>
              </w:rPr>
              <w:t>ADMISE:8 ŞI RESPINSE: 5</w:t>
            </w:r>
          </w:p>
          <w:p w:rsidR="00473B92" w:rsidRPr="002E6900" w:rsidRDefault="00473B92" w:rsidP="005233B5">
            <w:pPr>
              <w:spacing w:line="252" w:lineRule="auto"/>
              <w:jc w:val="center"/>
              <w:rPr>
                <w:rFonts w:eastAsiaTheme="minorHAnsi"/>
                <w:b/>
                <w:bCs/>
                <w:i/>
                <w:iCs/>
                <w:lang w:val="ro-RO"/>
              </w:rPr>
            </w:pPr>
          </w:p>
        </w:tc>
      </w:tr>
      <w:tr w:rsidR="00473B92" w:rsidRPr="008070DE" w:rsidTr="005233B5">
        <w:tc>
          <w:tcPr>
            <w:tcW w:w="5000" w:type="pct"/>
            <w:gridSpan w:val="3"/>
            <w:tcBorders>
              <w:top w:val="nil"/>
              <w:left w:val="single" w:sz="8" w:space="0" w:color="auto"/>
              <w:bottom w:val="nil"/>
              <w:right w:val="single" w:sz="8" w:space="0" w:color="auto"/>
            </w:tcBorders>
            <w:tcMar>
              <w:top w:w="0" w:type="dxa"/>
              <w:left w:w="108" w:type="dxa"/>
              <w:bottom w:w="0" w:type="dxa"/>
              <w:right w:w="108" w:type="dxa"/>
            </w:tcMar>
            <w:hideMark/>
          </w:tcPr>
          <w:p w:rsidR="00473B92" w:rsidRPr="008070DE" w:rsidRDefault="00473B92" w:rsidP="005233B5">
            <w:pPr>
              <w:spacing w:line="252" w:lineRule="auto"/>
              <w:jc w:val="center"/>
              <w:rPr>
                <w:rFonts w:eastAsiaTheme="minorHAnsi"/>
                <w:b/>
                <w:bCs/>
                <w:i/>
                <w:iCs/>
                <w:lang w:val="ro-RO"/>
              </w:rPr>
            </w:pPr>
            <w:r w:rsidRPr="008070DE">
              <w:rPr>
                <w:rFonts w:eastAsiaTheme="minorHAnsi"/>
                <w:b/>
                <w:bCs/>
                <w:i/>
                <w:iCs/>
                <w:lang w:val="ro-RO"/>
              </w:rPr>
              <w:t>Media duratei de soluţionare (perioada scursă între data sesizării şi data emiterii hotărârii)- 58 de zile</w:t>
            </w:r>
          </w:p>
          <w:p w:rsidR="00473B92" w:rsidRPr="008070DE" w:rsidRDefault="00473B92" w:rsidP="005233B5">
            <w:pPr>
              <w:spacing w:line="252" w:lineRule="auto"/>
              <w:jc w:val="both"/>
              <w:rPr>
                <w:rFonts w:eastAsiaTheme="minorHAnsi"/>
                <w:b/>
                <w:bCs/>
                <w:i/>
                <w:iCs/>
                <w:lang w:val="ro-RO"/>
              </w:rPr>
            </w:pPr>
            <w:r w:rsidRPr="008070DE">
              <w:rPr>
                <w:rFonts w:eastAsiaTheme="minorHAnsi"/>
                <w:b/>
                <w:bCs/>
                <w:i/>
                <w:iCs/>
                <w:lang w:val="ro-RO"/>
              </w:rPr>
              <w:t>Totodată, există un număr de 7  hotărâri prin care s-a luat act de retragerea cererii de apărare a reputaţiei profesionale sau a apărării independenţei sistemului judiciar .</w:t>
            </w:r>
          </w:p>
        </w:tc>
      </w:tr>
      <w:tr w:rsidR="00473B92" w:rsidRPr="008070DE" w:rsidTr="005233B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473B92" w:rsidRPr="008070DE" w:rsidRDefault="00473B92" w:rsidP="005233B5">
            <w:pPr>
              <w:spacing w:line="252" w:lineRule="auto"/>
              <w:jc w:val="center"/>
              <w:rPr>
                <w:rFonts w:eastAsiaTheme="minorHAnsi"/>
                <w:b/>
                <w:bCs/>
                <w:i/>
                <w:iCs/>
                <w:lang w:val="ro-RO"/>
              </w:rPr>
            </w:pPr>
            <w:r w:rsidRPr="008070DE">
              <w:rPr>
                <w:rFonts w:eastAsiaTheme="minorHAnsi"/>
                <w:b/>
                <w:bCs/>
                <w:i/>
                <w:iCs/>
                <w:lang w:val="ro-RO"/>
              </w:rPr>
              <w:t>TOTAL:26 HOTĂRÂRI</w:t>
            </w:r>
          </w:p>
        </w:tc>
      </w:tr>
    </w:tbl>
    <w:p w:rsidR="00473B92" w:rsidRPr="00860724" w:rsidRDefault="00473B92" w:rsidP="00473B92">
      <w:pPr>
        <w:rPr>
          <w:rFonts w:eastAsiaTheme="minorHAnsi"/>
          <w:sz w:val="22"/>
          <w:szCs w:val="22"/>
          <w:lang w:val="ro-RO"/>
        </w:rPr>
      </w:pPr>
    </w:p>
    <w:p w:rsidR="00473B92" w:rsidRPr="00860724" w:rsidRDefault="00473B92" w:rsidP="00473B92">
      <w:pPr>
        <w:pStyle w:val="Frspaiere"/>
        <w:jc w:val="both"/>
        <w:rPr>
          <w:sz w:val="24"/>
          <w:szCs w:val="24"/>
          <w:lang w:val="ro-RO"/>
        </w:rPr>
      </w:pPr>
      <w:r w:rsidRPr="00860724">
        <w:rPr>
          <w:sz w:val="24"/>
          <w:szCs w:val="24"/>
          <w:lang w:val="ro-RO"/>
        </w:rPr>
        <w:tab/>
      </w:r>
    </w:p>
    <w:p w:rsidR="00571A1D" w:rsidRDefault="00571A1D" w:rsidP="00F94664">
      <w:pPr>
        <w:spacing w:line="276" w:lineRule="auto"/>
        <w:ind w:firstLine="708"/>
        <w:jc w:val="both"/>
        <w:rPr>
          <w:rFonts w:asciiTheme="minorHAnsi" w:hAnsiTheme="minorHAnsi"/>
          <w:i/>
          <w:color w:val="000000" w:themeColor="text1"/>
          <w:lang w:val="ro-RO"/>
        </w:rPr>
      </w:pPr>
    </w:p>
    <w:p w:rsidR="00571A1D" w:rsidRDefault="00571A1D" w:rsidP="00F94664">
      <w:pPr>
        <w:spacing w:line="276" w:lineRule="auto"/>
        <w:ind w:firstLine="708"/>
        <w:jc w:val="both"/>
        <w:rPr>
          <w:rFonts w:asciiTheme="minorHAnsi" w:hAnsiTheme="minorHAnsi"/>
          <w:i/>
          <w:color w:val="000000" w:themeColor="text1"/>
          <w:lang w:val="ro-RO"/>
        </w:rPr>
      </w:pPr>
    </w:p>
    <w:p w:rsidR="00571A1D" w:rsidRDefault="00571A1D" w:rsidP="00F94664">
      <w:pPr>
        <w:spacing w:line="276" w:lineRule="auto"/>
        <w:ind w:firstLine="708"/>
        <w:jc w:val="both"/>
        <w:rPr>
          <w:rFonts w:asciiTheme="minorHAnsi" w:hAnsiTheme="minorHAnsi"/>
          <w:i/>
          <w:color w:val="000000" w:themeColor="text1"/>
          <w:lang w:val="ro-RO"/>
        </w:rPr>
      </w:pPr>
    </w:p>
    <w:p w:rsidR="00571A1D" w:rsidRPr="00860724" w:rsidRDefault="00571A1D" w:rsidP="00F94664">
      <w:pPr>
        <w:spacing w:line="276" w:lineRule="auto"/>
        <w:ind w:firstLine="708"/>
        <w:jc w:val="both"/>
        <w:rPr>
          <w:rFonts w:asciiTheme="minorHAnsi" w:hAnsiTheme="minorHAnsi"/>
          <w:i/>
          <w:color w:val="000000" w:themeColor="text1"/>
          <w:lang w:val="ro-RO"/>
        </w:rPr>
      </w:pPr>
    </w:p>
    <w:p w:rsidR="00625F9B" w:rsidRPr="00860724" w:rsidRDefault="00496D69" w:rsidP="00D65D5E">
      <w:pPr>
        <w:pStyle w:val="Frspaiere"/>
        <w:jc w:val="both"/>
        <w:rPr>
          <w:sz w:val="24"/>
          <w:szCs w:val="24"/>
          <w:lang w:val="ro-RO"/>
        </w:rPr>
      </w:pPr>
      <w:r w:rsidRPr="00860724">
        <w:rPr>
          <w:sz w:val="24"/>
          <w:szCs w:val="24"/>
          <w:lang w:val="ro-RO"/>
        </w:rPr>
        <w:tab/>
      </w:r>
    </w:p>
    <w:p w:rsidR="00002F45" w:rsidRDefault="005F04FF" w:rsidP="000D005D">
      <w:pPr>
        <w:pStyle w:val="Titlu1"/>
      </w:pPr>
      <w:bookmarkStart w:id="99" w:name="_Toc504987145"/>
      <w:r w:rsidRPr="00860724">
        <w:t xml:space="preserve">Capitolul </w:t>
      </w:r>
      <w:r w:rsidR="00450FA7" w:rsidRPr="00860724">
        <w:t xml:space="preserve">X </w:t>
      </w:r>
    </w:p>
    <w:p w:rsidR="00450FA7" w:rsidRPr="00860724" w:rsidRDefault="00450FA7" w:rsidP="000D005D">
      <w:pPr>
        <w:pStyle w:val="Titlu1"/>
      </w:pPr>
      <w:r w:rsidRPr="00860724">
        <w:t>Propunerile instanţelor şi parchetelor în vederea îmbunătăţirii activităţii</w:t>
      </w:r>
      <w:bookmarkEnd w:id="99"/>
    </w:p>
    <w:p w:rsidR="00F469D8" w:rsidRPr="005609C8" w:rsidRDefault="005609C8" w:rsidP="009C30FA">
      <w:pPr>
        <w:pStyle w:val="Frspaiere"/>
        <w:jc w:val="both"/>
        <w:rPr>
          <w:b/>
          <w:sz w:val="24"/>
          <w:szCs w:val="24"/>
          <w:lang w:val="ro-RO"/>
        </w:rPr>
      </w:pPr>
      <w:r>
        <w:rPr>
          <w:sz w:val="24"/>
          <w:szCs w:val="24"/>
          <w:lang w:val="ro-RO"/>
        </w:rPr>
        <w:t xml:space="preserve"> </w:t>
      </w:r>
      <w:r w:rsidRPr="005609C8">
        <w:rPr>
          <w:b/>
          <w:sz w:val="24"/>
          <w:szCs w:val="24"/>
          <w:lang w:val="ro-RO"/>
        </w:rPr>
        <w:t>A. INSTANȚE</w:t>
      </w:r>
    </w:p>
    <w:p w:rsidR="005609C8" w:rsidRDefault="005609C8" w:rsidP="009C30FA">
      <w:pPr>
        <w:pStyle w:val="Frspaiere"/>
        <w:jc w:val="both"/>
        <w:rPr>
          <w:sz w:val="24"/>
          <w:szCs w:val="24"/>
          <w:lang w:val="ro-RO"/>
        </w:rPr>
      </w:pPr>
    </w:p>
    <w:tbl>
      <w:tblPr>
        <w:tblStyle w:val="Tabelgril"/>
        <w:tblW w:w="0" w:type="auto"/>
        <w:tblLook w:val="04A0" w:firstRow="1" w:lastRow="0" w:firstColumn="1" w:lastColumn="0" w:noHBand="0" w:noVBand="1"/>
      </w:tblPr>
      <w:tblGrid>
        <w:gridCol w:w="3595"/>
        <w:gridCol w:w="6316"/>
      </w:tblGrid>
      <w:tr w:rsidR="00F469D8" w:rsidTr="00F469D8">
        <w:tc>
          <w:tcPr>
            <w:tcW w:w="3595" w:type="dxa"/>
          </w:tcPr>
          <w:p w:rsidR="00F469D8" w:rsidRPr="00F469D8" w:rsidRDefault="00F469D8" w:rsidP="009C30FA">
            <w:pPr>
              <w:pStyle w:val="Frspaiere"/>
              <w:jc w:val="both"/>
              <w:rPr>
                <w:b/>
                <w:sz w:val="24"/>
                <w:szCs w:val="24"/>
                <w:lang w:val="ro-RO"/>
              </w:rPr>
            </w:pPr>
            <w:r w:rsidRPr="00F469D8">
              <w:rPr>
                <w:b/>
                <w:lang w:val="ro-RO"/>
              </w:rPr>
              <w:t>VULNERABILITĂȚI</w:t>
            </w:r>
          </w:p>
        </w:tc>
        <w:tc>
          <w:tcPr>
            <w:tcW w:w="6316" w:type="dxa"/>
          </w:tcPr>
          <w:p w:rsidR="00F469D8" w:rsidRPr="00F469D8" w:rsidRDefault="00F469D8" w:rsidP="009C30FA">
            <w:pPr>
              <w:pStyle w:val="Frspaiere"/>
              <w:jc w:val="both"/>
              <w:rPr>
                <w:b/>
                <w:sz w:val="24"/>
                <w:szCs w:val="24"/>
                <w:lang w:val="ro-RO"/>
              </w:rPr>
            </w:pPr>
            <w:r w:rsidRPr="00F469D8">
              <w:rPr>
                <w:b/>
                <w:sz w:val="24"/>
                <w:szCs w:val="24"/>
                <w:lang w:val="ro-RO"/>
              </w:rPr>
              <w:t>MĂSURI DE REMEDIERE</w:t>
            </w:r>
          </w:p>
        </w:tc>
      </w:tr>
      <w:tr w:rsidR="00F469D8" w:rsidTr="00F469D8">
        <w:tc>
          <w:tcPr>
            <w:tcW w:w="3595" w:type="dxa"/>
          </w:tcPr>
          <w:p w:rsidR="00F469D8" w:rsidRDefault="00F469D8" w:rsidP="00F469D8">
            <w:pPr>
              <w:pStyle w:val="Frspaiere"/>
              <w:spacing w:line="276" w:lineRule="auto"/>
              <w:jc w:val="both"/>
              <w:rPr>
                <w:lang w:val="ro-RO"/>
              </w:rPr>
            </w:pPr>
            <w:r w:rsidRPr="00860724">
              <w:rPr>
                <w:lang w:val="ro-RO"/>
              </w:rPr>
              <w:t>Frecvenţa mare a modificărilor legislative în lipsa de coerenţă a legislaţiei</w:t>
            </w:r>
            <w:r>
              <w:rPr>
                <w:lang w:val="ro-RO"/>
              </w:rPr>
              <w:t xml:space="preserve"> </w:t>
            </w:r>
            <w:r w:rsidRPr="00860724">
              <w:rPr>
                <w:lang w:val="ro-RO"/>
              </w:rPr>
              <w:t>incidente în materiile fiscală, contencios, civil, pena</w:t>
            </w:r>
          </w:p>
          <w:p w:rsidR="00F469D8" w:rsidRPr="00F469D8" w:rsidRDefault="00F469D8" w:rsidP="009C30FA">
            <w:pPr>
              <w:pStyle w:val="Frspaiere"/>
              <w:jc w:val="both"/>
              <w:rPr>
                <w:b/>
                <w:lang w:val="ro-RO"/>
              </w:rPr>
            </w:pPr>
          </w:p>
        </w:tc>
        <w:tc>
          <w:tcPr>
            <w:tcW w:w="6316" w:type="dxa"/>
          </w:tcPr>
          <w:p w:rsidR="00F469D8" w:rsidRDefault="00F469D8" w:rsidP="009C30FA">
            <w:pPr>
              <w:pStyle w:val="Frspaiere"/>
              <w:jc w:val="both"/>
              <w:rPr>
                <w:lang w:val="ro-RO"/>
              </w:rPr>
            </w:pPr>
            <w:r>
              <w:rPr>
                <w:lang w:val="ro-RO"/>
              </w:rPr>
              <w:t xml:space="preserve">- </w:t>
            </w:r>
            <w:r w:rsidRPr="00860724">
              <w:rPr>
                <w:lang w:val="ro-RO"/>
              </w:rPr>
              <w:t>Sesizarea Ministerului Justiţiei în legătură cu eventualele necorelări legislative</w:t>
            </w:r>
          </w:p>
          <w:p w:rsidR="00F469D8" w:rsidRPr="00F469D8" w:rsidRDefault="00F469D8" w:rsidP="009C30FA">
            <w:pPr>
              <w:pStyle w:val="Frspaiere"/>
              <w:jc w:val="both"/>
              <w:rPr>
                <w:b/>
                <w:sz w:val="24"/>
                <w:szCs w:val="24"/>
                <w:lang w:val="ro-RO"/>
              </w:rPr>
            </w:pPr>
            <w:r>
              <w:rPr>
                <w:lang w:val="ro-RO"/>
              </w:rPr>
              <w:t xml:space="preserve">- </w:t>
            </w:r>
            <w:r w:rsidRPr="00860724">
              <w:rPr>
                <w:lang w:val="ro-RO"/>
              </w:rPr>
              <w:t>o acţionare</w:t>
            </w:r>
            <w:r>
              <w:rPr>
                <w:lang w:val="ro-RO"/>
              </w:rPr>
              <w:t xml:space="preserve"> </w:t>
            </w:r>
            <w:r w:rsidRPr="00860724">
              <w:rPr>
                <w:lang w:val="ro-RO"/>
              </w:rPr>
              <w:t>mai promptă a mecanismelor judiciare de unificare a practicii judiciare (recurs în interesul legii, hotărâri prealabile pentru dezlegarea unor</w:t>
            </w:r>
            <w:r>
              <w:rPr>
                <w:lang w:val="ro-RO"/>
              </w:rPr>
              <w:t xml:space="preserve"> </w:t>
            </w:r>
            <w:r w:rsidRPr="00860724">
              <w:rPr>
                <w:lang w:val="ro-RO"/>
              </w:rPr>
              <w:t>chestiuni de drept</w:t>
            </w:r>
          </w:p>
        </w:tc>
      </w:tr>
      <w:tr w:rsidR="00F469D8" w:rsidTr="00F469D8">
        <w:tc>
          <w:tcPr>
            <w:tcW w:w="3595" w:type="dxa"/>
          </w:tcPr>
          <w:p w:rsidR="00F469D8" w:rsidRPr="00F469D8" w:rsidRDefault="00F469D8" w:rsidP="009C30FA">
            <w:pPr>
              <w:pStyle w:val="Frspaiere"/>
              <w:jc w:val="both"/>
              <w:rPr>
                <w:lang w:val="ro-RO"/>
              </w:rPr>
            </w:pPr>
            <w:r w:rsidRPr="00F469D8">
              <w:rPr>
                <w:lang w:val="ro-RO"/>
              </w:rPr>
              <w:t>Numărul insuficient de posturi de judecător și de personal auxiliar</w:t>
            </w:r>
          </w:p>
        </w:tc>
        <w:tc>
          <w:tcPr>
            <w:tcW w:w="6316" w:type="dxa"/>
          </w:tcPr>
          <w:p w:rsidR="00F469D8" w:rsidRDefault="00F469D8" w:rsidP="009C30FA">
            <w:pPr>
              <w:pStyle w:val="Frspaiere"/>
              <w:jc w:val="both"/>
              <w:rPr>
                <w:lang w:val="ro-RO"/>
              </w:rPr>
            </w:pPr>
            <w:r>
              <w:rPr>
                <w:lang w:val="ro-RO"/>
              </w:rPr>
              <w:t>R</w:t>
            </w:r>
            <w:r w:rsidRPr="00860724">
              <w:rPr>
                <w:lang w:val="ro-RO"/>
              </w:rPr>
              <w:t>edimensionarea schemelor de personal, respectiv adaptarea acestora la actualele</w:t>
            </w:r>
            <w:r>
              <w:rPr>
                <w:lang w:val="ro-RO"/>
              </w:rPr>
              <w:t xml:space="preserve"> </w:t>
            </w:r>
            <w:r w:rsidRPr="00860724">
              <w:rPr>
                <w:lang w:val="ro-RO"/>
              </w:rPr>
              <w:t>condiţii impuse de noile modificări legislative (intrarea în vigoare a noilor coduri).</w:t>
            </w:r>
          </w:p>
          <w:p w:rsidR="00F469D8" w:rsidRDefault="00F469D8" w:rsidP="00F469D8">
            <w:pPr>
              <w:pStyle w:val="Frspaiere"/>
              <w:jc w:val="both"/>
              <w:rPr>
                <w:lang w:val="ro-RO"/>
              </w:rPr>
            </w:pPr>
            <w:r>
              <w:rPr>
                <w:lang w:val="ro-RO"/>
              </w:rPr>
              <w:t xml:space="preserve">- </w:t>
            </w:r>
            <w:r w:rsidRPr="00860724">
              <w:rPr>
                <w:lang w:val="ro-RO"/>
              </w:rPr>
              <w:t>stabilirea</w:t>
            </w:r>
            <w:r>
              <w:rPr>
                <w:lang w:val="ro-RO"/>
              </w:rPr>
              <w:t xml:space="preserve"> </w:t>
            </w:r>
            <w:r w:rsidRPr="00860724">
              <w:rPr>
                <w:lang w:val="ro-RO"/>
              </w:rPr>
              <w:t>unui volum optim de activitate pentru judecător</w:t>
            </w:r>
            <w:r>
              <w:rPr>
                <w:lang w:val="ro-RO"/>
              </w:rPr>
              <w:t>i şi pentru personalul auxiliar</w:t>
            </w:r>
          </w:p>
          <w:p w:rsidR="00F469D8" w:rsidRDefault="00F469D8" w:rsidP="00F469D8">
            <w:pPr>
              <w:pStyle w:val="Frspaiere"/>
              <w:jc w:val="both"/>
              <w:rPr>
                <w:lang w:val="ro-RO"/>
              </w:rPr>
            </w:pPr>
            <w:r>
              <w:rPr>
                <w:lang w:val="ro-RO"/>
              </w:rPr>
              <w:t xml:space="preserve">- </w:t>
            </w:r>
            <w:r w:rsidRPr="00860724">
              <w:rPr>
                <w:lang w:val="ro-RO"/>
              </w:rPr>
              <w:t xml:space="preserve"> luarea măsurilor pentru asigurarea unui raport de 2</w:t>
            </w:r>
            <w:r>
              <w:rPr>
                <w:lang w:val="ro-RO"/>
              </w:rPr>
              <w:t xml:space="preserve"> </w:t>
            </w:r>
            <w:r w:rsidRPr="00860724">
              <w:rPr>
                <w:lang w:val="ro-RO"/>
              </w:rPr>
              <w:t>grefieri/judecător şi stabilirea unor politici de personal care să aibă în vedere în principal asigurarea unui număr optim de personal pentru</w:t>
            </w:r>
            <w:r>
              <w:rPr>
                <w:lang w:val="ro-RO"/>
              </w:rPr>
              <w:t xml:space="preserve"> </w:t>
            </w:r>
            <w:r w:rsidRPr="00860724">
              <w:rPr>
                <w:lang w:val="ro-RO"/>
              </w:rPr>
              <w:t xml:space="preserve">fiecare instanţă şi nu interesul/dorinţa judecătorilor de a funcţiona la o anumită instanţă. </w:t>
            </w:r>
          </w:p>
          <w:p w:rsidR="00F469D8" w:rsidRDefault="00F469D8" w:rsidP="00F469D8">
            <w:pPr>
              <w:pStyle w:val="Frspaiere"/>
              <w:jc w:val="both"/>
              <w:rPr>
                <w:lang w:val="ro-RO"/>
              </w:rPr>
            </w:pPr>
            <w:r>
              <w:rPr>
                <w:lang w:val="ro-RO"/>
              </w:rPr>
              <w:t xml:space="preserve">- </w:t>
            </w:r>
            <w:r w:rsidRPr="00860724">
              <w:rPr>
                <w:lang w:val="ro-RO"/>
              </w:rPr>
              <w:t>pentru repartizarea judecătorilor</w:t>
            </w:r>
            <w:r>
              <w:rPr>
                <w:lang w:val="ro-RO"/>
              </w:rPr>
              <w:t xml:space="preserve"> </w:t>
            </w:r>
            <w:r w:rsidRPr="00860724">
              <w:rPr>
                <w:lang w:val="ro-RO"/>
              </w:rPr>
              <w:t>stagiari/definitivi se impune a fi scoase posturi doar la instanţele care nu-şi pot desfăşura activitatea în condiţii optime din cauza numărului mare</w:t>
            </w:r>
            <w:r>
              <w:rPr>
                <w:lang w:val="ro-RO"/>
              </w:rPr>
              <w:t xml:space="preserve"> </w:t>
            </w:r>
            <w:r w:rsidRPr="00860724">
              <w:rPr>
                <w:lang w:val="ro-RO"/>
              </w:rPr>
              <w:t xml:space="preserve">de posturi vacante. </w:t>
            </w:r>
          </w:p>
          <w:p w:rsidR="00F469D8" w:rsidRDefault="00F469D8" w:rsidP="00F469D8">
            <w:pPr>
              <w:pStyle w:val="Frspaiere"/>
              <w:jc w:val="both"/>
              <w:rPr>
                <w:lang w:val="ro-RO"/>
              </w:rPr>
            </w:pPr>
            <w:r>
              <w:rPr>
                <w:lang w:val="ro-RO"/>
              </w:rPr>
              <w:t xml:space="preserve">- </w:t>
            </w:r>
            <w:r w:rsidRPr="00860724">
              <w:rPr>
                <w:lang w:val="ro-RO"/>
              </w:rPr>
              <w:t>adoptarea unei politici de resurse umane în</w:t>
            </w:r>
            <w:r>
              <w:rPr>
                <w:lang w:val="ro-RO"/>
              </w:rPr>
              <w:t xml:space="preserve"> </w:t>
            </w:r>
            <w:r w:rsidRPr="00860724">
              <w:rPr>
                <w:lang w:val="ro-RO"/>
              </w:rPr>
              <w:t>sensul luării măsurilor necesare pentru ocuparea posturilor de judecători la instan</w:t>
            </w:r>
            <w:r>
              <w:rPr>
                <w:lang w:val="ro-RO"/>
              </w:rPr>
              <w:t>ț</w:t>
            </w:r>
            <w:r w:rsidRPr="00860724">
              <w:rPr>
                <w:lang w:val="ro-RO"/>
              </w:rPr>
              <w:t xml:space="preserve">ele mici </w:t>
            </w:r>
            <w:r>
              <w:rPr>
                <w:lang w:val="ro-RO"/>
              </w:rPr>
              <w:t>ș</w:t>
            </w:r>
            <w:r w:rsidRPr="00860724">
              <w:rPr>
                <w:lang w:val="ro-RO"/>
              </w:rPr>
              <w:t>i situate în zone geografice neatractive</w:t>
            </w:r>
          </w:p>
          <w:p w:rsidR="00F469D8" w:rsidRDefault="00F469D8" w:rsidP="00F469D8">
            <w:pPr>
              <w:pStyle w:val="Frspaiere"/>
              <w:jc w:val="both"/>
              <w:rPr>
                <w:lang w:val="ro-RO"/>
              </w:rPr>
            </w:pPr>
            <w:r>
              <w:rPr>
                <w:lang w:val="ro-RO"/>
              </w:rPr>
              <w:t xml:space="preserve">- </w:t>
            </w:r>
            <w:r w:rsidRPr="00860724">
              <w:rPr>
                <w:lang w:val="ro-RO"/>
              </w:rPr>
              <w:t>echilibrarea schemelor de personal prin raportare nu numai la</w:t>
            </w:r>
            <w:r>
              <w:rPr>
                <w:lang w:val="ro-RO"/>
              </w:rPr>
              <w:t xml:space="preserve"> </w:t>
            </w:r>
            <w:r w:rsidRPr="00860724">
              <w:rPr>
                <w:lang w:val="ro-RO"/>
              </w:rPr>
              <w:t>umărul cauzelor înregistrare, ci şi la specificul, respectiv complexitatea acestora,</w:t>
            </w:r>
          </w:p>
          <w:p w:rsidR="00F469D8" w:rsidRPr="00F469D8" w:rsidRDefault="00F469D8" w:rsidP="00F469D8">
            <w:pPr>
              <w:pStyle w:val="Frspaiere"/>
              <w:jc w:val="both"/>
              <w:rPr>
                <w:b/>
                <w:sz w:val="24"/>
                <w:szCs w:val="24"/>
                <w:lang w:val="ro-RO"/>
              </w:rPr>
            </w:pPr>
            <w:r>
              <w:rPr>
                <w:lang w:val="ro-RO"/>
              </w:rPr>
              <w:t xml:space="preserve">- </w:t>
            </w:r>
            <w:r w:rsidRPr="00860724">
              <w:rPr>
                <w:lang w:val="ro-RO"/>
              </w:rPr>
              <w:t xml:space="preserve"> dezvoltarea</w:t>
            </w:r>
            <w:r>
              <w:rPr>
                <w:lang w:val="ro-RO"/>
              </w:rPr>
              <w:t xml:space="preserve"> </w:t>
            </w:r>
            <w:r w:rsidRPr="00860724">
              <w:rPr>
                <w:sz w:val="24"/>
                <w:szCs w:val="24"/>
                <w:lang w:val="ro-RO"/>
              </w:rPr>
              <w:t>aplicaţiei ECRIS şi adaptarea acesteia necesităţilor actuale ale instanţelor, modificărilor legale şi regulamentare, pentru a reflecta în mod real, cu</w:t>
            </w:r>
            <w:r w:rsidRPr="00860724">
              <w:rPr>
                <w:lang w:val="ro-RO"/>
              </w:rPr>
              <w:t>privire la toţi parametrii, situaţia instanţelor de judecată, din perspectiva volumului şi complexităţii activităţii</w:t>
            </w:r>
          </w:p>
        </w:tc>
      </w:tr>
      <w:tr w:rsidR="00F469D8" w:rsidTr="00F469D8">
        <w:tc>
          <w:tcPr>
            <w:tcW w:w="3595" w:type="dxa"/>
          </w:tcPr>
          <w:p w:rsidR="00F469D8" w:rsidRPr="00F469D8" w:rsidRDefault="00F469D8" w:rsidP="009C30FA">
            <w:pPr>
              <w:pStyle w:val="Frspaiere"/>
              <w:jc w:val="both"/>
              <w:rPr>
                <w:b/>
                <w:lang w:val="ro-RO"/>
              </w:rPr>
            </w:pPr>
            <w:r w:rsidRPr="00860724">
              <w:rPr>
                <w:lang w:val="ro-RO"/>
              </w:rPr>
              <w:t>Subfinanţarea</w:t>
            </w:r>
          </w:p>
        </w:tc>
        <w:tc>
          <w:tcPr>
            <w:tcW w:w="6316" w:type="dxa"/>
          </w:tcPr>
          <w:p w:rsidR="00F469D8" w:rsidRPr="00F469D8" w:rsidRDefault="00F469D8" w:rsidP="009C30FA">
            <w:pPr>
              <w:pStyle w:val="Frspaiere"/>
              <w:jc w:val="both"/>
              <w:rPr>
                <w:b/>
                <w:sz w:val="24"/>
                <w:szCs w:val="24"/>
                <w:lang w:val="ro-RO"/>
              </w:rPr>
            </w:pPr>
            <w:r w:rsidRPr="00860724">
              <w:rPr>
                <w:lang w:val="ro-RO"/>
              </w:rPr>
              <w:t>alocarea resurselor materiale necesare desfăşurării activităţii</w:t>
            </w:r>
          </w:p>
        </w:tc>
      </w:tr>
      <w:tr w:rsidR="00F469D8" w:rsidTr="00F469D8">
        <w:tc>
          <w:tcPr>
            <w:tcW w:w="3595" w:type="dxa"/>
          </w:tcPr>
          <w:p w:rsidR="00F469D8" w:rsidRPr="00F469D8" w:rsidRDefault="00F469D8" w:rsidP="009C30FA">
            <w:pPr>
              <w:pStyle w:val="Frspaiere"/>
              <w:jc w:val="both"/>
              <w:rPr>
                <w:b/>
                <w:lang w:val="ro-RO"/>
              </w:rPr>
            </w:pPr>
            <w:r w:rsidRPr="00860724">
              <w:rPr>
                <w:lang w:val="ro-RO"/>
              </w:rPr>
              <w:t>Nerespectarea de catre Parlament si Guvern a dispozitiilor art.147 (1) din Constitutia Romaniei privind punerea in acord a prevederilor</w:t>
            </w:r>
            <w:r>
              <w:rPr>
                <w:lang w:val="ro-RO"/>
              </w:rPr>
              <w:t xml:space="preserve"> </w:t>
            </w:r>
            <w:r w:rsidRPr="00860724">
              <w:rPr>
                <w:lang w:val="ro-RO"/>
              </w:rPr>
              <w:t>neconstitutionale cu dispozitiile Constitutiei conform deciziilor Curtii Constitutionale a Romaniei</w:t>
            </w:r>
          </w:p>
        </w:tc>
        <w:tc>
          <w:tcPr>
            <w:tcW w:w="6316" w:type="dxa"/>
          </w:tcPr>
          <w:p w:rsidR="00F469D8" w:rsidRPr="00F469D8" w:rsidRDefault="00F469D8" w:rsidP="009C30FA">
            <w:pPr>
              <w:pStyle w:val="Frspaiere"/>
              <w:jc w:val="both"/>
              <w:rPr>
                <w:b/>
                <w:sz w:val="24"/>
                <w:szCs w:val="24"/>
                <w:lang w:val="ro-RO"/>
              </w:rPr>
            </w:pPr>
          </w:p>
        </w:tc>
      </w:tr>
      <w:tr w:rsidR="00F469D8" w:rsidTr="00F469D8">
        <w:tc>
          <w:tcPr>
            <w:tcW w:w="3595" w:type="dxa"/>
          </w:tcPr>
          <w:p w:rsidR="00F469D8" w:rsidRPr="00F469D8" w:rsidRDefault="00F469D8" w:rsidP="009C30FA">
            <w:pPr>
              <w:pStyle w:val="Frspaiere"/>
              <w:jc w:val="both"/>
              <w:rPr>
                <w:b/>
                <w:lang w:val="ro-RO"/>
              </w:rPr>
            </w:pPr>
            <w:r>
              <w:rPr>
                <w:lang w:val="ro-RO"/>
              </w:rPr>
              <w:t>Li</w:t>
            </w:r>
            <w:r w:rsidRPr="00860724">
              <w:rPr>
                <w:lang w:val="ro-RO"/>
              </w:rPr>
              <w:t>psa eficienţei procedurilor de apărare a reputaţiei</w:t>
            </w:r>
            <w:r>
              <w:rPr>
                <w:lang w:val="ro-RO"/>
              </w:rPr>
              <w:t xml:space="preserve"> </w:t>
            </w:r>
            <w:r w:rsidRPr="00860724">
              <w:rPr>
                <w:lang w:val="ro-RO"/>
              </w:rPr>
              <w:t>magistraţilor</w:t>
            </w:r>
          </w:p>
        </w:tc>
        <w:tc>
          <w:tcPr>
            <w:tcW w:w="6316" w:type="dxa"/>
          </w:tcPr>
          <w:p w:rsidR="00F469D8" w:rsidRPr="00F469D8" w:rsidRDefault="00F469D8" w:rsidP="009C30FA">
            <w:pPr>
              <w:pStyle w:val="Frspaiere"/>
              <w:jc w:val="both"/>
              <w:rPr>
                <w:b/>
                <w:sz w:val="24"/>
                <w:szCs w:val="24"/>
                <w:lang w:val="ro-RO"/>
              </w:rPr>
            </w:pPr>
          </w:p>
        </w:tc>
      </w:tr>
      <w:tr w:rsidR="00F469D8" w:rsidTr="00F469D8">
        <w:tc>
          <w:tcPr>
            <w:tcW w:w="3595" w:type="dxa"/>
          </w:tcPr>
          <w:p w:rsidR="00F469D8" w:rsidRDefault="00F469D8" w:rsidP="00F469D8">
            <w:pPr>
              <w:pStyle w:val="Frspaiere"/>
              <w:spacing w:line="276" w:lineRule="auto"/>
              <w:ind w:hanging="23"/>
              <w:jc w:val="both"/>
              <w:rPr>
                <w:lang w:val="ro-RO"/>
              </w:rPr>
            </w:pPr>
            <w:r w:rsidRPr="00860724">
              <w:rPr>
                <w:lang w:val="ro-RO"/>
              </w:rPr>
              <w:t xml:space="preserve">Accentul exagerat pus pe pregătirea teoretică a magistraţilor, în detrimentul celei practice </w:t>
            </w:r>
          </w:p>
          <w:p w:rsidR="00F469D8" w:rsidRPr="00F469D8" w:rsidRDefault="00F469D8" w:rsidP="009C30FA">
            <w:pPr>
              <w:pStyle w:val="Frspaiere"/>
              <w:jc w:val="both"/>
              <w:rPr>
                <w:b/>
                <w:lang w:val="ro-RO"/>
              </w:rPr>
            </w:pPr>
          </w:p>
        </w:tc>
        <w:tc>
          <w:tcPr>
            <w:tcW w:w="6316" w:type="dxa"/>
          </w:tcPr>
          <w:p w:rsidR="00F469D8" w:rsidRPr="00F469D8" w:rsidRDefault="00F469D8" w:rsidP="009C30FA">
            <w:pPr>
              <w:pStyle w:val="Frspaiere"/>
              <w:jc w:val="both"/>
              <w:rPr>
                <w:b/>
                <w:sz w:val="24"/>
                <w:szCs w:val="24"/>
                <w:lang w:val="ro-RO"/>
              </w:rPr>
            </w:pPr>
          </w:p>
        </w:tc>
      </w:tr>
    </w:tbl>
    <w:p w:rsidR="00F469D8" w:rsidRPr="00860724" w:rsidRDefault="00F469D8" w:rsidP="009C30FA">
      <w:pPr>
        <w:pStyle w:val="Frspaiere"/>
        <w:jc w:val="both"/>
        <w:rPr>
          <w:sz w:val="24"/>
          <w:szCs w:val="24"/>
          <w:lang w:val="ro-RO"/>
        </w:rPr>
      </w:pPr>
    </w:p>
    <w:p w:rsidR="00571A1D" w:rsidRPr="00860724" w:rsidRDefault="00571A1D" w:rsidP="00CF11CE">
      <w:pPr>
        <w:pStyle w:val="Frspaiere"/>
        <w:spacing w:line="276" w:lineRule="auto"/>
        <w:ind w:firstLine="708"/>
        <w:jc w:val="both"/>
        <w:rPr>
          <w:lang w:val="ro-RO"/>
        </w:rPr>
      </w:pPr>
    </w:p>
    <w:p w:rsidR="007C2208" w:rsidRDefault="005609C8" w:rsidP="00CF11CE">
      <w:pPr>
        <w:pStyle w:val="Frspaiere"/>
        <w:spacing w:line="276" w:lineRule="auto"/>
        <w:ind w:firstLine="708"/>
        <w:jc w:val="both"/>
        <w:rPr>
          <w:b/>
          <w:sz w:val="24"/>
          <w:szCs w:val="24"/>
          <w:lang w:val="ro-RO"/>
        </w:rPr>
      </w:pPr>
      <w:r w:rsidRPr="005609C8">
        <w:rPr>
          <w:b/>
          <w:sz w:val="24"/>
          <w:szCs w:val="24"/>
          <w:lang w:val="ro-RO"/>
        </w:rPr>
        <w:t>B</w:t>
      </w:r>
      <w:r w:rsidR="007C2208" w:rsidRPr="005609C8">
        <w:rPr>
          <w:b/>
          <w:sz w:val="24"/>
          <w:szCs w:val="24"/>
          <w:lang w:val="ro-RO"/>
        </w:rPr>
        <w:t>.</w:t>
      </w:r>
      <w:r w:rsidRPr="005609C8">
        <w:rPr>
          <w:b/>
          <w:sz w:val="24"/>
          <w:szCs w:val="24"/>
          <w:lang w:val="ro-RO"/>
        </w:rPr>
        <w:t xml:space="preserve"> PARCHETE</w:t>
      </w:r>
    </w:p>
    <w:p w:rsidR="003547DF" w:rsidRPr="005609C8" w:rsidRDefault="003547DF" w:rsidP="00CF11CE">
      <w:pPr>
        <w:pStyle w:val="Frspaiere"/>
        <w:spacing w:line="276" w:lineRule="auto"/>
        <w:ind w:firstLine="708"/>
        <w:jc w:val="both"/>
        <w:rPr>
          <w:b/>
          <w:sz w:val="24"/>
          <w:szCs w:val="24"/>
          <w:lang w:val="ro-RO"/>
        </w:rPr>
      </w:pPr>
    </w:p>
    <w:tbl>
      <w:tblPr>
        <w:tblStyle w:val="Tabelgril"/>
        <w:tblW w:w="0" w:type="auto"/>
        <w:tblLook w:val="04A0" w:firstRow="1" w:lastRow="0" w:firstColumn="1" w:lastColumn="0" w:noHBand="0" w:noVBand="1"/>
      </w:tblPr>
      <w:tblGrid>
        <w:gridCol w:w="3505"/>
        <w:gridCol w:w="6406"/>
      </w:tblGrid>
      <w:tr w:rsidR="003547DF" w:rsidTr="003547DF">
        <w:tc>
          <w:tcPr>
            <w:tcW w:w="3505" w:type="dxa"/>
          </w:tcPr>
          <w:p w:rsidR="003547DF" w:rsidRPr="003547DF" w:rsidRDefault="003547DF" w:rsidP="00CF11CE">
            <w:pPr>
              <w:pStyle w:val="Frspaiere"/>
              <w:spacing w:line="276" w:lineRule="auto"/>
              <w:jc w:val="both"/>
              <w:rPr>
                <w:b/>
                <w:lang w:val="ro-RO"/>
              </w:rPr>
            </w:pPr>
            <w:r w:rsidRPr="003547DF">
              <w:rPr>
                <w:b/>
                <w:lang w:val="ro-RO"/>
              </w:rPr>
              <w:t>VULNERABILITĂȚI</w:t>
            </w:r>
          </w:p>
        </w:tc>
        <w:tc>
          <w:tcPr>
            <w:tcW w:w="6406" w:type="dxa"/>
          </w:tcPr>
          <w:p w:rsidR="003547DF" w:rsidRPr="003547DF" w:rsidRDefault="003547DF" w:rsidP="00CF11CE">
            <w:pPr>
              <w:pStyle w:val="Frspaiere"/>
              <w:spacing w:line="276" w:lineRule="auto"/>
              <w:jc w:val="both"/>
              <w:rPr>
                <w:b/>
                <w:lang w:val="ro-RO"/>
              </w:rPr>
            </w:pPr>
            <w:r w:rsidRPr="003547DF">
              <w:rPr>
                <w:b/>
                <w:lang w:val="ro-RO"/>
              </w:rPr>
              <w:t>MĂSURI DE REMEDIERE</w:t>
            </w:r>
          </w:p>
        </w:tc>
      </w:tr>
      <w:tr w:rsidR="003547DF" w:rsidTr="003547DF">
        <w:tc>
          <w:tcPr>
            <w:tcW w:w="3505" w:type="dxa"/>
          </w:tcPr>
          <w:p w:rsidR="003547DF" w:rsidRPr="003547DF" w:rsidRDefault="003547DF" w:rsidP="003547DF">
            <w:pPr>
              <w:pStyle w:val="Frspaiere"/>
              <w:jc w:val="both"/>
              <w:rPr>
                <w:b/>
                <w:lang w:val="ro-RO"/>
              </w:rPr>
            </w:pPr>
            <w:r w:rsidRPr="003547DF">
              <w:rPr>
                <w:lang w:val="ro-RO"/>
              </w:rPr>
              <w:t>instabilitatea şi lipsa predictibilităţii legislative</w:t>
            </w:r>
          </w:p>
        </w:tc>
        <w:tc>
          <w:tcPr>
            <w:tcW w:w="6406" w:type="dxa"/>
          </w:tcPr>
          <w:p w:rsidR="003547DF" w:rsidRPr="003547DF" w:rsidRDefault="003547DF" w:rsidP="00910060">
            <w:pPr>
              <w:pStyle w:val="Frspaiere"/>
              <w:jc w:val="both"/>
              <w:rPr>
                <w:b/>
                <w:lang w:val="ro-RO"/>
              </w:rPr>
            </w:pPr>
            <w:r w:rsidRPr="003547DF">
              <w:rPr>
                <w:lang w:val="ro-RO"/>
              </w:rPr>
              <w:t>adopt</w:t>
            </w:r>
            <w:r w:rsidR="00910060">
              <w:rPr>
                <w:lang w:val="ro-RO"/>
              </w:rPr>
              <w:t>area</w:t>
            </w:r>
            <w:r w:rsidRPr="003547DF">
              <w:rPr>
                <w:lang w:val="ro-RO"/>
              </w:rPr>
              <w:t xml:space="preserve"> unei legislaţii stabile, coerente şi previzibile,</w:t>
            </w:r>
          </w:p>
        </w:tc>
      </w:tr>
      <w:tr w:rsidR="003547DF" w:rsidTr="003547DF">
        <w:tc>
          <w:tcPr>
            <w:tcW w:w="3505" w:type="dxa"/>
          </w:tcPr>
          <w:p w:rsidR="003547DF" w:rsidRPr="003547DF" w:rsidRDefault="003547DF" w:rsidP="003547DF">
            <w:pPr>
              <w:pStyle w:val="Frspaiere"/>
              <w:jc w:val="both"/>
              <w:rPr>
                <w:lang w:val="ro-RO"/>
              </w:rPr>
            </w:pPr>
            <w:r w:rsidRPr="003547DF">
              <w:rPr>
                <w:lang w:val="ro-RO"/>
              </w:rPr>
              <w:t>subfinanţarea sistemului judiciar</w:t>
            </w:r>
          </w:p>
        </w:tc>
        <w:tc>
          <w:tcPr>
            <w:tcW w:w="6406" w:type="dxa"/>
          </w:tcPr>
          <w:p w:rsidR="003547DF" w:rsidRPr="003547DF" w:rsidRDefault="003547DF" w:rsidP="003547DF">
            <w:pPr>
              <w:pStyle w:val="Frspaiere"/>
              <w:jc w:val="both"/>
              <w:rPr>
                <w:b/>
                <w:lang w:val="ro-RO"/>
              </w:rPr>
            </w:pPr>
            <w:r w:rsidRPr="003547DF">
              <w:rPr>
                <w:lang w:val="ro-RO"/>
              </w:rPr>
              <w:t>alocarea de fonduri suplimentare pentru construirea unor sedii adecvate şi pentru efectuarea de investiţii necesare pentru desfăşurarea activităţii în condiţii civilizate.</w:t>
            </w:r>
          </w:p>
        </w:tc>
      </w:tr>
      <w:tr w:rsidR="003547DF" w:rsidTr="003547DF">
        <w:tc>
          <w:tcPr>
            <w:tcW w:w="3505" w:type="dxa"/>
          </w:tcPr>
          <w:p w:rsidR="003547DF" w:rsidRPr="003547DF" w:rsidRDefault="003547DF" w:rsidP="003547DF">
            <w:pPr>
              <w:pStyle w:val="Frspaiere"/>
              <w:jc w:val="both"/>
              <w:rPr>
                <w:lang w:val="ro-RO"/>
              </w:rPr>
            </w:pPr>
            <w:r w:rsidRPr="003547DF">
              <w:rPr>
                <w:lang w:val="ro-RO"/>
              </w:rPr>
              <w:t>lipsa unor sedii adecvate desfăşurării activităţii</w:t>
            </w:r>
          </w:p>
        </w:tc>
        <w:tc>
          <w:tcPr>
            <w:tcW w:w="6406" w:type="dxa"/>
          </w:tcPr>
          <w:p w:rsidR="003547DF" w:rsidRPr="003547DF" w:rsidRDefault="003547DF" w:rsidP="003547DF">
            <w:pPr>
              <w:pStyle w:val="Frspaiere"/>
              <w:jc w:val="both"/>
              <w:rPr>
                <w:b/>
                <w:lang w:val="ro-RO"/>
              </w:rPr>
            </w:pPr>
          </w:p>
        </w:tc>
      </w:tr>
      <w:tr w:rsidR="003547DF" w:rsidTr="003547DF">
        <w:tc>
          <w:tcPr>
            <w:tcW w:w="3505" w:type="dxa"/>
          </w:tcPr>
          <w:p w:rsidR="003547DF" w:rsidRPr="003547DF" w:rsidRDefault="003547DF" w:rsidP="003547DF">
            <w:pPr>
              <w:pStyle w:val="Frspaiere"/>
              <w:jc w:val="both"/>
              <w:rPr>
                <w:lang w:val="ro-RO"/>
              </w:rPr>
            </w:pPr>
            <w:r w:rsidRPr="003547DF">
              <w:rPr>
                <w:lang w:val="ro-RO"/>
              </w:rPr>
              <w:t>schemele reduse de personal</w:t>
            </w:r>
          </w:p>
        </w:tc>
        <w:tc>
          <w:tcPr>
            <w:tcW w:w="6406" w:type="dxa"/>
          </w:tcPr>
          <w:p w:rsidR="003547DF" w:rsidRPr="003547DF" w:rsidRDefault="003547DF" w:rsidP="003547DF">
            <w:pPr>
              <w:pStyle w:val="Frspaiere"/>
              <w:jc w:val="both"/>
              <w:rPr>
                <w:lang w:val="ro-RO"/>
              </w:rPr>
            </w:pPr>
            <w:r w:rsidRPr="003547DF">
              <w:rPr>
                <w:lang w:val="ro-RO"/>
              </w:rPr>
              <w:t xml:space="preserve">majorarea schemelor de personal, </w:t>
            </w:r>
          </w:p>
        </w:tc>
      </w:tr>
      <w:tr w:rsidR="003547DF" w:rsidTr="003547DF">
        <w:tc>
          <w:tcPr>
            <w:tcW w:w="3505" w:type="dxa"/>
          </w:tcPr>
          <w:p w:rsidR="003547DF" w:rsidRPr="003547DF" w:rsidRDefault="003547DF" w:rsidP="003547DF">
            <w:pPr>
              <w:pStyle w:val="Frspaiere"/>
              <w:jc w:val="both"/>
              <w:rPr>
                <w:lang w:val="ro-RO"/>
              </w:rPr>
            </w:pPr>
            <w:r w:rsidRPr="003547DF">
              <w:rPr>
                <w:lang w:val="ro-RO"/>
              </w:rPr>
              <w:t>fluctuaţia mare a personalului</w:t>
            </w:r>
          </w:p>
        </w:tc>
        <w:tc>
          <w:tcPr>
            <w:tcW w:w="6406" w:type="dxa"/>
          </w:tcPr>
          <w:p w:rsidR="003547DF" w:rsidRPr="003547DF" w:rsidRDefault="003547DF" w:rsidP="003547DF">
            <w:pPr>
              <w:pStyle w:val="Frspaiere"/>
              <w:jc w:val="both"/>
              <w:rPr>
                <w:b/>
                <w:lang w:val="ro-RO"/>
              </w:rPr>
            </w:pPr>
          </w:p>
        </w:tc>
      </w:tr>
      <w:tr w:rsidR="003547DF" w:rsidTr="003547DF">
        <w:tc>
          <w:tcPr>
            <w:tcW w:w="3505" w:type="dxa"/>
          </w:tcPr>
          <w:p w:rsidR="003547DF" w:rsidRPr="003547DF" w:rsidRDefault="003547DF" w:rsidP="003547DF">
            <w:pPr>
              <w:pStyle w:val="Frspaiere"/>
              <w:jc w:val="both"/>
              <w:rPr>
                <w:lang w:val="ro-RO"/>
              </w:rPr>
            </w:pPr>
            <w:r w:rsidRPr="003547DF">
              <w:rPr>
                <w:lang w:val="ro-RO"/>
              </w:rPr>
              <w:t>volumul ridicat de activitate</w:t>
            </w:r>
          </w:p>
        </w:tc>
        <w:tc>
          <w:tcPr>
            <w:tcW w:w="6406" w:type="dxa"/>
          </w:tcPr>
          <w:p w:rsidR="003547DF" w:rsidRPr="003547DF" w:rsidRDefault="003547DF" w:rsidP="003547DF">
            <w:pPr>
              <w:pStyle w:val="Frspaiere"/>
              <w:jc w:val="both"/>
              <w:rPr>
                <w:lang w:val="ro-RO"/>
              </w:rPr>
            </w:pPr>
            <w:r w:rsidRPr="003547DF">
              <w:rPr>
                <w:lang w:val="ro-RO"/>
              </w:rPr>
              <w:t>- corelarea schemelor de personal raportat la volumul de activitate al fiecărei instanţe cu păstrarea unui echilibru între numărul de posturi de judecător şi numărul posturilor de personal auxiliar de specialitate</w:t>
            </w:r>
          </w:p>
          <w:p w:rsidR="003547DF" w:rsidRPr="003547DF" w:rsidRDefault="003547DF" w:rsidP="003547DF">
            <w:pPr>
              <w:pStyle w:val="Frspaiere"/>
              <w:jc w:val="both"/>
              <w:rPr>
                <w:lang w:val="ro-RO"/>
              </w:rPr>
            </w:pPr>
            <w:r w:rsidRPr="003547DF">
              <w:rPr>
                <w:lang w:val="ro-RO"/>
              </w:rPr>
              <w:t>- renunțarea la o serie de registre care nu au nicio utilitate ?i îngreunează mult activitatea personalului</w:t>
            </w:r>
          </w:p>
        </w:tc>
      </w:tr>
      <w:tr w:rsidR="003547DF" w:rsidTr="003547DF">
        <w:tc>
          <w:tcPr>
            <w:tcW w:w="3505" w:type="dxa"/>
          </w:tcPr>
          <w:p w:rsidR="003547DF" w:rsidRPr="003547DF" w:rsidRDefault="003547DF" w:rsidP="003547DF">
            <w:pPr>
              <w:pStyle w:val="Frspaiere"/>
              <w:jc w:val="both"/>
              <w:rPr>
                <w:lang w:val="ro-RO"/>
              </w:rPr>
            </w:pPr>
            <w:r w:rsidRPr="003547DF">
              <w:rPr>
                <w:lang w:val="ro-RO"/>
              </w:rPr>
              <w:t>neocuparea completă a schemelor de personal</w:t>
            </w:r>
          </w:p>
        </w:tc>
        <w:tc>
          <w:tcPr>
            <w:tcW w:w="6406" w:type="dxa"/>
          </w:tcPr>
          <w:p w:rsidR="003547DF" w:rsidRPr="003547DF" w:rsidRDefault="003547DF" w:rsidP="003547DF">
            <w:pPr>
              <w:pStyle w:val="Frspaiere"/>
              <w:jc w:val="both"/>
              <w:rPr>
                <w:b/>
                <w:lang w:val="ro-RO"/>
              </w:rPr>
            </w:pPr>
            <w:r w:rsidRPr="003547DF">
              <w:rPr>
                <w:lang w:val="ro-RO"/>
              </w:rPr>
              <w:t>necesitatea ocuparea posturilor vacante</w:t>
            </w:r>
          </w:p>
        </w:tc>
      </w:tr>
      <w:tr w:rsidR="003547DF" w:rsidTr="003547DF">
        <w:tc>
          <w:tcPr>
            <w:tcW w:w="3505" w:type="dxa"/>
          </w:tcPr>
          <w:p w:rsidR="003547DF" w:rsidRPr="003547DF" w:rsidRDefault="003547DF" w:rsidP="003547DF">
            <w:pPr>
              <w:pStyle w:val="Frspaiere"/>
              <w:jc w:val="both"/>
              <w:rPr>
                <w:lang w:val="ro-RO"/>
              </w:rPr>
            </w:pPr>
            <w:r w:rsidRPr="003547DF">
              <w:rPr>
                <w:lang w:val="ro-RO"/>
              </w:rPr>
              <w:t>specializare insuficientă pe diferite domenii de activitate</w:t>
            </w:r>
          </w:p>
        </w:tc>
        <w:tc>
          <w:tcPr>
            <w:tcW w:w="6406" w:type="dxa"/>
          </w:tcPr>
          <w:p w:rsidR="003547DF" w:rsidRPr="003547DF" w:rsidRDefault="003547DF" w:rsidP="003547DF">
            <w:pPr>
              <w:pStyle w:val="Frspaiere"/>
              <w:jc w:val="both"/>
              <w:rPr>
                <w:b/>
                <w:lang w:val="ro-RO"/>
              </w:rPr>
            </w:pPr>
            <w:r w:rsidRPr="003547DF">
              <w:rPr>
                <w:lang w:val="ro-RO"/>
              </w:rPr>
              <w:t>eficientizarea formelor de pregătire profesională prin creşterea numărului de seminarii şi diversificarea temelor de formare profesională</w:t>
            </w:r>
          </w:p>
        </w:tc>
      </w:tr>
      <w:tr w:rsidR="003547DF" w:rsidTr="003547DF">
        <w:tc>
          <w:tcPr>
            <w:tcW w:w="3505" w:type="dxa"/>
          </w:tcPr>
          <w:p w:rsidR="003547DF" w:rsidRPr="003547DF" w:rsidRDefault="003547DF" w:rsidP="003547DF">
            <w:pPr>
              <w:pStyle w:val="Frspaiere"/>
              <w:jc w:val="both"/>
              <w:rPr>
                <w:lang w:val="ro-RO"/>
              </w:rPr>
            </w:pPr>
            <w:r w:rsidRPr="003547DF">
              <w:rPr>
                <w:lang w:val="ro-RO"/>
              </w:rPr>
              <w:t>intensificarea atacurilor lansate de oamenii politici şi mass-media la adresa magistraţilor</w:t>
            </w:r>
          </w:p>
        </w:tc>
        <w:tc>
          <w:tcPr>
            <w:tcW w:w="6406" w:type="dxa"/>
          </w:tcPr>
          <w:p w:rsidR="003547DF" w:rsidRPr="003547DF" w:rsidRDefault="003547DF" w:rsidP="003547DF">
            <w:pPr>
              <w:pStyle w:val="Frspaiere"/>
              <w:jc w:val="both"/>
              <w:rPr>
                <w:b/>
                <w:lang w:val="ro-RO"/>
              </w:rPr>
            </w:pPr>
            <w:r w:rsidRPr="003547DF">
              <w:rPr>
                <w:lang w:val="ro-RO"/>
              </w:rPr>
              <w:t>creşterea independenţei puterii judecătoreşti prin intermediul Consiliului Superior al Magistraturii şi al celorlalte instituţii ale statului</w:t>
            </w:r>
          </w:p>
        </w:tc>
      </w:tr>
      <w:tr w:rsidR="003547DF" w:rsidTr="003547DF">
        <w:tc>
          <w:tcPr>
            <w:tcW w:w="3505" w:type="dxa"/>
          </w:tcPr>
          <w:p w:rsidR="003547DF" w:rsidRPr="003547DF" w:rsidRDefault="003547DF" w:rsidP="003547DF">
            <w:pPr>
              <w:pStyle w:val="Frspaiere"/>
              <w:jc w:val="both"/>
              <w:rPr>
                <w:lang w:val="ro-RO"/>
              </w:rPr>
            </w:pPr>
            <w:r w:rsidRPr="003547DF">
              <w:rPr>
                <w:rFonts w:asciiTheme="minorHAnsi" w:hAnsiTheme="minorHAnsi" w:cstheme="minorHAnsi"/>
                <w:lang w:val="ro-RO"/>
              </w:rPr>
              <w:t xml:space="preserve">Experiența profesională și managerială redusă a titularilor funcțiilor de conducere dublată de incoerența legislativă în privința limitelor controlului ierarhic </w:t>
            </w:r>
          </w:p>
        </w:tc>
        <w:tc>
          <w:tcPr>
            <w:tcW w:w="6406" w:type="dxa"/>
          </w:tcPr>
          <w:p w:rsidR="003547DF" w:rsidRPr="003547DF" w:rsidRDefault="003547DF" w:rsidP="003547DF">
            <w:pPr>
              <w:pStyle w:val="Frspaiere"/>
              <w:jc w:val="both"/>
              <w:rPr>
                <w:lang w:val="ro-RO"/>
              </w:rPr>
            </w:pPr>
            <w:r w:rsidRPr="003547DF">
              <w:rPr>
                <w:rFonts w:asciiTheme="minorHAnsi" w:hAnsiTheme="minorHAnsi" w:cstheme="minorHAnsi"/>
                <w:lang w:val="ro-RO"/>
              </w:rPr>
              <w:t>modificări legislative</w:t>
            </w:r>
          </w:p>
        </w:tc>
      </w:tr>
      <w:tr w:rsidR="003547DF" w:rsidTr="003547DF">
        <w:tc>
          <w:tcPr>
            <w:tcW w:w="3505"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Dezechilibrarea flagrantă a competențelor fapt ce generează inechități raportat la volumul de muncă;</w:t>
            </w:r>
          </w:p>
        </w:tc>
        <w:tc>
          <w:tcPr>
            <w:tcW w:w="6406" w:type="dxa"/>
          </w:tcPr>
          <w:p w:rsidR="003547DF" w:rsidRPr="003547DF" w:rsidRDefault="003547DF" w:rsidP="003547DF">
            <w:pPr>
              <w:pStyle w:val="Frspaiere"/>
              <w:jc w:val="both"/>
              <w:rPr>
                <w:lang w:val="ro-RO"/>
              </w:rPr>
            </w:pPr>
            <w:r w:rsidRPr="003547DF">
              <w:rPr>
                <w:rFonts w:asciiTheme="minorHAnsi" w:hAnsiTheme="minorHAnsi" w:cstheme="minorHAnsi"/>
                <w:lang w:val="ro-RO"/>
              </w:rPr>
              <w:t>modificări legislative</w:t>
            </w:r>
          </w:p>
        </w:tc>
      </w:tr>
      <w:tr w:rsidR="003547DF" w:rsidTr="003547DF">
        <w:tc>
          <w:tcPr>
            <w:tcW w:w="3505"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Deprofesionalizarea și instabilitatea permanentă în rândul structurilor poliției judiciare</w:t>
            </w:r>
          </w:p>
        </w:tc>
        <w:tc>
          <w:tcPr>
            <w:tcW w:w="6406" w:type="dxa"/>
          </w:tcPr>
          <w:p w:rsidR="003547DF" w:rsidRPr="003547DF" w:rsidRDefault="003547DF" w:rsidP="003547DF">
            <w:pPr>
              <w:pStyle w:val="Frspaiere"/>
              <w:jc w:val="both"/>
              <w:rPr>
                <w:lang w:val="ro-RO"/>
              </w:rPr>
            </w:pPr>
            <w:r w:rsidRPr="003547DF">
              <w:rPr>
                <w:rFonts w:asciiTheme="minorHAnsi" w:hAnsiTheme="minorHAnsi" w:cstheme="minorHAnsi"/>
                <w:lang w:val="ro-RO"/>
              </w:rPr>
              <w:t>modificări legislative</w:t>
            </w:r>
          </w:p>
        </w:tc>
      </w:tr>
      <w:tr w:rsidR="003547DF" w:rsidTr="003547DF">
        <w:tc>
          <w:tcPr>
            <w:tcW w:w="3505"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Sistemul executional penal - resurse insuficiente, ineficient utilizate, probleme acute in sistemul penitenciar;</w:t>
            </w:r>
          </w:p>
        </w:tc>
        <w:tc>
          <w:tcPr>
            <w:tcW w:w="6406" w:type="dxa"/>
          </w:tcPr>
          <w:p w:rsidR="003547DF" w:rsidRPr="003547DF" w:rsidRDefault="003547DF" w:rsidP="003547DF">
            <w:pPr>
              <w:pStyle w:val="Frspaiere"/>
              <w:jc w:val="both"/>
              <w:rPr>
                <w:rFonts w:asciiTheme="minorHAnsi" w:hAnsiTheme="minorHAnsi" w:cstheme="minorHAnsi"/>
                <w:lang w:val="ro-RO"/>
              </w:rPr>
            </w:pPr>
          </w:p>
        </w:tc>
      </w:tr>
      <w:tr w:rsidR="003547DF" w:rsidRPr="003547DF" w:rsidTr="003547DF">
        <w:tc>
          <w:tcPr>
            <w:tcW w:w="3505"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Tendinta procurorilor stagiari de a opta pentru cariera de judecator dupa sustinerea examenului de definitivat, ca urmare a preconizatelor modificari privind pierderea statutului de magistrat.</w:t>
            </w:r>
          </w:p>
        </w:tc>
        <w:tc>
          <w:tcPr>
            <w:tcW w:w="6406" w:type="dxa"/>
          </w:tcPr>
          <w:p w:rsidR="003547DF" w:rsidRPr="003547DF" w:rsidRDefault="003547DF" w:rsidP="003547DF">
            <w:pPr>
              <w:pStyle w:val="Frspaiere"/>
              <w:jc w:val="both"/>
              <w:rPr>
                <w:rFonts w:asciiTheme="minorHAnsi" w:hAnsiTheme="minorHAnsi" w:cstheme="minorHAnsi"/>
                <w:lang w:val="ro-RO"/>
              </w:rPr>
            </w:pPr>
          </w:p>
        </w:tc>
      </w:tr>
      <w:tr w:rsidR="003547DF" w:rsidRPr="003547DF" w:rsidTr="003547DF">
        <w:tc>
          <w:tcPr>
            <w:tcW w:w="3505"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posibilităţi insuficiente şi lipsite de eficienţă la îndemâna magistraţilor de a-şi exprima puncte de vedere cu privire la necesitatea adoptării, modificării sau abrogării unor reglementări legale referitoare la sistemul judiciar</w:t>
            </w:r>
          </w:p>
        </w:tc>
        <w:tc>
          <w:tcPr>
            <w:tcW w:w="6406" w:type="dxa"/>
          </w:tcPr>
          <w:p w:rsidR="003547DF" w:rsidRPr="003547DF" w:rsidRDefault="003547DF" w:rsidP="003547DF">
            <w:pPr>
              <w:pStyle w:val="Frspaiere"/>
              <w:jc w:val="both"/>
              <w:rPr>
                <w:rFonts w:asciiTheme="minorHAnsi" w:hAnsiTheme="minorHAnsi" w:cstheme="minorHAnsi"/>
                <w:lang w:val="ro-RO"/>
              </w:rPr>
            </w:pPr>
            <w:r w:rsidRPr="003547DF">
              <w:rPr>
                <w:rFonts w:asciiTheme="minorHAnsi" w:hAnsiTheme="minorHAnsi" w:cstheme="minorHAnsi"/>
                <w:lang w:val="ro-RO"/>
              </w:rPr>
              <w:t>reglementarea dreptului de iniţiativă legislativă în favoarea Consiliului Superior al Magistraturii;</w:t>
            </w:r>
          </w:p>
        </w:tc>
      </w:tr>
    </w:tbl>
    <w:p w:rsidR="00B56C4C" w:rsidRPr="00CF11CE" w:rsidRDefault="00B56C4C" w:rsidP="00913D3E">
      <w:pPr>
        <w:pStyle w:val="Frspaiere"/>
        <w:spacing w:line="276" w:lineRule="auto"/>
        <w:ind w:firstLine="810"/>
        <w:jc w:val="both"/>
        <w:rPr>
          <w:rFonts w:asciiTheme="minorHAnsi" w:hAnsiTheme="minorHAnsi" w:cstheme="minorHAnsi"/>
          <w:sz w:val="24"/>
          <w:szCs w:val="24"/>
          <w:lang w:val="ro-RO"/>
        </w:rPr>
      </w:pPr>
    </w:p>
    <w:sectPr w:rsidR="00B56C4C" w:rsidRPr="00CF11CE" w:rsidSect="00A44356">
      <w:pgSz w:w="11906" w:h="16838" w:code="9"/>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E6A" w:rsidRDefault="00AD7E6A" w:rsidP="008F70A7">
      <w:r>
        <w:separator/>
      </w:r>
    </w:p>
  </w:endnote>
  <w:endnote w:type="continuationSeparator" w:id="0">
    <w:p w:rsidR="00AD7E6A" w:rsidRDefault="00AD7E6A" w:rsidP="008F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EE"/>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Franklin Gothic Book">
    <w:altName w:val="Franklin Gothic Medium"/>
    <w:charset w:val="00"/>
    <w:family w:val="swiss"/>
    <w:pitch w:val="variable"/>
    <w:sig w:usb0="00000001"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5C9" w:rsidRDefault="00F445C9" w:rsidP="00571227">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9B0A85">
      <w:rPr>
        <w:rStyle w:val="Numrdepagin"/>
        <w:noProof/>
      </w:rPr>
      <w:t>2</w:t>
    </w:r>
    <w:r>
      <w:rPr>
        <w:rStyle w:val="Numrdepagin"/>
      </w:rPr>
      <w:fldChar w:fldCharType="end"/>
    </w:r>
  </w:p>
  <w:p w:rsidR="00F445C9" w:rsidRDefault="00F445C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E6A" w:rsidRDefault="00AD7E6A" w:rsidP="008F70A7">
      <w:r>
        <w:separator/>
      </w:r>
    </w:p>
  </w:footnote>
  <w:footnote w:type="continuationSeparator" w:id="0">
    <w:p w:rsidR="00AD7E6A" w:rsidRDefault="00AD7E6A" w:rsidP="008F70A7">
      <w:r>
        <w:continuationSeparator/>
      </w:r>
    </w:p>
  </w:footnote>
  <w:footnote w:id="1">
    <w:p w:rsidR="00F445C9" w:rsidRDefault="00F445C9" w:rsidP="002431A4">
      <w:pPr>
        <w:pStyle w:val="Textnotdesubsol"/>
        <w:rPr>
          <w:lang w:val="ro-RO"/>
        </w:rPr>
      </w:pPr>
    </w:p>
  </w:footnote>
  <w:footnote w:id="2">
    <w:p w:rsidR="00F445C9" w:rsidRDefault="00F445C9" w:rsidP="002431A4">
      <w:pPr>
        <w:pStyle w:val="Textnotdesubsol"/>
        <w:jc w:val="both"/>
        <w:rPr>
          <w:color w:val="FF0000"/>
          <w:lang w:val="ro-RO"/>
        </w:rPr>
      </w:pPr>
      <w:r w:rsidRPr="002431A4">
        <w:rPr>
          <w:rStyle w:val="Referinnotdesubsol"/>
          <w:lang w:val="fr-FR"/>
        </w:rPr>
        <w:t>1</w:t>
      </w:r>
      <w:r w:rsidRPr="002431A4">
        <w:rPr>
          <w:lang w:val="fr-FR"/>
        </w:rPr>
        <w:t xml:space="preserve"> </w:t>
      </w:r>
      <w:r>
        <w:rPr>
          <w:lang w:val="ro-RO"/>
        </w:rPr>
        <w:t>Un post de judecător se afla temporar în schemele instanţelor, fiind alocat din fondul de rezervă unei judecătorii. Acest post a fost reinclus de drept în fondul de rezervă, în anul 2017, la momentul primei vacantări la instanţa în cauză.</w:t>
      </w:r>
    </w:p>
  </w:footnote>
  <w:footnote w:id="3">
    <w:p w:rsidR="00F445C9" w:rsidRPr="00860724" w:rsidRDefault="00F445C9" w:rsidP="002E7B42">
      <w:pPr>
        <w:ind w:firstLine="708"/>
        <w:jc w:val="both"/>
        <w:rPr>
          <w:sz w:val="20"/>
          <w:szCs w:val="20"/>
          <w:lang w:val="ro-RO"/>
        </w:rPr>
      </w:pPr>
      <w:r>
        <w:rPr>
          <w:rStyle w:val="Referinnotdesubsol"/>
        </w:rPr>
        <w:footnoteRef/>
      </w:r>
      <w:r w:rsidRPr="00DD312E">
        <w:rPr>
          <w:lang w:val="fr-FR"/>
        </w:rPr>
        <w:t xml:space="preserve"> </w:t>
      </w:r>
      <w:r w:rsidRPr="00860724">
        <w:rPr>
          <w:sz w:val="20"/>
          <w:szCs w:val="20"/>
          <w:lang w:val="ro-RO"/>
        </w:rPr>
        <w:t>1 post de execuţie a fost acordat prin Ordinul nr.3730/12.12.2017 al ministrului justiţiei, fiind majorată schema de personal la Parchetul de pe lângă Curtea de Apel Constanţa prin transformarea unui post de specialist IT în post de procuror.</w:t>
      </w:r>
    </w:p>
    <w:p w:rsidR="00F445C9" w:rsidRPr="00D44E59" w:rsidRDefault="00F445C9" w:rsidP="002E7B42">
      <w:pPr>
        <w:pStyle w:val="Textnotdesubsol"/>
        <w:rPr>
          <w:lang w:val="ro-RO"/>
        </w:rPr>
      </w:pPr>
    </w:p>
  </w:footnote>
  <w:footnote w:id="4">
    <w:p w:rsidR="00F445C9" w:rsidRPr="002F65DD" w:rsidRDefault="00F445C9" w:rsidP="000C2F4F">
      <w:pPr>
        <w:pStyle w:val="Textnotdesubsol"/>
        <w:jc w:val="both"/>
        <w:rPr>
          <w:lang w:val="it-IT"/>
        </w:rPr>
      </w:pPr>
      <w:r w:rsidRPr="00820E0C">
        <w:rPr>
          <w:rStyle w:val="Referinnotdesubsol"/>
          <w:rFonts w:cs="Arial"/>
          <w:sz w:val="18"/>
          <w:szCs w:val="18"/>
        </w:rPr>
        <w:footnoteRef/>
      </w:r>
      <w:r w:rsidRPr="002F65DD">
        <w:rPr>
          <w:rFonts w:cs="Arial"/>
          <w:sz w:val="18"/>
          <w:szCs w:val="18"/>
          <w:lang w:val="it-IT"/>
        </w:rPr>
        <w:t xml:space="preserve"> altele decât ICCJ şi cele militare.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25pt;height:11.25pt" o:bullet="t">
        <v:imagedata r:id="rId1" o:title="BD14578_"/>
      </v:shape>
    </w:pict>
  </w:numPicBullet>
  <w:abstractNum w:abstractNumId="0" w15:restartNumberingAfterBreak="0">
    <w:nsid w:val="09745DC9"/>
    <w:multiLevelType w:val="hybridMultilevel"/>
    <w:tmpl w:val="46D4AA74"/>
    <w:lvl w:ilvl="0" w:tplc="04180005">
      <w:start w:val="1"/>
      <w:numFmt w:val="bullet"/>
      <w:lvlText w:val=""/>
      <w:lvlJc w:val="left"/>
      <w:pPr>
        <w:ind w:left="1426" w:hanging="360"/>
      </w:pPr>
      <w:rPr>
        <w:rFonts w:ascii="Wingdings" w:hAnsi="Wingdings" w:hint="default"/>
      </w:rPr>
    </w:lvl>
    <w:lvl w:ilvl="1" w:tplc="04180003">
      <w:start w:val="1"/>
      <w:numFmt w:val="bullet"/>
      <w:lvlText w:val="o"/>
      <w:lvlJc w:val="left"/>
      <w:pPr>
        <w:ind w:left="2146" w:hanging="360"/>
      </w:pPr>
      <w:rPr>
        <w:rFonts w:ascii="Courier New" w:hAnsi="Courier New" w:cs="Courier New" w:hint="default"/>
      </w:rPr>
    </w:lvl>
    <w:lvl w:ilvl="2" w:tplc="04180005">
      <w:start w:val="1"/>
      <w:numFmt w:val="bullet"/>
      <w:lvlText w:val=""/>
      <w:lvlJc w:val="left"/>
      <w:pPr>
        <w:ind w:left="2866" w:hanging="360"/>
      </w:pPr>
      <w:rPr>
        <w:rFonts w:ascii="Wingdings" w:hAnsi="Wingdings" w:hint="default"/>
      </w:rPr>
    </w:lvl>
    <w:lvl w:ilvl="3" w:tplc="04180001">
      <w:start w:val="1"/>
      <w:numFmt w:val="bullet"/>
      <w:lvlText w:val=""/>
      <w:lvlJc w:val="left"/>
      <w:pPr>
        <w:ind w:left="3586" w:hanging="360"/>
      </w:pPr>
      <w:rPr>
        <w:rFonts w:ascii="Symbol" w:hAnsi="Symbol" w:hint="default"/>
      </w:rPr>
    </w:lvl>
    <w:lvl w:ilvl="4" w:tplc="04180003">
      <w:start w:val="1"/>
      <w:numFmt w:val="bullet"/>
      <w:lvlText w:val="o"/>
      <w:lvlJc w:val="left"/>
      <w:pPr>
        <w:ind w:left="4306" w:hanging="360"/>
      </w:pPr>
      <w:rPr>
        <w:rFonts w:ascii="Courier New" w:hAnsi="Courier New" w:cs="Courier New" w:hint="default"/>
      </w:rPr>
    </w:lvl>
    <w:lvl w:ilvl="5" w:tplc="04180005">
      <w:start w:val="1"/>
      <w:numFmt w:val="bullet"/>
      <w:lvlText w:val=""/>
      <w:lvlJc w:val="left"/>
      <w:pPr>
        <w:ind w:left="5026" w:hanging="360"/>
      </w:pPr>
      <w:rPr>
        <w:rFonts w:ascii="Wingdings" w:hAnsi="Wingdings" w:hint="default"/>
      </w:rPr>
    </w:lvl>
    <w:lvl w:ilvl="6" w:tplc="04180001">
      <w:start w:val="1"/>
      <w:numFmt w:val="bullet"/>
      <w:lvlText w:val=""/>
      <w:lvlJc w:val="left"/>
      <w:pPr>
        <w:ind w:left="5746" w:hanging="360"/>
      </w:pPr>
      <w:rPr>
        <w:rFonts w:ascii="Symbol" w:hAnsi="Symbol" w:hint="default"/>
      </w:rPr>
    </w:lvl>
    <w:lvl w:ilvl="7" w:tplc="04180003">
      <w:start w:val="1"/>
      <w:numFmt w:val="bullet"/>
      <w:lvlText w:val="o"/>
      <w:lvlJc w:val="left"/>
      <w:pPr>
        <w:ind w:left="6466" w:hanging="360"/>
      </w:pPr>
      <w:rPr>
        <w:rFonts w:ascii="Courier New" w:hAnsi="Courier New" w:cs="Courier New" w:hint="default"/>
      </w:rPr>
    </w:lvl>
    <w:lvl w:ilvl="8" w:tplc="04180005">
      <w:start w:val="1"/>
      <w:numFmt w:val="bullet"/>
      <w:lvlText w:val=""/>
      <w:lvlJc w:val="left"/>
      <w:pPr>
        <w:ind w:left="7186" w:hanging="360"/>
      </w:pPr>
      <w:rPr>
        <w:rFonts w:ascii="Wingdings" w:hAnsi="Wingdings" w:hint="default"/>
      </w:rPr>
    </w:lvl>
  </w:abstractNum>
  <w:abstractNum w:abstractNumId="1" w15:restartNumberingAfterBreak="0">
    <w:nsid w:val="099D73FE"/>
    <w:multiLevelType w:val="multilevel"/>
    <w:tmpl w:val="7736B7A4"/>
    <w:lvl w:ilvl="0">
      <w:start w:val="1"/>
      <w:numFmt w:val="upperRoman"/>
      <w:lvlText w:val="Capitolul %1"/>
      <w:lvlJc w:val="left"/>
      <w:pPr>
        <w:ind w:left="1620" w:hanging="360"/>
      </w:pPr>
      <w:rPr>
        <w:rFonts w:ascii="Calibri" w:hAnsi="Calibri" w:hint="default"/>
        <w:b/>
        <w:i w:val="0"/>
        <w:color w:val="auto"/>
        <w:sz w:val="28"/>
      </w:rPr>
    </w:lvl>
    <w:lvl w:ilvl="1">
      <w:start w:val="1"/>
      <w:numFmt w:val="decimal"/>
      <w:lvlText w:val="%1.%2"/>
      <w:lvlJc w:val="left"/>
      <w:pPr>
        <w:ind w:left="720" w:hanging="360"/>
      </w:pPr>
      <w:rPr>
        <w:rFonts w:ascii="Calibri" w:hAnsi="Calibri" w:hint="default"/>
        <w:b/>
        <w:i w:val="0"/>
        <w:color w:val="auto"/>
        <w:sz w:val="24"/>
      </w:rPr>
    </w:lvl>
    <w:lvl w:ilvl="2">
      <w:start w:val="1"/>
      <w:numFmt w:val="decimal"/>
      <w:lvlText w:val="%1.%2.%3"/>
      <w:lvlJc w:val="left"/>
      <w:pPr>
        <w:ind w:left="108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lu4"/>
      <w:lvlText w:val="%1.%2.%3.%4"/>
      <w:lvlJc w:val="left"/>
      <w:pPr>
        <w:ind w:left="1440" w:hanging="360"/>
      </w:pPr>
      <w:rPr>
        <w:rFonts w:ascii="Calibri" w:hAnsi="Calibri" w:hint="default"/>
        <w:b/>
        <w:i w:val="0"/>
        <w:sz w:val="24"/>
      </w:rPr>
    </w:lvl>
    <w:lvl w:ilvl="4">
      <w:start w:val="1"/>
      <w:numFmt w:val="decimal"/>
      <w:pStyle w:val="Titlu5"/>
      <w:lvlText w:val="%1.%2.%3.%4.%5"/>
      <w:lvlJc w:val="left"/>
      <w:pPr>
        <w:ind w:left="1800" w:hanging="360"/>
      </w:pPr>
      <w:rPr>
        <w:rFonts w:ascii="Calibri" w:hAnsi="Calibri" w:hint="default"/>
        <w:b/>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A6538E"/>
    <w:multiLevelType w:val="hybridMultilevel"/>
    <w:tmpl w:val="872E843C"/>
    <w:lvl w:ilvl="0" w:tplc="998C3406">
      <w:start w:val="1"/>
      <w:numFmt w:val="bullet"/>
      <w:lvlText w:val="-"/>
      <w:lvlJc w:val="left"/>
      <w:pPr>
        <w:ind w:left="360" w:hanging="360"/>
      </w:pPr>
      <w:rPr>
        <w:rFonts w:ascii="Arial" w:eastAsia="Times New Roman" w:hAnsi="Aria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CE7A0C"/>
    <w:multiLevelType w:val="hybridMultilevel"/>
    <w:tmpl w:val="9EF21F06"/>
    <w:lvl w:ilvl="0" w:tplc="CE3EB808">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1DF3D36"/>
    <w:multiLevelType w:val="hybridMultilevel"/>
    <w:tmpl w:val="67DA748E"/>
    <w:lvl w:ilvl="0" w:tplc="998C3406">
      <w:start w:val="1"/>
      <w:numFmt w:val="bullet"/>
      <w:lvlText w:val="-"/>
      <w:lvlJc w:val="left"/>
      <w:pPr>
        <w:ind w:left="360" w:hanging="360"/>
      </w:pPr>
      <w:rPr>
        <w:rFonts w:ascii="Arial" w:eastAsia="Times New Roman" w:hAnsi="Arial" w:hint="default"/>
        <w:i w:val="0"/>
      </w:rPr>
    </w:lvl>
    <w:lvl w:ilvl="1" w:tplc="998C3406">
      <w:start w:val="1"/>
      <w:numFmt w:val="bullet"/>
      <w:lvlText w:val="-"/>
      <w:lvlJc w:val="left"/>
      <w:pPr>
        <w:ind w:left="1080" w:hanging="360"/>
      </w:pPr>
      <w:rPr>
        <w:rFonts w:ascii="Arial" w:eastAsia="Times New Roman" w:hAnsi="Arial" w:hint="default"/>
        <w:i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01674"/>
    <w:multiLevelType w:val="hybridMultilevel"/>
    <w:tmpl w:val="D1DC83EC"/>
    <w:lvl w:ilvl="0" w:tplc="04180001">
      <w:start w:val="1"/>
      <w:numFmt w:val="bullet"/>
      <w:lvlText w:val=""/>
      <w:lvlJc w:val="left"/>
      <w:pPr>
        <w:ind w:left="928" w:hanging="360"/>
      </w:pPr>
      <w:rPr>
        <w:rFonts w:ascii="Symbol"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Times New Roman"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Times New Roman" w:hint="default"/>
      </w:rPr>
    </w:lvl>
    <w:lvl w:ilvl="8" w:tplc="04090005">
      <w:start w:val="1"/>
      <w:numFmt w:val="bullet"/>
      <w:lvlText w:val=""/>
      <w:lvlJc w:val="left"/>
      <w:pPr>
        <w:ind w:left="6688" w:hanging="360"/>
      </w:pPr>
      <w:rPr>
        <w:rFonts w:ascii="Wingdings" w:hAnsi="Wingdings" w:hint="default"/>
      </w:rPr>
    </w:lvl>
  </w:abstractNum>
  <w:abstractNum w:abstractNumId="6" w15:restartNumberingAfterBreak="0">
    <w:nsid w:val="1A2400CD"/>
    <w:multiLevelType w:val="hybridMultilevel"/>
    <w:tmpl w:val="1E68E118"/>
    <w:lvl w:ilvl="0" w:tplc="9C782224">
      <w:start w:val="1"/>
      <w:numFmt w:val="bullet"/>
      <w:lvlText w:val="-"/>
      <w:lvlJc w:val="left"/>
      <w:pPr>
        <w:ind w:left="1069" w:hanging="360"/>
      </w:pPr>
      <w:rPr>
        <w:rFonts w:ascii="Calibri" w:eastAsia="Times New Roman" w:hAnsi="Calibri"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DAC0326"/>
    <w:multiLevelType w:val="hybridMultilevel"/>
    <w:tmpl w:val="3CE220A6"/>
    <w:lvl w:ilvl="0" w:tplc="CC407314">
      <w:numFmt w:val="bullet"/>
      <w:lvlText w:val="-"/>
      <w:lvlJc w:val="left"/>
      <w:pPr>
        <w:ind w:left="1260" w:hanging="360"/>
      </w:pPr>
      <w:rPr>
        <w:rFonts w:ascii="Garamond" w:eastAsia="Times New Roman" w:hAnsi="Garamond"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F844FD1"/>
    <w:multiLevelType w:val="hybridMultilevel"/>
    <w:tmpl w:val="9DDA2954"/>
    <w:lvl w:ilvl="0" w:tplc="01580E92">
      <w:numFmt w:val="bullet"/>
      <w:lvlText w:val="-"/>
      <w:lvlJc w:val="left"/>
      <w:pPr>
        <w:tabs>
          <w:tab w:val="num" w:pos="1068"/>
        </w:tabs>
        <w:ind w:left="1068" w:hanging="360"/>
      </w:pPr>
      <w:rPr>
        <w:rFonts w:ascii="Bookman Old Style" w:eastAsia="Times New Roman" w:hAnsi="Bookman Old Style" w:cs="Arial" w:hint="default"/>
        <w:b w:val="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A0F71"/>
    <w:multiLevelType w:val="hybridMultilevel"/>
    <w:tmpl w:val="FD5C6ABE"/>
    <w:lvl w:ilvl="0" w:tplc="8FC4E49C">
      <w:start w:val="21"/>
      <w:numFmt w:val="bullet"/>
      <w:lvlText w:val="-"/>
      <w:lvlJc w:val="left"/>
      <w:pPr>
        <w:tabs>
          <w:tab w:val="num" w:pos="1068"/>
        </w:tabs>
        <w:ind w:left="1068" w:hanging="360"/>
      </w:pPr>
      <w:rPr>
        <w:rFonts w:ascii="Bookman Old Style" w:eastAsia="Times New Roman" w:hAnsi="Bookman Old Style"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4946844"/>
    <w:multiLevelType w:val="hybridMultilevel"/>
    <w:tmpl w:val="6A78F412"/>
    <w:lvl w:ilvl="0" w:tplc="A94EC0FE">
      <w:start w:val="1"/>
      <w:numFmt w:val="bullet"/>
      <w:lvlText w:val="-"/>
      <w:lvlJc w:val="left"/>
      <w:pPr>
        <w:tabs>
          <w:tab w:val="num" w:pos="1068"/>
        </w:tabs>
        <w:ind w:left="1068" w:hanging="360"/>
      </w:pPr>
      <w:rPr>
        <w:rFonts w:ascii="Bookman" w:hAnsi="Bookman" w:cs="Bookman" w:hint="default"/>
        <w:u w:color="0000FF"/>
      </w:rPr>
    </w:lvl>
    <w:lvl w:ilvl="1" w:tplc="04180003" w:tentative="1">
      <w:start w:val="1"/>
      <w:numFmt w:val="bullet"/>
      <w:lvlText w:val="o"/>
      <w:lvlJc w:val="left"/>
      <w:pPr>
        <w:tabs>
          <w:tab w:val="num" w:pos="-241"/>
        </w:tabs>
        <w:ind w:left="-241" w:hanging="360"/>
      </w:pPr>
      <w:rPr>
        <w:rFonts w:ascii="Courier New" w:hAnsi="Courier New" w:cs="Courier New" w:hint="default"/>
      </w:rPr>
    </w:lvl>
    <w:lvl w:ilvl="2" w:tplc="04180005" w:tentative="1">
      <w:start w:val="1"/>
      <w:numFmt w:val="bullet"/>
      <w:lvlText w:val=""/>
      <w:lvlJc w:val="left"/>
      <w:pPr>
        <w:tabs>
          <w:tab w:val="num" w:pos="479"/>
        </w:tabs>
        <w:ind w:left="479" w:hanging="360"/>
      </w:pPr>
      <w:rPr>
        <w:rFonts w:ascii="Wingdings" w:hAnsi="Wingdings" w:hint="default"/>
      </w:rPr>
    </w:lvl>
    <w:lvl w:ilvl="3" w:tplc="04180001" w:tentative="1">
      <w:start w:val="1"/>
      <w:numFmt w:val="bullet"/>
      <w:lvlText w:val=""/>
      <w:lvlJc w:val="left"/>
      <w:pPr>
        <w:tabs>
          <w:tab w:val="num" w:pos="1199"/>
        </w:tabs>
        <w:ind w:left="1199" w:hanging="360"/>
      </w:pPr>
      <w:rPr>
        <w:rFonts w:ascii="Symbol" w:hAnsi="Symbol" w:hint="default"/>
      </w:rPr>
    </w:lvl>
    <w:lvl w:ilvl="4" w:tplc="04180003" w:tentative="1">
      <w:start w:val="1"/>
      <w:numFmt w:val="bullet"/>
      <w:lvlText w:val="o"/>
      <w:lvlJc w:val="left"/>
      <w:pPr>
        <w:tabs>
          <w:tab w:val="num" w:pos="1919"/>
        </w:tabs>
        <w:ind w:left="1919" w:hanging="360"/>
      </w:pPr>
      <w:rPr>
        <w:rFonts w:ascii="Courier New" w:hAnsi="Courier New" w:cs="Courier New" w:hint="default"/>
      </w:rPr>
    </w:lvl>
    <w:lvl w:ilvl="5" w:tplc="04180005" w:tentative="1">
      <w:start w:val="1"/>
      <w:numFmt w:val="bullet"/>
      <w:lvlText w:val=""/>
      <w:lvlJc w:val="left"/>
      <w:pPr>
        <w:tabs>
          <w:tab w:val="num" w:pos="2639"/>
        </w:tabs>
        <w:ind w:left="2639" w:hanging="360"/>
      </w:pPr>
      <w:rPr>
        <w:rFonts w:ascii="Wingdings" w:hAnsi="Wingdings" w:hint="default"/>
      </w:rPr>
    </w:lvl>
    <w:lvl w:ilvl="6" w:tplc="04180001" w:tentative="1">
      <w:start w:val="1"/>
      <w:numFmt w:val="bullet"/>
      <w:lvlText w:val=""/>
      <w:lvlJc w:val="left"/>
      <w:pPr>
        <w:tabs>
          <w:tab w:val="num" w:pos="3359"/>
        </w:tabs>
        <w:ind w:left="3359" w:hanging="360"/>
      </w:pPr>
      <w:rPr>
        <w:rFonts w:ascii="Symbol" w:hAnsi="Symbol" w:hint="default"/>
      </w:rPr>
    </w:lvl>
    <w:lvl w:ilvl="7" w:tplc="04180003" w:tentative="1">
      <w:start w:val="1"/>
      <w:numFmt w:val="bullet"/>
      <w:lvlText w:val="o"/>
      <w:lvlJc w:val="left"/>
      <w:pPr>
        <w:tabs>
          <w:tab w:val="num" w:pos="4079"/>
        </w:tabs>
        <w:ind w:left="4079" w:hanging="360"/>
      </w:pPr>
      <w:rPr>
        <w:rFonts w:ascii="Courier New" w:hAnsi="Courier New" w:cs="Courier New" w:hint="default"/>
      </w:rPr>
    </w:lvl>
    <w:lvl w:ilvl="8" w:tplc="04180005" w:tentative="1">
      <w:start w:val="1"/>
      <w:numFmt w:val="bullet"/>
      <w:lvlText w:val=""/>
      <w:lvlJc w:val="left"/>
      <w:pPr>
        <w:tabs>
          <w:tab w:val="num" w:pos="4799"/>
        </w:tabs>
        <w:ind w:left="4799" w:hanging="360"/>
      </w:pPr>
      <w:rPr>
        <w:rFonts w:ascii="Wingdings" w:hAnsi="Wingdings" w:hint="default"/>
      </w:rPr>
    </w:lvl>
  </w:abstractNum>
  <w:abstractNum w:abstractNumId="11" w15:restartNumberingAfterBreak="0">
    <w:nsid w:val="2FF0534C"/>
    <w:multiLevelType w:val="hybridMultilevel"/>
    <w:tmpl w:val="1DE64AEE"/>
    <w:lvl w:ilvl="0" w:tplc="0882C012">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D7419"/>
    <w:multiLevelType w:val="hybridMultilevel"/>
    <w:tmpl w:val="5CDE15C2"/>
    <w:lvl w:ilvl="0" w:tplc="A2762A36">
      <w:start w:val="1"/>
      <w:numFmt w:val="bullet"/>
      <w:lvlText w:val=""/>
      <w:lvlJc w:val="left"/>
      <w:pPr>
        <w:tabs>
          <w:tab w:val="num" w:pos="1429"/>
        </w:tabs>
        <w:ind w:left="1429" w:hanging="360"/>
      </w:pPr>
      <w:rPr>
        <w:rFonts w:ascii="Symbol" w:hAnsi="Symbol" w:hint="default"/>
        <w:color w:val="0000FF"/>
      </w:rPr>
    </w:lvl>
    <w:lvl w:ilvl="1" w:tplc="04180003" w:tentative="1">
      <w:start w:val="1"/>
      <w:numFmt w:val="bullet"/>
      <w:lvlText w:val="o"/>
      <w:lvlJc w:val="left"/>
      <w:pPr>
        <w:tabs>
          <w:tab w:val="num" w:pos="2149"/>
        </w:tabs>
        <w:ind w:left="2149" w:hanging="360"/>
      </w:pPr>
      <w:rPr>
        <w:rFonts w:ascii="Courier New" w:hAnsi="Courier New" w:cs="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cs="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cs="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37ED2CBF"/>
    <w:multiLevelType w:val="hybridMultilevel"/>
    <w:tmpl w:val="9E581AE2"/>
    <w:lvl w:ilvl="0" w:tplc="49FA7DF8">
      <w:start w:val="1"/>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E5B33"/>
    <w:multiLevelType w:val="hybridMultilevel"/>
    <w:tmpl w:val="258CDA5A"/>
    <w:lvl w:ilvl="0" w:tplc="D87EE160">
      <w:start w:val="1"/>
      <w:numFmt w:val="bullet"/>
      <w:lvlText w:val=""/>
      <w:lvlJc w:val="left"/>
      <w:pPr>
        <w:tabs>
          <w:tab w:val="num" w:pos="360"/>
        </w:tabs>
        <w:ind w:left="360" w:hanging="360"/>
      </w:pPr>
      <w:rPr>
        <w:rFonts w:ascii="Symbol" w:hAnsi="Symbol" w:hint="default"/>
        <w:b/>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11161A9"/>
    <w:multiLevelType w:val="hybridMultilevel"/>
    <w:tmpl w:val="978AFB5C"/>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4466442E"/>
    <w:multiLevelType w:val="hybridMultilevel"/>
    <w:tmpl w:val="99E8EA78"/>
    <w:lvl w:ilvl="0" w:tplc="8766BF6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44CA4194"/>
    <w:multiLevelType w:val="hybridMultilevel"/>
    <w:tmpl w:val="2DD81024"/>
    <w:lvl w:ilvl="0" w:tplc="04090005">
      <w:numFmt w:val="bullet"/>
      <w:lvlText w:val="-"/>
      <w:lvlJc w:val="left"/>
      <w:pPr>
        <w:tabs>
          <w:tab w:val="num" w:pos="1776"/>
        </w:tabs>
        <w:ind w:left="1776" w:hanging="360"/>
      </w:pPr>
      <w:rPr>
        <w:rFonts w:ascii="Bookman Old Style" w:eastAsia="Times New Roman" w:hAnsi="Bookman Old Style" w:cs="Arial" w:hint="default"/>
        <w:b w:val="0"/>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02A323B"/>
    <w:multiLevelType w:val="hybridMultilevel"/>
    <w:tmpl w:val="D220AA80"/>
    <w:lvl w:ilvl="0" w:tplc="ABAA2190">
      <w:start w:val="1"/>
      <w:numFmt w:val="decimal"/>
      <w:lvlText w:val="%1."/>
      <w:lvlJc w:val="left"/>
      <w:pPr>
        <w:ind w:left="1074" w:hanging="360"/>
      </w:pPr>
    </w:lvl>
    <w:lvl w:ilvl="1" w:tplc="04180019">
      <w:start w:val="1"/>
      <w:numFmt w:val="lowerLetter"/>
      <w:lvlText w:val="%2."/>
      <w:lvlJc w:val="left"/>
      <w:pPr>
        <w:ind w:left="1794" w:hanging="360"/>
      </w:pPr>
    </w:lvl>
    <w:lvl w:ilvl="2" w:tplc="0418001B">
      <w:start w:val="1"/>
      <w:numFmt w:val="lowerRoman"/>
      <w:lvlText w:val="%3."/>
      <w:lvlJc w:val="right"/>
      <w:pPr>
        <w:ind w:left="2514" w:hanging="180"/>
      </w:pPr>
    </w:lvl>
    <w:lvl w:ilvl="3" w:tplc="0418000F">
      <w:start w:val="1"/>
      <w:numFmt w:val="decimal"/>
      <w:lvlText w:val="%4."/>
      <w:lvlJc w:val="left"/>
      <w:pPr>
        <w:ind w:left="3234" w:hanging="360"/>
      </w:pPr>
    </w:lvl>
    <w:lvl w:ilvl="4" w:tplc="04180019">
      <w:start w:val="1"/>
      <w:numFmt w:val="lowerLetter"/>
      <w:lvlText w:val="%5."/>
      <w:lvlJc w:val="left"/>
      <w:pPr>
        <w:ind w:left="3954" w:hanging="360"/>
      </w:pPr>
    </w:lvl>
    <w:lvl w:ilvl="5" w:tplc="0418001B">
      <w:start w:val="1"/>
      <w:numFmt w:val="lowerRoman"/>
      <w:lvlText w:val="%6."/>
      <w:lvlJc w:val="right"/>
      <w:pPr>
        <w:ind w:left="4674" w:hanging="180"/>
      </w:pPr>
    </w:lvl>
    <w:lvl w:ilvl="6" w:tplc="0418000F">
      <w:start w:val="1"/>
      <w:numFmt w:val="decimal"/>
      <w:lvlText w:val="%7."/>
      <w:lvlJc w:val="left"/>
      <w:pPr>
        <w:ind w:left="5394" w:hanging="360"/>
      </w:pPr>
    </w:lvl>
    <w:lvl w:ilvl="7" w:tplc="04180019">
      <w:start w:val="1"/>
      <w:numFmt w:val="lowerLetter"/>
      <w:lvlText w:val="%8."/>
      <w:lvlJc w:val="left"/>
      <w:pPr>
        <w:ind w:left="6114" w:hanging="360"/>
      </w:pPr>
    </w:lvl>
    <w:lvl w:ilvl="8" w:tplc="0418001B">
      <w:start w:val="1"/>
      <w:numFmt w:val="lowerRoman"/>
      <w:lvlText w:val="%9."/>
      <w:lvlJc w:val="right"/>
      <w:pPr>
        <w:ind w:left="6834" w:hanging="180"/>
      </w:pPr>
    </w:lvl>
  </w:abstractNum>
  <w:abstractNum w:abstractNumId="20" w15:restartNumberingAfterBreak="0">
    <w:nsid w:val="524F715E"/>
    <w:multiLevelType w:val="hybridMultilevel"/>
    <w:tmpl w:val="CE3C7B9A"/>
    <w:lvl w:ilvl="0" w:tplc="57442C10">
      <w:start w:val="1"/>
      <w:numFmt w:val="upperLetter"/>
      <w:lvlText w:val="%1)"/>
      <w:lvlJc w:val="left"/>
      <w:pPr>
        <w:ind w:left="1068" w:hanging="360"/>
      </w:pPr>
      <w:rPr>
        <w:rFonts w:hint="default"/>
        <w:i/>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52961357"/>
    <w:multiLevelType w:val="hybridMultilevel"/>
    <w:tmpl w:val="57D4C344"/>
    <w:lvl w:ilvl="0" w:tplc="998C3406">
      <w:start w:val="1"/>
      <w:numFmt w:val="bullet"/>
      <w:lvlText w:val="-"/>
      <w:lvlJc w:val="left"/>
      <w:pPr>
        <w:ind w:left="360" w:hanging="360"/>
      </w:pPr>
      <w:rPr>
        <w:rFonts w:ascii="Arial" w:eastAsia="Times New Roman" w:hAnsi="Aria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A427B"/>
    <w:multiLevelType w:val="hybridMultilevel"/>
    <w:tmpl w:val="E912DF80"/>
    <w:lvl w:ilvl="0" w:tplc="3364F36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A0D6EC0"/>
    <w:multiLevelType w:val="hybridMultilevel"/>
    <w:tmpl w:val="13D88E38"/>
    <w:lvl w:ilvl="0" w:tplc="998C3406">
      <w:start w:val="1"/>
      <w:numFmt w:val="bullet"/>
      <w:lvlText w:val="-"/>
      <w:lvlJc w:val="left"/>
      <w:pPr>
        <w:ind w:left="360" w:hanging="360"/>
      </w:pPr>
      <w:rPr>
        <w:rFonts w:ascii="Arial" w:eastAsia="Times New Roman" w:hAnsi="Aria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2D7BDF"/>
    <w:multiLevelType w:val="hybridMultilevel"/>
    <w:tmpl w:val="CDC0B4B2"/>
    <w:lvl w:ilvl="0" w:tplc="51EA12A0">
      <w:start w:val="1"/>
      <w:numFmt w:val="upperRoman"/>
      <w:lvlText w:val="%1."/>
      <w:lvlJc w:val="left"/>
      <w:pPr>
        <w:ind w:left="1575" w:hanging="720"/>
      </w:pPr>
      <w:rPr>
        <w:rFonts w:hint="default"/>
      </w:rPr>
    </w:lvl>
    <w:lvl w:ilvl="1" w:tplc="04180019" w:tentative="1">
      <w:start w:val="1"/>
      <w:numFmt w:val="lowerLetter"/>
      <w:lvlText w:val="%2."/>
      <w:lvlJc w:val="left"/>
      <w:pPr>
        <w:ind w:left="1935" w:hanging="360"/>
      </w:pPr>
    </w:lvl>
    <w:lvl w:ilvl="2" w:tplc="0418001B" w:tentative="1">
      <w:start w:val="1"/>
      <w:numFmt w:val="lowerRoman"/>
      <w:lvlText w:val="%3."/>
      <w:lvlJc w:val="right"/>
      <w:pPr>
        <w:ind w:left="2655" w:hanging="180"/>
      </w:pPr>
    </w:lvl>
    <w:lvl w:ilvl="3" w:tplc="0418000F" w:tentative="1">
      <w:start w:val="1"/>
      <w:numFmt w:val="decimal"/>
      <w:lvlText w:val="%4."/>
      <w:lvlJc w:val="left"/>
      <w:pPr>
        <w:ind w:left="3375" w:hanging="360"/>
      </w:pPr>
    </w:lvl>
    <w:lvl w:ilvl="4" w:tplc="04180019" w:tentative="1">
      <w:start w:val="1"/>
      <w:numFmt w:val="lowerLetter"/>
      <w:lvlText w:val="%5."/>
      <w:lvlJc w:val="left"/>
      <w:pPr>
        <w:ind w:left="4095" w:hanging="360"/>
      </w:pPr>
    </w:lvl>
    <w:lvl w:ilvl="5" w:tplc="0418001B" w:tentative="1">
      <w:start w:val="1"/>
      <w:numFmt w:val="lowerRoman"/>
      <w:lvlText w:val="%6."/>
      <w:lvlJc w:val="right"/>
      <w:pPr>
        <w:ind w:left="4815" w:hanging="180"/>
      </w:pPr>
    </w:lvl>
    <w:lvl w:ilvl="6" w:tplc="0418000F" w:tentative="1">
      <w:start w:val="1"/>
      <w:numFmt w:val="decimal"/>
      <w:lvlText w:val="%7."/>
      <w:lvlJc w:val="left"/>
      <w:pPr>
        <w:ind w:left="5535" w:hanging="360"/>
      </w:pPr>
    </w:lvl>
    <w:lvl w:ilvl="7" w:tplc="04180019" w:tentative="1">
      <w:start w:val="1"/>
      <w:numFmt w:val="lowerLetter"/>
      <w:lvlText w:val="%8."/>
      <w:lvlJc w:val="left"/>
      <w:pPr>
        <w:ind w:left="6255" w:hanging="360"/>
      </w:pPr>
    </w:lvl>
    <w:lvl w:ilvl="8" w:tplc="0418001B" w:tentative="1">
      <w:start w:val="1"/>
      <w:numFmt w:val="lowerRoman"/>
      <w:lvlText w:val="%9."/>
      <w:lvlJc w:val="right"/>
      <w:pPr>
        <w:ind w:left="6975" w:hanging="180"/>
      </w:pPr>
    </w:lvl>
  </w:abstractNum>
  <w:abstractNum w:abstractNumId="26" w15:restartNumberingAfterBreak="0">
    <w:nsid w:val="5CA86ACE"/>
    <w:multiLevelType w:val="hybridMultilevel"/>
    <w:tmpl w:val="612E7BF6"/>
    <w:lvl w:ilvl="0" w:tplc="DB201D02">
      <w:start w:val="1"/>
      <w:numFmt w:val="upperRoman"/>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7" w15:restartNumberingAfterBreak="0">
    <w:nsid w:val="64321104"/>
    <w:multiLevelType w:val="hybridMultilevel"/>
    <w:tmpl w:val="21E6C01A"/>
    <w:lvl w:ilvl="0" w:tplc="192AA48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04090003">
      <w:start w:val="4"/>
      <w:numFmt w:val="bullet"/>
      <w:lvlText w:val=""/>
      <w:lvlJc w:val="left"/>
      <w:pPr>
        <w:tabs>
          <w:tab w:val="num" w:pos="907"/>
        </w:tabs>
        <w:ind w:left="0" w:firstLine="907"/>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47F1584"/>
    <w:multiLevelType w:val="hybridMultilevel"/>
    <w:tmpl w:val="A82AC3DE"/>
    <w:lvl w:ilvl="0" w:tplc="04180005">
      <w:start w:val="1"/>
      <w:numFmt w:val="bullet"/>
      <w:lvlText w:val=""/>
      <w:lvlJc w:val="left"/>
      <w:pPr>
        <w:tabs>
          <w:tab w:val="num" w:pos="720"/>
        </w:tabs>
        <w:ind w:left="720" w:hanging="360"/>
      </w:pPr>
      <w:rPr>
        <w:rFonts w:ascii="Wingdings" w:hAnsi="Wingdings" w:hint="default"/>
        <w:b/>
      </w:rPr>
    </w:lvl>
    <w:lvl w:ilvl="1" w:tplc="CBC4A218">
      <w:numFmt w:val="bullet"/>
      <w:lvlText w:val="-"/>
      <w:lvlJc w:val="left"/>
      <w:pPr>
        <w:tabs>
          <w:tab w:val="num" w:pos="1440"/>
        </w:tabs>
        <w:ind w:left="1440" w:hanging="360"/>
      </w:pPr>
      <w:rPr>
        <w:rFonts w:ascii="Arial" w:eastAsia="Times New Roman" w:hAnsi="Arial" w:cs="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3F4F21"/>
    <w:multiLevelType w:val="hybridMultilevel"/>
    <w:tmpl w:val="FD7C327A"/>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679C09BC"/>
    <w:multiLevelType w:val="multilevel"/>
    <w:tmpl w:val="BDD63214"/>
    <w:lvl w:ilvl="0">
      <w:start w:val="1"/>
      <w:numFmt w:val="decimal"/>
      <w:lvlText w:val="%1."/>
      <w:lvlJc w:val="left"/>
      <w:pPr>
        <w:ind w:left="1080" w:hanging="360"/>
      </w:pPr>
    </w:lvl>
    <w:lvl w:ilvl="1">
      <w:start w:val="9"/>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1" w15:restartNumberingAfterBreak="0">
    <w:nsid w:val="6AE817A5"/>
    <w:multiLevelType w:val="hybridMultilevel"/>
    <w:tmpl w:val="04D47E44"/>
    <w:lvl w:ilvl="0" w:tplc="DEDA0E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380D7B"/>
    <w:multiLevelType w:val="hybridMultilevel"/>
    <w:tmpl w:val="C94E3D20"/>
    <w:lvl w:ilvl="0" w:tplc="998C3406">
      <w:start w:val="1"/>
      <w:numFmt w:val="bullet"/>
      <w:lvlText w:val="-"/>
      <w:lvlJc w:val="left"/>
      <w:pPr>
        <w:ind w:left="360" w:hanging="360"/>
      </w:pPr>
      <w:rPr>
        <w:rFonts w:ascii="Arial" w:eastAsia="Times New Roman" w:hAnsi="Aria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753FDA"/>
    <w:multiLevelType w:val="hybridMultilevel"/>
    <w:tmpl w:val="AF8053D6"/>
    <w:lvl w:ilvl="0" w:tplc="998C3406">
      <w:start w:val="1"/>
      <w:numFmt w:val="bullet"/>
      <w:lvlText w:val="-"/>
      <w:lvlJc w:val="left"/>
      <w:pPr>
        <w:ind w:left="720" w:hanging="360"/>
      </w:pPr>
      <w:rPr>
        <w:rFonts w:ascii="Arial" w:eastAsia="Times New Roman" w:hAnsi="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A532D5"/>
    <w:multiLevelType w:val="hybridMultilevel"/>
    <w:tmpl w:val="AA4E2408"/>
    <w:lvl w:ilvl="0" w:tplc="BA002D1A">
      <w:start w:val="2"/>
      <w:numFmt w:val="bullet"/>
      <w:lvlText w:val="-"/>
      <w:lvlJc w:val="left"/>
      <w:pPr>
        <w:ind w:left="1069" w:hanging="360"/>
      </w:pPr>
      <w:rPr>
        <w:rFonts w:ascii="Calibri" w:eastAsia="Times New Roman" w:hAnsi="Calibri"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9DD75CA"/>
    <w:multiLevelType w:val="hybridMultilevel"/>
    <w:tmpl w:val="A99C716C"/>
    <w:lvl w:ilvl="0" w:tplc="5B309FFA">
      <w:start w:val="1"/>
      <w:numFmt w:val="bullet"/>
      <w:lvlText w:val=""/>
      <w:lvlJc w:val="left"/>
      <w:pPr>
        <w:tabs>
          <w:tab w:val="num" w:pos="644"/>
        </w:tabs>
        <w:ind w:left="644" w:hanging="360"/>
      </w:pPr>
      <w:rPr>
        <w:rFonts w:ascii="Wingdings" w:hAnsi="Wingdings" w:hint="default"/>
      </w:rPr>
    </w:lvl>
    <w:lvl w:ilvl="1" w:tplc="04180003">
      <w:start w:val="1"/>
      <w:numFmt w:val="bullet"/>
      <w:lvlText w:val=""/>
      <w:lvlPicBulletId w:val="0"/>
      <w:lvlJc w:val="left"/>
      <w:pPr>
        <w:tabs>
          <w:tab w:val="num" w:pos="1364"/>
        </w:tabs>
        <w:ind w:left="1364" w:hanging="360"/>
      </w:pPr>
      <w:rPr>
        <w:rFonts w:ascii="Symbol" w:hAnsi="Symbol" w:hint="default"/>
      </w:rPr>
    </w:lvl>
    <w:lvl w:ilvl="2" w:tplc="04180005">
      <w:start w:val="1"/>
      <w:numFmt w:val="bullet"/>
      <w:lvlText w:val=""/>
      <w:lvlJc w:val="left"/>
      <w:pPr>
        <w:tabs>
          <w:tab w:val="num" w:pos="2084"/>
        </w:tabs>
        <w:ind w:left="2084" w:hanging="360"/>
      </w:pPr>
      <w:rPr>
        <w:rFonts w:ascii="Wingdings" w:hAnsi="Wingdings" w:hint="default"/>
      </w:rPr>
    </w:lvl>
    <w:lvl w:ilvl="3" w:tplc="04180001" w:tentative="1">
      <w:start w:val="1"/>
      <w:numFmt w:val="bullet"/>
      <w:lvlText w:val=""/>
      <w:lvlJc w:val="left"/>
      <w:pPr>
        <w:tabs>
          <w:tab w:val="num" w:pos="2804"/>
        </w:tabs>
        <w:ind w:left="2804" w:hanging="360"/>
      </w:pPr>
      <w:rPr>
        <w:rFonts w:ascii="Symbol" w:hAnsi="Symbol" w:hint="default"/>
      </w:rPr>
    </w:lvl>
    <w:lvl w:ilvl="4" w:tplc="04180003" w:tentative="1">
      <w:start w:val="1"/>
      <w:numFmt w:val="bullet"/>
      <w:lvlText w:val="o"/>
      <w:lvlJc w:val="left"/>
      <w:pPr>
        <w:tabs>
          <w:tab w:val="num" w:pos="3524"/>
        </w:tabs>
        <w:ind w:left="3524" w:hanging="360"/>
      </w:pPr>
      <w:rPr>
        <w:rFonts w:ascii="Courier New" w:hAnsi="Courier New" w:cs="Courier New" w:hint="default"/>
      </w:rPr>
    </w:lvl>
    <w:lvl w:ilvl="5" w:tplc="04180005" w:tentative="1">
      <w:start w:val="1"/>
      <w:numFmt w:val="bullet"/>
      <w:lvlText w:val=""/>
      <w:lvlJc w:val="left"/>
      <w:pPr>
        <w:tabs>
          <w:tab w:val="num" w:pos="4244"/>
        </w:tabs>
        <w:ind w:left="4244" w:hanging="360"/>
      </w:pPr>
      <w:rPr>
        <w:rFonts w:ascii="Wingdings" w:hAnsi="Wingdings" w:hint="default"/>
      </w:rPr>
    </w:lvl>
    <w:lvl w:ilvl="6" w:tplc="04180001" w:tentative="1">
      <w:start w:val="1"/>
      <w:numFmt w:val="bullet"/>
      <w:lvlText w:val=""/>
      <w:lvlJc w:val="left"/>
      <w:pPr>
        <w:tabs>
          <w:tab w:val="num" w:pos="4964"/>
        </w:tabs>
        <w:ind w:left="4964" w:hanging="360"/>
      </w:pPr>
      <w:rPr>
        <w:rFonts w:ascii="Symbol" w:hAnsi="Symbol" w:hint="default"/>
      </w:rPr>
    </w:lvl>
    <w:lvl w:ilvl="7" w:tplc="04180003" w:tentative="1">
      <w:start w:val="1"/>
      <w:numFmt w:val="bullet"/>
      <w:lvlText w:val="o"/>
      <w:lvlJc w:val="left"/>
      <w:pPr>
        <w:tabs>
          <w:tab w:val="num" w:pos="5684"/>
        </w:tabs>
        <w:ind w:left="5684" w:hanging="360"/>
      </w:pPr>
      <w:rPr>
        <w:rFonts w:ascii="Courier New" w:hAnsi="Courier New" w:cs="Courier New" w:hint="default"/>
      </w:rPr>
    </w:lvl>
    <w:lvl w:ilvl="8" w:tplc="04180005" w:tentative="1">
      <w:start w:val="1"/>
      <w:numFmt w:val="bullet"/>
      <w:lvlText w:val=""/>
      <w:lvlJc w:val="left"/>
      <w:pPr>
        <w:tabs>
          <w:tab w:val="num" w:pos="6404"/>
        </w:tabs>
        <w:ind w:left="6404" w:hanging="360"/>
      </w:pPr>
      <w:rPr>
        <w:rFonts w:ascii="Wingdings" w:hAnsi="Wingdings" w:hint="default"/>
      </w:rPr>
    </w:lvl>
  </w:abstractNum>
  <w:abstractNum w:abstractNumId="36" w15:restartNumberingAfterBreak="0">
    <w:nsid w:val="7C5B7E18"/>
    <w:multiLevelType w:val="hybridMultilevel"/>
    <w:tmpl w:val="4678FBE4"/>
    <w:lvl w:ilvl="0" w:tplc="2398C370">
      <w:start w:val="1"/>
      <w:numFmt w:val="bullet"/>
      <w:lvlText w:val="-"/>
      <w:lvlJc w:val="left"/>
      <w:pPr>
        <w:tabs>
          <w:tab w:val="num" w:pos="1069"/>
        </w:tabs>
        <w:ind w:left="1069" w:hanging="360"/>
      </w:pPr>
      <w:rPr>
        <w:rFonts w:ascii="Bookman" w:hAnsi="Bookman" w:cs="Bookman" w:hint="default"/>
        <w:u w:color="0000FF"/>
      </w:rPr>
    </w:lvl>
    <w:lvl w:ilvl="1" w:tplc="04180003" w:tentative="1">
      <w:start w:val="1"/>
      <w:numFmt w:val="bullet"/>
      <w:lvlText w:val="o"/>
      <w:lvlJc w:val="left"/>
      <w:pPr>
        <w:tabs>
          <w:tab w:val="num" w:pos="-240"/>
        </w:tabs>
        <w:ind w:left="-240" w:hanging="360"/>
      </w:pPr>
      <w:rPr>
        <w:rFonts w:ascii="Courier New" w:hAnsi="Courier New" w:cs="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cs="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cs="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num w:numId="1">
    <w:abstractNumId w:val="18"/>
  </w:num>
  <w:num w:numId="2">
    <w:abstractNumId w:val="22"/>
  </w:num>
  <w:num w:numId="3">
    <w:abstractNumId w:val="1"/>
  </w:num>
  <w:num w:numId="4">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9"/>
  </w:num>
  <w:num w:numId="10">
    <w:abstractNumId w:val="17"/>
  </w:num>
  <w:num w:numId="11">
    <w:abstractNumId w:val="8"/>
  </w:num>
  <w:num w:numId="12">
    <w:abstractNumId w:val="7"/>
  </w:num>
  <w:num w:numId="13">
    <w:abstractNumId w:val="12"/>
  </w:num>
  <w:num w:numId="14">
    <w:abstractNumId w:val="10"/>
  </w:num>
  <w:num w:numId="15">
    <w:abstractNumId w:val="3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1"/>
  </w:num>
  <w:num w:numId="19">
    <w:abstractNumId w:val="32"/>
  </w:num>
  <w:num w:numId="20">
    <w:abstractNumId w:val="2"/>
  </w:num>
  <w:num w:numId="21">
    <w:abstractNumId w:val="4"/>
  </w:num>
  <w:num w:numId="22">
    <w:abstractNumId w:val="24"/>
  </w:num>
  <w:num w:numId="23">
    <w:abstractNumId w:val="21"/>
  </w:num>
  <w:num w:numId="24">
    <w:abstractNumId w:val="33"/>
  </w:num>
  <w:num w:numId="25">
    <w:abstractNumId w:val="15"/>
  </w:num>
  <w:num w:numId="26">
    <w:abstractNumId w:val="25"/>
  </w:num>
  <w:num w:numId="27">
    <w:abstractNumId w:val="31"/>
  </w:num>
  <w:num w:numId="28">
    <w:abstractNumId w:val="3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4"/>
  </w:num>
  <w:num w:numId="33">
    <w:abstractNumId w:val="6"/>
  </w:num>
  <w:num w:numId="34">
    <w:abstractNumId w:val="34"/>
  </w:num>
  <w:num w:numId="35">
    <w:abstractNumId w:val="13"/>
  </w:num>
  <w:num w:numId="36">
    <w:abstractNumId w:val="26"/>
  </w:num>
  <w:num w:numId="37">
    <w:abstractNumId w:val="20"/>
  </w:num>
  <w:num w:numId="38">
    <w:abstractNumId w:val="3"/>
  </w:num>
  <w:num w:numId="39">
    <w:abstractNumId w:val="23"/>
  </w:num>
  <w:num w:numId="4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2F"/>
    <w:rsid w:val="00000156"/>
    <w:rsid w:val="000006CD"/>
    <w:rsid w:val="000011ED"/>
    <w:rsid w:val="0000191C"/>
    <w:rsid w:val="00002D8A"/>
    <w:rsid w:val="00002F45"/>
    <w:rsid w:val="000032E2"/>
    <w:rsid w:val="000033BA"/>
    <w:rsid w:val="00005D11"/>
    <w:rsid w:val="00006049"/>
    <w:rsid w:val="0000621B"/>
    <w:rsid w:val="00006C34"/>
    <w:rsid w:val="000104BB"/>
    <w:rsid w:val="00012521"/>
    <w:rsid w:val="0001286C"/>
    <w:rsid w:val="00013CB8"/>
    <w:rsid w:val="000156E5"/>
    <w:rsid w:val="0001571D"/>
    <w:rsid w:val="00021677"/>
    <w:rsid w:val="00023BF7"/>
    <w:rsid w:val="00023EEC"/>
    <w:rsid w:val="00024BA7"/>
    <w:rsid w:val="00024DC1"/>
    <w:rsid w:val="000263DA"/>
    <w:rsid w:val="00031750"/>
    <w:rsid w:val="00034159"/>
    <w:rsid w:val="0003611B"/>
    <w:rsid w:val="0003644A"/>
    <w:rsid w:val="00037F29"/>
    <w:rsid w:val="00040315"/>
    <w:rsid w:val="0004045D"/>
    <w:rsid w:val="00040A86"/>
    <w:rsid w:val="00041360"/>
    <w:rsid w:val="00043B94"/>
    <w:rsid w:val="00044998"/>
    <w:rsid w:val="0004542D"/>
    <w:rsid w:val="00047D29"/>
    <w:rsid w:val="00051DB9"/>
    <w:rsid w:val="00052F2B"/>
    <w:rsid w:val="00052F37"/>
    <w:rsid w:val="00052FD2"/>
    <w:rsid w:val="000601EC"/>
    <w:rsid w:val="000632C3"/>
    <w:rsid w:val="0006386B"/>
    <w:rsid w:val="00065760"/>
    <w:rsid w:val="00065DCB"/>
    <w:rsid w:val="00067A66"/>
    <w:rsid w:val="00070780"/>
    <w:rsid w:val="0007086E"/>
    <w:rsid w:val="0007125F"/>
    <w:rsid w:val="00072FE1"/>
    <w:rsid w:val="000736CC"/>
    <w:rsid w:val="00074C82"/>
    <w:rsid w:val="0007746A"/>
    <w:rsid w:val="00077B3C"/>
    <w:rsid w:val="00080834"/>
    <w:rsid w:val="00081180"/>
    <w:rsid w:val="00081383"/>
    <w:rsid w:val="00082980"/>
    <w:rsid w:val="00082A84"/>
    <w:rsid w:val="00084BE9"/>
    <w:rsid w:val="00084C09"/>
    <w:rsid w:val="0008521E"/>
    <w:rsid w:val="00087794"/>
    <w:rsid w:val="00087D07"/>
    <w:rsid w:val="00091839"/>
    <w:rsid w:val="000951C1"/>
    <w:rsid w:val="00095742"/>
    <w:rsid w:val="0009585A"/>
    <w:rsid w:val="00095C15"/>
    <w:rsid w:val="0009784D"/>
    <w:rsid w:val="000A4124"/>
    <w:rsid w:val="000A4CF5"/>
    <w:rsid w:val="000A6EDE"/>
    <w:rsid w:val="000B0ADF"/>
    <w:rsid w:val="000B1584"/>
    <w:rsid w:val="000B1DA7"/>
    <w:rsid w:val="000B5722"/>
    <w:rsid w:val="000B5AA5"/>
    <w:rsid w:val="000B64CC"/>
    <w:rsid w:val="000B73D2"/>
    <w:rsid w:val="000B757A"/>
    <w:rsid w:val="000B7D9E"/>
    <w:rsid w:val="000C1840"/>
    <w:rsid w:val="000C2F4F"/>
    <w:rsid w:val="000C4B86"/>
    <w:rsid w:val="000D005D"/>
    <w:rsid w:val="000D24B6"/>
    <w:rsid w:val="000D2552"/>
    <w:rsid w:val="000D27F7"/>
    <w:rsid w:val="000D3D02"/>
    <w:rsid w:val="000D62AF"/>
    <w:rsid w:val="000E2FD2"/>
    <w:rsid w:val="000E5D23"/>
    <w:rsid w:val="000E641D"/>
    <w:rsid w:val="000E6F2F"/>
    <w:rsid w:val="000E712D"/>
    <w:rsid w:val="000F00D9"/>
    <w:rsid w:val="000F01EE"/>
    <w:rsid w:val="000F1569"/>
    <w:rsid w:val="000F2490"/>
    <w:rsid w:val="000F2FD2"/>
    <w:rsid w:val="000F5E0E"/>
    <w:rsid w:val="000F652F"/>
    <w:rsid w:val="000F6AE5"/>
    <w:rsid w:val="00103F5D"/>
    <w:rsid w:val="00106A7B"/>
    <w:rsid w:val="0011148F"/>
    <w:rsid w:val="00112C74"/>
    <w:rsid w:val="00115477"/>
    <w:rsid w:val="00117C56"/>
    <w:rsid w:val="001202FF"/>
    <w:rsid w:val="00120344"/>
    <w:rsid w:val="00122527"/>
    <w:rsid w:val="00123875"/>
    <w:rsid w:val="001255F1"/>
    <w:rsid w:val="00125C14"/>
    <w:rsid w:val="00125C25"/>
    <w:rsid w:val="0012615E"/>
    <w:rsid w:val="00127259"/>
    <w:rsid w:val="0012783E"/>
    <w:rsid w:val="00130A39"/>
    <w:rsid w:val="001314BD"/>
    <w:rsid w:val="00131A9F"/>
    <w:rsid w:val="00131C31"/>
    <w:rsid w:val="0013234E"/>
    <w:rsid w:val="001323E3"/>
    <w:rsid w:val="00140DF5"/>
    <w:rsid w:val="00142024"/>
    <w:rsid w:val="001459D0"/>
    <w:rsid w:val="00146340"/>
    <w:rsid w:val="00146864"/>
    <w:rsid w:val="001478F5"/>
    <w:rsid w:val="00147DED"/>
    <w:rsid w:val="001508D3"/>
    <w:rsid w:val="00150E02"/>
    <w:rsid w:val="00153732"/>
    <w:rsid w:val="001552E6"/>
    <w:rsid w:val="00155F46"/>
    <w:rsid w:val="0016069D"/>
    <w:rsid w:val="00160955"/>
    <w:rsid w:val="00160C59"/>
    <w:rsid w:val="001614F9"/>
    <w:rsid w:val="00162CD5"/>
    <w:rsid w:val="001646FF"/>
    <w:rsid w:val="0016684E"/>
    <w:rsid w:val="00167A0B"/>
    <w:rsid w:val="0017048A"/>
    <w:rsid w:val="00171444"/>
    <w:rsid w:val="0017475B"/>
    <w:rsid w:val="0017659A"/>
    <w:rsid w:val="00177263"/>
    <w:rsid w:val="0018073F"/>
    <w:rsid w:val="0018095E"/>
    <w:rsid w:val="001812C6"/>
    <w:rsid w:val="00183CA3"/>
    <w:rsid w:val="00183DBD"/>
    <w:rsid w:val="00183FB2"/>
    <w:rsid w:val="001844AD"/>
    <w:rsid w:val="00184EFF"/>
    <w:rsid w:val="0018589F"/>
    <w:rsid w:val="0019025F"/>
    <w:rsid w:val="001917E5"/>
    <w:rsid w:val="00192A9A"/>
    <w:rsid w:val="00192EEE"/>
    <w:rsid w:val="001934DA"/>
    <w:rsid w:val="001A10A2"/>
    <w:rsid w:val="001A4B3E"/>
    <w:rsid w:val="001A4E1A"/>
    <w:rsid w:val="001A5BE6"/>
    <w:rsid w:val="001A707B"/>
    <w:rsid w:val="001B0B57"/>
    <w:rsid w:val="001B137C"/>
    <w:rsid w:val="001B17AE"/>
    <w:rsid w:val="001B49E7"/>
    <w:rsid w:val="001C061B"/>
    <w:rsid w:val="001C201F"/>
    <w:rsid w:val="001C2093"/>
    <w:rsid w:val="001C3739"/>
    <w:rsid w:val="001C47FC"/>
    <w:rsid w:val="001C7E57"/>
    <w:rsid w:val="001D0D99"/>
    <w:rsid w:val="001D0EA9"/>
    <w:rsid w:val="001D127E"/>
    <w:rsid w:val="001D2C74"/>
    <w:rsid w:val="001D3232"/>
    <w:rsid w:val="001D345D"/>
    <w:rsid w:val="001D36E8"/>
    <w:rsid w:val="001D4C68"/>
    <w:rsid w:val="001D52DB"/>
    <w:rsid w:val="001D7012"/>
    <w:rsid w:val="001D7674"/>
    <w:rsid w:val="001D7DA4"/>
    <w:rsid w:val="001E1A3A"/>
    <w:rsid w:val="001E276C"/>
    <w:rsid w:val="001E3B58"/>
    <w:rsid w:val="001E43E9"/>
    <w:rsid w:val="001E7F99"/>
    <w:rsid w:val="001F1F20"/>
    <w:rsid w:val="001F2E5E"/>
    <w:rsid w:val="001F5A60"/>
    <w:rsid w:val="001F7AAF"/>
    <w:rsid w:val="00200507"/>
    <w:rsid w:val="00201D89"/>
    <w:rsid w:val="00201DE6"/>
    <w:rsid w:val="00202C95"/>
    <w:rsid w:val="00202F35"/>
    <w:rsid w:val="00205965"/>
    <w:rsid w:val="00206A3F"/>
    <w:rsid w:val="00207A2F"/>
    <w:rsid w:val="00211934"/>
    <w:rsid w:val="00216CED"/>
    <w:rsid w:val="00217967"/>
    <w:rsid w:val="0022401C"/>
    <w:rsid w:val="002240ED"/>
    <w:rsid w:val="00226976"/>
    <w:rsid w:val="00230389"/>
    <w:rsid w:val="00230629"/>
    <w:rsid w:val="002307D7"/>
    <w:rsid w:val="002318DC"/>
    <w:rsid w:val="0023345F"/>
    <w:rsid w:val="00233C9D"/>
    <w:rsid w:val="00234F48"/>
    <w:rsid w:val="002358E5"/>
    <w:rsid w:val="00236ABD"/>
    <w:rsid w:val="0023771E"/>
    <w:rsid w:val="00240466"/>
    <w:rsid w:val="00240E00"/>
    <w:rsid w:val="00240F3D"/>
    <w:rsid w:val="0024189C"/>
    <w:rsid w:val="00241A03"/>
    <w:rsid w:val="002431A4"/>
    <w:rsid w:val="0025043E"/>
    <w:rsid w:val="002510C6"/>
    <w:rsid w:val="00251C4F"/>
    <w:rsid w:val="002526AA"/>
    <w:rsid w:val="002603BF"/>
    <w:rsid w:val="002606BC"/>
    <w:rsid w:val="00260F5D"/>
    <w:rsid w:val="00261B91"/>
    <w:rsid w:val="00261D6E"/>
    <w:rsid w:val="00264959"/>
    <w:rsid w:val="0026533B"/>
    <w:rsid w:val="00266CD6"/>
    <w:rsid w:val="00266D6F"/>
    <w:rsid w:val="002702B7"/>
    <w:rsid w:val="00271EAD"/>
    <w:rsid w:val="00275488"/>
    <w:rsid w:val="00275E13"/>
    <w:rsid w:val="00275F01"/>
    <w:rsid w:val="002817AF"/>
    <w:rsid w:val="00283228"/>
    <w:rsid w:val="002834AD"/>
    <w:rsid w:val="00286E7A"/>
    <w:rsid w:val="00286EF8"/>
    <w:rsid w:val="00287296"/>
    <w:rsid w:val="00290346"/>
    <w:rsid w:val="00291CA2"/>
    <w:rsid w:val="00294BD3"/>
    <w:rsid w:val="002A0E01"/>
    <w:rsid w:val="002A1413"/>
    <w:rsid w:val="002A3909"/>
    <w:rsid w:val="002A657B"/>
    <w:rsid w:val="002A68D2"/>
    <w:rsid w:val="002A6A3E"/>
    <w:rsid w:val="002A799A"/>
    <w:rsid w:val="002B0E3D"/>
    <w:rsid w:val="002B1963"/>
    <w:rsid w:val="002B264C"/>
    <w:rsid w:val="002B515F"/>
    <w:rsid w:val="002B539C"/>
    <w:rsid w:val="002B5E06"/>
    <w:rsid w:val="002C0B1E"/>
    <w:rsid w:val="002C424E"/>
    <w:rsid w:val="002C5E50"/>
    <w:rsid w:val="002D0113"/>
    <w:rsid w:val="002D018F"/>
    <w:rsid w:val="002D3029"/>
    <w:rsid w:val="002D32C8"/>
    <w:rsid w:val="002D38BF"/>
    <w:rsid w:val="002D5D6E"/>
    <w:rsid w:val="002D63FD"/>
    <w:rsid w:val="002D6706"/>
    <w:rsid w:val="002E0DB6"/>
    <w:rsid w:val="002E0E5A"/>
    <w:rsid w:val="002E1BDE"/>
    <w:rsid w:val="002E25DD"/>
    <w:rsid w:val="002E3D88"/>
    <w:rsid w:val="002E64E3"/>
    <w:rsid w:val="002E6900"/>
    <w:rsid w:val="002E69E5"/>
    <w:rsid w:val="002E6CF8"/>
    <w:rsid w:val="002E7120"/>
    <w:rsid w:val="002E7222"/>
    <w:rsid w:val="002E7B42"/>
    <w:rsid w:val="002F0166"/>
    <w:rsid w:val="002F0499"/>
    <w:rsid w:val="002F05C4"/>
    <w:rsid w:val="002F1F5B"/>
    <w:rsid w:val="002F1F69"/>
    <w:rsid w:val="002F2975"/>
    <w:rsid w:val="002F3E7D"/>
    <w:rsid w:val="002F7210"/>
    <w:rsid w:val="002F7798"/>
    <w:rsid w:val="00300396"/>
    <w:rsid w:val="00303A2E"/>
    <w:rsid w:val="00305F6B"/>
    <w:rsid w:val="00306DE3"/>
    <w:rsid w:val="003108A2"/>
    <w:rsid w:val="003135BF"/>
    <w:rsid w:val="0031361F"/>
    <w:rsid w:val="003147ED"/>
    <w:rsid w:val="00314F9F"/>
    <w:rsid w:val="00315FDA"/>
    <w:rsid w:val="00317AEB"/>
    <w:rsid w:val="00320A60"/>
    <w:rsid w:val="00320B9F"/>
    <w:rsid w:val="00323BD2"/>
    <w:rsid w:val="00324018"/>
    <w:rsid w:val="003245F4"/>
    <w:rsid w:val="003246E9"/>
    <w:rsid w:val="00324743"/>
    <w:rsid w:val="00324AD0"/>
    <w:rsid w:val="00326EE2"/>
    <w:rsid w:val="00326F84"/>
    <w:rsid w:val="0033013F"/>
    <w:rsid w:val="00330670"/>
    <w:rsid w:val="00331984"/>
    <w:rsid w:val="00331E52"/>
    <w:rsid w:val="00333234"/>
    <w:rsid w:val="003333F8"/>
    <w:rsid w:val="003335E5"/>
    <w:rsid w:val="00333FA0"/>
    <w:rsid w:val="00334E92"/>
    <w:rsid w:val="00335797"/>
    <w:rsid w:val="003362E9"/>
    <w:rsid w:val="003407F2"/>
    <w:rsid w:val="00341A3A"/>
    <w:rsid w:val="00341C6C"/>
    <w:rsid w:val="00344241"/>
    <w:rsid w:val="0034499A"/>
    <w:rsid w:val="00344AAA"/>
    <w:rsid w:val="00344B0B"/>
    <w:rsid w:val="003458A4"/>
    <w:rsid w:val="003458E5"/>
    <w:rsid w:val="00345D80"/>
    <w:rsid w:val="003460DB"/>
    <w:rsid w:val="00346B79"/>
    <w:rsid w:val="00347A0B"/>
    <w:rsid w:val="003506F5"/>
    <w:rsid w:val="003508DD"/>
    <w:rsid w:val="003519BC"/>
    <w:rsid w:val="00352E1A"/>
    <w:rsid w:val="003547DF"/>
    <w:rsid w:val="00354F93"/>
    <w:rsid w:val="00355AA2"/>
    <w:rsid w:val="00356A32"/>
    <w:rsid w:val="00357936"/>
    <w:rsid w:val="00357B87"/>
    <w:rsid w:val="003612DF"/>
    <w:rsid w:val="0036141B"/>
    <w:rsid w:val="00361E86"/>
    <w:rsid w:val="003636E0"/>
    <w:rsid w:val="003646E6"/>
    <w:rsid w:val="00365A55"/>
    <w:rsid w:val="00365C43"/>
    <w:rsid w:val="00366911"/>
    <w:rsid w:val="00367236"/>
    <w:rsid w:val="00370FBB"/>
    <w:rsid w:val="0037269D"/>
    <w:rsid w:val="00373AAD"/>
    <w:rsid w:val="003741A5"/>
    <w:rsid w:val="003745AC"/>
    <w:rsid w:val="00375716"/>
    <w:rsid w:val="00375E1B"/>
    <w:rsid w:val="003805B0"/>
    <w:rsid w:val="00380FEF"/>
    <w:rsid w:val="00382B44"/>
    <w:rsid w:val="00383B28"/>
    <w:rsid w:val="00385353"/>
    <w:rsid w:val="003856D5"/>
    <w:rsid w:val="0038624D"/>
    <w:rsid w:val="003868CD"/>
    <w:rsid w:val="00386D65"/>
    <w:rsid w:val="00387146"/>
    <w:rsid w:val="0038765A"/>
    <w:rsid w:val="003878F2"/>
    <w:rsid w:val="003901DA"/>
    <w:rsid w:val="00392843"/>
    <w:rsid w:val="003936D7"/>
    <w:rsid w:val="00393B26"/>
    <w:rsid w:val="00396527"/>
    <w:rsid w:val="003968AE"/>
    <w:rsid w:val="00397F2C"/>
    <w:rsid w:val="003A17BE"/>
    <w:rsid w:val="003A22BE"/>
    <w:rsid w:val="003A27CB"/>
    <w:rsid w:val="003A3274"/>
    <w:rsid w:val="003A3CE9"/>
    <w:rsid w:val="003A6C30"/>
    <w:rsid w:val="003A6FFD"/>
    <w:rsid w:val="003A790C"/>
    <w:rsid w:val="003B10E5"/>
    <w:rsid w:val="003B65FF"/>
    <w:rsid w:val="003B77F5"/>
    <w:rsid w:val="003C0756"/>
    <w:rsid w:val="003C1CDB"/>
    <w:rsid w:val="003C2C83"/>
    <w:rsid w:val="003C4C1E"/>
    <w:rsid w:val="003C5599"/>
    <w:rsid w:val="003C63B8"/>
    <w:rsid w:val="003D0620"/>
    <w:rsid w:val="003D1C77"/>
    <w:rsid w:val="003D3C76"/>
    <w:rsid w:val="003D3EAE"/>
    <w:rsid w:val="003D46AA"/>
    <w:rsid w:val="003D47DA"/>
    <w:rsid w:val="003D4BB6"/>
    <w:rsid w:val="003D67A6"/>
    <w:rsid w:val="003E275F"/>
    <w:rsid w:val="003E2F73"/>
    <w:rsid w:val="003E3E9F"/>
    <w:rsid w:val="003E4738"/>
    <w:rsid w:val="003E4A07"/>
    <w:rsid w:val="003E52A5"/>
    <w:rsid w:val="003E7994"/>
    <w:rsid w:val="003F4BE1"/>
    <w:rsid w:val="004002F8"/>
    <w:rsid w:val="00400526"/>
    <w:rsid w:val="00400BEF"/>
    <w:rsid w:val="0040140B"/>
    <w:rsid w:val="0040151F"/>
    <w:rsid w:val="00402621"/>
    <w:rsid w:val="0040411F"/>
    <w:rsid w:val="004123AF"/>
    <w:rsid w:val="0041378E"/>
    <w:rsid w:val="0041790F"/>
    <w:rsid w:val="00417F41"/>
    <w:rsid w:val="00420D17"/>
    <w:rsid w:val="004211BC"/>
    <w:rsid w:val="0042252F"/>
    <w:rsid w:val="004239EE"/>
    <w:rsid w:val="0042604E"/>
    <w:rsid w:val="004267FE"/>
    <w:rsid w:val="0042694B"/>
    <w:rsid w:val="0042781E"/>
    <w:rsid w:val="00430541"/>
    <w:rsid w:val="004332FA"/>
    <w:rsid w:val="0043341E"/>
    <w:rsid w:val="00433F83"/>
    <w:rsid w:val="00436739"/>
    <w:rsid w:val="004378ED"/>
    <w:rsid w:val="00437B79"/>
    <w:rsid w:val="0044097B"/>
    <w:rsid w:val="00440E1F"/>
    <w:rsid w:val="00441637"/>
    <w:rsid w:val="00442A95"/>
    <w:rsid w:val="00442D7B"/>
    <w:rsid w:val="0044469E"/>
    <w:rsid w:val="004453F6"/>
    <w:rsid w:val="004460F2"/>
    <w:rsid w:val="00446BB1"/>
    <w:rsid w:val="00450225"/>
    <w:rsid w:val="00450E31"/>
    <w:rsid w:val="00450FA7"/>
    <w:rsid w:val="0045119F"/>
    <w:rsid w:val="00451E5D"/>
    <w:rsid w:val="0045261E"/>
    <w:rsid w:val="00453586"/>
    <w:rsid w:val="004554DD"/>
    <w:rsid w:val="00460A16"/>
    <w:rsid w:val="00461AF3"/>
    <w:rsid w:val="00461F68"/>
    <w:rsid w:val="004627C9"/>
    <w:rsid w:val="00462D20"/>
    <w:rsid w:val="00462E93"/>
    <w:rsid w:val="00465116"/>
    <w:rsid w:val="00470220"/>
    <w:rsid w:val="00471534"/>
    <w:rsid w:val="00471A85"/>
    <w:rsid w:val="00473320"/>
    <w:rsid w:val="00473914"/>
    <w:rsid w:val="00473B92"/>
    <w:rsid w:val="00475F86"/>
    <w:rsid w:val="0047621F"/>
    <w:rsid w:val="00476B38"/>
    <w:rsid w:val="004770C8"/>
    <w:rsid w:val="004806ED"/>
    <w:rsid w:val="004811DB"/>
    <w:rsid w:val="004853F3"/>
    <w:rsid w:val="004871FB"/>
    <w:rsid w:val="004903AC"/>
    <w:rsid w:val="00492504"/>
    <w:rsid w:val="004929D9"/>
    <w:rsid w:val="00494D5A"/>
    <w:rsid w:val="00496BA0"/>
    <w:rsid w:val="00496D69"/>
    <w:rsid w:val="004970E9"/>
    <w:rsid w:val="00497AAA"/>
    <w:rsid w:val="004A05D2"/>
    <w:rsid w:val="004A213D"/>
    <w:rsid w:val="004A3EDD"/>
    <w:rsid w:val="004A6CF6"/>
    <w:rsid w:val="004A6E57"/>
    <w:rsid w:val="004A735E"/>
    <w:rsid w:val="004A7CD6"/>
    <w:rsid w:val="004B256A"/>
    <w:rsid w:val="004B279C"/>
    <w:rsid w:val="004B4E1B"/>
    <w:rsid w:val="004B53B2"/>
    <w:rsid w:val="004B5542"/>
    <w:rsid w:val="004C04D4"/>
    <w:rsid w:val="004C1C6D"/>
    <w:rsid w:val="004C1EEA"/>
    <w:rsid w:val="004C3FB9"/>
    <w:rsid w:val="004C4EEC"/>
    <w:rsid w:val="004C64B5"/>
    <w:rsid w:val="004C6D33"/>
    <w:rsid w:val="004D0050"/>
    <w:rsid w:val="004D0426"/>
    <w:rsid w:val="004D25E1"/>
    <w:rsid w:val="004D3CAA"/>
    <w:rsid w:val="004D5BDF"/>
    <w:rsid w:val="004D5D97"/>
    <w:rsid w:val="004D6B6B"/>
    <w:rsid w:val="004D6E24"/>
    <w:rsid w:val="004D79B2"/>
    <w:rsid w:val="004D7D4F"/>
    <w:rsid w:val="004D7FA1"/>
    <w:rsid w:val="004E2C40"/>
    <w:rsid w:val="004E3395"/>
    <w:rsid w:val="004E3772"/>
    <w:rsid w:val="004E3B59"/>
    <w:rsid w:val="004E472F"/>
    <w:rsid w:val="004E6931"/>
    <w:rsid w:val="004E76C5"/>
    <w:rsid w:val="004F0C78"/>
    <w:rsid w:val="0050062D"/>
    <w:rsid w:val="0050128E"/>
    <w:rsid w:val="00502EF3"/>
    <w:rsid w:val="005036AC"/>
    <w:rsid w:val="00503A47"/>
    <w:rsid w:val="00514023"/>
    <w:rsid w:val="00514024"/>
    <w:rsid w:val="00514370"/>
    <w:rsid w:val="00514C9E"/>
    <w:rsid w:val="005154EF"/>
    <w:rsid w:val="00517A5B"/>
    <w:rsid w:val="0052015F"/>
    <w:rsid w:val="005207D4"/>
    <w:rsid w:val="005226DA"/>
    <w:rsid w:val="00522D47"/>
    <w:rsid w:val="00523F1F"/>
    <w:rsid w:val="0052523D"/>
    <w:rsid w:val="00525A67"/>
    <w:rsid w:val="00525BA9"/>
    <w:rsid w:val="00526424"/>
    <w:rsid w:val="00532AE7"/>
    <w:rsid w:val="00535C4C"/>
    <w:rsid w:val="00536560"/>
    <w:rsid w:val="00536DB4"/>
    <w:rsid w:val="00542F8D"/>
    <w:rsid w:val="0054349D"/>
    <w:rsid w:val="005435AA"/>
    <w:rsid w:val="005513AB"/>
    <w:rsid w:val="00553329"/>
    <w:rsid w:val="0055385D"/>
    <w:rsid w:val="00553895"/>
    <w:rsid w:val="00554A11"/>
    <w:rsid w:val="00556693"/>
    <w:rsid w:val="0055752D"/>
    <w:rsid w:val="00557F53"/>
    <w:rsid w:val="005604C6"/>
    <w:rsid w:val="005609C8"/>
    <w:rsid w:val="005634A4"/>
    <w:rsid w:val="00565D7A"/>
    <w:rsid w:val="00566DF8"/>
    <w:rsid w:val="00567A68"/>
    <w:rsid w:val="00571227"/>
    <w:rsid w:val="00571A1D"/>
    <w:rsid w:val="005730A5"/>
    <w:rsid w:val="00573C0E"/>
    <w:rsid w:val="00574BDF"/>
    <w:rsid w:val="005765A1"/>
    <w:rsid w:val="00576F61"/>
    <w:rsid w:val="00582B1C"/>
    <w:rsid w:val="00584EC4"/>
    <w:rsid w:val="00590113"/>
    <w:rsid w:val="005904E2"/>
    <w:rsid w:val="00590D14"/>
    <w:rsid w:val="005910CF"/>
    <w:rsid w:val="005923A6"/>
    <w:rsid w:val="0059265D"/>
    <w:rsid w:val="005937C8"/>
    <w:rsid w:val="00593A59"/>
    <w:rsid w:val="00594671"/>
    <w:rsid w:val="00595E94"/>
    <w:rsid w:val="00597860"/>
    <w:rsid w:val="00597A4B"/>
    <w:rsid w:val="00597F8F"/>
    <w:rsid w:val="005A0A59"/>
    <w:rsid w:val="005A3385"/>
    <w:rsid w:val="005A4F77"/>
    <w:rsid w:val="005A5D38"/>
    <w:rsid w:val="005A7743"/>
    <w:rsid w:val="005B023C"/>
    <w:rsid w:val="005B160F"/>
    <w:rsid w:val="005B276B"/>
    <w:rsid w:val="005B34EB"/>
    <w:rsid w:val="005B575A"/>
    <w:rsid w:val="005B5EDB"/>
    <w:rsid w:val="005C1786"/>
    <w:rsid w:val="005C197E"/>
    <w:rsid w:val="005C1EAF"/>
    <w:rsid w:val="005C51E6"/>
    <w:rsid w:val="005C5C71"/>
    <w:rsid w:val="005C5D14"/>
    <w:rsid w:val="005C5E60"/>
    <w:rsid w:val="005C7DE0"/>
    <w:rsid w:val="005D138D"/>
    <w:rsid w:val="005D307B"/>
    <w:rsid w:val="005D3D94"/>
    <w:rsid w:val="005D4040"/>
    <w:rsid w:val="005D56B4"/>
    <w:rsid w:val="005D6615"/>
    <w:rsid w:val="005D71AC"/>
    <w:rsid w:val="005E01AF"/>
    <w:rsid w:val="005E1087"/>
    <w:rsid w:val="005E2A40"/>
    <w:rsid w:val="005E2C93"/>
    <w:rsid w:val="005E391A"/>
    <w:rsid w:val="005E3FE1"/>
    <w:rsid w:val="005E6444"/>
    <w:rsid w:val="005F04FF"/>
    <w:rsid w:val="005F1717"/>
    <w:rsid w:val="005F2954"/>
    <w:rsid w:val="005F2C0E"/>
    <w:rsid w:val="005F408D"/>
    <w:rsid w:val="005F42E3"/>
    <w:rsid w:val="005F6F1F"/>
    <w:rsid w:val="00600465"/>
    <w:rsid w:val="0060342C"/>
    <w:rsid w:val="006036CD"/>
    <w:rsid w:val="00606A01"/>
    <w:rsid w:val="00613766"/>
    <w:rsid w:val="00614F6F"/>
    <w:rsid w:val="00615158"/>
    <w:rsid w:val="00616298"/>
    <w:rsid w:val="006163DC"/>
    <w:rsid w:val="006173C3"/>
    <w:rsid w:val="006208E9"/>
    <w:rsid w:val="00620CF9"/>
    <w:rsid w:val="00620FF5"/>
    <w:rsid w:val="00621DC3"/>
    <w:rsid w:val="00621ED5"/>
    <w:rsid w:val="006227FC"/>
    <w:rsid w:val="006254BD"/>
    <w:rsid w:val="00625BEE"/>
    <w:rsid w:val="00625F9B"/>
    <w:rsid w:val="006271AB"/>
    <w:rsid w:val="00627C5F"/>
    <w:rsid w:val="006314F9"/>
    <w:rsid w:val="00632B85"/>
    <w:rsid w:val="00633716"/>
    <w:rsid w:val="00634E56"/>
    <w:rsid w:val="006361AD"/>
    <w:rsid w:val="00636A37"/>
    <w:rsid w:val="00636BBA"/>
    <w:rsid w:val="00637762"/>
    <w:rsid w:val="0064072F"/>
    <w:rsid w:val="00640C9F"/>
    <w:rsid w:val="00641AEB"/>
    <w:rsid w:val="00642176"/>
    <w:rsid w:val="00642922"/>
    <w:rsid w:val="00642C99"/>
    <w:rsid w:val="00644B46"/>
    <w:rsid w:val="0064510A"/>
    <w:rsid w:val="00645678"/>
    <w:rsid w:val="006466E9"/>
    <w:rsid w:val="00646797"/>
    <w:rsid w:val="00656592"/>
    <w:rsid w:val="00656FCC"/>
    <w:rsid w:val="0065756E"/>
    <w:rsid w:val="0066555F"/>
    <w:rsid w:val="00665A36"/>
    <w:rsid w:val="00667B1C"/>
    <w:rsid w:val="00667D0C"/>
    <w:rsid w:val="006703A4"/>
    <w:rsid w:val="0067127F"/>
    <w:rsid w:val="00674E81"/>
    <w:rsid w:val="00675937"/>
    <w:rsid w:val="0067786D"/>
    <w:rsid w:val="00677EA4"/>
    <w:rsid w:val="00680428"/>
    <w:rsid w:val="00680A5F"/>
    <w:rsid w:val="00680D57"/>
    <w:rsid w:val="00681A8A"/>
    <w:rsid w:val="0068371A"/>
    <w:rsid w:val="00684C76"/>
    <w:rsid w:val="00684EC0"/>
    <w:rsid w:val="00686007"/>
    <w:rsid w:val="00686FA9"/>
    <w:rsid w:val="00692B92"/>
    <w:rsid w:val="00694FE4"/>
    <w:rsid w:val="00695BE8"/>
    <w:rsid w:val="006A0F9E"/>
    <w:rsid w:val="006A2BD3"/>
    <w:rsid w:val="006A406D"/>
    <w:rsid w:val="006A4737"/>
    <w:rsid w:val="006A57EE"/>
    <w:rsid w:val="006A6C32"/>
    <w:rsid w:val="006B36E2"/>
    <w:rsid w:val="006B3924"/>
    <w:rsid w:val="006B553C"/>
    <w:rsid w:val="006B6F80"/>
    <w:rsid w:val="006B7621"/>
    <w:rsid w:val="006B7C7D"/>
    <w:rsid w:val="006C060F"/>
    <w:rsid w:val="006C2712"/>
    <w:rsid w:val="006C3B42"/>
    <w:rsid w:val="006C5C35"/>
    <w:rsid w:val="006C5EC5"/>
    <w:rsid w:val="006C7B39"/>
    <w:rsid w:val="006D07F8"/>
    <w:rsid w:val="006D1298"/>
    <w:rsid w:val="006D2C1B"/>
    <w:rsid w:val="006D3822"/>
    <w:rsid w:val="006D3E00"/>
    <w:rsid w:val="006D4273"/>
    <w:rsid w:val="006D4652"/>
    <w:rsid w:val="006D6FDE"/>
    <w:rsid w:val="006E1A32"/>
    <w:rsid w:val="006E2C52"/>
    <w:rsid w:val="006E3A02"/>
    <w:rsid w:val="006E6798"/>
    <w:rsid w:val="006E67B7"/>
    <w:rsid w:val="006E69BE"/>
    <w:rsid w:val="006E7450"/>
    <w:rsid w:val="006E75D8"/>
    <w:rsid w:val="006F00C2"/>
    <w:rsid w:val="006F0AEC"/>
    <w:rsid w:val="006F1206"/>
    <w:rsid w:val="006F16E2"/>
    <w:rsid w:val="006F177C"/>
    <w:rsid w:val="006F2993"/>
    <w:rsid w:val="006F2CBE"/>
    <w:rsid w:val="006F32C9"/>
    <w:rsid w:val="006F3F16"/>
    <w:rsid w:val="006F4F8B"/>
    <w:rsid w:val="006F56E0"/>
    <w:rsid w:val="006F58B2"/>
    <w:rsid w:val="006F786F"/>
    <w:rsid w:val="007000F5"/>
    <w:rsid w:val="00700AD5"/>
    <w:rsid w:val="00700B75"/>
    <w:rsid w:val="007014C9"/>
    <w:rsid w:val="00702DCD"/>
    <w:rsid w:val="00703AB8"/>
    <w:rsid w:val="00703ADD"/>
    <w:rsid w:val="007047F0"/>
    <w:rsid w:val="0070493D"/>
    <w:rsid w:val="00707186"/>
    <w:rsid w:val="00707403"/>
    <w:rsid w:val="007105AF"/>
    <w:rsid w:val="00710697"/>
    <w:rsid w:val="00711810"/>
    <w:rsid w:val="00711AD4"/>
    <w:rsid w:val="00711D1A"/>
    <w:rsid w:val="0071297D"/>
    <w:rsid w:val="00716FEB"/>
    <w:rsid w:val="00717714"/>
    <w:rsid w:val="007202F0"/>
    <w:rsid w:val="00720BF7"/>
    <w:rsid w:val="00720D6E"/>
    <w:rsid w:val="00720F17"/>
    <w:rsid w:val="00723177"/>
    <w:rsid w:val="00724AE8"/>
    <w:rsid w:val="00724DD1"/>
    <w:rsid w:val="007251F4"/>
    <w:rsid w:val="00725622"/>
    <w:rsid w:val="00730CD6"/>
    <w:rsid w:val="00731B00"/>
    <w:rsid w:val="00731F46"/>
    <w:rsid w:val="0073331A"/>
    <w:rsid w:val="0073385D"/>
    <w:rsid w:val="00734CEA"/>
    <w:rsid w:val="00736301"/>
    <w:rsid w:val="007365BE"/>
    <w:rsid w:val="00736C2F"/>
    <w:rsid w:val="0073710A"/>
    <w:rsid w:val="007435E6"/>
    <w:rsid w:val="007505C3"/>
    <w:rsid w:val="0075172D"/>
    <w:rsid w:val="00753263"/>
    <w:rsid w:val="00756ED9"/>
    <w:rsid w:val="0075735F"/>
    <w:rsid w:val="00757B92"/>
    <w:rsid w:val="00757E48"/>
    <w:rsid w:val="00760527"/>
    <w:rsid w:val="0076173C"/>
    <w:rsid w:val="00761DEC"/>
    <w:rsid w:val="00764859"/>
    <w:rsid w:val="0076742E"/>
    <w:rsid w:val="00774DEA"/>
    <w:rsid w:val="007754D5"/>
    <w:rsid w:val="00776EF7"/>
    <w:rsid w:val="00777EC6"/>
    <w:rsid w:val="00782B52"/>
    <w:rsid w:val="00783C87"/>
    <w:rsid w:val="00783E42"/>
    <w:rsid w:val="00784559"/>
    <w:rsid w:val="0078506E"/>
    <w:rsid w:val="0079030F"/>
    <w:rsid w:val="00791BF6"/>
    <w:rsid w:val="007929E2"/>
    <w:rsid w:val="00794F12"/>
    <w:rsid w:val="007969C3"/>
    <w:rsid w:val="00796C58"/>
    <w:rsid w:val="007A1235"/>
    <w:rsid w:val="007A376E"/>
    <w:rsid w:val="007A62C1"/>
    <w:rsid w:val="007A64C0"/>
    <w:rsid w:val="007B12CF"/>
    <w:rsid w:val="007B15D6"/>
    <w:rsid w:val="007B584D"/>
    <w:rsid w:val="007B7ED8"/>
    <w:rsid w:val="007C12C9"/>
    <w:rsid w:val="007C1FE5"/>
    <w:rsid w:val="007C2208"/>
    <w:rsid w:val="007C56F3"/>
    <w:rsid w:val="007C572E"/>
    <w:rsid w:val="007D286F"/>
    <w:rsid w:val="007D3D24"/>
    <w:rsid w:val="007D3EB0"/>
    <w:rsid w:val="007E025E"/>
    <w:rsid w:val="007E0669"/>
    <w:rsid w:val="007E08A6"/>
    <w:rsid w:val="007E1E85"/>
    <w:rsid w:val="007E623D"/>
    <w:rsid w:val="007E64E6"/>
    <w:rsid w:val="007F03F1"/>
    <w:rsid w:val="007F13FC"/>
    <w:rsid w:val="007F160C"/>
    <w:rsid w:val="007F1908"/>
    <w:rsid w:val="007F209C"/>
    <w:rsid w:val="007F410E"/>
    <w:rsid w:val="007F4441"/>
    <w:rsid w:val="007F462E"/>
    <w:rsid w:val="007F5029"/>
    <w:rsid w:val="007F708A"/>
    <w:rsid w:val="007F76B3"/>
    <w:rsid w:val="008018B2"/>
    <w:rsid w:val="00802093"/>
    <w:rsid w:val="00802963"/>
    <w:rsid w:val="00803452"/>
    <w:rsid w:val="00805BAC"/>
    <w:rsid w:val="00806155"/>
    <w:rsid w:val="008069E3"/>
    <w:rsid w:val="00806AC6"/>
    <w:rsid w:val="008070DE"/>
    <w:rsid w:val="00807602"/>
    <w:rsid w:val="008129E1"/>
    <w:rsid w:val="00813FFE"/>
    <w:rsid w:val="008148A4"/>
    <w:rsid w:val="00816987"/>
    <w:rsid w:val="008175DD"/>
    <w:rsid w:val="00821569"/>
    <w:rsid w:val="008240A8"/>
    <w:rsid w:val="0082760F"/>
    <w:rsid w:val="00827DC8"/>
    <w:rsid w:val="0083073D"/>
    <w:rsid w:val="00830F2F"/>
    <w:rsid w:val="0083145F"/>
    <w:rsid w:val="0083600F"/>
    <w:rsid w:val="00836D39"/>
    <w:rsid w:val="00837445"/>
    <w:rsid w:val="00840B72"/>
    <w:rsid w:val="00841977"/>
    <w:rsid w:val="0084365B"/>
    <w:rsid w:val="00843BE0"/>
    <w:rsid w:val="00843E82"/>
    <w:rsid w:val="008448BE"/>
    <w:rsid w:val="00844BCC"/>
    <w:rsid w:val="00846987"/>
    <w:rsid w:val="00847824"/>
    <w:rsid w:val="00847F13"/>
    <w:rsid w:val="00854FE3"/>
    <w:rsid w:val="008577B2"/>
    <w:rsid w:val="0086053D"/>
    <w:rsid w:val="00860724"/>
    <w:rsid w:val="00860854"/>
    <w:rsid w:val="00860871"/>
    <w:rsid w:val="00863552"/>
    <w:rsid w:val="008639C0"/>
    <w:rsid w:val="008643A8"/>
    <w:rsid w:val="00867734"/>
    <w:rsid w:val="008705CC"/>
    <w:rsid w:val="00870FAA"/>
    <w:rsid w:val="00871FC7"/>
    <w:rsid w:val="008723F0"/>
    <w:rsid w:val="00872A57"/>
    <w:rsid w:val="008731D6"/>
    <w:rsid w:val="008736CD"/>
    <w:rsid w:val="00875182"/>
    <w:rsid w:val="008755FB"/>
    <w:rsid w:val="00882891"/>
    <w:rsid w:val="00882910"/>
    <w:rsid w:val="008864A2"/>
    <w:rsid w:val="00890070"/>
    <w:rsid w:val="0089249A"/>
    <w:rsid w:val="0089553D"/>
    <w:rsid w:val="0089597D"/>
    <w:rsid w:val="00895E56"/>
    <w:rsid w:val="00896AA2"/>
    <w:rsid w:val="00896E0C"/>
    <w:rsid w:val="00897271"/>
    <w:rsid w:val="008A14B5"/>
    <w:rsid w:val="008A21D8"/>
    <w:rsid w:val="008A272B"/>
    <w:rsid w:val="008A2DCC"/>
    <w:rsid w:val="008A336D"/>
    <w:rsid w:val="008A43F5"/>
    <w:rsid w:val="008A54FD"/>
    <w:rsid w:val="008A6131"/>
    <w:rsid w:val="008B25CA"/>
    <w:rsid w:val="008B2BEB"/>
    <w:rsid w:val="008B3522"/>
    <w:rsid w:val="008B4283"/>
    <w:rsid w:val="008B4AF3"/>
    <w:rsid w:val="008C4926"/>
    <w:rsid w:val="008C5684"/>
    <w:rsid w:val="008C5B86"/>
    <w:rsid w:val="008C720A"/>
    <w:rsid w:val="008C78FE"/>
    <w:rsid w:val="008D0A0E"/>
    <w:rsid w:val="008D0BC7"/>
    <w:rsid w:val="008D1CCD"/>
    <w:rsid w:val="008D222C"/>
    <w:rsid w:val="008D5F50"/>
    <w:rsid w:val="008D5FD3"/>
    <w:rsid w:val="008D6943"/>
    <w:rsid w:val="008D6D31"/>
    <w:rsid w:val="008D7FD7"/>
    <w:rsid w:val="008E00B3"/>
    <w:rsid w:val="008E02C9"/>
    <w:rsid w:val="008E1D20"/>
    <w:rsid w:val="008E2565"/>
    <w:rsid w:val="008E2A00"/>
    <w:rsid w:val="008E2A88"/>
    <w:rsid w:val="008E2E2E"/>
    <w:rsid w:val="008E48D9"/>
    <w:rsid w:val="008E5148"/>
    <w:rsid w:val="008E5FA5"/>
    <w:rsid w:val="008E6958"/>
    <w:rsid w:val="008E7CE9"/>
    <w:rsid w:val="008F12BA"/>
    <w:rsid w:val="008F20C3"/>
    <w:rsid w:val="008F289B"/>
    <w:rsid w:val="008F70A7"/>
    <w:rsid w:val="00901C42"/>
    <w:rsid w:val="00902519"/>
    <w:rsid w:val="00902852"/>
    <w:rsid w:val="00904B13"/>
    <w:rsid w:val="00904B6E"/>
    <w:rsid w:val="00906CB5"/>
    <w:rsid w:val="00910060"/>
    <w:rsid w:val="0091050D"/>
    <w:rsid w:val="009139CC"/>
    <w:rsid w:val="00913D3E"/>
    <w:rsid w:val="00914A35"/>
    <w:rsid w:val="00916249"/>
    <w:rsid w:val="00921BF0"/>
    <w:rsid w:val="0092224F"/>
    <w:rsid w:val="00924FE5"/>
    <w:rsid w:val="00925851"/>
    <w:rsid w:val="00926C4D"/>
    <w:rsid w:val="00927CF3"/>
    <w:rsid w:val="00927ECE"/>
    <w:rsid w:val="009301DC"/>
    <w:rsid w:val="00930585"/>
    <w:rsid w:val="00931958"/>
    <w:rsid w:val="009321A1"/>
    <w:rsid w:val="009331C9"/>
    <w:rsid w:val="009333D5"/>
    <w:rsid w:val="00934623"/>
    <w:rsid w:val="00935301"/>
    <w:rsid w:val="0093593F"/>
    <w:rsid w:val="00940396"/>
    <w:rsid w:val="009407EC"/>
    <w:rsid w:val="00941232"/>
    <w:rsid w:val="00941F62"/>
    <w:rsid w:val="00944692"/>
    <w:rsid w:val="00944D82"/>
    <w:rsid w:val="00944E24"/>
    <w:rsid w:val="009458FD"/>
    <w:rsid w:val="00950835"/>
    <w:rsid w:val="00950D4E"/>
    <w:rsid w:val="0095165A"/>
    <w:rsid w:val="009539A8"/>
    <w:rsid w:val="00953E5C"/>
    <w:rsid w:val="00955362"/>
    <w:rsid w:val="00957964"/>
    <w:rsid w:val="009611C2"/>
    <w:rsid w:val="009620DE"/>
    <w:rsid w:val="00963D62"/>
    <w:rsid w:val="00964359"/>
    <w:rsid w:val="00964686"/>
    <w:rsid w:val="00965502"/>
    <w:rsid w:val="009664BD"/>
    <w:rsid w:val="0097058F"/>
    <w:rsid w:val="00970D02"/>
    <w:rsid w:val="00970DBF"/>
    <w:rsid w:val="00971AC8"/>
    <w:rsid w:val="009721EB"/>
    <w:rsid w:val="00973826"/>
    <w:rsid w:val="00975304"/>
    <w:rsid w:val="00975F84"/>
    <w:rsid w:val="009761C7"/>
    <w:rsid w:val="0098188C"/>
    <w:rsid w:val="00984737"/>
    <w:rsid w:val="00985635"/>
    <w:rsid w:val="009879EE"/>
    <w:rsid w:val="009920FC"/>
    <w:rsid w:val="00992CF8"/>
    <w:rsid w:val="009934EE"/>
    <w:rsid w:val="00996A55"/>
    <w:rsid w:val="00997193"/>
    <w:rsid w:val="009A2435"/>
    <w:rsid w:val="009A2B32"/>
    <w:rsid w:val="009A4E97"/>
    <w:rsid w:val="009A6975"/>
    <w:rsid w:val="009A6A70"/>
    <w:rsid w:val="009A6C82"/>
    <w:rsid w:val="009A7B6A"/>
    <w:rsid w:val="009B0332"/>
    <w:rsid w:val="009B0A85"/>
    <w:rsid w:val="009B1F0C"/>
    <w:rsid w:val="009B2D87"/>
    <w:rsid w:val="009B35A0"/>
    <w:rsid w:val="009B3C61"/>
    <w:rsid w:val="009B41D7"/>
    <w:rsid w:val="009B5A05"/>
    <w:rsid w:val="009B623E"/>
    <w:rsid w:val="009C0818"/>
    <w:rsid w:val="009C1296"/>
    <w:rsid w:val="009C30FA"/>
    <w:rsid w:val="009C364A"/>
    <w:rsid w:val="009C4A68"/>
    <w:rsid w:val="009C50D7"/>
    <w:rsid w:val="009C5BDF"/>
    <w:rsid w:val="009C611D"/>
    <w:rsid w:val="009C6D97"/>
    <w:rsid w:val="009D203C"/>
    <w:rsid w:val="009D31DA"/>
    <w:rsid w:val="009D56FC"/>
    <w:rsid w:val="009D5F06"/>
    <w:rsid w:val="009D60FF"/>
    <w:rsid w:val="009D62B8"/>
    <w:rsid w:val="009D6C62"/>
    <w:rsid w:val="009D74C1"/>
    <w:rsid w:val="009E00EF"/>
    <w:rsid w:val="009E057F"/>
    <w:rsid w:val="009E33F3"/>
    <w:rsid w:val="009E3690"/>
    <w:rsid w:val="009E4954"/>
    <w:rsid w:val="009E5D4A"/>
    <w:rsid w:val="009E784C"/>
    <w:rsid w:val="009E7F0E"/>
    <w:rsid w:val="009F08B2"/>
    <w:rsid w:val="009F50F2"/>
    <w:rsid w:val="009F62E1"/>
    <w:rsid w:val="009F6C31"/>
    <w:rsid w:val="009F6D40"/>
    <w:rsid w:val="009F7B69"/>
    <w:rsid w:val="00A031F1"/>
    <w:rsid w:val="00A03711"/>
    <w:rsid w:val="00A057C7"/>
    <w:rsid w:val="00A060D7"/>
    <w:rsid w:val="00A06B80"/>
    <w:rsid w:val="00A07C77"/>
    <w:rsid w:val="00A10196"/>
    <w:rsid w:val="00A10FC6"/>
    <w:rsid w:val="00A115FD"/>
    <w:rsid w:val="00A14143"/>
    <w:rsid w:val="00A147C3"/>
    <w:rsid w:val="00A14AB9"/>
    <w:rsid w:val="00A15991"/>
    <w:rsid w:val="00A162CC"/>
    <w:rsid w:val="00A162EA"/>
    <w:rsid w:val="00A16763"/>
    <w:rsid w:val="00A16C38"/>
    <w:rsid w:val="00A16FF0"/>
    <w:rsid w:val="00A17637"/>
    <w:rsid w:val="00A17A69"/>
    <w:rsid w:val="00A17DC5"/>
    <w:rsid w:val="00A2046F"/>
    <w:rsid w:val="00A20838"/>
    <w:rsid w:val="00A2140B"/>
    <w:rsid w:val="00A25A28"/>
    <w:rsid w:val="00A25B99"/>
    <w:rsid w:val="00A30680"/>
    <w:rsid w:val="00A31695"/>
    <w:rsid w:val="00A33929"/>
    <w:rsid w:val="00A35FE2"/>
    <w:rsid w:val="00A4140B"/>
    <w:rsid w:val="00A418C7"/>
    <w:rsid w:val="00A41D54"/>
    <w:rsid w:val="00A42A3F"/>
    <w:rsid w:val="00A44356"/>
    <w:rsid w:val="00A449CE"/>
    <w:rsid w:val="00A44B8B"/>
    <w:rsid w:val="00A44F1F"/>
    <w:rsid w:val="00A51BF5"/>
    <w:rsid w:val="00A530FB"/>
    <w:rsid w:val="00A53748"/>
    <w:rsid w:val="00A53C3A"/>
    <w:rsid w:val="00A53C48"/>
    <w:rsid w:val="00A54C9E"/>
    <w:rsid w:val="00A572D7"/>
    <w:rsid w:val="00A6077E"/>
    <w:rsid w:val="00A61DE7"/>
    <w:rsid w:val="00A6278B"/>
    <w:rsid w:val="00A62F18"/>
    <w:rsid w:val="00A63A9F"/>
    <w:rsid w:val="00A64C21"/>
    <w:rsid w:val="00A64D25"/>
    <w:rsid w:val="00A6530E"/>
    <w:rsid w:val="00A654DD"/>
    <w:rsid w:val="00A65C18"/>
    <w:rsid w:val="00A67DE2"/>
    <w:rsid w:val="00A70DD4"/>
    <w:rsid w:val="00A71F02"/>
    <w:rsid w:val="00A72520"/>
    <w:rsid w:val="00A730F5"/>
    <w:rsid w:val="00A75254"/>
    <w:rsid w:val="00A779EC"/>
    <w:rsid w:val="00A8014A"/>
    <w:rsid w:val="00A8067E"/>
    <w:rsid w:val="00A81EFB"/>
    <w:rsid w:val="00A833BA"/>
    <w:rsid w:val="00A84046"/>
    <w:rsid w:val="00A84701"/>
    <w:rsid w:val="00A87063"/>
    <w:rsid w:val="00A90800"/>
    <w:rsid w:val="00A9086A"/>
    <w:rsid w:val="00A92758"/>
    <w:rsid w:val="00A95182"/>
    <w:rsid w:val="00A95AAD"/>
    <w:rsid w:val="00A9684C"/>
    <w:rsid w:val="00A96B1C"/>
    <w:rsid w:val="00A96F04"/>
    <w:rsid w:val="00A96FE6"/>
    <w:rsid w:val="00A971D0"/>
    <w:rsid w:val="00AA0DA3"/>
    <w:rsid w:val="00AA1246"/>
    <w:rsid w:val="00AA392C"/>
    <w:rsid w:val="00AA3C7F"/>
    <w:rsid w:val="00AA4E78"/>
    <w:rsid w:val="00AA6AB9"/>
    <w:rsid w:val="00AA7B7E"/>
    <w:rsid w:val="00AB065C"/>
    <w:rsid w:val="00AB0B7D"/>
    <w:rsid w:val="00AB178C"/>
    <w:rsid w:val="00AB2E12"/>
    <w:rsid w:val="00AB4927"/>
    <w:rsid w:val="00AB5C5B"/>
    <w:rsid w:val="00AB5D22"/>
    <w:rsid w:val="00AB7296"/>
    <w:rsid w:val="00AB75B9"/>
    <w:rsid w:val="00AC04F4"/>
    <w:rsid w:val="00AC05E3"/>
    <w:rsid w:val="00AC26AE"/>
    <w:rsid w:val="00AC2F6A"/>
    <w:rsid w:val="00AC39E4"/>
    <w:rsid w:val="00AC3C4C"/>
    <w:rsid w:val="00AC3F39"/>
    <w:rsid w:val="00AC483F"/>
    <w:rsid w:val="00AC4AA6"/>
    <w:rsid w:val="00AC4EAC"/>
    <w:rsid w:val="00AC5BDC"/>
    <w:rsid w:val="00AD0CB1"/>
    <w:rsid w:val="00AD10BD"/>
    <w:rsid w:val="00AD3E9B"/>
    <w:rsid w:val="00AD520D"/>
    <w:rsid w:val="00AD71F1"/>
    <w:rsid w:val="00AD7915"/>
    <w:rsid w:val="00AD7E6A"/>
    <w:rsid w:val="00AE24D3"/>
    <w:rsid w:val="00AE7773"/>
    <w:rsid w:val="00AF3037"/>
    <w:rsid w:val="00AF5747"/>
    <w:rsid w:val="00AF77DF"/>
    <w:rsid w:val="00B00308"/>
    <w:rsid w:val="00B00E60"/>
    <w:rsid w:val="00B01259"/>
    <w:rsid w:val="00B03A0D"/>
    <w:rsid w:val="00B045EB"/>
    <w:rsid w:val="00B06E45"/>
    <w:rsid w:val="00B07942"/>
    <w:rsid w:val="00B12573"/>
    <w:rsid w:val="00B1366D"/>
    <w:rsid w:val="00B16ADA"/>
    <w:rsid w:val="00B1734F"/>
    <w:rsid w:val="00B17CC8"/>
    <w:rsid w:val="00B20452"/>
    <w:rsid w:val="00B20DDA"/>
    <w:rsid w:val="00B222DA"/>
    <w:rsid w:val="00B23E92"/>
    <w:rsid w:val="00B24185"/>
    <w:rsid w:val="00B25D2C"/>
    <w:rsid w:val="00B2752A"/>
    <w:rsid w:val="00B31360"/>
    <w:rsid w:val="00B31906"/>
    <w:rsid w:val="00B3212B"/>
    <w:rsid w:val="00B34028"/>
    <w:rsid w:val="00B34CE3"/>
    <w:rsid w:val="00B34FB9"/>
    <w:rsid w:val="00B35E1F"/>
    <w:rsid w:val="00B4238F"/>
    <w:rsid w:val="00B452B9"/>
    <w:rsid w:val="00B468F4"/>
    <w:rsid w:val="00B4700E"/>
    <w:rsid w:val="00B50352"/>
    <w:rsid w:val="00B50935"/>
    <w:rsid w:val="00B50C5A"/>
    <w:rsid w:val="00B50E02"/>
    <w:rsid w:val="00B518A6"/>
    <w:rsid w:val="00B55017"/>
    <w:rsid w:val="00B56C4C"/>
    <w:rsid w:val="00B5777C"/>
    <w:rsid w:val="00B60CC9"/>
    <w:rsid w:val="00B6204B"/>
    <w:rsid w:val="00B6380A"/>
    <w:rsid w:val="00B64090"/>
    <w:rsid w:val="00B64FD0"/>
    <w:rsid w:val="00B6520F"/>
    <w:rsid w:val="00B6695B"/>
    <w:rsid w:val="00B66D63"/>
    <w:rsid w:val="00B66DBC"/>
    <w:rsid w:val="00B6754D"/>
    <w:rsid w:val="00B71B9E"/>
    <w:rsid w:val="00B72500"/>
    <w:rsid w:val="00B7618F"/>
    <w:rsid w:val="00B76881"/>
    <w:rsid w:val="00B80B15"/>
    <w:rsid w:val="00B80F17"/>
    <w:rsid w:val="00B8164A"/>
    <w:rsid w:val="00B8185A"/>
    <w:rsid w:val="00B818F3"/>
    <w:rsid w:val="00B845DE"/>
    <w:rsid w:val="00B84A2A"/>
    <w:rsid w:val="00B90110"/>
    <w:rsid w:val="00B90E16"/>
    <w:rsid w:val="00B91564"/>
    <w:rsid w:val="00B91E59"/>
    <w:rsid w:val="00B92D17"/>
    <w:rsid w:val="00B942DD"/>
    <w:rsid w:val="00B96A71"/>
    <w:rsid w:val="00B970EC"/>
    <w:rsid w:val="00BA02E2"/>
    <w:rsid w:val="00BA0594"/>
    <w:rsid w:val="00BA3173"/>
    <w:rsid w:val="00BA34A6"/>
    <w:rsid w:val="00BA396D"/>
    <w:rsid w:val="00BA473B"/>
    <w:rsid w:val="00BA6EBA"/>
    <w:rsid w:val="00BB1B5D"/>
    <w:rsid w:val="00BB4982"/>
    <w:rsid w:val="00BB5149"/>
    <w:rsid w:val="00BB54D2"/>
    <w:rsid w:val="00BB6BF3"/>
    <w:rsid w:val="00BB700E"/>
    <w:rsid w:val="00BB7A4D"/>
    <w:rsid w:val="00BC0FDF"/>
    <w:rsid w:val="00BC13FF"/>
    <w:rsid w:val="00BC2054"/>
    <w:rsid w:val="00BC341D"/>
    <w:rsid w:val="00BC3BF0"/>
    <w:rsid w:val="00BC4E1F"/>
    <w:rsid w:val="00BC5B89"/>
    <w:rsid w:val="00BD47A2"/>
    <w:rsid w:val="00BD5665"/>
    <w:rsid w:val="00BD60CC"/>
    <w:rsid w:val="00BD797D"/>
    <w:rsid w:val="00BE0B43"/>
    <w:rsid w:val="00BE0CFD"/>
    <w:rsid w:val="00BE0EE5"/>
    <w:rsid w:val="00BE2712"/>
    <w:rsid w:val="00BE5D36"/>
    <w:rsid w:val="00BE605C"/>
    <w:rsid w:val="00BE725F"/>
    <w:rsid w:val="00BF00B5"/>
    <w:rsid w:val="00BF025B"/>
    <w:rsid w:val="00BF10D4"/>
    <w:rsid w:val="00C00809"/>
    <w:rsid w:val="00C02111"/>
    <w:rsid w:val="00C02E19"/>
    <w:rsid w:val="00C032CE"/>
    <w:rsid w:val="00C066C4"/>
    <w:rsid w:val="00C10534"/>
    <w:rsid w:val="00C117A4"/>
    <w:rsid w:val="00C12282"/>
    <w:rsid w:val="00C138FB"/>
    <w:rsid w:val="00C1544E"/>
    <w:rsid w:val="00C157E1"/>
    <w:rsid w:val="00C15C01"/>
    <w:rsid w:val="00C2079B"/>
    <w:rsid w:val="00C20D79"/>
    <w:rsid w:val="00C221A8"/>
    <w:rsid w:val="00C22C8C"/>
    <w:rsid w:val="00C23484"/>
    <w:rsid w:val="00C23EB4"/>
    <w:rsid w:val="00C261F2"/>
    <w:rsid w:val="00C30408"/>
    <w:rsid w:val="00C30A0A"/>
    <w:rsid w:val="00C31091"/>
    <w:rsid w:val="00C3146F"/>
    <w:rsid w:val="00C3226F"/>
    <w:rsid w:val="00C32AA6"/>
    <w:rsid w:val="00C34652"/>
    <w:rsid w:val="00C400F6"/>
    <w:rsid w:val="00C406A8"/>
    <w:rsid w:val="00C40C3A"/>
    <w:rsid w:val="00C40C52"/>
    <w:rsid w:val="00C40E8B"/>
    <w:rsid w:val="00C41134"/>
    <w:rsid w:val="00C42C21"/>
    <w:rsid w:val="00C443D0"/>
    <w:rsid w:val="00C4599D"/>
    <w:rsid w:val="00C4784A"/>
    <w:rsid w:val="00C47E62"/>
    <w:rsid w:val="00C52478"/>
    <w:rsid w:val="00C534FF"/>
    <w:rsid w:val="00C55B9E"/>
    <w:rsid w:val="00C565F8"/>
    <w:rsid w:val="00C6297B"/>
    <w:rsid w:val="00C63DCF"/>
    <w:rsid w:val="00C63FC5"/>
    <w:rsid w:val="00C649BF"/>
    <w:rsid w:val="00C676F4"/>
    <w:rsid w:val="00C67F04"/>
    <w:rsid w:val="00C70599"/>
    <w:rsid w:val="00C713E4"/>
    <w:rsid w:val="00C713E5"/>
    <w:rsid w:val="00C72821"/>
    <w:rsid w:val="00C72F68"/>
    <w:rsid w:val="00C779FC"/>
    <w:rsid w:val="00C80D91"/>
    <w:rsid w:val="00C81A63"/>
    <w:rsid w:val="00C8403D"/>
    <w:rsid w:val="00C847D3"/>
    <w:rsid w:val="00C85E79"/>
    <w:rsid w:val="00C935EA"/>
    <w:rsid w:val="00C945DA"/>
    <w:rsid w:val="00C94696"/>
    <w:rsid w:val="00C955E3"/>
    <w:rsid w:val="00C95FEF"/>
    <w:rsid w:val="00C97C62"/>
    <w:rsid w:val="00CA3164"/>
    <w:rsid w:val="00CA448A"/>
    <w:rsid w:val="00CA643E"/>
    <w:rsid w:val="00CA7478"/>
    <w:rsid w:val="00CB1249"/>
    <w:rsid w:val="00CB1A07"/>
    <w:rsid w:val="00CB1B58"/>
    <w:rsid w:val="00CB2C02"/>
    <w:rsid w:val="00CB2D6B"/>
    <w:rsid w:val="00CB3022"/>
    <w:rsid w:val="00CB5753"/>
    <w:rsid w:val="00CB5C5A"/>
    <w:rsid w:val="00CB6797"/>
    <w:rsid w:val="00CC0AC9"/>
    <w:rsid w:val="00CC107C"/>
    <w:rsid w:val="00CC158E"/>
    <w:rsid w:val="00CC37B5"/>
    <w:rsid w:val="00CC3F11"/>
    <w:rsid w:val="00CC415D"/>
    <w:rsid w:val="00CC6A8B"/>
    <w:rsid w:val="00CD0FE7"/>
    <w:rsid w:val="00CD2D05"/>
    <w:rsid w:val="00CD5787"/>
    <w:rsid w:val="00CD6922"/>
    <w:rsid w:val="00CD6D17"/>
    <w:rsid w:val="00CE0B00"/>
    <w:rsid w:val="00CE2DD6"/>
    <w:rsid w:val="00CE53D5"/>
    <w:rsid w:val="00CE5DB8"/>
    <w:rsid w:val="00CE5E2F"/>
    <w:rsid w:val="00CE5F40"/>
    <w:rsid w:val="00CE69DB"/>
    <w:rsid w:val="00CF089A"/>
    <w:rsid w:val="00CF0920"/>
    <w:rsid w:val="00CF11CE"/>
    <w:rsid w:val="00CF1DCB"/>
    <w:rsid w:val="00CF4FFC"/>
    <w:rsid w:val="00CF551E"/>
    <w:rsid w:val="00CF6CB6"/>
    <w:rsid w:val="00CF7561"/>
    <w:rsid w:val="00D010FD"/>
    <w:rsid w:val="00D02120"/>
    <w:rsid w:val="00D024F1"/>
    <w:rsid w:val="00D032C6"/>
    <w:rsid w:val="00D03CD6"/>
    <w:rsid w:val="00D03DD1"/>
    <w:rsid w:val="00D04095"/>
    <w:rsid w:val="00D04649"/>
    <w:rsid w:val="00D05D03"/>
    <w:rsid w:val="00D07D62"/>
    <w:rsid w:val="00D07F2E"/>
    <w:rsid w:val="00D104E9"/>
    <w:rsid w:val="00D10BD0"/>
    <w:rsid w:val="00D112FE"/>
    <w:rsid w:val="00D11ADC"/>
    <w:rsid w:val="00D12138"/>
    <w:rsid w:val="00D1319E"/>
    <w:rsid w:val="00D22A3B"/>
    <w:rsid w:val="00D22B41"/>
    <w:rsid w:val="00D24875"/>
    <w:rsid w:val="00D24B2C"/>
    <w:rsid w:val="00D25715"/>
    <w:rsid w:val="00D31A3A"/>
    <w:rsid w:val="00D322A0"/>
    <w:rsid w:val="00D327CB"/>
    <w:rsid w:val="00D32E41"/>
    <w:rsid w:val="00D336B9"/>
    <w:rsid w:val="00D343AD"/>
    <w:rsid w:val="00D368EA"/>
    <w:rsid w:val="00D373E7"/>
    <w:rsid w:val="00D401DA"/>
    <w:rsid w:val="00D40B32"/>
    <w:rsid w:val="00D42DEF"/>
    <w:rsid w:val="00D44CB7"/>
    <w:rsid w:val="00D44F44"/>
    <w:rsid w:val="00D452CF"/>
    <w:rsid w:val="00D5052E"/>
    <w:rsid w:val="00D54BBF"/>
    <w:rsid w:val="00D56860"/>
    <w:rsid w:val="00D56D4D"/>
    <w:rsid w:val="00D57529"/>
    <w:rsid w:val="00D60C7C"/>
    <w:rsid w:val="00D616E0"/>
    <w:rsid w:val="00D61B96"/>
    <w:rsid w:val="00D6545E"/>
    <w:rsid w:val="00D65D5E"/>
    <w:rsid w:val="00D65F6A"/>
    <w:rsid w:val="00D67EE5"/>
    <w:rsid w:val="00D72253"/>
    <w:rsid w:val="00D72F5E"/>
    <w:rsid w:val="00D7342B"/>
    <w:rsid w:val="00D73C59"/>
    <w:rsid w:val="00D74944"/>
    <w:rsid w:val="00D74E14"/>
    <w:rsid w:val="00D764CC"/>
    <w:rsid w:val="00D765A4"/>
    <w:rsid w:val="00D81305"/>
    <w:rsid w:val="00D82949"/>
    <w:rsid w:val="00D82D41"/>
    <w:rsid w:val="00D82E30"/>
    <w:rsid w:val="00D83583"/>
    <w:rsid w:val="00D83B4F"/>
    <w:rsid w:val="00D83BE3"/>
    <w:rsid w:val="00D84889"/>
    <w:rsid w:val="00D85028"/>
    <w:rsid w:val="00D8516F"/>
    <w:rsid w:val="00D85BE2"/>
    <w:rsid w:val="00D87213"/>
    <w:rsid w:val="00D8799F"/>
    <w:rsid w:val="00D91AB7"/>
    <w:rsid w:val="00D923DE"/>
    <w:rsid w:val="00D92C3C"/>
    <w:rsid w:val="00D92D0A"/>
    <w:rsid w:val="00D94200"/>
    <w:rsid w:val="00D94AC1"/>
    <w:rsid w:val="00D95991"/>
    <w:rsid w:val="00D97722"/>
    <w:rsid w:val="00DA2395"/>
    <w:rsid w:val="00DA31B8"/>
    <w:rsid w:val="00DA6A0C"/>
    <w:rsid w:val="00DA6AA4"/>
    <w:rsid w:val="00DB0464"/>
    <w:rsid w:val="00DB1734"/>
    <w:rsid w:val="00DB25E1"/>
    <w:rsid w:val="00DB39EE"/>
    <w:rsid w:val="00DB5730"/>
    <w:rsid w:val="00DB576E"/>
    <w:rsid w:val="00DB687A"/>
    <w:rsid w:val="00DB6E14"/>
    <w:rsid w:val="00DC04E5"/>
    <w:rsid w:val="00DC11DF"/>
    <w:rsid w:val="00DC133E"/>
    <w:rsid w:val="00DC1CB3"/>
    <w:rsid w:val="00DC269F"/>
    <w:rsid w:val="00DC42BF"/>
    <w:rsid w:val="00DC4AD6"/>
    <w:rsid w:val="00DC5F92"/>
    <w:rsid w:val="00DC70D9"/>
    <w:rsid w:val="00DD0948"/>
    <w:rsid w:val="00DD2935"/>
    <w:rsid w:val="00DD3D58"/>
    <w:rsid w:val="00DD5F1A"/>
    <w:rsid w:val="00DD7803"/>
    <w:rsid w:val="00DD795D"/>
    <w:rsid w:val="00DE0BAB"/>
    <w:rsid w:val="00DE2181"/>
    <w:rsid w:val="00DE26DB"/>
    <w:rsid w:val="00DE273D"/>
    <w:rsid w:val="00DE3DC4"/>
    <w:rsid w:val="00DE4ADB"/>
    <w:rsid w:val="00DE4D3D"/>
    <w:rsid w:val="00DF0C2B"/>
    <w:rsid w:val="00DF3CFE"/>
    <w:rsid w:val="00E0215C"/>
    <w:rsid w:val="00E02421"/>
    <w:rsid w:val="00E02B53"/>
    <w:rsid w:val="00E05E5B"/>
    <w:rsid w:val="00E061B2"/>
    <w:rsid w:val="00E06E6A"/>
    <w:rsid w:val="00E11AE6"/>
    <w:rsid w:val="00E12A2C"/>
    <w:rsid w:val="00E131D3"/>
    <w:rsid w:val="00E13CA6"/>
    <w:rsid w:val="00E14501"/>
    <w:rsid w:val="00E1603D"/>
    <w:rsid w:val="00E16358"/>
    <w:rsid w:val="00E16BDB"/>
    <w:rsid w:val="00E179BF"/>
    <w:rsid w:val="00E17FA1"/>
    <w:rsid w:val="00E21A6B"/>
    <w:rsid w:val="00E2245D"/>
    <w:rsid w:val="00E22624"/>
    <w:rsid w:val="00E23D9B"/>
    <w:rsid w:val="00E23E7A"/>
    <w:rsid w:val="00E24395"/>
    <w:rsid w:val="00E253E6"/>
    <w:rsid w:val="00E2597A"/>
    <w:rsid w:val="00E260EC"/>
    <w:rsid w:val="00E26FD5"/>
    <w:rsid w:val="00E3000E"/>
    <w:rsid w:val="00E3151B"/>
    <w:rsid w:val="00E33D96"/>
    <w:rsid w:val="00E34D80"/>
    <w:rsid w:val="00E366D5"/>
    <w:rsid w:val="00E367D4"/>
    <w:rsid w:val="00E37E71"/>
    <w:rsid w:val="00E4149C"/>
    <w:rsid w:val="00E451E0"/>
    <w:rsid w:val="00E46476"/>
    <w:rsid w:val="00E53EDD"/>
    <w:rsid w:val="00E540F1"/>
    <w:rsid w:val="00E56563"/>
    <w:rsid w:val="00E60241"/>
    <w:rsid w:val="00E61527"/>
    <w:rsid w:val="00E630E2"/>
    <w:rsid w:val="00E634DE"/>
    <w:rsid w:val="00E63929"/>
    <w:rsid w:val="00E63C58"/>
    <w:rsid w:val="00E6448F"/>
    <w:rsid w:val="00E66F1E"/>
    <w:rsid w:val="00E70E70"/>
    <w:rsid w:val="00E7168C"/>
    <w:rsid w:val="00E737D8"/>
    <w:rsid w:val="00E740FB"/>
    <w:rsid w:val="00E75390"/>
    <w:rsid w:val="00E76E9D"/>
    <w:rsid w:val="00E81EAF"/>
    <w:rsid w:val="00E820BF"/>
    <w:rsid w:val="00E824B7"/>
    <w:rsid w:val="00E84C0D"/>
    <w:rsid w:val="00E86368"/>
    <w:rsid w:val="00E92E23"/>
    <w:rsid w:val="00E96C85"/>
    <w:rsid w:val="00EA0345"/>
    <w:rsid w:val="00EA1C49"/>
    <w:rsid w:val="00EA2845"/>
    <w:rsid w:val="00EA37FF"/>
    <w:rsid w:val="00EA38DA"/>
    <w:rsid w:val="00EA4426"/>
    <w:rsid w:val="00EA698B"/>
    <w:rsid w:val="00EA7B09"/>
    <w:rsid w:val="00EB1FCF"/>
    <w:rsid w:val="00EB445C"/>
    <w:rsid w:val="00EB4E9D"/>
    <w:rsid w:val="00EB52F4"/>
    <w:rsid w:val="00EC0B3E"/>
    <w:rsid w:val="00EC3B1C"/>
    <w:rsid w:val="00EC601B"/>
    <w:rsid w:val="00EC6312"/>
    <w:rsid w:val="00ED0F0C"/>
    <w:rsid w:val="00ED2989"/>
    <w:rsid w:val="00ED343D"/>
    <w:rsid w:val="00ED35EB"/>
    <w:rsid w:val="00ED41AB"/>
    <w:rsid w:val="00ED4ED1"/>
    <w:rsid w:val="00ED6A9F"/>
    <w:rsid w:val="00ED6D46"/>
    <w:rsid w:val="00EE14DD"/>
    <w:rsid w:val="00EE178B"/>
    <w:rsid w:val="00EE2B02"/>
    <w:rsid w:val="00EE30BC"/>
    <w:rsid w:val="00EE484F"/>
    <w:rsid w:val="00EE5F16"/>
    <w:rsid w:val="00EF31D7"/>
    <w:rsid w:val="00EF425B"/>
    <w:rsid w:val="00EF5A57"/>
    <w:rsid w:val="00EF7220"/>
    <w:rsid w:val="00EF7A3A"/>
    <w:rsid w:val="00EF7B66"/>
    <w:rsid w:val="00F01607"/>
    <w:rsid w:val="00F0240A"/>
    <w:rsid w:val="00F0242D"/>
    <w:rsid w:val="00F02A0C"/>
    <w:rsid w:val="00F040AC"/>
    <w:rsid w:val="00F046EA"/>
    <w:rsid w:val="00F10CDD"/>
    <w:rsid w:val="00F11571"/>
    <w:rsid w:val="00F15764"/>
    <w:rsid w:val="00F16276"/>
    <w:rsid w:val="00F16863"/>
    <w:rsid w:val="00F22C42"/>
    <w:rsid w:val="00F24CF8"/>
    <w:rsid w:val="00F24F0A"/>
    <w:rsid w:val="00F25000"/>
    <w:rsid w:val="00F25A66"/>
    <w:rsid w:val="00F268A6"/>
    <w:rsid w:val="00F30BF1"/>
    <w:rsid w:val="00F32068"/>
    <w:rsid w:val="00F33A36"/>
    <w:rsid w:val="00F33BB4"/>
    <w:rsid w:val="00F33D3F"/>
    <w:rsid w:val="00F36D7F"/>
    <w:rsid w:val="00F418A4"/>
    <w:rsid w:val="00F4288B"/>
    <w:rsid w:val="00F42F26"/>
    <w:rsid w:val="00F42F61"/>
    <w:rsid w:val="00F431E9"/>
    <w:rsid w:val="00F43DB4"/>
    <w:rsid w:val="00F4437E"/>
    <w:rsid w:val="00F445C9"/>
    <w:rsid w:val="00F44DB0"/>
    <w:rsid w:val="00F459DC"/>
    <w:rsid w:val="00F469D8"/>
    <w:rsid w:val="00F5048A"/>
    <w:rsid w:val="00F50939"/>
    <w:rsid w:val="00F53408"/>
    <w:rsid w:val="00F54346"/>
    <w:rsid w:val="00F54D18"/>
    <w:rsid w:val="00F551C5"/>
    <w:rsid w:val="00F56A54"/>
    <w:rsid w:val="00F56B19"/>
    <w:rsid w:val="00F57158"/>
    <w:rsid w:val="00F5724F"/>
    <w:rsid w:val="00F61FEA"/>
    <w:rsid w:val="00F628D9"/>
    <w:rsid w:val="00F646A4"/>
    <w:rsid w:val="00F66721"/>
    <w:rsid w:val="00F668B7"/>
    <w:rsid w:val="00F721E2"/>
    <w:rsid w:val="00F72E86"/>
    <w:rsid w:val="00F72EB0"/>
    <w:rsid w:val="00F748C5"/>
    <w:rsid w:val="00F761AE"/>
    <w:rsid w:val="00F76874"/>
    <w:rsid w:val="00F814FC"/>
    <w:rsid w:val="00F82542"/>
    <w:rsid w:val="00F84741"/>
    <w:rsid w:val="00F90BB5"/>
    <w:rsid w:val="00F92752"/>
    <w:rsid w:val="00F94664"/>
    <w:rsid w:val="00F9491E"/>
    <w:rsid w:val="00F94E59"/>
    <w:rsid w:val="00F9512D"/>
    <w:rsid w:val="00F96987"/>
    <w:rsid w:val="00F96F40"/>
    <w:rsid w:val="00F97E95"/>
    <w:rsid w:val="00FA1771"/>
    <w:rsid w:val="00FA2D69"/>
    <w:rsid w:val="00FA52AE"/>
    <w:rsid w:val="00FB0BD5"/>
    <w:rsid w:val="00FB1A9F"/>
    <w:rsid w:val="00FB2037"/>
    <w:rsid w:val="00FB21E7"/>
    <w:rsid w:val="00FB2D38"/>
    <w:rsid w:val="00FB3812"/>
    <w:rsid w:val="00FB4548"/>
    <w:rsid w:val="00FB4E66"/>
    <w:rsid w:val="00FB50EC"/>
    <w:rsid w:val="00FB6EFC"/>
    <w:rsid w:val="00FC0B60"/>
    <w:rsid w:val="00FC37D3"/>
    <w:rsid w:val="00FC422B"/>
    <w:rsid w:val="00FC43E9"/>
    <w:rsid w:val="00FC608E"/>
    <w:rsid w:val="00FC7BC0"/>
    <w:rsid w:val="00FD000E"/>
    <w:rsid w:val="00FD08C4"/>
    <w:rsid w:val="00FD145D"/>
    <w:rsid w:val="00FD15C2"/>
    <w:rsid w:val="00FD63B1"/>
    <w:rsid w:val="00FD73F4"/>
    <w:rsid w:val="00FE09EE"/>
    <w:rsid w:val="00FE0EB9"/>
    <w:rsid w:val="00FE19A0"/>
    <w:rsid w:val="00FE1EC4"/>
    <w:rsid w:val="00FE338D"/>
    <w:rsid w:val="00FE4358"/>
    <w:rsid w:val="00FE48AA"/>
    <w:rsid w:val="00FE5377"/>
    <w:rsid w:val="00FF21C6"/>
    <w:rsid w:val="00FF4C44"/>
    <w:rsid w:val="00FF6036"/>
    <w:rsid w:val="00FF72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088"/>
    <o:shapelayout v:ext="edit">
      <o:idmap v:ext="edit" data="1"/>
    </o:shapelayout>
  </w:shapeDefaults>
  <w:decimalSymbol w:val=","/>
  <w:listSeparator w:val=";"/>
  <w15:chartTrackingRefBased/>
  <w15:docId w15:val="{36B968C5-E25A-4887-B88A-BAFE1F99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uiPriority="99"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E4"/>
    <w:rPr>
      <w:rFonts w:ascii="Calibri" w:hAnsi="Calibri"/>
      <w:sz w:val="24"/>
      <w:szCs w:val="24"/>
      <w:lang w:val="en-US" w:eastAsia="en-US"/>
    </w:rPr>
  </w:style>
  <w:style w:type="paragraph" w:styleId="Titlu1">
    <w:name w:val="heading 1"/>
    <w:basedOn w:val="Normal"/>
    <w:next w:val="Normal"/>
    <w:link w:val="Titlu1Caracter"/>
    <w:autoRedefine/>
    <w:uiPriority w:val="9"/>
    <w:qFormat/>
    <w:rsid w:val="000D005D"/>
    <w:pPr>
      <w:keepNext/>
      <w:spacing w:before="240" w:after="240" w:line="276" w:lineRule="auto"/>
      <w:ind w:left="360" w:firstLine="1276"/>
      <w:jc w:val="center"/>
      <w:outlineLvl w:val="0"/>
    </w:pPr>
    <w:rPr>
      <w:rFonts w:asciiTheme="minorHAnsi" w:hAnsiTheme="minorHAnsi" w:cstheme="minorHAnsi"/>
      <w:b/>
      <w:bCs/>
      <w:kern w:val="32"/>
      <w:sz w:val="28"/>
      <w:szCs w:val="28"/>
      <w:lang w:val="ro-RO" w:eastAsia="x-none"/>
    </w:rPr>
  </w:style>
  <w:style w:type="paragraph" w:styleId="Titlu2">
    <w:name w:val="heading 2"/>
    <w:basedOn w:val="Normal"/>
    <w:next w:val="Normal"/>
    <w:link w:val="Titlu2Caracter"/>
    <w:autoRedefine/>
    <w:uiPriority w:val="9"/>
    <w:qFormat/>
    <w:rsid w:val="002E7B42"/>
    <w:pPr>
      <w:keepNext/>
      <w:tabs>
        <w:tab w:val="left" w:pos="567"/>
      </w:tabs>
      <w:spacing w:before="240" w:after="120" w:line="276" w:lineRule="auto"/>
      <w:ind w:left="720" w:hanging="360"/>
      <w:jc w:val="both"/>
      <w:outlineLvl w:val="1"/>
    </w:pPr>
    <w:rPr>
      <w:b/>
      <w:i/>
      <w:lang w:val="ro-RO" w:eastAsia="x-none"/>
    </w:rPr>
  </w:style>
  <w:style w:type="paragraph" w:styleId="Titlu3">
    <w:name w:val="heading 3"/>
    <w:basedOn w:val="Normal"/>
    <w:next w:val="Normal"/>
    <w:link w:val="Titlu3Caracter"/>
    <w:autoRedefine/>
    <w:uiPriority w:val="9"/>
    <w:qFormat/>
    <w:rsid w:val="00522D47"/>
    <w:pPr>
      <w:keepNext/>
      <w:tabs>
        <w:tab w:val="left" w:pos="720"/>
      </w:tabs>
      <w:spacing w:before="120" w:after="60" w:line="276" w:lineRule="auto"/>
      <w:ind w:left="810"/>
      <w:jc w:val="both"/>
      <w:outlineLvl w:val="2"/>
    </w:pPr>
    <w:rPr>
      <w:b/>
      <w:bCs/>
      <w:i/>
      <w:lang w:val="ro-RO" w:eastAsia="x-none"/>
    </w:rPr>
  </w:style>
  <w:style w:type="paragraph" w:styleId="Titlu4">
    <w:name w:val="heading 4"/>
    <w:basedOn w:val="Normal"/>
    <w:next w:val="Normal"/>
    <w:link w:val="Titlu4Caracter"/>
    <w:autoRedefine/>
    <w:uiPriority w:val="9"/>
    <w:qFormat/>
    <w:rsid w:val="007251F4"/>
    <w:pPr>
      <w:keepNext/>
      <w:numPr>
        <w:ilvl w:val="3"/>
        <w:numId w:val="3"/>
      </w:numPr>
      <w:spacing w:before="60" w:after="60" w:line="360" w:lineRule="auto"/>
      <w:outlineLvl w:val="3"/>
    </w:pPr>
    <w:rPr>
      <w:bCs/>
      <w:i/>
      <w:u w:val="single"/>
      <w:lang w:val="x-none" w:eastAsia="x-none"/>
    </w:rPr>
  </w:style>
  <w:style w:type="paragraph" w:styleId="Titlu5">
    <w:name w:val="heading 5"/>
    <w:basedOn w:val="Normal"/>
    <w:next w:val="Normal"/>
    <w:link w:val="Titlu5Caracter"/>
    <w:uiPriority w:val="9"/>
    <w:qFormat/>
    <w:rsid w:val="00720BF7"/>
    <w:pPr>
      <w:numPr>
        <w:ilvl w:val="4"/>
        <w:numId w:val="3"/>
      </w:numPr>
      <w:spacing w:before="240" w:after="60"/>
      <w:outlineLvl w:val="4"/>
    </w:pPr>
    <w:rPr>
      <w:b/>
      <w:bCs/>
      <w:i/>
      <w:iCs/>
      <w:sz w:val="26"/>
      <w:szCs w:val="26"/>
      <w:lang w:val="x-none" w:eastAsia="x-none"/>
    </w:rPr>
  </w:style>
  <w:style w:type="paragraph" w:styleId="Titlu6">
    <w:name w:val="heading 6"/>
    <w:basedOn w:val="Normal"/>
    <w:next w:val="Normal"/>
    <w:link w:val="Titlu6Caracter"/>
    <w:qFormat/>
    <w:rsid w:val="00A33929"/>
    <w:pPr>
      <w:spacing w:before="240" w:after="60"/>
      <w:outlineLvl w:val="5"/>
    </w:pPr>
    <w:rPr>
      <w:rFonts w:ascii="Times New Roman" w:hAnsi="Times New Roman"/>
      <w:b/>
      <w:bCs/>
      <w:sz w:val="22"/>
      <w:szCs w:val="22"/>
      <w:lang w:val="x-none" w:eastAsia="x-none"/>
    </w:rPr>
  </w:style>
  <w:style w:type="paragraph" w:styleId="Titlu7">
    <w:name w:val="heading 7"/>
    <w:basedOn w:val="Normal"/>
    <w:next w:val="Normal"/>
    <w:link w:val="Titlu7Caracter"/>
    <w:uiPriority w:val="9"/>
    <w:qFormat/>
    <w:rsid w:val="00805BAC"/>
    <w:pPr>
      <w:tabs>
        <w:tab w:val="num" w:pos="5040"/>
      </w:tabs>
      <w:spacing w:before="240" w:after="60"/>
      <w:ind w:left="5040" w:hanging="720"/>
      <w:outlineLvl w:val="6"/>
    </w:pPr>
    <w:rPr>
      <w:lang w:val="x-none" w:eastAsia="x-none"/>
    </w:rPr>
  </w:style>
  <w:style w:type="paragraph" w:styleId="Titlu8">
    <w:name w:val="heading 8"/>
    <w:basedOn w:val="Normal"/>
    <w:next w:val="Normal"/>
    <w:link w:val="Titlu8Caracter"/>
    <w:uiPriority w:val="9"/>
    <w:qFormat/>
    <w:rsid w:val="00805BAC"/>
    <w:pPr>
      <w:tabs>
        <w:tab w:val="num" w:pos="5760"/>
      </w:tabs>
      <w:spacing w:before="240" w:after="60"/>
      <w:ind w:left="5760" w:hanging="720"/>
      <w:outlineLvl w:val="7"/>
    </w:pPr>
    <w:rPr>
      <w:i/>
      <w:iCs/>
      <w:lang w:val="x-none" w:eastAsia="x-none"/>
    </w:rPr>
  </w:style>
  <w:style w:type="paragraph" w:styleId="Titlu9">
    <w:name w:val="heading 9"/>
    <w:basedOn w:val="Normal"/>
    <w:next w:val="Normal"/>
    <w:link w:val="Titlu9Caracter"/>
    <w:uiPriority w:val="9"/>
    <w:qFormat/>
    <w:rsid w:val="00805BAC"/>
    <w:pPr>
      <w:tabs>
        <w:tab w:val="num" w:pos="6480"/>
      </w:tabs>
      <w:spacing w:before="240" w:after="60"/>
      <w:ind w:left="6480" w:hanging="720"/>
      <w:outlineLvl w:val="8"/>
    </w:pPr>
    <w:rPr>
      <w:rFonts w:ascii="Cambria" w:hAnsi="Cambria"/>
      <w:sz w:val="22"/>
      <w:szCs w:val="22"/>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0D005D"/>
    <w:rPr>
      <w:rFonts w:asciiTheme="minorHAnsi" w:hAnsiTheme="minorHAnsi" w:cstheme="minorHAnsi"/>
      <w:b/>
      <w:bCs/>
      <w:kern w:val="32"/>
      <w:sz w:val="28"/>
      <w:szCs w:val="28"/>
      <w:lang w:eastAsia="x-none"/>
    </w:rPr>
  </w:style>
  <w:style w:type="character" w:customStyle="1" w:styleId="Titlu2Caracter">
    <w:name w:val="Titlu 2 Caracter"/>
    <w:link w:val="Titlu2"/>
    <w:uiPriority w:val="9"/>
    <w:rsid w:val="002E7B42"/>
    <w:rPr>
      <w:rFonts w:ascii="Calibri" w:hAnsi="Calibri"/>
      <w:b/>
      <w:i/>
      <w:sz w:val="24"/>
      <w:szCs w:val="24"/>
      <w:lang w:eastAsia="x-none"/>
    </w:rPr>
  </w:style>
  <w:style w:type="character" w:customStyle="1" w:styleId="Titlu3Caracter">
    <w:name w:val="Titlu 3 Caracter"/>
    <w:link w:val="Titlu3"/>
    <w:uiPriority w:val="9"/>
    <w:rsid w:val="00522D47"/>
    <w:rPr>
      <w:rFonts w:ascii="Calibri" w:hAnsi="Calibri" w:cs="Calibri"/>
      <w:b/>
      <w:bCs/>
      <w:i/>
      <w:sz w:val="24"/>
      <w:szCs w:val="24"/>
      <w:lang w:val="ro-RO"/>
    </w:rPr>
  </w:style>
  <w:style w:type="character" w:customStyle="1" w:styleId="Titlu4Caracter">
    <w:name w:val="Titlu 4 Caracter"/>
    <w:link w:val="Titlu4"/>
    <w:uiPriority w:val="9"/>
    <w:rsid w:val="007251F4"/>
    <w:rPr>
      <w:rFonts w:ascii="Calibri" w:hAnsi="Calibri"/>
      <w:bCs/>
      <w:i/>
      <w:sz w:val="24"/>
      <w:szCs w:val="24"/>
      <w:u w:val="single"/>
      <w:lang w:val="x-none" w:eastAsia="x-none"/>
    </w:rPr>
  </w:style>
  <w:style w:type="character" w:customStyle="1" w:styleId="Titlu5Caracter">
    <w:name w:val="Titlu 5 Caracter"/>
    <w:link w:val="Titlu5"/>
    <w:uiPriority w:val="9"/>
    <w:rsid w:val="00720BF7"/>
    <w:rPr>
      <w:rFonts w:ascii="Calibri" w:hAnsi="Calibri"/>
      <w:b/>
      <w:bCs/>
      <w:i/>
      <w:iCs/>
      <w:sz w:val="26"/>
      <w:szCs w:val="26"/>
      <w:lang w:val="x-none" w:eastAsia="x-none"/>
    </w:rPr>
  </w:style>
  <w:style w:type="character" w:customStyle="1" w:styleId="Titlu6Caracter">
    <w:name w:val="Titlu 6 Caracter"/>
    <w:link w:val="Titlu6"/>
    <w:rsid w:val="00A33929"/>
    <w:rPr>
      <w:b/>
      <w:bCs/>
      <w:sz w:val="22"/>
      <w:szCs w:val="22"/>
    </w:rPr>
  </w:style>
  <w:style w:type="character" w:customStyle="1" w:styleId="Titlu7Caracter">
    <w:name w:val="Titlu 7 Caracter"/>
    <w:link w:val="Titlu7"/>
    <w:uiPriority w:val="9"/>
    <w:rsid w:val="00805BAC"/>
    <w:rPr>
      <w:rFonts w:ascii="Calibri" w:hAnsi="Calibri"/>
      <w:sz w:val="24"/>
      <w:szCs w:val="24"/>
    </w:rPr>
  </w:style>
  <w:style w:type="character" w:customStyle="1" w:styleId="Titlu8Caracter">
    <w:name w:val="Titlu 8 Caracter"/>
    <w:link w:val="Titlu8"/>
    <w:uiPriority w:val="9"/>
    <w:rsid w:val="00805BAC"/>
    <w:rPr>
      <w:rFonts w:ascii="Calibri" w:hAnsi="Calibri"/>
      <w:i/>
      <w:iCs/>
      <w:sz w:val="24"/>
      <w:szCs w:val="24"/>
    </w:rPr>
  </w:style>
  <w:style w:type="character" w:customStyle="1" w:styleId="Titlu9Caracter">
    <w:name w:val="Titlu 9 Caracter"/>
    <w:link w:val="Titlu9"/>
    <w:uiPriority w:val="9"/>
    <w:rsid w:val="00805BAC"/>
    <w:rPr>
      <w:rFonts w:ascii="Cambria" w:hAnsi="Cambria"/>
      <w:sz w:val="22"/>
      <w:szCs w:val="22"/>
    </w:rPr>
  </w:style>
  <w:style w:type="paragraph" w:styleId="Plandocument">
    <w:name w:val="Document Map"/>
    <w:basedOn w:val="Normal"/>
    <w:link w:val="PlandocumentCaracter"/>
    <w:semiHidden/>
    <w:rsid w:val="00975F84"/>
    <w:pPr>
      <w:shd w:val="clear" w:color="auto" w:fill="000080"/>
    </w:pPr>
    <w:rPr>
      <w:rFonts w:ascii="Tahoma" w:hAnsi="Tahoma"/>
      <w:sz w:val="20"/>
      <w:szCs w:val="20"/>
      <w:lang w:val="x-none" w:eastAsia="x-none"/>
    </w:rPr>
  </w:style>
  <w:style w:type="character" w:customStyle="1" w:styleId="PlandocumentCaracter">
    <w:name w:val="Plan document Caracter"/>
    <w:link w:val="Plandocument"/>
    <w:semiHidden/>
    <w:rsid w:val="00A33929"/>
    <w:rPr>
      <w:rFonts w:ascii="Tahoma" w:hAnsi="Tahoma" w:cs="Tahoma"/>
      <w:shd w:val="clear" w:color="auto" w:fill="000080"/>
    </w:rPr>
  </w:style>
  <w:style w:type="paragraph" w:customStyle="1" w:styleId="AddParagraf">
    <w:name w:val="AddParagraf"/>
    <w:basedOn w:val="Normal"/>
    <w:link w:val="AddParagrafCaracter"/>
    <w:qFormat/>
    <w:rsid w:val="007251F4"/>
    <w:pPr>
      <w:numPr>
        <w:ilvl w:val="1"/>
      </w:numPr>
      <w:spacing w:after="180"/>
      <w:ind w:right="48" w:firstLine="709"/>
      <w:jc w:val="both"/>
    </w:pPr>
    <w:rPr>
      <w:lang w:val="ro-RO" w:eastAsia="x-none"/>
    </w:rPr>
  </w:style>
  <w:style w:type="character" w:customStyle="1" w:styleId="AddParagrafCaracter">
    <w:name w:val="AddParagraf Caracter"/>
    <w:link w:val="AddParagraf"/>
    <w:qFormat/>
    <w:locked/>
    <w:rsid w:val="007251F4"/>
    <w:rPr>
      <w:rFonts w:ascii="Calibri" w:hAnsi="Calibri" w:cs="Arial"/>
      <w:sz w:val="24"/>
      <w:szCs w:val="24"/>
      <w:lang w:val="ro-RO"/>
    </w:rPr>
  </w:style>
  <w:style w:type="paragraph" w:customStyle="1" w:styleId="CazLinie">
    <w:name w:val="Caz_Linie"/>
    <w:basedOn w:val="Normal"/>
    <w:rsid w:val="007251F4"/>
    <w:pPr>
      <w:numPr>
        <w:numId w:val="1"/>
      </w:numPr>
    </w:pPr>
  </w:style>
  <w:style w:type="paragraph" w:customStyle="1" w:styleId="CazCerc">
    <w:name w:val="CazCerc"/>
    <w:basedOn w:val="Normal"/>
    <w:autoRedefine/>
    <w:qFormat/>
    <w:rsid w:val="00C066C4"/>
    <w:pPr>
      <w:spacing w:after="120"/>
      <w:ind w:left="1418" w:hanging="284"/>
      <w:jc w:val="right"/>
    </w:pPr>
    <w:rPr>
      <w:rFonts w:ascii="Arial" w:hAnsi="Arial" w:cs="Arial"/>
      <w:b/>
      <w:lang w:val="ro-RO"/>
    </w:rPr>
  </w:style>
  <w:style w:type="paragraph" w:customStyle="1" w:styleId="CazPunct">
    <w:name w:val="CazPunct"/>
    <w:basedOn w:val="Normal"/>
    <w:autoRedefine/>
    <w:qFormat/>
    <w:rsid w:val="007251F4"/>
    <w:pPr>
      <w:spacing w:after="120"/>
      <w:ind w:left="1135" w:hanging="284"/>
      <w:jc w:val="both"/>
    </w:pPr>
    <w:rPr>
      <w:rFonts w:ascii="Arial" w:hAnsi="Arial" w:cs="Arial"/>
      <w:lang w:val="ro-RO"/>
    </w:rPr>
  </w:style>
  <w:style w:type="paragraph" w:customStyle="1" w:styleId="CazSteluta">
    <w:name w:val="CazSteluta"/>
    <w:basedOn w:val="Normal"/>
    <w:qFormat/>
    <w:rsid w:val="007251F4"/>
    <w:pPr>
      <w:numPr>
        <w:numId w:val="2"/>
      </w:numPr>
      <w:spacing w:before="120" w:after="60" w:line="360" w:lineRule="auto"/>
    </w:pPr>
    <w:rPr>
      <w:b/>
      <w:lang w:val="ro-RO"/>
    </w:rPr>
  </w:style>
  <w:style w:type="paragraph" w:styleId="Cuprins1">
    <w:name w:val="toc 1"/>
    <w:basedOn w:val="Normal"/>
    <w:next w:val="Normal"/>
    <w:autoRedefine/>
    <w:uiPriority w:val="39"/>
    <w:rsid w:val="008448BE"/>
    <w:pPr>
      <w:tabs>
        <w:tab w:val="left" w:pos="1276"/>
        <w:tab w:val="right" w:leader="dot" w:pos="9890"/>
      </w:tabs>
      <w:spacing w:before="120" w:after="60"/>
    </w:pPr>
    <w:rPr>
      <w:b/>
      <w:noProof/>
    </w:rPr>
  </w:style>
  <w:style w:type="paragraph" w:styleId="Cuprins2">
    <w:name w:val="toc 2"/>
    <w:basedOn w:val="Normal"/>
    <w:autoRedefine/>
    <w:uiPriority w:val="39"/>
    <w:rsid w:val="00C713E4"/>
    <w:pPr>
      <w:tabs>
        <w:tab w:val="left" w:pos="851"/>
        <w:tab w:val="right" w:leader="dot" w:pos="9890"/>
      </w:tabs>
      <w:spacing w:before="60"/>
      <w:ind w:left="284"/>
    </w:pPr>
  </w:style>
  <w:style w:type="paragraph" w:styleId="Cuprins3">
    <w:name w:val="toc 3"/>
    <w:basedOn w:val="Normal"/>
    <w:next w:val="Normal"/>
    <w:autoRedefine/>
    <w:uiPriority w:val="39"/>
    <w:rsid w:val="00757B92"/>
    <w:pPr>
      <w:tabs>
        <w:tab w:val="left" w:pos="1100"/>
        <w:tab w:val="right" w:leader="dot" w:pos="9923"/>
      </w:tabs>
      <w:ind w:left="480" w:right="-2"/>
    </w:pPr>
    <w:rPr>
      <w:noProof/>
      <w:lang w:val="ro-RO"/>
    </w:rPr>
  </w:style>
  <w:style w:type="paragraph" w:styleId="Cuprins4">
    <w:name w:val="toc 4"/>
    <w:basedOn w:val="Normal"/>
    <w:next w:val="Normal"/>
    <w:autoRedefine/>
    <w:uiPriority w:val="39"/>
    <w:rsid w:val="007251F4"/>
    <w:pPr>
      <w:ind w:left="720"/>
    </w:pPr>
    <w:rPr>
      <w:sz w:val="20"/>
    </w:rPr>
  </w:style>
  <w:style w:type="paragraph" w:styleId="Titlucuprins">
    <w:name w:val="TOC Heading"/>
    <w:basedOn w:val="Titlu1"/>
    <w:next w:val="Normal"/>
    <w:uiPriority w:val="39"/>
    <w:qFormat/>
    <w:rsid w:val="00F97E95"/>
    <w:pPr>
      <w:keepLines/>
      <w:spacing w:before="480" w:after="0"/>
      <w:ind w:left="0"/>
      <w:jc w:val="left"/>
      <w:outlineLvl w:val="9"/>
    </w:pPr>
    <w:rPr>
      <w:rFonts w:ascii="Cambria" w:eastAsia="MS Gothic" w:hAnsi="Cambria"/>
      <w:color w:val="365F91"/>
      <w:kern w:val="0"/>
      <w:lang w:eastAsia="ja-JP"/>
    </w:rPr>
  </w:style>
  <w:style w:type="character" w:styleId="Hyperlink">
    <w:name w:val="Hyperlink"/>
    <w:uiPriority w:val="99"/>
    <w:unhideWhenUsed/>
    <w:rsid w:val="00F97E95"/>
    <w:rPr>
      <w:color w:val="0000FF"/>
      <w:u w:val="single"/>
    </w:rPr>
  </w:style>
  <w:style w:type="paragraph" w:styleId="Titlu">
    <w:name w:val="Title"/>
    <w:basedOn w:val="Normal"/>
    <w:next w:val="Normal"/>
    <w:link w:val="TitluCaracter"/>
    <w:autoRedefine/>
    <w:qFormat/>
    <w:rsid w:val="00C713E4"/>
    <w:pPr>
      <w:spacing w:before="240" w:after="360"/>
      <w:outlineLvl w:val="0"/>
    </w:pPr>
    <w:rPr>
      <w:b/>
      <w:bCs/>
      <w:kern w:val="28"/>
      <w:sz w:val="28"/>
      <w:szCs w:val="32"/>
      <w:lang w:val="x-none" w:eastAsia="x-none"/>
    </w:rPr>
  </w:style>
  <w:style w:type="character" w:customStyle="1" w:styleId="TitluCaracter">
    <w:name w:val="Titlu Caracter"/>
    <w:link w:val="Titlu"/>
    <w:rsid w:val="00C713E4"/>
    <w:rPr>
      <w:rFonts w:ascii="Calibri" w:eastAsia="Times New Roman" w:hAnsi="Calibri" w:cs="Times New Roman"/>
      <w:b/>
      <w:bCs/>
      <w:kern w:val="28"/>
      <w:sz w:val="28"/>
      <w:szCs w:val="32"/>
    </w:rPr>
  </w:style>
  <w:style w:type="paragraph" w:styleId="Listparagraf">
    <w:name w:val="List Paragraph"/>
    <w:basedOn w:val="Normal"/>
    <w:uiPriority w:val="34"/>
    <w:qFormat/>
    <w:rsid w:val="008F70A7"/>
    <w:pPr>
      <w:ind w:left="720"/>
      <w:contextualSpacing/>
    </w:pPr>
    <w:rPr>
      <w:rFonts w:ascii="Times New Roman" w:eastAsia="Calibri" w:hAnsi="Times New Roman"/>
    </w:rPr>
  </w:style>
  <w:style w:type="paragraph" w:styleId="NormalWeb">
    <w:name w:val="Normal (Web)"/>
    <w:basedOn w:val="Normal"/>
    <w:rsid w:val="008F70A7"/>
    <w:pPr>
      <w:spacing w:before="100" w:beforeAutospacing="1" w:after="100" w:afterAutospacing="1"/>
    </w:pPr>
    <w:rPr>
      <w:rFonts w:ascii="Times New Roman" w:hAnsi="Times New Roman"/>
    </w:rPr>
  </w:style>
  <w:style w:type="character" w:customStyle="1" w:styleId="rvts7">
    <w:name w:val="rvts7"/>
    <w:rsid w:val="008F70A7"/>
  </w:style>
  <w:style w:type="character" w:styleId="Robust">
    <w:name w:val="Strong"/>
    <w:qFormat/>
    <w:rsid w:val="008F70A7"/>
    <w:rPr>
      <w:b/>
      <w:bCs/>
    </w:rPr>
  </w:style>
  <w:style w:type="paragraph" w:styleId="PreformatatHTML">
    <w:name w:val="HTML Preformatted"/>
    <w:basedOn w:val="Normal"/>
    <w:link w:val="PreformatatHTMLCaracter"/>
    <w:rsid w:val="008F7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PreformatatHTMLCaracter">
    <w:name w:val="Preformatat HTML Caracter"/>
    <w:link w:val="PreformatatHTML"/>
    <w:rsid w:val="008F70A7"/>
    <w:rPr>
      <w:rFonts w:ascii="Courier New" w:hAnsi="Courier New" w:cs="Courier New"/>
      <w:color w:val="000000"/>
    </w:rPr>
  </w:style>
  <w:style w:type="character" w:customStyle="1" w:styleId="rvts18">
    <w:name w:val="rvts18"/>
    <w:rsid w:val="008F70A7"/>
  </w:style>
  <w:style w:type="character" w:customStyle="1" w:styleId="rvts5">
    <w:name w:val="rvts5"/>
    <w:rsid w:val="008F70A7"/>
  </w:style>
  <w:style w:type="character" w:customStyle="1" w:styleId="rvts14">
    <w:name w:val="rvts14"/>
    <w:rsid w:val="008F70A7"/>
  </w:style>
  <w:style w:type="paragraph" w:styleId="Textnotdesubsol">
    <w:name w:val="footnote text"/>
    <w:aliases w:val="Fußnotentext Char,Fußnotentext Char Caracter"/>
    <w:basedOn w:val="Normal"/>
    <w:link w:val="TextnotdesubsolCaracter"/>
    <w:rsid w:val="008F70A7"/>
    <w:rPr>
      <w:rFonts w:ascii="Times New Roman" w:hAnsi="Times New Roman"/>
      <w:sz w:val="20"/>
      <w:szCs w:val="20"/>
    </w:rPr>
  </w:style>
  <w:style w:type="character" w:customStyle="1" w:styleId="TextnotdesubsolCaracter">
    <w:name w:val="Text notă de subsol Caracter"/>
    <w:aliases w:val="Fußnotentext Char Caracter1,Fußnotentext Char Caracter Caracter1"/>
    <w:link w:val="Textnotdesubsol"/>
    <w:rsid w:val="008F70A7"/>
    <w:rPr>
      <w:lang w:val="en-US" w:eastAsia="en-US"/>
    </w:rPr>
  </w:style>
  <w:style w:type="paragraph" w:customStyle="1" w:styleId="rvps1">
    <w:name w:val="rvps1"/>
    <w:basedOn w:val="Normal"/>
    <w:rsid w:val="008F70A7"/>
    <w:pPr>
      <w:jc w:val="center"/>
    </w:pPr>
    <w:rPr>
      <w:rFonts w:ascii="Times New Roman" w:hAnsi="Times New Roman"/>
    </w:rPr>
  </w:style>
  <w:style w:type="paragraph" w:styleId="Antet">
    <w:name w:val="header"/>
    <w:basedOn w:val="Normal"/>
    <w:link w:val="AntetCaracter"/>
    <w:uiPriority w:val="99"/>
    <w:rsid w:val="008F70A7"/>
    <w:pPr>
      <w:tabs>
        <w:tab w:val="center" w:pos="4320"/>
        <w:tab w:val="right" w:pos="8640"/>
      </w:tabs>
    </w:pPr>
    <w:rPr>
      <w:rFonts w:ascii="Arial" w:hAnsi="Arial"/>
      <w:sz w:val="28"/>
      <w:szCs w:val="20"/>
    </w:rPr>
  </w:style>
  <w:style w:type="character" w:customStyle="1" w:styleId="AntetCaracter">
    <w:name w:val="Antet Caracter"/>
    <w:link w:val="Antet"/>
    <w:uiPriority w:val="99"/>
    <w:rsid w:val="008F70A7"/>
    <w:rPr>
      <w:rFonts w:ascii="Arial" w:hAnsi="Arial"/>
      <w:sz w:val="28"/>
      <w:lang w:val="en-US" w:eastAsia="en-US"/>
    </w:rPr>
  </w:style>
  <w:style w:type="character" w:customStyle="1" w:styleId="rvts10">
    <w:name w:val="rvts10"/>
    <w:rsid w:val="008F70A7"/>
  </w:style>
  <w:style w:type="character" w:customStyle="1" w:styleId="rvts11">
    <w:name w:val="rvts11"/>
    <w:rsid w:val="008F70A7"/>
  </w:style>
  <w:style w:type="character" w:customStyle="1" w:styleId="rvts8">
    <w:name w:val="rvts8"/>
    <w:rsid w:val="008F70A7"/>
  </w:style>
  <w:style w:type="character" w:customStyle="1" w:styleId="rvts17">
    <w:name w:val="rvts17"/>
    <w:rsid w:val="008F70A7"/>
  </w:style>
  <w:style w:type="character" w:styleId="Accentuat">
    <w:name w:val="Emphasis"/>
    <w:qFormat/>
    <w:rsid w:val="008F70A7"/>
    <w:rPr>
      <w:i/>
      <w:iCs/>
    </w:rPr>
  </w:style>
  <w:style w:type="paragraph" w:customStyle="1" w:styleId="Default">
    <w:name w:val="Default"/>
    <w:rsid w:val="008F70A7"/>
    <w:pPr>
      <w:autoSpaceDE w:val="0"/>
      <w:autoSpaceDN w:val="0"/>
      <w:adjustRightInd w:val="0"/>
    </w:pPr>
    <w:rPr>
      <w:color w:val="000000"/>
      <w:sz w:val="24"/>
      <w:szCs w:val="24"/>
    </w:rPr>
  </w:style>
  <w:style w:type="character" w:styleId="Referinnotdesubsol">
    <w:name w:val="footnote reference"/>
    <w:rsid w:val="008F70A7"/>
    <w:rPr>
      <w:vertAlign w:val="superscript"/>
    </w:rPr>
  </w:style>
  <w:style w:type="character" w:customStyle="1" w:styleId="st">
    <w:name w:val="st"/>
    <w:rsid w:val="008F70A7"/>
  </w:style>
  <w:style w:type="character" w:customStyle="1" w:styleId="rvts6">
    <w:name w:val="rvts6"/>
    <w:rsid w:val="008F70A7"/>
  </w:style>
  <w:style w:type="paragraph" w:styleId="Subsol">
    <w:name w:val="footer"/>
    <w:basedOn w:val="Normal"/>
    <w:link w:val="SubsolCaracter"/>
    <w:uiPriority w:val="99"/>
    <w:rsid w:val="00BB700E"/>
    <w:pPr>
      <w:tabs>
        <w:tab w:val="center" w:pos="4536"/>
        <w:tab w:val="right" w:pos="9072"/>
      </w:tabs>
    </w:pPr>
  </w:style>
  <w:style w:type="character" w:customStyle="1" w:styleId="SubsolCaracter">
    <w:name w:val="Subsol Caracter"/>
    <w:link w:val="Subsol"/>
    <w:uiPriority w:val="99"/>
    <w:rsid w:val="00BB700E"/>
    <w:rPr>
      <w:rFonts w:ascii="Calibri" w:hAnsi="Calibri"/>
      <w:sz w:val="24"/>
      <w:szCs w:val="24"/>
      <w:lang w:val="en-US" w:eastAsia="en-US"/>
    </w:rPr>
  </w:style>
  <w:style w:type="paragraph" w:customStyle="1" w:styleId="StyleJustified">
    <w:name w:val="Style Justified"/>
    <w:basedOn w:val="Normal"/>
    <w:rsid w:val="00B845DE"/>
    <w:pPr>
      <w:spacing w:after="120"/>
      <w:jc w:val="both"/>
    </w:pPr>
    <w:rPr>
      <w:rFonts w:ascii="Arial" w:hAnsi="Arial"/>
      <w:sz w:val="22"/>
      <w:szCs w:val="20"/>
      <w:lang w:val="en-GB" w:eastAsia="de-DE"/>
    </w:rPr>
  </w:style>
  <w:style w:type="character" w:customStyle="1" w:styleId="longtext">
    <w:name w:val="long_text"/>
    <w:rsid w:val="00B845DE"/>
  </w:style>
  <w:style w:type="character" w:customStyle="1" w:styleId="hps">
    <w:name w:val="hps"/>
    <w:rsid w:val="00B845DE"/>
  </w:style>
  <w:style w:type="character" w:customStyle="1" w:styleId="rvts3">
    <w:name w:val="rvts3"/>
    <w:rsid w:val="00DB1734"/>
    <w:rPr>
      <w:b/>
      <w:bCs/>
      <w:color w:val="191919"/>
    </w:rPr>
  </w:style>
  <w:style w:type="paragraph" w:customStyle="1" w:styleId="CaracterCaracterCharChar">
    <w:name w:val="Caracter Caracter Char Char"/>
    <w:basedOn w:val="Normal"/>
    <w:rsid w:val="00D010FD"/>
    <w:rPr>
      <w:rFonts w:ascii="Arial" w:hAnsi="Arial"/>
      <w:sz w:val="28"/>
      <w:szCs w:val="20"/>
      <w:lang w:val="pl-PL" w:eastAsia="pl-PL"/>
    </w:rPr>
  </w:style>
  <w:style w:type="character" w:customStyle="1" w:styleId="rvts12">
    <w:name w:val="rvts12"/>
    <w:rsid w:val="007F708A"/>
  </w:style>
  <w:style w:type="paragraph" w:styleId="Frspaiere">
    <w:name w:val="No Spacing"/>
    <w:link w:val="FrspaiereCaracter"/>
    <w:uiPriority w:val="1"/>
    <w:qFormat/>
    <w:rsid w:val="005154EF"/>
    <w:rPr>
      <w:rFonts w:ascii="Calibri" w:eastAsia="MS Mincho" w:hAnsi="Calibri"/>
      <w:sz w:val="22"/>
      <w:szCs w:val="22"/>
      <w:lang w:val="en-US" w:eastAsia="ja-JP"/>
    </w:rPr>
  </w:style>
  <w:style w:type="character" w:customStyle="1" w:styleId="FrspaiereCaracter">
    <w:name w:val="Fără spațiere Caracter"/>
    <w:link w:val="Frspaiere"/>
    <w:uiPriority w:val="1"/>
    <w:rsid w:val="005154EF"/>
    <w:rPr>
      <w:rFonts w:ascii="Calibri" w:eastAsia="MS Mincho" w:hAnsi="Calibri"/>
      <w:sz w:val="22"/>
      <w:szCs w:val="22"/>
      <w:lang w:val="en-US" w:eastAsia="ja-JP" w:bidi="ar-SA"/>
    </w:rPr>
  </w:style>
  <w:style w:type="paragraph" w:styleId="TextnBalon">
    <w:name w:val="Balloon Text"/>
    <w:basedOn w:val="Normal"/>
    <w:link w:val="TextnBalonCaracter"/>
    <w:rsid w:val="005154EF"/>
    <w:rPr>
      <w:rFonts w:ascii="Tahoma" w:hAnsi="Tahoma"/>
      <w:sz w:val="16"/>
      <w:szCs w:val="16"/>
    </w:rPr>
  </w:style>
  <w:style w:type="character" w:customStyle="1" w:styleId="TextnBalonCaracter">
    <w:name w:val="Text în Balon Caracter"/>
    <w:link w:val="TextnBalon"/>
    <w:rsid w:val="005154EF"/>
    <w:rPr>
      <w:rFonts w:ascii="Tahoma" w:hAnsi="Tahoma" w:cs="Tahoma"/>
      <w:sz w:val="16"/>
      <w:szCs w:val="16"/>
      <w:lang w:val="en-US" w:eastAsia="en-US"/>
    </w:rPr>
  </w:style>
  <w:style w:type="character" w:customStyle="1" w:styleId="rvts13">
    <w:name w:val="rvts13"/>
    <w:rsid w:val="00F814FC"/>
  </w:style>
  <w:style w:type="character" w:customStyle="1" w:styleId="rvts20">
    <w:name w:val="rvts20"/>
    <w:rsid w:val="00F814FC"/>
    <w:rPr>
      <w:rFonts w:ascii="Times New Roman" w:hAnsi="Times New Roman" w:cs="Times New Roman" w:hint="default"/>
      <w:i/>
      <w:iCs/>
      <w:color w:val="008000"/>
      <w:sz w:val="24"/>
      <w:szCs w:val="24"/>
    </w:rPr>
  </w:style>
  <w:style w:type="character" w:customStyle="1" w:styleId="rvts15">
    <w:name w:val="rvts15"/>
    <w:rsid w:val="00F33D3F"/>
  </w:style>
  <w:style w:type="character" w:customStyle="1" w:styleId="AddParagrafChar">
    <w:name w:val="AddParagraf Char"/>
    <w:locked/>
    <w:rsid w:val="007C1FE5"/>
    <w:rPr>
      <w:rFonts w:ascii="Garamond" w:eastAsia="Batang" w:hAnsi="Garamond"/>
      <w:bCs/>
      <w:kern w:val="28"/>
      <w:sz w:val="24"/>
      <w:szCs w:val="24"/>
    </w:rPr>
  </w:style>
  <w:style w:type="character" w:styleId="Numrdepagin">
    <w:name w:val="page number"/>
    <w:basedOn w:val="Fontdeparagrafimplicit"/>
    <w:rsid w:val="00A9684C"/>
  </w:style>
  <w:style w:type="character" w:styleId="Referincomentariu">
    <w:name w:val="annotation reference"/>
    <w:uiPriority w:val="99"/>
    <w:unhideWhenUsed/>
    <w:rsid w:val="0076173C"/>
    <w:rPr>
      <w:sz w:val="16"/>
      <w:szCs w:val="16"/>
    </w:rPr>
  </w:style>
  <w:style w:type="paragraph" w:customStyle="1" w:styleId="CommentText1">
    <w:name w:val="Comment Text1"/>
    <w:basedOn w:val="Normal"/>
    <w:next w:val="Textcomentariu"/>
    <w:link w:val="CommentTextChar"/>
    <w:uiPriority w:val="99"/>
    <w:semiHidden/>
    <w:unhideWhenUsed/>
    <w:rsid w:val="0076173C"/>
    <w:pPr>
      <w:spacing w:after="160"/>
    </w:pPr>
    <w:rPr>
      <w:rFonts w:ascii="Times New Roman" w:hAnsi="Times New Roman"/>
      <w:sz w:val="20"/>
      <w:szCs w:val="20"/>
      <w:lang w:val="x-none" w:eastAsia="x-none"/>
    </w:rPr>
  </w:style>
  <w:style w:type="paragraph" w:styleId="Textcomentariu">
    <w:name w:val="annotation text"/>
    <w:basedOn w:val="Normal"/>
    <w:link w:val="TextcomentariuCaracter"/>
    <w:rsid w:val="0076173C"/>
    <w:rPr>
      <w:sz w:val="20"/>
      <w:szCs w:val="20"/>
      <w:lang w:val="x-none" w:eastAsia="x-none"/>
    </w:rPr>
  </w:style>
  <w:style w:type="character" w:customStyle="1" w:styleId="TextcomentariuCaracter">
    <w:name w:val="Text comentariu Caracter"/>
    <w:link w:val="Textcomentariu"/>
    <w:rsid w:val="0076173C"/>
    <w:rPr>
      <w:rFonts w:ascii="Calibri" w:hAnsi="Calibri"/>
    </w:rPr>
  </w:style>
  <w:style w:type="character" w:customStyle="1" w:styleId="CommentTextChar">
    <w:name w:val="Comment Text Char"/>
    <w:link w:val="CommentText1"/>
    <w:uiPriority w:val="99"/>
    <w:semiHidden/>
    <w:rsid w:val="0076173C"/>
    <w:rPr>
      <w:sz w:val="20"/>
      <w:szCs w:val="20"/>
    </w:rPr>
  </w:style>
  <w:style w:type="character" w:customStyle="1" w:styleId="outputecliaff">
    <w:name w:val="outputecliaff"/>
    <w:rsid w:val="0076173C"/>
  </w:style>
  <w:style w:type="table" w:styleId="Tabelgril">
    <w:name w:val="Table Grid"/>
    <w:basedOn w:val="TabelNormal"/>
    <w:rsid w:val="007617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76173C"/>
  </w:style>
  <w:style w:type="character" w:customStyle="1" w:styleId="tooltiplink">
    <w:name w:val="tooltiplink"/>
    <w:rsid w:val="0076173C"/>
  </w:style>
  <w:style w:type="paragraph" w:customStyle="1" w:styleId="CaracterCaracterCharChar0">
    <w:name w:val="Caracter Caracter Char Char"/>
    <w:basedOn w:val="Normal"/>
    <w:rsid w:val="00A33929"/>
    <w:rPr>
      <w:rFonts w:ascii="Arial" w:hAnsi="Arial"/>
      <w:sz w:val="28"/>
      <w:szCs w:val="20"/>
      <w:lang w:val="pl-PL" w:eastAsia="pl-PL"/>
    </w:rPr>
  </w:style>
  <w:style w:type="character" w:customStyle="1" w:styleId="apple-style-span">
    <w:name w:val="apple-style-span"/>
    <w:rsid w:val="00A33929"/>
  </w:style>
  <w:style w:type="character" w:customStyle="1" w:styleId="rvts19">
    <w:name w:val="rvts19"/>
    <w:rsid w:val="00A33929"/>
    <w:rPr>
      <w:rFonts w:ascii="Times New Roman" w:hAnsi="Times New Roman"/>
      <w:i/>
      <w:color w:val="008000"/>
      <w:sz w:val="24"/>
    </w:rPr>
  </w:style>
  <w:style w:type="character" w:customStyle="1" w:styleId="CaracterCaracter8">
    <w:name w:val="Caracter Caracter8"/>
    <w:uiPriority w:val="99"/>
    <w:rsid w:val="00A33929"/>
    <w:rPr>
      <w:sz w:val="24"/>
      <w:lang w:val="ro-RO" w:eastAsia="en-US"/>
    </w:rPr>
  </w:style>
  <w:style w:type="character" w:customStyle="1" w:styleId="FunotentextCharCaracterCaracter">
    <w:name w:val="Fußnotentext Char Caracter Caracter"/>
    <w:uiPriority w:val="99"/>
    <w:rsid w:val="00A33929"/>
    <w:rPr>
      <w:lang w:val="en-US" w:eastAsia="en-US"/>
    </w:rPr>
  </w:style>
  <w:style w:type="paragraph" w:customStyle="1" w:styleId="CharCharCaracterCaracterCharCharCaracterCaracter">
    <w:name w:val="Char Char Caracter Caracter Char Char Caracter Caracter"/>
    <w:basedOn w:val="Normal"/>
    <w:uiPriority w:val="99"/>
    <w:rsid w:val="00A33929"/>
    <w:rPr>
      <w:rFonts w:ascii="Times New Roman" w:hAnsi="Times New Roman"/>
      <w:sz w:val="20"/>
      <w:szCs w:val="20"/>
      <w:lang w:val="pl-PL" w:eastAsia="pl-PL"/>
    </w:rPr>
  </w:style>
  <w:style w:type="paragraph" w:styleId="Indentcorptext">
    <w:name w:val="Body Text Indent"/>
    <w:basedOn w:val="Normal"/>
    <w:link w:val="IndentcorptextCaracter"/>
    <w:rsid w:val="00A33929"/>
    <w:pPr>
      <w:ind w:firstLine="720"/>
      <w:jc w:val="both"/>
    </w:pPr>
    <w:rPr>
      <w:rFonts w:ascii="Times New Roman" w:hAnsi="Times New Roman"/>
      <w:lang w:val="fr-FR" w:eastAsia="x-none"/>
    </w:rPr>
  </w:style>
  <w:style w:type="character" w:customStyle="1" w:styleId="IndentcorptextCaracter">
    <w:name w:val="Indent corp text Caracter"/>
    <w:link w:val="Indentcorptext"/>
    <w:rsid w:val="00A33929"/>
    <w:rPr>
      <w:sz w:val="24"/>
      <w:szCs w:val="24"/>
      <w:lang w:val="fr-FR"/>
    </w:rPr>
  </w:style>
  <w:style w:type="paragraph" w:styleId="Indentcorptext2">
    <w:name w:val="Body Text Indent 2"/>
    <w:basedOn w:val="Normal"/>
    <w:link w:val="Indentcorptext2Caracter"/>
    <w:rsid w:val="00A33929"/>
    <w:pPr>
      <w:ind w:firstLine="708"/>
      <w:jc w:val="both"/>
    </w:pPr>
    <w:rPr>
      <w:rFonts w:ascii="Times New Roman" w:hAnsi="Times New Roman"/>
      <w:lang w:val="fr-FR" w:eastAsia="x-none"/>
    </w:rPr>
  </w:style>
  <w:style w:type="character" w:customStyle="1" w:styleId="Indentcorptext2Caracter">
    <w:name w:val="Indent corp text 2 Caracter"/>
    <w:link w:val="Indentcorptext2"/>
    <w:rsid w:val="00A33929"/>
    <w:rPr>
      <w:sz w:val="24"/>
      <w:szCs w:val="24"/>
      <w:lang w:val="fr-FR"/>
    </w:rPr>
  </w:style>
  <w:style w:type="paragraph" w:customStyle="1" w:styleId="Style16">
    <w:name w:val="Style16"/>
    <w:basedOn w:val="Normal"/>
    <w:uiPriority w:val="99"/>
    <w:rsid w:val="00A33929"/>
    <w:pPr>
      <w:widowControl w:val="0"/>
      <w:autoSpaceDE w:val="0"/>
      <w:autoSpaceDN w:val="0"/>
      <w:adjustRightInd w:val="0"/>
    </w:pPr>
    <w:rPr>
      <w:rFonts w:ascii="Arial" w:hAnsi="Arial"/>
    </w:rPr>
  </w:style>
  <w:style w:type="paragraph" w:styleId="Corptext">
    <w:name w:val="Body Text"/>
    <w:basedOn w:val="Normal"/>
    <w:link w:val="CorptextCaracter"/>
    <w:rsid w:val="00A33929"/>
    <w:pPr>
      <w:jc w:val="both"/>
    </w:pPr>
    <w:rPr>
      <w:rFonts w:ascii="Times New Roman" w:hAnsi="Times New Roman"/>
      <w:lang w:val="x-none" w:eastAsia="x-none"/>
    </w:rPr>
  </w:style>
  <w:style w:type="character" w:customStyle="1" w:styleId="CorptextCaracter">
    <w:name w:val="Corp text Caracter"/>
    <w:link w:val="Corptext"/>
    <w:rsid w:val="00A33929"/>
    <w:rPr>
      <w:sz w:val="24"/>
      <w:szCs w:val="24"/>
    </w:rPr>
  </w:style>
  <w:style w:type="character" w:styleId="HyperlinkParcurs">
    <w:name w:val="FollowedHyperlink"/>
    <w:uiPriority w:val="99"/>
    <w:rsid w:val="00A33929"/>
    <w:rPr>
      <w:rFonts w:cs="Times New Roman"/>
      <w:color w:val="800080"/>
      <w:u w:val="single"/>
    </w:rPr>
  </w:style>
  <w:style w:type="paragraph" w:customStyle="1" w:styleId="Raport1">
    <w:name w:val="Raport 1"/>
    <w:basedOn w:val="Titlu1"/>
    <w:rsid w:val="00A33929"/>
    <w:pPr>
      <w:pageBreakBefore/>
      <w:tabs>
        <w:tab w:val="left" w:pos="1701"/>
      </w:tabs>
      <w:spacing w:after="60" w:line="240" w:lineRule="auto"/>
      <w:ind w:left="0"/>
      <w:jc w:val="left"/>
    </w:pPr>
    <w:rPr>
      <w:rFonts w:ascii="Garamond" w:hAnsi="Garamond"/>
      <w:szCs w:val="22"/>
      <w:lang w:val="en-US" w:eastAsia="ro-RO"/>
    </w:rPr>
  </w:style>
  <w:style w:type="paragraph" w:customStyle="1" w:styleId="Raport2">
    <w:name w:val="Raport 2"/>
    <w:basedOn w:val="Titlu2"/>
    <w:link w:val="Raport2Caracter"/>
    <w:rsid w:val="00A33929"/>
    <w:pPr>
      <w:tabs>
        <w:tab w:val="clear" w:pos="567"/>
        <w:tab w:val="left" w:pos="851"/>
      </w:tabs>
      <w:spacing w:before="0" w:after="60" w:line="240" w:lineRule="auto"/>
      <w:ind w:left="0" w:firstLine="720"/>
      <w:jc w:val="left"/>
    </w:pPr>
    <w:rPr>
      <w:rFonts w:ascii="Garamond" w:hAnsi="Garamond"/>
      <w:i w:val="0"/>
      <w:color w:val="000000"/>
      <w:sz w:val="28"/>
      <w:szCs w:val="20"/>
      <w:lang w:val="x-none" w:eastAsia="ro-RO"/>
    </w:rPr>
  </w:style>
  <w:style w:type="character" w:customStyle="1" w:styleId="Raport2Caracter">
    <w:name w:val="Raport 2 Caracter"/>
    <w:link w:val="Raport2"/>
    <w:locked/>
    <w:rsid w:val="00A33929"/>
    <w:rPr>
      <w:rFonts w:ascii="Garamond" w:hAnsi="Garamond"/>
      <w:b/>
      <w:i/>
      <w:color w:val="000000"/>
      <w:sz w:val="28"/>
      <w:lang w:eastAsia="ro-RO"/>
    </w:rPr>
  </w:style>
  <w:style w:type="paragraph" w:styleId="Cuprins5">
    <w:name w:val="toc 5"/>
    <w:basedOn w:val="Normal"/>
    <w:next w:val="Normal"/>
    <w:autoRedefine/>
    <w:rsid w:val="00A33929"/>
    <w:pPr>
      <w:ind w:left="960"/>
    </w:pPr>
    <w:rPr>
      <w:rFonts w:ascii="Times New Roman" w:hAnsi="Times New Roman"/>
      <w:sz w:val="20"/>
      <w:szCs w:val="20"/>
    </w:rPr>
  </w:style>
  <w:style w:type="paragraph" w:styleId="Cuprins6">
    <w:name w:val="toc 6"/>
    <w:basedOn w:val="Normal"/>
    <w:next w:val="Normal"/>
    <w:autoRedefine/>
    <w:rsid w:val="00A33929"/>
    <w:pPr>
      <w:ind w:left="1200"/>
    </w:pPr>
    <w:rPr>
      <w:rFonts w:ascii="Times New Roman" w:hAnsi="Times New Roman"/>
      <w:sz w:val="20"/>
      <w:szCs w:val="20"/>
    </w:rPr>
  </w:style>
  <w:style w:type="paragraph" w:styleId="Cuprins7">
    <w:name w:val="toc 7"/>
    <w:basedOn w:val="Normal"/>
    <w:next w:val="Normal"/>
    <w:autoRedefine/>
    <w:rsid w:val="00A33929"/>
    <w:pPr>
      <w:ind w:left="1440"/>
    </w:pPr>
    <w:rPr>
      <w:rFonts w:ascii="Times New Roman" w:hAnsi="Times New Roman"/>
      <w:sz w:val="20"/>
      <w:szCs w:val="20"/>
    </w:rPr>
  </w:style>
  <w:style w:type="paragraph" w:styleId="Cuprins8">
    <w:name w:val="toc 8"/>
    <w:basedOn w:val="Normal"/>
    <w:next w:val="Normal"/>
    <w:autoRedefine/>
    <w:rsid w:val="00A33929"/>
    <w:pPr>
      <w:ind w:left="1680"/>
    </w:pPr>
    <w:rPr>
      <w:rFonts w:ascii="Times New Roman" w:hAnsi="Times New Roman"/>
      <w:sz w:val="20"/>
      <w:szCs w:val="20"/>
    </w:rPr>
  </w:style>
  <w:style w:type="paragraph" w:styleId="Cuprins9">
    <w:name w:val="toc 9"/>
    <w:basedOn w:val="Normal"/>
    <w:next w:val="Normal"/>
    <w:autoRedefine/>
    <w:rsid w:val="00A33929"/>
    <w:pPr>
      <w:ind w:left="1920"/>
    </w:pPr>
    <w:rPr>
      <w:rFonts w:ascii="Times New Roman" w:hAnsi="Times New Roman"/>
      <w:sz w:val="20"/>
      <w:szCs w:val="20"/>
    </w:rPr>
  </w:style>
  <w:style w:type="paragraph" w:styleId="Textsimplu">
    <w:name w:val="Plain Text"/>
    <w:basedOn w:val="Normal"/>
    <w:link w:val="TextsimpluCaracter"/>
    <w:rsid w:val="00A33929"/>
    <w:pPr>
      <w:spacing w:before="100" w:beforeAutospacing="1" w:after="100" w:afterAutospacing="1"/>
    </w:pPr>
    <w:rPr>
      <w:rFonts w:ascii="Times New Roman" w:hAnsi="Times New Roman"/>
      <w:lang w:val="x-none" w:eastAsia="x-none"/>
    </w:rPr>
  </w:style>
  <w:style w:type="character" w:customStyle="1" w:styleId="TextsimpluCaracter">
    <w:name w:val="Text simplu Caracter"/>
    <w:link w:val="Textsimplu"/>
    <w:rsid w:val="00A33929"/>
    <w:rPr>
      <w:sz w:val="24"/>
      <w:szCs w:val="24"/>
    </w:rPr>
  </w:style>
  <w:style w:type="paragraph" w:customStyle="1" w:styleId="CharChar2">
    <w:name w:val="Char Char2"/>
    <w:basedOn w:val="Normal"/>
    <w:uiPriority w:val="99"/>
    <w:rsid w:val="00A33929"/>
    <w:rPr>
      <w:rFonts w:ascii="Times New Roman" w:hAnsi="Times New Roman"/>
      <w:sz w:val="20"/>
      <w:szCs w:val="20"/>
      <w:lang w:val="pl-PL" w:eastAsia="pl-PL"/>
    </w:rPr>
  </w:style>
  <w:style w:type="paragraph" w:customStyle="1" w:styleId="CaracterCaracter2CharCharCaracterCaracterCharChar">
    <w:name w:val="Caracter Caracter2 Char Char Caracter Caracter Char Char"/>
    <w:basedOn w:val="Normal"/>
    <w:rsid w:val="00A33929"/>
    <w:rPr>
      <w:rFonts w:ascii="Times New Roman" w:hAnsi="Times New Roman"/>
      <w:lang w:val="pl-PL" w:eastAsia="pl-PL"/>
    </w:rPr>
  </w:style>
  <w:style w:type="paragraph" w:customStyle="1" w:styleId="CaracterCaracterCharChar1">
    <w:name w:val="Caracter Caracter Char Char1"/>
    <w:basedOn w:val="Normal"/>
    <w:uiPriority w:val="99"/>
    <w:rsid w:val="00A33929"/>
    <w:rPr>
      <w:rFonts w:ascii="Times New Roman" w:hAnsi="Times New Roman"/>
      <w:lang w:val="pl-PL" w:eastAsia="pl-PL"/>
    </w:rPr>
  </w:style>
  <w:style w:type="paragraph" w:customStyle="1" w:styleId="Norml1al">
    <w:name w:val="Normál 1_alá"/>
    <w:basedOn w:val="Normal"/>
    <w:rsid w:val="00A33929"/>
    <w:pPr>
      <w:tabs>
        <w:tab w:val="num" w:pos="993"/>
        <w:tab w:val="num" w:pos="2160"/>
      </w:tabs>
      <w:spacing w:before="80" w:after="80" w:line="280" w:lineRule="atLeast"/>
      <w:ind w:left="993" w:hanging="357"/>
      <w:jc w:val="both"/>
    </w:pPr>
    <w:rPr>
      <w:rFonts w:ascii="Arial" w:hAnsi="Arial" w:cs="Arial"/>
      <w:sz w:val="20"/>
      <w:szCs w:val="20"/>
      <w:lang w:val="en-GB" w:eastAsia="hu-HU"/>
    </w:rPr>
  </w:style>
  <w:style w:type="paragraph" w:customStyle="1" w:styleId="Standard">
    <w:name w:val="Standard"/>
    <w:rsid w:val="00A33929"/>
    <w:pPr>
      <w:widowControl w:val="0"/>
      <w:autoSpaceDE w:val="0"/>
      <w:autoSpaceDN w:val="0"/>
      <w:adjustRightInd w:val="0"/>
    </w:pPr>
    <w:rPr>
      <w:rFonts w:ascii="Arial" w:hAnsi="Arial" w:cs="Arial"/>
      <w:sz w:val="24"/>
      <w:szCs w:val="24"/>
    </w:rPr>
  </w:style>
  <w:style w:type="character" w:customStyle="1" w:styleId="style3">
    <w:name w:val="style3"/>
    <w:rsid w:val="00A33929"/>
  </w:style>
  <w:style w:type="character" w:customStyle="1" w:styleId="meniutext">
    <w:name w:val="meniu_text"/>
    <w:rsid w:val="00A33929"/>
  </w:style>
  <w:style w:type="paragraph" w:customStyle="1" w:styleId="CharChar3">
    <w:name w:val="Char Char3"/>
    <w:basedOn w:val="Normal"/>
    <w:uiPriority w:val="99"/>
    <w:rsid w:val="00A33929"/>
    <w:rPr>
      <w:rFonts w:ascii="Times New Roman" w:hAnsi="Times New Roman"/>
      <w:lang w:val="pl-PL" w:eastAsia="pl-PL"/>
    </w:rPr>
  </w:style>
  <w:style w:type="paragraph" w:customStyle="1" w:styleId="CharChar2CaracterCharChar">
    <w:name w:val="Char Char2 Caracter Char Char"/>
    <w:basedOn w:val="Normal"/>
    <w:rsid w:val="00A33929"/>
    <w:rPr>
      <w:rFonts w:ascii="Times New Roman" w:hAnsi="Times New Roman"/>
      <w:lang w:val="pl-PL" w:eastAsia="pl-PL"/>
    </w:rPr>
  </w:style>
  <w:style w:type="paragraph" w:customStyle="1" w:styleId="CharChar2CaracterCharChar1">
    <w:name w:val="Char Char2 Caracter Char Char1"/>
    <w:basedOn w:val="Normal"/>
    <w:uiPriority w:val="99"/>
    <w:rsid w:val="00A33929"/>
    <w:rPr>
      <w:rFonts w:ascii="Times New Roman" w:hAnsi="Times New Roman"/>
      <w:lang w:val="pl-PL" w:eastAsia="pl-PL"/>
    </w:rPr>
  </w:style>
  <w:style w:type="paragraph" w:customStyle="1" w:styleId="CharChar">
    <w:name w:val="Char Char"/>
    <w:basedOn w:val="Normal"/>
    <w:uiPriority w:val="99"/>
    <w:rsid w:val="00A33929"/>
    <w:rPr>
      <w:rFonts w:ascii="Times New Roman" w:hAnsi="Times New Roman"/>
      <w:sz w:val="20"/>
      <w:szCs w:val="20"/>
      <w:lang w:val="pl-PL" w:eastAsia="pl-PL"/>
    </w:rPr>
  </w:style>
  <w:style w:type="paragraph" w:customStyle="1" w:styleId="CaracterCharChar">
    <w:name w:val="Caracter Char Char"/>
    <w:basedOn w:val="Normal"/>
    <w:uiPriority w:val="99"/>
    <w:rsid w:val="00A33929"/>
    <w:rPr>
      <w:rFonts w:ascii="Times New Roman" w:hAnsi="Times New Roman"/>
      <w:lang w:val="pl-PL" w:eastAsia="pl-PL"/>
    </w:rPr>
  </w:style>
  <w:style w:type="paragraph" w:customStyle="1" w:styleId="CharCaracterCaracter">
    <w:name w:val="Char Caracter Caracter"/>
    <w:basedOn w:val="Normal"/>
    <w:uiPriority w:val="99"/>
    <w:rsid w:val="00A33929"/>
    <w:rPr>
      <w:rFonts w:ascii="Times New Roman" w:hAnsi="Times New Roman"/>
      <w:lang w:val="pl-PL" w:eastAsia="pl-PL"/>
    </w:rPr>
  </w:style>
  <w:style w:type="paragraph" w:customStyle="1" w:styleId="Corptext5">
    <w:name w:val="Corp text 5"/>
    <w:basedOn w:val="Corptext"/>
    <w:autoRedefine/>
    <w:rsid w:val="00A33929"/>
    <w:pPr>
      <w:widowControl w:val="0"/>
      <w:shd w:val="clear" w:color="auto" w:fill="FFFFFF"/>
      <w:tabs>
        <w:tab w:val="left" w:pos="0"/>
      </w:tabs>
      <w:autoSpaceDE w:val="0"/>
      <w:autoSpaceDN w:val="0"/>
      <w:adjustRightInd w:val="0"/>
      <w:ind w:firstLine="720"/>
    </w:pPr>
    <w:rPr>
      <w:rFonts w:ascii="Bookman Old Style" w:hAnsi="Bookman Old Style"/>
      <w:lang w:val="ro-RO" w:eastAsia="ro-RO"/>
    </w:rPr>
  </w:style>
  <w:style w:type="paragraph" w:customStyle="1" w:styleId="CharChar1">
    <w:name w:val="Char Char1"/>
    <w:basedOn w:val="Normal"/>
    <w:uiPriority w:val="99"/>
    <w:rsid w:val="00A33929"/>
    <w:rPr>
      <w:rFonts w:ascii="Times New Roman" w:hAnsi="Times New Roman"/>
      <w:sz w:val="20"/>
      <w:szCs w:val="20"/>
      <w:lang w:val="pl-PL" w:eastAsia="pl-PL"/>
    </w:rPr>
  </w:style>
  <w:style w:type="character" w:customStyle="1" w:styleId="rvts9">
    <w:name w:val="rvts9"/>
    <w:rsid w:val="00A33929"/>
  </w:style>
  <w:style w:type="character" w:customStyle="1" w:styleId="titludespetatitlu">
    <w:name w:val="titlu de speta titlu"/>
    <w:rsid w:val="00A33929"/>
  </w:style>
  <w:style w:type="character" w:customStyle="1" w:styleId="rvts4">
    <w:name w:val="rvts4"/>
    <w:rsid w:val="00A33929"/>
  </w:style>
  <w:style w:type="paragraph" w:customStyle="1" w:styleId="rvps2">
    <w:name w:val="rvps2"/>
    <w:basedOn w:val="Normal"/>
    <w:rsid w:val="00A33929"/>
    <w:pPr>
      <w:spacing w:before="100" w:beforeAutospacing="1" w:after="100" w:afterAutospacing="1"/>
    </w:pPr>
    <w:rPr>
      <w:rFonts w:ascii="Times New Roman" w:hAnsi="Times New Roman"/>
    </w:rPr>
  </w:style>
  <w:style w:type="paragraph" w:styleId="Corptext2">
    <w:name w:val="Body Text 2"/>
    <w:basedOn w:val="Normal"/>
    <w:link w:val="Corptext2Caracter"/>
    <w:rsid w:val="00A33929"/>
    <w:pPr>
      <w:spacing w:after="120" w:line="480" w:lineRule="auto"/>
    </w:pPr>
    <w:rPr>
      <w:rFonts w:ascii="Times New Roman" w:hAnsi="Times New Roman"/>
      <w:lang w:val="x-none" w:eastAsia="x-none"/>
    </w:rPr>
  </w:style>
  <w:style w:type="character" w:customStyle="1" w:styleId="Corptext2Caracter">
    <w:name w:val="Corp text 2 Caracter"/>
    <w:link w:val="Corptext2"/>
    <w:rsid w:val="00A33929"/>
    <w:rPr>
      <w:sz w:val="24"/>
      <w:szCs w:val="24"/>
    </w:rPr>
  </w:style>
  <w:style w:type="paragraph" w:customStyle="1" w:styleId="Caracter">
    <w:name w:val="Caracter"/>
    <w:basedOn w:val="Normal"/>
    <w:rsid w:val="00A33929"/>
    <w:rPr>
      <w:rFonts w:ascii="Times New Roman" w:hAnsi="Times New Roman"/>
      <w:lang w:val="pl-PL" w:eastAsia="pl-PL"/>
    </w:rPr>
  </w:style>
  <w:style w:type="paragraph" w:customStyle="1" w:styleId="Char">
    <w:name w:val="Char"/>
    <w:basedOn w:val="Normal"/>
    <w:rsid w:val="00A33929"/>
    <w:rPr>
      <w:rFonts w:ascii="Times New Roman" w:hAnsi="Times New Roman"/>
      <w:lang w:val="pl-PL" w:eastAsia="pl-PL"/>
    </w:rPr>
  </w:style>
  <w:style w:type="paragraph" w:styleId="Indentcorptext3">
    <w:name w:val="Body Text Indent 3"/>
    <w:basedOn w:val="Normal"/>
    <w:link w:val="Indentcorptext3Caracter"/>
    <w:rsid w:val="00A33929"/>
    <w:pPr>
      <w:spacing w:after="120"/>
      <w:ind w:left="283"/>
    </w:pPr>
    <w:rPr>
      <w:rFonts w:ascii="Times New Roman" w:hAnsi="Times New Roman"/>
      <w:sz w:val="16"/>
      <w:szCs w:val="16"/>
      <w:lang w:val="x-none" w:eastAsia="x-none"/>
    </w:rPr>
  </w:style>
  <w:style w:type="character" w:customStyle="1" w:styleId="Indentcorptext3Caracter">
    <w:name w:val="Indent corp text 3 Caracter"/>
    <w:link w:val="Indentcorptext3"/>
    <w:rsid w:val="00A33929"/>
    <w:rPr>
      <w:sz w:val="16"/>
      <w:szCs w:val="16"/>
    </w:rPr>
  </w:style>
  <w:style w:type="paragraph" w:styleId="Corptext3">
    <w:name w:val="Body Text 3"/>
    <w:basedOn w:val="Normal"/>
    <w:link w:val="Corptext3Caracter"/>
    <w:rsid w:val="00A33929"/>
    <w:pPr>
      <w:spacing w:after="120"/>
    </w:pPr>
    <w:rPr>
      <w:rFonts w:ascii="Times New Roman" w:hAnsi="Times New Roman"/>
      <w:sz w:val="16"/>
      <w:szCs w:val="16"/>
      <w:lang w:val="x-none" w:eastAsia="x-none"/>
    </w:rPr>
  </w:style>
  <w:style w:type="character" w:customStyle="1" w:styleId="Corptext3Caracter">
    <w:name w:val="Corp text 3 Caracter"/>
    <w:link w:val="Corptext3"/>
    <w:rsid w:val="00A33929"/>
    <w:rPr>
      <w:sz w:val="16"/>
      <w:szCs w:val="16"/>
    </w:rPr>
  </w:style>
  <w:style w:type="paragraph" w:customStyle="1" w:styleId="Char1">
    <w:name w:val="Char1"/>
    <w:basedOn w:val="Normal"/>
    <w:uiPriority w:val="99"/>
    <w:rsid w:val="00A33929"/>
    <w:rPr>
      <w:rFonts w:ascii="Times New Roman" w:hAnsi="Times New Roman"/>
      <w:lang w:val="pl-PL" w:eastAsia="pl-PL"/>
    </w:rPr>
  </w:style>
  <w:style w:type="character" w:customStyle="1" w:styleId="FontStyle18">
    <w:name w:val="Font Style18"/>
    <w:rsid w:val="00A33929"/>
    <w:rPr>
      <w:rFonts w:ascii="Times New Roman" w:hAnsi="Times New Roman"/>
      <w:sz w:val="24"/>
    </w:rPr>
  </w:style>
  <w:style w:type="paragraph" w:customStyle="1" w:styleId="Style8">
    <w:name w:val="Style8"/>
    <w:basedOn w:val="Normal"/>
    <w:rsid w:val="00A33929"/>
    <w:pPr>
      <w:widowControl w:val="0"/>
      <w:autoSpaceDE w:val="0"/>
      <w:autoSpaceDN w:val="0"/>
      <w:adjustRightInd w:val="0"/>
      <w:spacing w:line="324" w:lineRule="exact"/>
      <w:ind w:firstLine="1440"/>
      <w:jc w:val="both"/>
    </w:pPr>
    <w:rPr>
      <w:rFonts w:ascii="Times New Roman" w:hAnsi="Times New Roman"/>
    </w:rPr>
  </w:style>
  <w:style w:type="paragraph" w:customStyle="1" w:styleId="Style20">
    <w:name w:val="Style20"/>
    <w:basedOn w:val="Normal"/>
    <w:rsid w:val="00A33929"/>
    <w:pPr>
      <w:widowControl w:val="0"/>
      <w:autoSpaceDE w:val="0"/>
      <w:autoSpaceDN w:val="0"/>
      <w:adjustRightInd w:val="0"/>
      <w:spacing w:line="259" w:lineRule="exact"/>
      <w:ind w:firstLine="701"/>
      <w:jc w:val="both"/>
    </w:pPr>
    <w:rPr>
      <w:rFonts w:ascii="Trebuchet MS" w:hAnsi="Trebuchet MS" w:cs="Trebuchet MS"/>
    </w:rPr>
  </w:style>
  <w:style w:type="character" w:customStyle="1" w:styleId="FontStyle50">
    <w:name w:val="Font Style50"/>
    <w:rsid w:val="00A33929"/>
    <w:rPr>
      <w:rFonts w:ascii="Times New Roman" w:hAnsi="Times New Roman"/>
      <w:sz w:val="20"/>
    </w:rPr>
  </w:style>
  <w:style w:type="character" w:customStyle="1" w:styleId="spelle">
    <w:name w:val="spelle"/>
    <w:rsid w:val="00A33929"/>
  </w:style>
  <w:style w:type="character" w:customStyle="1" w:styleId="normal--char">
    <w:name w:val="normal--char"/>
    <w:rsid w:val="00A33929"/>
  </w:style>
  <w:style w:type="paragraph" w:customStyle="1" w:styleId="Normal1">
    <w:name w:val="Normal1"/>
    <w:basedOn w:val="Normal"/>
    <w:rsid w:val="00A33929"/>
    <w:pPr>
      <w:spacing w:before="100" w:beforeAutospacing="1" w:after="100" w:afterAutospacing="1"/>
    </w:pPr>
    <w:rPr>
      <w:rFonts w:ascii="Times New Roman" w:hAnsi="Times New Roman"/>
      <w:lang w:val="ro-RO"/>
    </w:rPr>
  </w:style>
  <w:style w:type="paragraph" w:customStyle="1" w:styleId="CharChar2CaracterCaracter">
    <w:name w:val="Char Char2 Caracter Caracter"/>
    <w:basedOn w:val="Normal"/>
    <w:uiPriority w:val="99"/>
    <w:rsid w:val="00A33929"/>
    <w:rPr>
      <w:rFonts w:ascii="Times New Roman" w:hAnsi="Times New Roman"/>
      <w:sz w:val="20"/>
      <w:szCs w:val="20"/>
      <w:lang w:val="pl-PL" w:eastAsia="pl-PL"/>
    </w:rPr>
  </w:style>
  <w:style w:type="paragraph" w:customStyle="1" w:styleId="Style1">
    <w:name w:val="Style 1"/>
    <w:rsid w:val="00A33929"/>
    <w:pPr>
      <w:widowControl w:val="0"/>
      <w:autoSpaceDE w:val="0"/>
      <w:autoSpaceDN w:val="0"/>
      <w:adjustRightInd w:val="0"/>
    </w:pPr>
    <w:rPr>
      <w:rFonts w:eastAsia="SimSun"/>
      <w:lang w:eastAsia="zh-CN"/>
    </w:rPr>
  </w:style>
  <w:style w:type="character" w:customStyle="1" w:styleId="rvts189">
    <w:name w:val="rvts189"/>
    <w:rsid w:val="00A33929"/>
  </w:style>
  <w:style w:type="character" w:customStyle="1" w:styleId="rvts190">
    <w:name w:val="rvts190"/>
    <w:rsid w:val="00A33929"/>
  </w:style>
  <w:style w:type="character" w:customStyle="1" w:styleId="noticetext">
    <w:name w:val="noticetext"/>
    <w:rsid w:val="00A33929"/>
  </w:style>
  <w:style w:type="paragraph" w:customStyle="1" w:styleId="Style2">
    <w:name w:val="Style2"/>
    <w:basedOn w:val="Normal"/>
    <w:rsid w:val="00A33929"/>
    <w:pPr>
      <w:widowControl w:val="0"/>
      <w:autoSpaceDE w:val="0"/>
      <w:autoSpaceDN w:val="0"/>
      <w:adjustRightInd w:val="0"/>
    </w:pPr>
    <w:rPr>
      <w:rFonts w:ascii="Times New Roman" w:hAnsi="Times New Roman"/>
      <w:lang w:val="ro-RO" w:eastAsia="ro-RO"/>
    </w:rPr>
  </w:style>
  <w:style w:type="paragraph" w:customStyle="1" w:styleId="CharCharCaracterCaracter1CharChar">
    <w:name w:val="Char Char Caracter Caracter1 Char Char"/>
    <w:basedOn w:val="Normal"/>
    <w:uiPriority w:val="99"/>
    <w:rsid w:val="00A33929"/>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
    <w:name w:val="Caracter Caracter Char Char Caracter Caracter Char Char Caracter Caracter Char Char Caracter Caracter Char Char1 Caracter Caracter Char Char Caracter Caracter"/>
    <w:basedOn w:val="Normal"/>
    <w:uiPriority w:val="99"/>
    <w:rsid w:val="00A33929"/>
    <w:rPr>
      <w:rFonts w:ascii="Times New Roman" w:hAnsi="Times New Roman"/>
      <w:lang w:val="pl-PL" w:eastAsia="pl-PL"/>
    </w:rPr>
  </w:style>
  <w:style w:type="paragraph" w:customStyle="1" w:styleId="CharChar1CaracterCaracterCharChar">
    <w:name w:val="Char Char1 Caracter Caracter Char Char"/>
    <w:basedOn w:val="Normal"/>
    <w:uiPriority w:val="99"/>
    <w:rsid w:val="00A33929"/>
    <w:rPr>
      <w:rFonts w:ascii="Times New Roman" w:hAnsi="Times New Roman"/>
      <w:lang w:val="pl-PL" w:eastAsia="pl-PL"/>
    </w:rPr>
  </w:style>
  <w:style w:type="paragraph" w:customStyle="1" w:styleId="Style14">
    <w:name w:val="Style14"/>
    <w:basedOn w:val="Normal"/>
    <w:rsid w:val="00A33929"/>
    <w:pPr>
      <w:widowControl w:val="0"/>
      <w:autoSpaceDE w:val="0"/>
      <w:autoSpaceDN w:val="0"/>
      <w:adjustRightInd w:val="0"/>
      <w:spacing w:line="250" w:lineRule="exact"/>
      <w:ind w:firstLine="701"/>
      <w:jc w:val="both"/>
    </w:pPr>
    <w:rPr>
      <w:rFonts w:ascii="Trebuchet MS" w:hAnsi="Trebuchet MS" w:cs="Trebuchet MS"/>
    </w:rPr>
  </w:style>
  <w:style w:type="paragraph" w:customStyle="1" w:styleId="CaracterCaracterCharCharCaracterCaracterCharCharCaracterCaracterCharChar">
    <w:name w:val="Caracter Caracter Char Char Caracter Caracter Char Char Caracter Caracter Char Char"/>
    <w:basedOn w:val="Normal"/>
    <w:uiPriority w:val="99"/>
    <w:rsid w:val="00A33929"/>
    <w:rPr>
      <w:rFonts w:ascii="Times New Roman" w:hAnsi="Times New Roman"/>
      <w:lang w:val="pl-PL" w:eastAsia="pl-PL"/>
    </w:rPr>
  </w:style>
  <w:style w:type="paragraph" w:customStyle="1" w:styleId="Style12">
    <w:name w:val="Style12"/>
    <w:basedOn w:val="Normal"/>
    <w:rsid w:val="00A33929"/>
    <w:pPr>
      <w:widowControl w:val="0"/>
      <w:autoSpaceDE w:val="0"/>
      <w:autoSpaceDN w:val="0"/>
      <w:adjustRightInd w:val="0"/>
      <w:jc w:val="both"/>
    </w:pPr>
    <w:rPr>
      <w:rFonts w:ascii="Arial" w:hAnsi="Arial"/>
    </w:rPr>
  </w:style>
  <w:style w:type="character" w:customStyle="1" w:styleId="FontStyle22">
    <w:name w:val="Font Style22"/>
    <w:rsid w:val="00A33929"/>
    <w:rPr>
      <w:rFonts w:ascii="Arial" w:hAnsi="Arial"/>
      <w:spacing w:val="-10"/>
      <w:sz w:val="24"/>
    </w:rPr>
  </w:style>
  <w:style w:type="paragraph" w:customStyle="1" w:styleId="Style10">
    <w:name w:val="Style10"/>
    <w:basedOn w:val="Normal"/>
    <w:rsid w:val="00A33929"/>
    <w:pPr>
      <w:widowControl w:val="0"/>
      <w:autoSpaceDE w:val="0"/>
      <w:autoSpaceDN w:val="0"/>
      <w:adjustRightInd w:val="0"/>
      <w:spacing w:line="310" w:lineRule="exact"/>
      <w:ind w:firstLine="1085"/>
      <w:jc w:val="both"/>
    </w:pPr>
    <w:rPr>
      <w:rFonts w:ascii="Arial" w:hAnsi="Arial"/>
    </w:rPr>
  </w:style>
  <w:style w:type="paragraph" w:styleId="Legend">
    <w:name w:val="caption"/>
    <w:basedOn w:val="Normal"/>
    <w:next w:val="Normal"/>
    <w:qFormat/>
    <w:rsid w:val="00A33929"/>
    <w:rPr>
      <w:b/>
      <w:bCs/>
      <w:sz w:val="20"/>
      <w:szCs w:val="20"/>
    </w:rPr>
  </w:style>
  <w:style w:type="paragraph" w:customStyle="1" w:styleId="T">
    <w:name w:val="T"/>
    <w:basedOn w:val="Normal"/>
    <w:rsid w:val="00A33929"/>
    <w:pPr>
      <w:spacing w:before="120" w:line="360" w:lineRule="auto"/>
      <w:ind w:firstLine="684"/>
      <w:jc w:val="both"/>
    </w:pPr>
    <w:rPr>
      <w:rFonts w:cs="Arial"/>
      <w:lang w:val="ro-RO"/>
    </w:rPr>
  </w:style>
  <w:style w:type="paragraph" w:styleId="Subtitlu">
    <w:name w:val="Subtitle"/>
    <w:basedOn w:val="Normal"/>
    <w:next w:val="Normal"/>
    <w:link w:val="SubtitluCaracter"/>
    <w:uiPriority w:val="99"/>
    <w:qFormat/>
    <w:rsid w:val="00A33929"/>
    <w:pPr>
      <w:spacing w:after="60"/>
      <w:jc w:val="center"/>
      <w:outlineLvl w:val="1"/>
    </w:pPr>
    <w:rPr>
      <w:rFonts w:ascii="Calibri Light" w:hAnsi="Calibri Light"/>
      <w:lang w:val="x-none" w:eastAsia="x-none"/>
    </w:rPr>
  </w:style>
  <w:style w:type="character" w:customStyle="1" w:styleId="SubtitluCaracter">
    <w:name w:val="Subtitlu Caracter"/>
    <w:link w:val="Subtitlu"/>
    <w:uiPriority w:val="99"/>
    <w:rsid w:val="00A33929"/>
    <w:rPr>
      <w:rFonts w:ascii="Calibri Light" w:hAnsi="Calibri Light"/>
      <w:sz w:val="24"/>
      <w:szCs w:val="24"/>
    </w:rPr>
  </w:style>
  <w:style w:type="paragraph" w:customStyle="1" w:styleId="AddParagrafBoldItalic">
    <w:name w:val="AddParagrafBoldItalic"/>
    <w:basedOn w:val="Normal"/>
    <w:autoRedefine/>
    <w:uiPriority w:val="99"/>
    <w:rsid w:val="00A33929"/>
    <w:pPr>
      <w:keepNext/>
      <w:spacing w:before="240"/>
      <w:ind w:firstLine="567"/>
    </w:pPr>
    <w:rPr>
      <w:b/>
      <w:i/>
      <w:sz w:val="22"/>
      <w:lang w:val="ro-RO"/>
    </w:rPr>
  </w:style>
  <w:style w:type="character" w:customStyle="1" w:styleId="FontStyle23">
    <w:name w:val="Font Style23"/>
    <w:uiPriority w:val="99"/>
    <w:rsid w:val="00EF7220"/>
    <w:rPr>
      <w:rFonts w:ascii="Times New Roman" w:hAnsi="Times New Roman" w:cs="Times New Roman"/>
      <w:b/>
      <w:bCs/>
      <w:sz w:val="20"/>
      <w:szCs w:val="20"/>
    </w:rPr>
  </w:style>
  <w:style w:type="paragraph" w:customStyle="1" w:styleId="Style30">
    <w:name w:val="Style3"/>
    <w:basedOn w:val="Normal"/>
    <w:uiPriority w:val="99"/>
    <w:rsid w:val="00EF7220"/>
    <w:pPr>
      <w:widowControl w:val="0"/>
      <w:autoSpaceDE w:val="0"/>
      <w:autoSpaceDN w:val="0"/>
      <w:adjustRightInd w:val="0"/>
      <w:spacing w:line="256" w:lineRule="exact"/>
      <w:ind w:firstLine="677"/>
      <w:jc w:val="both"/>
    </w:pPr>
    <w:rPr>
      <w:rFonts w:ascii="Times New Roman" w:hAnsi="Times New Roman"/>
    </w:rPr>
  </w:style>
  <w:style w:type="paragraph" w:customStyle="1" w:styleId="1Decizie">
    <w:name w:val="1.Decizie"/>
    <w:basedOn w:val="Normal"/>
    <w:autoRedefine/>
    <w:rsid w:val="00EF7220"/>
    <w:pPr>
      <w:jc w:val="center"/>
    </w:pPr>
    <w:rPr>
      <w:rFonts w:ascii="Arial" w:hAnsi="Arial" w:cs="Arial"/>
      <w:b/>
      <w:bCs/>
      <w:sz w:val="28"/>
      <w:szCs w:val="20"/>
      <w:lang w:val="ro-RO" w:eastAsia="ro-RO"/>
    </w:rPr>
  </w:style>
  <w:style w:type="paragraph" w:customStyle="1" w:styleId="6Text">
    <w:name w:val="6.Text"/>
    <w:basedOn w:val="Normal"/>
    <w:rsid w:val="00EF7220"/>
    <w:pPr>
      <w:ind w:firstLine="454"/>
      <w:jc w:val="both"/>
    </w:pPr>
    <w:rPr>
      <w:rFonts w:ascii="Arial" w:hAnsi="Arial" w:cs="Arial"/>
      <w:sz w:val="20"/>
      <w:szCs w:val="16"/>
      <w:lang w:val="ro-RO"/>
    </w:rPr>
  </w:style>
  <w:style w:type="paragraph" w:customStyle="1" w:styleId="B13">
    <w:name w:val="B13"/>
    <w:uiPriority w:val="99"/>
    <w:rsid w:val="00EF7220"/>
    <w:pPr>
      <w:keepLines/>
      <w:spacing w:line="220" w:lineRule="exact"/>
      <w:ind w:firstLine="737"/>
      <w:jc w:val="both"/>
    </w:pPr>
    <w:rPr>
      <w:rFonts w:ascii="Arial" w:hAnsi="Arial"/>
    </w:rPr>
  </w:style>
  <w:style w:type="paragraph" w:customStyle="1" w:styleId="1ArialB14">
    <w:name w:val="1 Arial B 14"/>
    <w:basedOn w:val="Normal"/>
    <w:qFormat/>
    <w:rsid w:val="00EF7220"/>
    <w:pPr>
      <w:jc w:val="center"/>
    </w:pPr>
    <w:rPr>
      <w:rFonts w:ascii="Arial" w:eastAsia="Calibri" w:hAnsi="Arial"/>
      <w:b/>
      <w:sz w:val="28"/>
      <w:szCs w:val="22"/>
    </w:rPr>
  </w:style>
  <w:style w:type="character" w:customStyle="1" w:styleId="FontStyle27">
    <w:name w:val="Font Style27"/>
    <w:uiPriority w:val="99"/>
    <w:rsid w:val="00EF7220"/>
    <w:rPr>
      <w:rFonts w:ascii="Times New Roman" w:hAnsi="Times New Roman" w:cs="Times New Roman"/>
      <w:b/>
      <w:bCs/>
      <w:i/>
      <w:iCs/>
      <w:sz w:val="20"/>
      <w:szCs w:val="20"/>
    </w:rPr>
  </w:style>
  <w:style w:type="character" w:customStyle="1" w:styleId="FontStyle28">
    <w:name w:val="Font Style28"/>
    <w:uiPriority w:val="99"/>
    <w:rsid w:val="00EF7220"/>
    <w:rPr>
      <w:rFonts w:ascii="Times New Roman" w:hAnsi="Times New Roman" w:cs="Times New Roman"/>
      <w:b/>
      <w:bCs/>
      <w:i/>
      <w:iCs/>
      <w:sz w:val="20"/>
      <w:szCs w:val="20"/>
    </w:rPr>
  </w:style>
  <w:style w:type="paragraph" w:customStyle="1" w:styleId="Listparagraf1">
    <w:name w:val="Listă paragraf1"/>
    <w:basedOn w:val="Normal"/>
    <w:uiPriority w:val="34"/>
    <w:qFormat/>
    <w:rsid w:val="00290346"/>
    <w:pPr>
      <w:ind w:left="720"/>
      <w:contextualSpacing/>
    </w:pPr>
    <w:rPr>
      <w:rFonts w:ascii="Times New Roman" w:eastAsia="Calibri" w:hAnsi="Times New Roman"/>
    </w:rPr>
  </w:style>
  <w:style w:type="paragraph" w:customStyle="1" w:styleId="CharChar20">
    <w:name w:val="Char Char2"/>
    <w:basedOn w:val="Normal"/>
    <w:rsid w:val="00805BAC"/>
    <w:rPr>
      <w:rFonts w:ascii="Times New Roman" w:hAnsi="Times New Roman"/>
      <w:sz w:val="20"/>
      <w:szCs w:val="20"/>
      <w:lang w:val="pl-PL" w:eastAsia="pl-PL"/>
    </w:rPr>
  </w:style>
  <w:style w:type="paragraph" w:customStyle="1" w:styleId="CharChar30">
    <w:name w:val="Char Char3"/>
    <w:basedOn w:val="Normal"/>
    <w:rsid w:val="00805BAC"/>
    <w:rPr>
      <w:rFonts w:ascii="Times New Roman" w:hAnsi="Times New Roman"/>
      <w:lang w:val="pl-PL" w:eastAsia="pl-PL"/>
    </w:rPr>
  </w:style>
  <w:style w:type="paragraph" w:customStyle="1" w:styleId="CharChar2CaracterCharChar0">
    <w:name w:val="Char Char2 Caracter Char Char"/>
    <w:basedOn w:val="Normal"/>
    <w:rsid w:val="00805BAC"/>
    <w:rPr>
      <w:rFonts w:ascii="Times New Roman" w:hAnsi="Times New Roman"/>
      <w:lang w:val="pl-PL" w:eastAsia="pl-PL"/>
    </w:rPr>
  </w:style>
  <w:style w:type="paragraph" w:customStyle="1" w:styleId="CharChar0">
    <w:name w:val="Char Char"/>
    <w:basedOn w:val="Normal"/>
    <w:rsid w:val="00805BAC"/>
    <w:rPr>
      <w:rFonts w:ascii="Times New Roman" w:hAnsi="Times New Roman"/>
      <w:sz w:val="20"/>
      <w:szCs w:val="20"/>
      <w:lang w:val="pl-PL" w:eastAsia="pl-PL"/>
    </w:rPr>
  </w:style>
  <w:style w:type="paragraph" w:customStyle="1" w:styleId="CaracterCharChar0">
    <w:name w:val="Caracter Char Char"/>
    <w:basedOn w:val="Normal"/>
    <w:rsid w:val="00805BAC"/>
    <w:rPr>
      <w:rFonts w:ascii="Times New Roman" w:hAnsi="Times New Roman"/>
      <w:lang w:val="pl-PL" w:eastAsia="pl-PL"/>
    </w:rPr>
  </w:style>
  <w:style w:type="paragraph" w:customStyle="1" w:styleId="CharCaracterCaracter0">
    <w:name w:val="Char Caracter Caracter"/>
    <w:basedOn w:val="Normal"/>
    <w:rsid w:val="00805BAC"/>
    <w:rPr>
      <w:rFonts w:ascii="Times New Roman" w:hAnsi="Times New Roman"/>
      <w:lang w:val="pl-PL" w:eastAsia="pl-PL"/>
    </w:rPr>
  </w:style>
  <w:style w:type="paragraph" w:customStyle="1" w:styleId="CharChar10">
    <w:name w:val="Char Char1"/>
    <w:basedOn w:val="Normal"/>
    <w:rsid w:val="00805BAC"/>
    <w:rPr>
      <w:rFonts w:ascii="Times New Roman" w:hAnsi="Times New Roman"/>
      <w:sz w:val="20"/>
      <w:szCs w:val="20"/>
      <w:lang w:val="pl-PL" w:eastAsia="pl-PL"/>
    </w:rPr>
  </w:style>
  <w:style w:type="paragraph" w:customStyle="1" w:styleId="Char0">
    <w:name w:val="Char"/>
    <w:basedOn w:val="Normal"/>
    <w:rsid w:val="00805BAC"/>
    <w:rPr>
      <w:rFonts w:ascii="Times New Roman" w:hAnsi="Times New Roman"/>
      <w:lang w:val="pl-PL" w:eastAsia="pl-PL"/>
    </w:rPr>
  </w:style>
  <w:style w:type="paragraph" w:customStyle="1" w:styleId="Normal2">
    <w:name w:val="Normal2"/>
    <w:basedOn w:val="Normal"/>
    <w:rsid w:val="00805BAC"/>
    <w:pPr>
      <w:spacing w:before="100" w:beforeAutospacing="1" w:after="100" w:afterAutospacing="1"/>
    </w:pPr>
    <w:rPr>
      <w:rFonts w:ascii="Times New Roman" w:hAnsi="Times New Roman"/>
      <w:lang w:val="ro-RO"/>
    </w:rPr>
  </w:style>
  <w:style w:type="paragraph" w:customStyle="1" w:styleId="CharChar2CaracterCaracter0">
    <w:name w:val="Char Char2 Caracter Caracter"/>
    <w:basedOn w:val="Normal"/>
    <w:rsid w:val="00805BAC"/>
    <w:rPr>
      <w:rFonts w:ascii="Times New Roman" w:hAnsi="Times New Roman"/>
      <w:sz w:val="20"/>
      <w:szCs w:val="20"/>
      <w:lang w:val="pl-PL" w:eastAsia="pl-PL"/>
    </w:rPr>
  </w:style>
  <w:style w:type="paragraph" w:customStyle="1" w:styleId="CharCharCaracterCaracter1CharChar0">
    <w:name w:val="Char Char Caracter Caracter1 Char Char"/>
    <w:basedOn w:val="Normal"/>
    <w:rsid w:val="00805BAC"/>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0">
    <w:name w:val="Caracter Caracter Char Char Caracter Caracter Char Char Caracter Caracter Char Char Caracter Caracter Char Char1 Caracter Caracter Char Char Caracter Caracter"/>
    <w:basedOn w:val="Normal"/>
    <w:rsid w:val="00805BAC"/>
    <w:rPr>
      <w:rFonts w:ascii="Times New Roman" w:hAnsi="Times New Roman"/>
      <w:lang w:val="pl-PL" w:eastAsia="pl-PL"/>
    </w:rPr>
  </w:style>
  <w:style w:type="paragraph" w:customStyle="1" w:styleId="CharChar1CaracterCaracterCharChar0">
    <w:name w:val="Char Char1 Caracter Caracter Char Char"/>
    <w:basedOn w:val="Normal"/>
    <w:rsid w:val="00805BAC"/>
    <w:rPr>
      <w:rFonts w:ascii="Times New Roman" w:hAnsi="Times New Roman"/>
      <w:lang w:val="pl-PL" w:eastAsia="pl-PL"/>
    </w:rPr>
  </w:style>
  <w:style w:type="paragraph" w:customStyle="1" w:styleId="CaracterCaracterCharCharCaracterCaracterCharCharCaracterCaracterCharChar0">
    <w:name w:val="Caracter Caracter Char Char Caracter Caracter Char Char Caracter Caracter Char Char"/>
    <w:basedOn w:val="Normal"/>
    <w:rsid w:val="00805BAC"/>
    <w:rPr>
      <w:rFonts w:ascii="Times New Roman" w:hAnsi="Times New Roman"/>
      <w:lang w:val="pl-PL" w:eastAsia="pl-PL"/>
    </w:rPr>
  </w:style>
  <w:style w:type="character" w:customStyle="1" w:styleId="CaracterCaracter13">
    <w:name w:val="Caracter Caracter13"/>
    <w:rsid w:val="00805BAC"/>
    <w:rPr>
      <w:rFonts w:ascii="Calibri" w:hAnsi="Calibri" w:cs="Calibri"/>
      <w:b/>
      <w:bCs/>
      <w:kern w:val="32"/>
      <w:sz w:val="28"/>
      <w:szCs w:val="28"/>
      <w:lang w:val="ro-RO"/>
    </w:rPr>
  </w:style>
  <w:style w:type="character" w:customStyle="1" w:styleId="CaracterCaracter12">
    <w:name w:val="Caracter Caracter12"/>
    <w:rsid w:val="00805BAC"/>
    <w:rPr>
      <w:rFonts w:ascii="Calibri" w:hAnsi="Calibri"/>
      <w:b/>
      <w:sz w:val="24"/>
      <w:szCs w:val="24"/>
      <w:lang w:val="ro-RO"/>
    </w:rPr>
  </w:style>
  <w:style w:type="character" w:customStyle="1" w:styleId="CaracterCaracter11">
    <w:name w:val="Caracter Caracter11"/>
    <w:rsid w:val="00805BAC"/>
    <w:rPr>
      <w:rFonts w:ascii="Calibri" w:hAnsi="Calibri" w:cs="Calibri"/>
      <w:b/>
      <w:bCs/>
      <w:i/>
      <w:sz w:val="24"/>
      <w:szCs w:val="24"/>
      <w:lang w:val="ro-RO"/>
    </w:rPr>
  </w:style>
  <w:style w:type="character" w:customStyle="1" w:styleId="CaracterCaracter10">
    <w:name w:val="Caracter Caracter10"/>
    <w:rsid w:val="00805BAC"/>
    <w:rPr>
      <w:rFonts w:ascii="Calibri" w:hAnsi="Calibri" w:cs="Arial"/>
      <w:bCs/>
      <w:i/>
      <w:sz w:val="24"/>
      <w:szCs w:val="24"/>
      <w:u w:val="single"/>
    </w:rPr>
  </w:style>
  <w:style w:type="paragraph" w:customStyle="1" w:styleId="TOCHeading1">
    <w:name w:val="TOC Heading1"/>
    <w:basedOn w:val="Titlu1"/>
    <w:next w:val="Normal"/>
    <w:uiPriority w:val="39"/>
    <w:qFormat/>
    <w:rsid w:val="00677EA4"/>
    <w:pPr>
      <w:keepLines/>
      <w:spacing w:before="480" w:after="0"/>
      <w:ind w:left="0"/>
      <w:jc w:val="left"/>
      <w:outlineLvl w:val="9"/>
    </w:pPr>
    <w:rPr>
      <w:rFonts w:ascii="Cambria" w:eastAsia="MS Gothic" w:hAnsi="Cambria"/>
      <w:color w:val="365F91"/>
      <w:kern w:val="0"/>
      <w:lang w:eastAsia="ja-JP"/>
    </w:rPr>
  </w:style>
  <w:style w:type="paragraph" w:customStyle="1" w:styleId="ListParagraph1">
    <w:name w:val="List Paragraph1"/>
    <w:basedOn w:val="Normal"/>
    <w:uiPriority w:val="34"/>
    <w:qFormat/>
    <w:rsid w:val="00677EA4"/>
    <w:pPr>
      <w:ind w:left="720"/>
      <w:contextualSpacing/>
    </w:pPr>
    <w:rPr>
      <w:rFonts w:ascii="Times New Roman" w:eastAsia="Calibri" w:hAnsi="Times New Roman"/>
    </w:rPr>
  </w:style>
  <w:style w:type="paragraph" w:customStyle="1" w:styleId="CaracterCaracterCharChar2">
    <w:name w:val="Caracter Caracter Char Char"/>
    <w:basedOn w:val="Normal"/>
    <w:rsid w:val="00677EA4"/>
    <w:rPr>
      <w:rFonts w:ascii="Arial" w:hAnsi="Arial"/>
      <w:sz w:val="28"/>
      <w:szCs w:val="20"/>
      <w:lang w:val="pl-PL" w:eastAsia="pl-PL"/>
    </w:rPr>
  </w:style>
  <w:style w:type="paragraph" w:customStyle="1" w:styleId="NoSpacing1">
    <w:name w:val="No Spacing1"/>
    <w:uiPriority w:val="1"/>
    <w:qFormat/>
    <w:rsid w:val="00677EA4"/>
    <w:rPr>
      <w:rFonts w:ascii="Calibri" w:eastAsia="MS Mincho" w:hAnsi="Calibri" w:cs="Arial"/>
      <w:sz w:val="22"/>
      <w:szCs w:val="22"/>
      <w:lang w:val="en-US" w:eastAsia="ja-JP"/>
    </w:rPr>
  </w:style>
  <w:style w:type="paragraph" w:customStyle="1" w:styleId="CharChar21">
    <w:name w:val="Char Char2"/>
    <w:basedOn w:val="Normal"/>
    <w:rsid w:val="00677EA4"/>
    <w:rPr>
      <w:rFonts w:ascii="Times New Roman" w:hAnsi="Times New Roman"/>
      <w:sz w:val="20"/>
      <w:szCs w:val="20"/>
      <w:lang w:val="pl-PL" w:eastAsia="pl-PL"/>
    </w:rPr>
  </w:style>
  <w:style w:type="paragraph" w:customStyle="1" w:styleId="CharChar31">
    <w:name w:val="Char Char3"/>
    <w:basedOn w:val="Normal"/>
    <w:rsid w:val="00677EA4"/>
    <w:rPr>
      <w:rFonts w:ascii="Times New Roman" w:hAnsi="Times New Roman"/>
      <w:lang w:val="pl-PL" w:eastAsia="pl-PL"/>
    </w:rPr>
  </w:style>
  <w:style w:type="paragraph" w:customStyle="1" w:styleId="CharChar2CaracterCharChar2">
    <w:name w:val="Char Char2 Caracter Char Char"/>
    <w:basedOn w:val="Normal"/>
    <w:rsid w:val="00677EA4"/>
    <w:rPr>
      <w:rFonts w:ascii="Times New Roman" w:hAnsi="Times New Roman"/>
      <w:lang w:val="pl-PL" w:eastAsia="pl-PL"/>
    </w:rPr>
  </w:style>
  <w:style w:type="paragraph" w:customStyle="1" w:styleId="CharChar4">
    <w:name w:val="Char Char"/>
    <w:basedOn w:val="Normal"/>
    <w:rsid w:val="00677EA4"/>
    <w:rPr>
      <w:rFonts w:ascii="Times New Roman" w:hAnsi="Times New Roman"/>
      <w:sz w:val="20"/>
      <w:szCs w:val="20"/>
      <w:lang w:val="pl-PL" w:eastAsia="pl-PL"/>
    </w:rPr>
  </w:style>
  <w:style w:type="paragraph" w:customStyle="1" w:styleId="CaracterCharChar1">
    <w:name w:val="Caracter Char Char"/>
    <w:basedOn w:val="Normal"/>
    <w:rsid w:val="00677EA4"/>
    <w:rPr>
      <w:rFonts w:ascii="Times New Roman" w:hAnsi="Times New Roman"/>
      <w:lang w:val="pl-PL" w:eastAsia="pl-PL"/>
    </w:rPr>
  </w:style>
  <w:style w:type="paragraph" w:customStyle="1" w:styleId="CharCaracterCaracter1">
    <w:name w:val="Char Caracter Caracter"/>
    <w:basedOn w:val="Normal"/>
    <w:rsid w:val="00677EA4"/>
    <w:rPr>
      <w:rFonts w:ascii="Times New Roman" w:hAnsi="Times New Roman"/>
      <w:lang w:val="pl-PL" w:eastAsia="pl-PL"/>
    </w:rPr>
  </w:style>
  <w:style w:type="paragraph" w:customStyle="1" w:styleId="CharChar11">
    <w:name w:val="Char Char1"/>
    <w:basedOn w:val="Normal"/>
    <w:rsid w:val="00677EA4"/>
    <w:rPr>
      <w:rFonts w:ascii="Times New Roman" w:hAnsi="Times New Roman"/>
      <w:sz w:val="20"/>
      <w:szCs w:val="20"/>
      <w:lang w:val="pl-PL" w:eastAsia="pl-PL"/>
    </w:rPr>
  </w:style>
  <w:style w:type="paragraph" w:customStyle="1" w:styleId="Char2">
    <w:name w:val="Char"/>
    <w:basedOn w:val="Normal"/>
    <w:rsid w:val="00677EA4"/>
    <w:rPr>
      <w:rFonts w:ascii="Times New Roman" w:hAnsi="Times New Roman"/>
      <w:lang w:val="pl-PL" w:eastAsia="pl-PL"/>
    </w:rPr>
  </w:style>
  <w:style w:type="paragraph" w:customStyle="1" w:styleId="Normal3">
    <w:name w:val="Normal3"/>
    <w:basedOn w:val="Normal"/>
    <w:rsid w:val="00677EA4"/>
    <w:pPr>
      <w:spacing w:before="100" w:beforeAutospacing="1" w:after="100" w:afterAutospacing="1"/>
    </w:pPr>
    <w:rPr>
      <w:rFonts w:ascii="Times New Roman" w:hAnsi="Times New Roman"/>
      <w:lang w:val="ro-RO"/>
    </w:rPr>
  </w:style>
  <w:style w:type="paragraph" w:customStyle="1" w:styleId="CharChar2CaracterCaracter1">
    <w:name w:val="Char Char2 Caracter Caracter"/>
    <w:basedOn w:val="Normal"/>
    <w:rsid w:val="00677EA4"/>
    <w:rPr>
      <w:rFonts w:ascii="Times New Roman" w:hAnsi="Times New Roman"/>
      <w:sz w:val="20"/>
      <w:szCs w:val="20"/>
      <w:lang w:val="pl-PL" w:eastAsia="pl-PL"/>
    </w:rPr>
  </w:style>
  <w:style w:type="paragraph" w:customStyle="1" w:styleId="CharCharCaracterCaracter1CharChar1">
    <w:name w:val="Char Char Caracter Caracter1 Char Char"/>
    <w:basedOn w:val="Normal"/>
    <w:rsid w:val="00677EA4"/>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1">
    <w:name w:val="Caracter Caracter Char Char Caracter Caracter Char Char Caracter Caracter Char Char Caracter Caracter Char Char1 Caracter Caracter Char Char Caracter Caracter"/>
    <w:basedOn w:val="Normal"/>
    <w:rsid w:val="00677EA4"/>
    <w:rPr>
      <w:rFonts w:ascii="Times New Roman" w:hAnsi="Times New Roman"/>
      <w:lang w:val="pl-PL" w:eastAsia="pl-PL"/>
    </w:rPr>
  </w:style>
  <w:style w:type="paragraph" w:customStyle="1" w:styleId="CharChar1CaracterCaracterCharChar1">
    <w:name w:val="Char Char1 Caracter Caracter Char Char"/>
    <w:basedOn w:val="Normal"/>
    <w:rsid w:val="00677EA4"/>
    <w:rPr>
      <w:rFonts w:ascii="Times New Roman" w:hAnsi="Times New Roman"/>
      <w:lang w:val="pl-PL" w:eastAsia="pl-PL"/>
    </w:rPr>
  </w:style>
  <w:style w:type="paragraph" w:customStyle="1" w:styleId="CaracterCaracterCharCharCaracterCaracterCharCharCaracterCaracterCharChar1">
    <w:name w:val="Caracter Caracter Char Char Caracter Caracter Char Char Caracter Caracter Char Char"/>
    <w:basedOn w:val="Normal"/>
    <w:rsid w:val="00677EA4"/>
    <w:rPr>
      <w:rFonts w:ascii="Times New Roman" w:hAnsi="Times New Roman"/>
      <w:lang w:val="pl-PL" w:eastAsia="pl-PL"/>
    </w:rPr>
  </w:style>
  <w:style w:type="character" w:customStyle="1" w:styleId="CaracterCaracter130">
    <w:name w:val="Caracter Caracter13"/>
    <w:rsid w:val="00677EA4"/>
    <w:rPr>
      <w:rFonts w:ascii="Calibri" w:hAnsi="Calibri" w:cs="Calibri"/>
      <w:b/>
      <w:bCs/>
      <w:kern w:val="32"/>
      <w:sz w:val="28"/>
      <w:szCs w:val="28"/>
      <w:lang w:val="ro-RO"/>
    </w:rPr>
  </w:style>
  <w:style w:type="character" w:customStyle="1" w:styleId="CaracterCaracter120">
    <w:name w:val="Caracter Caracter12"/>
    <w:rsid w:val="00677EA4"/>
    <w:rPr>
      <w:rFonts w:ascii="Calibri" w:hAnsi="Calibri"/>
      <w:b/>
      <w:sz w:val="24"/>
      <w:szCs w:val="24"/>
      <w:lang w:val="ro-RO"/>
    </w:rPr>
  </w:style>
  <w:style w:type="character" w:customStyle="1" w:styleId="CaracterCaracter110">
    <w:name w:val="Caracter Caracter11"/>
    <w:rsid w:val="00677EA4"/>
    <w:rPr>
      <w:rFonts w:ascii="Calibri" w:hAnsi="Calibri" w:cs="Calibri"/>
      <w:b/>
      <w:bCs/>
      <w:i/>
      <w:sz w:val="24"/>
      <w:szCs w:val="24"/>
      <w:lang w:val="ro-RO"/>
    </w:rPr>
  </w:style>
  <w:style w:type="character" w:customStyle="1" w:styleId="CaracterCaracter100">
    <w:name w:val="Caracter Caracter10"/>
    <w:rsid w:val="00677EA4"/>
    <w:rPr>
      <w:rFonts w:ascii="Calibri" w:hAnsi="Calibri" w:cs="Arial"/>
      <w:bCs/>
      <w:i/>
      <w:sz w:val="24"/>
      <w:szCs w:val="24"/>
      <w:u w:val="single"/>
    </w:rPr>
  </w:style>
  <w:style w:type="character" w:customStyle="1" w:styleId="NoSpacingChar1">
    <w:name w:val="No Spacing Char1"/>
    <w:uiPriority w:val="1"/>
    <w:rsid w:val="00677EA4"/>
    <w:rPr>
      <w:rFonts w:ascii="Calibri" w:eastAsia="MS Mincho" w:hAnsi="Calibri" w:cs="Arial"/>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8630">
      <w:bodyDiv w:val="1"/>
      <w:marLeft w:val="0"/>
      <w:marRight w:val="0"/>
      <w:marTop w:val="0"/>
      <w:marBottom w:val="0"/>
      <w:divBdr>
        <w:top w:val="none" w:sz="0" w:space="0" w:color="auto"/>
        <w:left w:val="none" w:sz="0" w:space="0" w:color="auto"/>
        <w:bottom w:val="none" w:sz="0" w:space="0" w:color="auto"/>
        <w:right w:val="none" w:sz="0" w:space="0" w:color="auto"/>
      </w:divBdr>
    </w:div>
    <w:div w:id="320819978">
      <w:bodyDiv w:val="1"/>
      <w:marLeft w:val="0"/>
      <w:marRight w:val="0"/>
      <w:marTop w:val="0"/>
      <w:marBottom w:val="0"/>
      <w:divBdr>
        <w:top w:val="none" w:sz="0" w:space="0" w:color="auto"/>
        <w:left w:val="none" w:sz="0" w:space="0" w:color="auto"/>
        <w:bottom w:val="none" w:sz="0" w:space="0" w:color="auto"/>
        <w:right w:val="none" w:sz="0" w:space="0" w:color="auto"/>
      </w:divBdr>
      <w:divsChild>
        <w:div w:id="486635535">
          <w:marLeft w:val="0"/>
          <w:marRight w:val="0"/>
          <w:marTop w:val="0"/>
          <w:marBottom w:val="0"/>
          <w:divBdr>
            <w:top w:val="none" w:sz="0" w:space="0" w:color="auto"/>
            <w:left w:val="none" w:sz="0" w:space="0" w:color="auto"/>
            <w:bottom w:val="none" w:sz="0" w:space="0" w:color="auto"/>
            <w:right w:val="none" w:sz="0" w:space="0" w:color="auto"/>
          </w:divBdr>
          <w:divsChild>
            <w:div w:id="11722628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599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hyperlink" Target="http://www.luju.ro" TargetMode="External"/><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1.png"/><Relationship Id="rId89" Type="http://schemas.openxmlformats.org/officeDocument/2006/relationships/chart" Target="charts/chart8.xml"/><Relationship Id="rId112" Type="http://schemas.openxmlformats.org/officeDocument/2006/relationships/chart" Target="charts/chart31.xml"/><Relationship Id="rId16" Type="http://schemas.openxmlformats.org/officeDocument/2006/relationships/image" Target="media/image9.emf"/><Relationship Id="rId107" Type="http://schemas.openxmlformats.org/officeDocument/2006/relationships/chart" Target="charts/chart26.xml"/><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5.emf"/><Relationship Id="rId58" Type="http://schemas.openxmlformats.org/officeDocument/2006/relationships/chart" Target="charts/chart2.xml"/><Relationship Id="rId74" Type="http://schemas.openxmlformats.org/officeDocument/2006/relationships/chart" Target="charts/chart4.xml"/><Relationship Id="rId79" Type="http://schemas.openxmlformats.org/officeDocument/2006/relationships/image" Target="media/image68.png"/><Relationship Id="rId102" Type="http://schemas.openxmlformats.org/officeDocument/2006/relationships/chart" Target="charts/chart21.xm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0.png"/><Relationship Id="rId90" Type="http://schemas.openxmlformats.org/officeDocument/2006/relationships/chart" Target="charts/chart9.xml"/><Relationship Id="rId95" Type="http://schemas.openxmlformats.org/officeDocument/2006/relationships/chart" Target="charts/chart14.xm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chart" Target="charts/chart1.xml"/><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chart" Target="charts/chart5.xml"/><Relationship Id="rId100" Type="http://schemas.openxmlformats.org/officeDocument/2006/relationships/chart" Target="charts/chart19.xml"/><Relationship Id="rId105" Type="http://schemas.openxmlformats.org/officeDocument/2006/relationships/chart" Target="charts/chart24.xml"/><Relationship Id="rId113" Type="http://schemas.openxmlformats.org/officeDocument/2006/relationships/chart" Target="charts/chart32.xml"/><Relationship Id="rId118" Type="http://schemas.openxmlformats.org/officeDocument/2006/relationships/hyperlink" Target="http://www.luju.ro" TargetMode="External"/><Relationship Id="rId8" Type="http://schemas.openxmlformats.org/officeDocument/2006/relationships/image" Target="media/image2.png"/><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chart" Target="charts/chart6.xml"/><Relationship Id="rId85" Type="http://schemas.openxmlformats.org/officeDocument/2006/relationships/image" Target="media/image72.png"/><Relationship Id="rId93" Type="http://schemas.openxmlformats.org/officeDocument/2006/relationships/chart" Target="charts/chart12.xml"/><Relationship Id="rId98" Type="http://schemas.openxmlformats.org/officeDocument/2006/relationships/chart" Target="charts/chart17.xml"/><Relationship Id="rId121" Type="http://schemas.openxmlformats.org/officeDocument/2006/relationships/hyperlink" Target="http://www.imperativ.ro"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103" Type="http://schemas.openxmlformats.org/officeDocument/2006/relationships/chart" Target="charts/chart22.xml"/><Relationship Id="rId108" Type="http://schemas.openxmlformats.org/officeDocument/2006/relationships/chart" Target="charts/chart27.xml"/><Relationship Id="rId116" Type="http://schemas.openxmlformats.org/officeDocument/2006/relationships/hyperlink" Target="http://www.evz.ro" TargetMode="Externa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5.png"/><Relationship Id="rId83" Type="http://schemas.openxmlformats.org/officeDocument/2006/relationships/chart" Target="charts/chart7.xml"/><Relationship Id="rId88" Type="http://schemas.openxmlformats.org/officeDocument/2006/relationships/image" Target="media/image75.png"/><Relationship Id="rId91" Type="http://schemas.openxmlformats.org/officeDocument/2006/relationships/chart" Target="charts/chart10.xml"/><Relationship Id="rId96" Type="http://schemas.openxmlformats.org/officeDocument/2006/relationships/chart" Target="charts/chart15.xml"/><Relationship Id="rId111" Type="http://schemas.openxmlformats.org/officeDocument/2006/relationships/chart" Target="charts/chart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1.emf"/><Relationship Id="rId57" Type="http://schemas.openxmlformats.org/officeDocument/2006/relationships/image" Target="media/image49.emf"/><Relationship Id="rId106" Type="http://schemas.openxmlformats.org/officeDocument/2006/relationships/chart" Target="charts/chart25.xml"/><Relationship Id="rId114" Type="http://schemas.openxmlformats.org/officeDocument/2006/relationships/chart" Target="charts/chart33.xml"/><Relationship Id="rId119" Type="http://schemas.openxmlformats.org/officeDocument/2006/relationships/hyperlink" Target="http://www.clujust.ro" TargetMode="Externa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chart" Target="charts/chart3.xml"/><Relationship Id="rId78" Type="http://schemas.openxmlformats.org/officeDocument/2006/relationships/image" Target="media/image67.png"/><Relationship Id="rId81" Type="http://schemas.openxmlformats.org/officeDocument/2006/relationships/image" Target="media/image69.png"/><Relationship Id="rId86" Type="http://schemas.openxmlformats.org/officeDocument/2006/relationships/image" Target="media/image73.png"/><Relationship Id="rId94" Type="http://schemas.openxmlformats.org/officeDocument/2006/relationships/chart" Target="charts/chart13.xml"/><Relationship Id="rId99" Type="http://schemas.openxmlformats.org/officeDocument/2006/relationships/chart" Target="charts/chart18.xml"/><Relationship Id="rId101" Type="http://schemas.openxmlformats.org/officeDocument/2006/relationships/chart" Target="charts/chart20.xm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chart" Target="charts/chart28.xml"/><Relationship Id="rId34" Type="http://schemas.openxmlformats.org/officeDocument/2006/relationships/image" Target="media/image27.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6.png"/><Relationship Id="rId97" Type="http://schemas.openxmlformats.org/officeDocument/2006/relationships/chart" Target="charts/chart16.xml"/><Relationship Id="rId104" Type="http://schemas.openxmlformats.org/officeDocument/2006/relationships/chart" Target="charts/chart23.xml"/><Relationship Id="rId120" Type="http://schemas.openxmlformats.org/officeDocument/2006/relationships/hyperlink" Target="http://www.tolo.ro" TargetMode="Externa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chart" Target="charts/chart11.xml"/><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4.png"/><Relationship Id="rId110" Type="http://schemas.openxmlformats.org/officeDocument/2006/relationships/chart" Target="charts/chart29.xml"/><Relationship Id="rId115" Type="http://schemas.openxmlformats.org/officeDocument/2006/relationships/hyperlink" Target="http://e-justice.europa.eu/ejnciv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oaie_de_lucru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Foaie_de_lucru_Microsoft_Excel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oaie_de_lucru_Microsoft_Excel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oaie_de_lucru_Microsoft_Excel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oaie_de_lucru_Microsoft_Excel1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Foaie_de_lucru_Microsoft_Excel14.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Foaie_de_lucru_Microsoft_Excel15.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2" Type="http://schemas.openxmlformats.org/officeDocument/2006/relationships/package" Target="../embeddings/Foaie_de_lucru_Microsoft_Excel16.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package" Target="../embeddings/Foaie_de_lucru_Microsoft_Excel17.xlsx"/><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2" Type="http://schemas.openxmlformats.org/officeDocument/2006/relationships/package" Target="../embeddings/Foaie_de_lucru_Microsoft_Excel18.xlsx"/><Relationship Id="rId1" Type="http://schemas.openxmlformats.org/officeDocument/2006/relationships/themeOverride" Target="../theme/themeOverride10.xml"/></Relationships>
</file>

<file path=word/charts/_rels/chart19.xml.rels><?xml version="1.0" encoding="UTF-8" standalone="yes"?>
<Relationships xmlns="http://schemas.openxmlformats.org/package/2006/relationships"><Relationship Id="rId2" Type="http://schemas.openxmlformats.org/officeDocument/2006/relationships/package" Target="../embeddings/Foaie_de_lucru_Microsoft_Excel19.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oaie_de_lucru_Microsoft_Excel2.xlsx"/><Relationship Id="rId1" Type="http://schemas.openxmlformats.org/officeDocument/2006/relationships/image" Target="../media/image50.jpeg"/></Relationships>
</file>

<file path=word/charts/_rels/chart20.xml.rels><?xml version="1.0" encoding="UTF-8" standalone="yes"?>
<Relationships xmlns="http://schemas.openxmlformats.org/package/2006/relationships"><Relationship Id="rId2" Type="http://schemas.openxmlformats.org/officeDocument/2006/relationships/package" Target="../embeddings/Foaie_de_lucru_Microsoft_Excel20.xlsx"/><Relationship Id="rId1" Type="http://schemas.openxmlformats.org/officeDocument/2006/relationships/themeOverride" Target="../theme/themeOverride12.xml"/></Relationships>
</file>

<file path=word/charts/_rels/chart21.xml.rels><?xml version="1.0" encoding="UTF-8" standalone="yes"?>
<Relationships xmlns="http://schemas.openxmlformats.org/package/2006/relationships"><Relationship Id="rId2" Type="http://schemas.openxmlformats.org/officeDocument/2006/relationships/package" Target="../embeddings/Foaie_de_lucru_Microsoft_Excel21.xlsx"/><Relationship Id="rId1" Type="http://schemas.openxmlformats.org/officeDocument/2006/relationships/themeOverride" Target="../theme/themeOverride13.xml"/></Relationships>
</file>

<file path=word/charts/_rels/chart22.xml.rels><?xml version="1.0" encoding="UTF-8" standalone="yes"?>
<Relationships xmlns="http://schemas.openxmlformats.org/package/2006/relationships"><Relationship Id="rId2" Type="http://schemas.openxmlformats.org/officeDocument/2006/relationships/package" Target="../embeddings/Foaie_de_lucru_Microsoft_Excel22.xlsx"/><Relationship Id="rId1" Type="http://schemas.openxmlformats.org/officeDocument/2006/relationships/themeOverride" Target="../theme/themeOverride14.xml"/></Relationships>
</file>

<file path=word/charts/_rels/chart23.xml.rels><?xml version="1.0" encoding="UTF-8" standalone="yes"?>
<Relationships xmlns="http://schemas.openxmlformats.org/package/2006/relationships"><Relationship Id="rId2" Type="http://schemas.openxmlformats.org/officeDocument/2006/relationships/package" Target="../embeddings/Foaie_de_lucru_Microsoft_Excel23.xlsx"/><Relationship Id="rId1" Type="http://schemas.openxmlformats.org/officeDocument/2006/relationships/themeOverride" Target="../theme/themeOverride15.xml"/></Relationships>
</file>

<file path=word/charts/_rels/chart24.xml.rels><?xml version="1.0" encoding="UTF-8" standalone="yes"?>
<Relationships xmlns="http://schemas.openxmlformats.org/package/2006/relationships"><Relationship Id="rId2" Type="http://schemas.openxmlformats.org/officeDocument/2006/relationships/package" Target="../embeddings/Foaie_de_lucru_Microsoft_Excel24.xlsx"/><Relationship Id="rId1" Type="http://schemas.openxmlformats.org/officeDocument/2006/relationships/themeOverride" Target="../theme/themeOverride16.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ihaela.tugulea\Documents\Note%20interne\2018\starea%20justitiei\Copy%20of%20tabele%20raport%20justitie%202017.xls"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ihaela.tugulea\Documents\Note%20interne\2018\starea%20justitiei\Copy%20of%20tabele%20raport%20justitie%202017.xls"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ihaela.tugulea\Documents\Note%20interne\2018\starea%20justitiei\Copy%20of%20tabele%20raport%20justitie%202017.xls"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ihaela.tugulea\Documents\Note%20interne\2018\starea%20justitiei\Copy%20of%20tabele%20raport%20justitie%202017.xls" TargetMode="External"/></Relationships>
</file>

<file path=word/charts/_rels/chart29.xml.rels><?xml version="1.0" encoding="UTF-8" standalone="yes"?>
<Relationships xmlns="http://schemas.openxmlformats.org/package/2006/relationships"><Relationship Id="rId2" Type="http://schemas.openxmlformats.org/officeDocument/2006/relationships/oleObject" Target="file:///C:\Users\mihaela.tugulea\Documents\Note%20interne\2018\starea%20justitiei\Copy%20of%20tabele%20raport%20justitie%202017.xls" TargetMode="External"/><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1" Type="http://schemas.openxmlformats.org/officeDocument/2006/relationships/package" Target="../embeddings/Foaie_de_lucru_Microsoft_Excel3.xlsx"/></Relationships>
</file>

<file path=word/charts/_rels/chart30.xml.rels><?xml version="1.0" encoding="UTF-8" standalone="yes"?>
<Relationships xmlns="http://schemas.openxmlformats.org/package/2006/relationships"><Relationship Id="rId2" Type="http://schemas.openxmlformats.org/officeDocument/2006/relationships/oleObject" Target="file:///C:\Users\mihaela.tugulea\Documents\Note%20interne\2018\starea%20justitiei\Copy%20of%20tabele%20raport%20justitie%202017.xls" TargetMode="External"/><Relationship Id="rId1" Type="http://schemas.openxmlformats.org/officeDocument/2006/relationships/themeOverride" Target="../theme/themeOverride22.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mihaela.tugulea\Documents\Note%20interne\2018\starea%20justitiei\Copy%20of%20tabele%20raport%20justitie%202017.xls" TargetMode="External"/><Relationship Id="rId1" Type="http://schemas.openxmlformats.org/officeDocument/2006/relationships/themeOverride" Target="../theme/themeOverride23.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mihaela.tugulea\Documents\Note%20interne\2018\starea%20justitiei\Copy%20of%20tabele%20raport%20justitie%202017.xls" TargetMode="External"/><Relationship Id="rId1" Type="http://schemas.openxmlformats.org/officeDocument/2006/relationships/themeOverride" Target="../theme/themeOverride24.xml"/></Relationships>
</file>

<file path=word/charts/_rels/chart33.xml.rels><?xml version="1.0" encoding="UTF-8" standalone="yes"?>
<Relationships xmlns="http://schemas.openxmlformats.org/package/2006/relationships"><Relationship Id="rId1" Type="http://schemas.openxmlformats.org/officeDocument/2006/relationships/package" Target="../embeddings/Foaie_de_lucru_Microsoft_Excel2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aie_de_lucru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oaie_de_lucru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oaie_de_lucru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oaie_de_lucru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oaie_de_lucru_Microsoft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Foaie_de_lucru_Microsoft_Excel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hPercent val="57"/>
      <c:rotY val="7"/>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2.4721878862793575E-3"/>
          <c:y val="3.4562211981566823E-2"/>
          <c:w val="0.88257107540173063"/>
          <c:h val="0.81336405529953926"/>
        </c:manualLayout>
      </c:layout>
      <c:bar3DChart>
        <c:barDir val="col"/>
        <c:grouping val="clustered"/>
        <c:varyColors val="0"/>
        <c:ser>
          <c:idx val="2"/>
          <c:order val="0"/>
          <c:tx>
            <c:strRef>
              <c:f>Sheet1!$A$2</c:f>
              <c:strCache>
                <c:ptCount val="1"/>
                <c:pt idx="0">
                  <c:v>2013</c:v>
                </c:pt>
              </c:strCache>
            </c:strRef>
          </c:tx>
          <c:spPr>
            <a:solidFill>
              <a:srgbClr val="FFFFCC"/>
            </a:solidFill>
            <a:ln w="12661">
              <a:solidFill>
                <a:srgbClr val="000000"/>
              </a:solidFill>
              <a:prstDash val="solid"/>
            </a:ln>
          </c:spPr>
          <c:invertIfNegative val="0"/>
          <c:dLbls>
            <c:dLbl>
              <c:idx val="0"/>
              <c:layout>
                <c:manualLayout>
                  <c:x val="2.5919487799259955E-3"/>
                  <c:y val="-2.5392049527041216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FF-486C-A5E1-BFAE3550E0FA}"/>
                </c:ext>
                <c:ext xmlns:c15="http://schemas.microsoft.com/office/drawing/2012/chart" uri="{CE6537A1-D6FC-4f65-9D91-7224C49458BB}"/>
              </c:extLst>
            </c:dLbl>
            <c:dLbl>
              <c:idx val="1"/>
              <c:layout>
                <c:manualLayout>
                  <c:x val="3.8335019203729337E-3"/>
                  <c:y val="-2.579531693632469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FF-486C-A5E1-BFAE3550E0FA}"/>
                </c:ext>
                <c:ext xmlns:c15="http://schemas.microsoft.com/office/drawing/2012/chart" uri="{CE6537A1-D6FC-4f65-9D91-7224C49458BB}"/>
              </c:extLst>
            </c:dLbl>
            <c:dLbl>
              <c:idx val="2"/>
              <c:layout>
                <c:manualLayout>
                  <c:x val="1.3666131904304102E-3"/>
                  <c:y val="-3.82458525223857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FF-486C-A5E1-BFAE3550E0FA}"/>
                </c:ext>
                <c:ext xmlns:c15="http://schemas.microsoft.com/office/drawing/2012/chart" uri="{CE6537A1-D6FC-4f65-9D91-7224C49458BB}"/>
              </c:extLst>
            </c:dLbl>
            <c:dLbl>
              <c:idx val="3"/>
              <c:layout>
                <c:manualLayout>
                  <c:x val="5.0803542171567462E-3"/>
                  <c:y val="-3.501190679807580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AFF-486C-A5E1-BFAE3550E0FA}"/>
                </c:ext>
                <c:ext xmlns:c15="http://schemas.microsoft.com/office/drawing/2012/chart" uri="{CE6537A1-D6FC-4f65-9D91-7224C49458BB}"/>
              </c:extLst>
            </c:dLbl>
            <c:dLbl>
              <c:idx val="4"/>
              <c:layout>
                <c:manualLayout>
                  <c:x val="1.3193043871641552E-2"/>
                  <c:y val="-4.8795801639754971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AFF-486C-A5E1-BFAE3550E0FA}"/>
                </c:ext>
                <c:ext xmlns:c15="http://schemas.microsoft.com/office/drawing/2012/chart" uri="{CE6537A1-D6FC-4f65-9D91-7224C49458BB}"/>
              </c:extLst>
            </c:dLbl>
            <c:dLbl>
              <c:idx val="5"/>
              <c:layout>
                <c:manualLayout>
                  <c:x val="1.0726315182669421E-2"/>
                  <c:y val="-3.683051336487241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FF-486C-A5E1-BFAE3550E0FA}"/>
                </c:ext>
                <c:ext xmlns:c15="http://schemas.microsoft.com/office/drawing/2012/chart" uri="{CE6537A1-D6FC-4f65-9D91-7224C49458BB}"/>
              </c:extLst>
            </c:dLbl>
            <c:spPr>
              <a:noFill/>
              <a:ln w="25322">
                <a:noFill/>
              </a:ln>
            </c:spPr>
            <c:txPr>
              <a:bodyPr wrap="square" lIns="38100" tIns="19050" rIns="38100" bIns="19050" anchor="ctr">
                <a:spAutoFit/>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Sheet1!$B$2:$G$2</c:f>
              <c:numCache>
                <c:formatCode>General</c:formatCode>
                <c:ptCount val="6"/>
                <c:pt idx="0">
                  <c:v>0</c:v>
                </c:pt>
                <c:pt idx="1">
                  <c:v>7</c:v>
                </c:pt>
                <c:pt idx="2">
                  <c:v>6</c:v>
                </c:pt>
                <c:pt idx="3">
                  <c:v>7</c:v>
                </c:pt>
                <c:pt idx="4">
                  <c:v>12</c:v>
                </c:pt>
                <c:pt idx="5">
                  <c:v>10</c:v>
                </c:pt>
              </c:numCache>
            </c:numRef>
          </c:val>
          <c:extLst xmlns:c16r2="http://schemas.microsoft.com/office/drawing/2015/06/chart">
            <c:ext xmlns:c16="http://schemas.microsoft.com/office/drawing/2014/chart" uri="{C3380CC4-5D6E-409C-BE32-E72D297353CC}">
              <c16:uniqueId val="{00000006-EAFF-486C-A5E1-BFAE3550E0FA}"/>
            </c:ext>
          </c:extLst>
        </c:ser>
        <c:ser>
          <c:idx val="0"/>
          <c:order val="1"/>
          <c:tx>
            <c:strRef>
              <c:f>Sheet1!$A$3</c:f>
              <c:strCache>
                <c:ptCount val="1"/>
                <c:pt idx="0">
                  <c:v>2014</c:v>
                </c:pt>
              </c:strCache>
            </c:strRef>
          </c:tx>
          <c:spPr>
            <a:solidFill>
              <a:srgbClr val="9999FF"/>
            </a:solidFill>
            <a:ln w="12661">
              <a:solidFill>
                <a:srgbClr val="000000"/>
              </a:solidFill>
              <a:prstDash val="solid"/>
            </a:ln>
          </c:spPr>
          <c:invertIfNegative val="0"/>
          <c:dLbls>
            <c:dLbl>
              <c:idx val="0"/>
              <c:layout>
                <c:manualLayout>
                  <c:x val="2.1564798709607091E-4"/>
                  <c:y val="-2.0298213697524492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FF-486C-A5E1-BFAE3550E0FA}"/>
                </c:ext>
                <c:ext xmlns:c15="http://schemas.microsoft.com/office/drawing/2012/chart" uri="{CE6537A1-D6FC-4f65-9D91-7224C49458BB}"/>
              </c:extLst>
            </c:dLbl>
            <c:dLbl>
              <c:idx val="1"/>
              <c:layout>
                <c:manualLayout>
                  <c:x val="-3.4871746450156893E-3"/>
                  <c:y val="-4.236890014208277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FF-486C-A5E1-BFAE3550E0FA}"/>
                </c:ext>
                <c:ext xmlns:c15="http://schemas.microsoft.com/office/drawing/2012/chart" uri="{CE6537A1-D6FC-4f65-9D91-7224C49458BB}"/>
              </c:extLst>
            </c:dLbl>
            <c:dLbl>
              <c:idx val="2"/>
              <c:layout>
                <c:manualLayout>
                  <c:x val="9.1723318005015875E-4"/>
                  <c:y val="-3.8204862571438153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AFF-486C-A5E1-BFAE3550E0FA}"/>
                </c:ext>
                <c:ext xmlns:c15="http://schemas.microsoft.com/office/drawing/2012/chart" uri="{CE6537A1-D6FC-4f65-9D91-7224C49458BB}"/>
              </c:extLst>
            </c:dLbl>
            <c:dLbl>
              <c:idx val="3"/>
              <c:layout>
                <c:manualLayout>
                  <c:x val="5.1762413106062333E-3"/>
                  <c:y val="-3.0403611867200253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AFF-486C-A5E1-BFAE3550E0FA}"/>
                </c:ext>
                <c:ext xmlns:c15="http://schemas.microsoft.com/office/drawing/2012/chart" uri="{CE6537A1-D6FC-4f65-9D91-7224C49458BB}"/>
              </c:extLst>
            </c:dLbl>
            <c:dLbl>
              <c:idx val="4"/>
              <c:layout>
                <c:manualLayout>
                  <c:x val="1.3288930965090873E-2"/>
                  <c:y val="-4.281315750231373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AFF-486C-A5E1-BFAE3550E0FA}"/>
                </c:ext>
                <c:ext xmlns:c15="http://schemas.microsoft.com/office/drawing/2012/chart" uri="{CE6537A1-D6FC-4f65-9D91-7224C49458BB}"/>
              </c:extLst>
            </c:dLbl>
            <c:dLbl>
              <c:idx val="5"/>
              <c:layout>
                <c:manualLayout>
                  <c:x val="1.1367469379948703E-2"/>
                  <c:y val="-2.765491345406889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AFF-486C-A5E1-BFAE3550E0FA}"/>
                </c:ext>
                <c:ext xmlns:c15="http://schemas.microsoft.com/office/drawing/2012/chart" uri="{CE6537A1-D6FC-4f65-9D91-7224C49458BB}"/>
              </c:extLst>
            </c:dLbl>
            <c:spPr>
              <a:noFill/>
              <a:ln w="25322">
                <a:noFill/>
              </a:ln>
            </c:spPr>
            <c:txPr>
              <a:bodyPr wrap="square" lIns="38100" tIns="19050" rIns="38100" bIns="19050" anchor="ctr">
                <a:spAutoFit/>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Sheet1!$B$3:$G$3</c:f>
              <c:numCache>
                <c:formatCode>General</c:formatCode>
                <c:ptCount val="6"/>
                <c:pt idx="0">
                  <c:v>3</c:v>
                </c:pt>
                <c:pt idx="1">
                  <c:v>9</c:v>
                </c:pt>
                <c:pt idx="2">
                  <c:v>11</c:v>
                </c:pt>
                <c:pt idx="3">
                  <c:v>7</c:v>
                </c:pt>
                <c:pt idx="4">
                  <c:v>11</c:v>
                </c:pt>
                <c:pt idx="5">
                  <c:v>5</c:v>
                </c:pt>
              </c:numCache>
            </c:numRef>
          </c:val>
          <c:extLst xmlns:c16r2="http://schemas.microsoft.com/office/drawing/2015/06/chart">
            <c:ext xmlns:c16="http://schemas.microsoft.com/office/drawing/2014/chart" uri="{C3380CC4-5D6E-409C-BE32-E72D297353CC}">
              <c16:uniqueId val="{0000000D-EAFF-486C-A5E1-BFAE3550E0FA}"/>
            </c:ext>
          </c:extLst>
        </c:ser>
        <c:ser>
          <c:idx val="1"/>
          <c:order val="2"/>
          <c:tx>
            <c:strRef>
              <c:f>Sheet1!$A$4</c:f>
              <c:strCache>
                <c:ptCount val="1"/>
                <c:pt idx="0">
                  <c:v>2015</c:v>
                </c:pt>
              </c:strCache>
            </c:strRef>
          </c:tx>
          <c:spPr>
            <a:solidFill>
              <a:srgbClr val="993366"/>
            </a:solidFill>
            <a:ln w="12661">
              <a:solidFill>
                <a:srgbClr val="000000"/>
              </a:solidFill>
              <a:prstDash val="solid"/>
            </a:ln>
          </c:spPr>
          <c:invertIfNegative val="0"/>
          <c:dLbls>
            <c:dLbl>
              <c:idx val="0"/>
              <c:layout>
                <c:manualLayout>
                  <c:x val="1.5476290236851875E-3"/>
                  <c:y val="-2.6280857834965921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AFF-486C-A5E1-BFAE3550E0FA}"/>
                </c:ext>
                <c:ext xmlns:c15="http://schemas.microsoft.com/office/drawing/2012/chart" uri="{CE6537A1-D6FC-4f65-9D91-7224C49458BB}"/>
              </c:extLst>
            </c:dLbl>
            <c:dLbl>
              <c:idx val="1"/>
              <c:layout>
                <c:manualLayout>
                  <c:x val="-2.7004607122563251E-3"/>
                  <c:y val="-5.109994910519274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AFF-486C-A5E1-BFAE3550E0FA}"/>
                </c:ext>
                <c:ext xmlns:c15="http://schemas.microsoft.com/office/drawing/2012/chart" uri="{CE6537A1-D6FC-4f65-9D91-7224C49458BB}"/>
              </c:extLst>
            </c:dLbl>
            <c:dLbl>
              <c:idx val="2"/>
              <c:layout>
                <c:manualLayout>
                  <c:x val="8.4296839323376727E-3"/>
                  <c:y val="-4.3742955761185864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AFF-486C-A5E1-BFAE3550E0FA}"/>
                </c:ext>
                <c:ext xmlns:c15="http://schemas.microsoft.com/office/drawing/2012/chart" uri="{CE6537A1-D6FC-4f65-9D91-7224C49458BB}"/>
              </c:extLst>
            </c:dLbl>
            <c:dLbl>
              <c:idx val="3"/>
              <c:layout>
                <c:manualLayout>
                  <c:x val="9.6712370727844998E-3"/>
                  <c:y val="-4.4187506708879415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AFF-486C-A5E1-BFAE3550E0FA}"/>
                </c:ext>
                <c:ext xmlns:c15="http://schemas.microsoft.com/office/drawing/2012/chart" uri="{CE6537A1-D6FC-4f65-9D91-7224C49458BB}"/>
              </c:extLst>
            </c:dLbl>
            <c:dLbl>
              <c:idx val="4"/>
              <c:layout>
                <c:manualLayout>
                  <c:x val="1.2693991219230649E-2"/>
                  <c:y val="-2.6280857834965921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AFF-486C-A5E1-BFAE3550E0FA}"/>
                </c:ext>
                <c:ext xmlns:c15="http://schemas.microsoft.com/office/drawing/2012/chart" uri="{CE6537A1-D6FC-4f65-9D91-7224C49458BB}"/>
              </c:extLst>
            </c:dLbl>
            <c:dLbl>
              <c:idx val="5"/>
              <c:layout>
                <c:manualLayout>
                  <c:x val="7.7550746439791762E-3"/>
                  <c:y val="-2.1672562904090364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AFF-486C-A5E1-BFAE3550E0FA}"/>
                </c:ext>
                <c:ext xmlns:c15="http://schemas.microsoft.com/office/drawing/2012/chart" uri="{CE6537A1-D6FC-4f65-9D91-7224C49458BB}"/>
              </c:extLst>
            </c:dLbl>
            <c:spPr>
              <a:noFill/>
              <a:ln w="25322">
                <a:noFill/>
              </a:ln>
            </c:spPr>
            <c:txPr>
              <a:bodyPr wrap="square" lIns="38100" tIns="19050" rIns="38100" bIns="19050" anchor="ctr">
                <a:spAutoFit/>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Sheet1!$B$4:$G$4</c:f>
              <c:numCache>
                <c:formatCode>General</c:formatCode>
                <c:ptCount val="6"/>
                <c:pt idx="0">
                  <c:v>4</c:v>
                </c:pt>
                <c:pt idx="1">
                  <c:v>12</c:v>
                </c:pt>
                <c:pt idx="2">
                  <c:v>10</c:v>
                </c:pt>
                <c:pt idx="3">
                  <c:v>12</c:v>
                </c:pt>
                <c:pt idx="4">
                  <c:v>4</c:v>
                </c:pt>
                <c:pt idx="5">
                  <c:v>4</c:v>
                </c:pt>
              </c:numCache>
            </c:numRef>
          </c:val>
          <c:extLst xmlns:c16r2="http://schemas.microsoft.com/office/drawing/2015/06/chart">
            <c:ext xmlns:c16="http://schemas.microsoft.com/office/drawing/2014/chart" uri="{C3380CC4-5D6E-409C-BE32-E72D297353CC}">
              <c16:uniqueId val="{00000014-EAFF-486C-A5E1-BFAE3550E0FA}"/>
            </c:ext>
          </c:extLst>
        </c:ser>
        <c:ser>
          <c:idx val="3"/>
          <c:order val="3"/>
          <c:tx>
            <c:strRef>
              <c:f>Sheet1!$A$5</c:f>
              <c:strCache>
                <c:ptCount val="1"/>
                <c:pt idx="0">
                  <c:v>2016</c:v>
                </c:pt>
              </c:strCache>
            </c:strRef>
          </c:tx>
          <c:spPr>
            <a:solidFill>
              <a:srgbClr val="CCFFFF"/>
            </a:solidFill>
            <a:ln w="12661">
              <a:solidFill>
                <a:srgbClr val="000000"/>
              </a:solidFill>
              <a:prstDash val="solid"/>
            </a:ln>
          </c:spPr>
          <c:invertIfNegative val="0"/>
          <c:dLbls>
            <c:dLbl>
              <c:idx val="0"/>
              <c:layout>
                <c:manualLayout>
                  <c:x val="2.879770101244794E-3"/>
                  <c:y val="-2.397671036952808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AFF-486C-A5E1-BFAE3550E0FA}"/>
                </c:ext>
                <c:ext xmlns:c15="http://schemas.microsoft.com/office/drawing/2012/chart" uri="{CE6537A1-D6FC-4f65-9D91-7224C49458BB}"/>
              </c:extLst>
            </c:dLbl>
            <c:dLbl>
              <c:idx val="1"/>
              <c:layout>
                <c:manualLayout>
                  <c:x val="9.7563658125899844E-3"/>
                  <c:y val="-3.359656764056256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EAFF-486C-A5E1-BFAE3550E0FA}"/>
                </c:ext>
                <c:ext xmlns:c15="http://schemas.microsoft.com/office/drawing/2012/chart" uri="{CE6537A1-D6FC-4f65-9D91-7224C49458BB}"/>
              </c:extLst>
            </c:dLbl>
            <c:dLbl>
              <c:idx val="2"/>
              <c:layout>
                <c:manualLayout>
                  <c:x val="3.3247609929551114E-2"/>
                  <c:y val="-1.9730692896988228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EAFF-486C-A5E1-BFAE3550E0FA}"/>
                </c:ext>
                <c:ext xmlns:c15="http://schemas.microsoft.com/office/drawing/2012/chart" uri="{CE6537A1-D6FC-4f65-9D91-7224C49458BB}"/>
              </c:extLst>
            </c:dLbl>
            <c:dLbl>
              <c:idx val="3"/>
              <c:layout>
                <c:manualLayout>
                  <c:x val="5.3680154975052075E-3"/>
                  <c:y val="-3.501190679807580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EAFF-486C-A5E1-BFAE3550E0FA}"/>
                </c:ext>
                <c:ext xmlns:c15="http://schemas.microsoft.com/office/drawing/2012/chart" uri="{CE6537A1-D6FC-4f65-9D91-7224C49458BB}"/>
              </c:extLst>
            </c:dLbl>
            <c:dLbl>
              <c:idx val="4"/>
              <c:layout>
                <c:manualLayout>
                  <c:x val="5.37347469481253E-3"/>
                  <c:y val="-3.1333410126072381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EAFF-486C-A5E1-BFAE3550E0FA}"/>
                </c:ext>
                <c:ext xmlns:c15="http://schemas.microsoft.com/office/drawing/2012/chart" uri="{CE6537A1-D6FC-4f65-9D91-7224C49458BB}"/>
              </c:extLst>
            </c:dLbl>
            <c:dLbl>
              <c:idx val="5"/>
              <c:layout>
                <c:manualLayout>
                  <c:x val="5.3787738511491545E-3"/>
                  <c:y val="-2.3532159421834509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EAFF-486C-A5E1-BFAE3550E0FA}"/>
                </c:ext>
                <c:ext xmlns:c15="http://schemas.microsoft.com/office/drawing/2012/chart" uri="{CE6537A1-D6FC-4f65-9D91-7224C49458BB}"/>
              </c:extLst>
            </c:dLbl>
            <c:spPr>
              <a:noFill/>
              <a:ln w="25322">
                <a:noFill/>
              </a:ln>
            </c:spPr>
            <c:txPr>
              <a:bodyPr wrap="square" lIns="38100" tIns="19050" rIns="38100" bIns="19050" anchor="ctr">
                <a:spAutoFit/>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Sheet1!$B$5:$G$5</c:f>
              <c:numCache>
                <c:formatCode>General</c:formatCode>
                <c:ptCount val="6"/>
                <c:pt idx="0">
                  <c:v>4</c:v>
                </c:pt>
                <c:pt idx="1">
                  <c:v>11</c:v>
                </c:pt>
                <c:pt idx="2">
                  <c:v>16</c:v>
                </c:pt>
                <c:pt idx="3">
                  <c:v>7</c:v>
                </c:pt>
                <c:pt idx="4">
                  <c:v>6</c:v>
                </c:pt>
                <c:pt idx="5">
                  <c:v>2</c:v>
                </c:pt>
              </c:numCache>
            </c:numRef>
          </c:val>
          <c:extLst xmlns:c16r2="http://schemas.microsoft.com/office/drawing/2015/06/chart">
            <c:ext xmlns:c16="http://schemas.microsoft.com/office/drawing/2014/chart" uri="{C3380CC4-5D6E-409C-BE32-E72D297353CC}">
              <c16:uniqueId val="{0000001B-EAFF-486C-A5E1-BFAE3550E0FA}"/>
            </c:ext>
          </c:extLst>
        </c:ser>
        <c:ser>
          <c:idx val="4"/>
          <c:order val="4"/>
          <c:tx>
            <c:strRef>
              <c:f>Sheet1!$A$6</c:f>
              <c:strCache>
                <c:ptCount val="1"/>
                <c:pt idx="0">
                  <c:v>2017</c:v>
                </c:pt>
              </c:strCache>
            </c:strRef>
          </c:tx>
          <c:spPr>
            <a:solidFill>
              <a:srgbClr val="660066"/>
            </a:solidFill>
            <a:ln w="12661">
              <a:solidFill>
                <a:srgbClr val="000000"/>
              </a:solidFill>
              <a:prstDash val="solid"/>
            </a:ln>
          </c:spPr>
          <c:invertIfNegative val="0"/>
          <c:dLbls>
            <c:dLbl>
              <c:idx val="0"/>
              <c:layout>
                <c:manualLayout>
                  <c:x val="4.2117511378339245E-3"/>
                  <c:y val="-4.3298698400954905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EAFF-486C-A5E1-BFAE3550E0FA}"/>
                </c:ext>
                <c:ext xmlns:c15="http://schemas.microsoft.com/office/drawing/2012/chart" uri="{CE6537A1-D6FC-4f65-9D91-7224C49458BB}"/>
              </c:extLst>
            </c:dLbl>
            <c:dLbl>
              <c:idx val="1"/>
              <c:layout>
                <c:manualLayout>
                  <c:x val="2.5921474166855252E-2"/>
                  <c:y val="-2.437997777881145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EAFF-486C-A5E1-BFAE3550E0FA}"/>
                </c:ext>
                <c:ext xmlns:c15="http://schemas.microsoft.com/office/drawing/2012/chart" uri="{CE6537A1-D6FC-4f65-9D91-7224C49458BB}"/>
              </c:extLst>
            </c:dLbl>
            <c:dLbl>
              <c:idx val="2"/>
              <c:layout>
                <c:manualLayout>
                  <c:x val="1.7274275762184765E-2"/>
                  <c:y val="-5.247429831175842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EAFF-486C-A5E1-BFAE3550E0FA}"/>
                </c:ext>
                <c:ext xmlns:c15="http://schemas.microsoft.com/office/drawing/2012/chart" uri="{CE6537A1-D6FC-4f65-9D91-7224C49458BB}"/>
              </c:extLst>
            </c:dLbl>
            <c:dLbl>
              <c:idx val="3"/>
              <c:layout>
                <c:manualLayout>
                  <c:x val="1.0408278363513324E-2"/>
                  <c:y val="-4.4228496659826977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EAFF-486C-A5E1-BFAE3550E0FA}"/>
                </c:ext>
                <c:ext xmlns:c15="http://schemas.microsoft.com/office/drawing/2012/chart" uri="{CE6537A1-D6FC-4f65-9D91-7224C49458BB}"/>
              </c:extLst>
            </c:dLbl>
            <c:dLbl>
              <c:idx val="4"/>
              <c:layout>
                <c:manualLayout>
                  <c:x val="6.7054557314014662E-3"/>
                  <c:y val="-3.5456457745769443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EAFF-486C-A5E1-BFAE3550E0FA}"/>
                </c:ext>
                <c:ext xmlns:c15="http://schemas.microsoft.com/office/drawing/2012/chart" uri="{CE6537A1-D6FC-4f65-9D91-7224C49458BB}"/>
              </c:extLst>
            </c:dLbl>
            <c:dLbl>
              <c:idx val="5"/>
              <c:layout>
                <c:manualLayout>
                  <c:x val="7.9468488308780394E-3"/>
                  <c:y val="-1.8923864490958953E-2"/>
                </c:manualLayout>
              </c:layout>
              <c:spPr>
                <a:noFill/>
                <a:ln w="25322">
                  <a:noFill/>
                </a:ln>
              </c:spPr>
              <c:txPr>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EAFF-486C-A5E1-BFAE3550E0FA}"/>
                </c:ext>
                <c:ext xmlns:c15="http://schemas.microsoft.com/office/drawing/2012/chart" uri="{CE6537A1-D6FC-4f65-9D91-7224C49458BB}"/>
              </c:extLst>
            </c:dLbl>
            <c:spPr>
              <a:noFill/>
              <a:ln w="25322">
                <a:noFill/>
              </a:ln>
            </c:spPr>
            <c:txPr>
              <a:bodyPr wrap="square" lIns="38100" tIns="19050" rIns="38100" bIns="19050" anchor="ctr">
                <a:spAutoFit/>
              </a:bodyPr>
              <a:lstStyle/>
              <a:p>
                <a:pPr>
                  <a:defRPr sz="997"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Sheet1!$B$6:$G$6</c:f>
              <c:numCache>
                <c:formatCode>General</c:formatCode>
                <c:ptCount val="6"/>
                <c:pt idx="0">
                  <c:v>8</c:v>
                </c:pt>
                <c:pt idx="1">
                  <c:v>11</c:v>
                </c:pt>
                <c:pt idx="2">
                  <c:v>13</c:v>
                </c:pt>
                <c:pt idx="3">
                  <c:v>7</c:v>
                </c:pt>
                <c:pt idx="4">
                  <c:v>9</c:v>
                </c:pt>
                <c:pt idx="5">
                  <c:v>2</c:v>
                </c:pt>
              </c:numCache>
            </c:numRef>
          </c:val>
          <c:extLst xmlns:c16r2="http://schemas.microsoft.com/office/drawing/2015/06/chart">
            <c:ext xmlns:c16="http://schemas.microsoft.com/office/drawing/2014/chart" uri="{C3380CC4-5D6E-409C-BE32-E72D297353CC}">
              <c16:uniqueId val="{00000022-EAFF-486C-A5E1-BFAE3550E0FA}"/>
            </c:ext>
          </c:extLst>
        </c:ser>
        <c:dLbls>
          <c:showLegendKey val="0"/>
          <c:showVal val="1"/>
          <c:showCatName val="0"/>
          <c:showSerName val="0"/>
          <c:showPercent val="0"/>
          <c:showBubbleSize val="0"/>
        </c:dLbls>
        <c:gapWidth val="150"/>
        <c:gapDepth val="0"/>
        <c:shape val="box"/>
        <c:axId val="466646264"/>
        <c:axId val="466636856"/>
        <c:axId val="0"/>
      </c:bar3DChart>
      <c:catAx>
        <c:axId val="46664626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947" b="1" i="0" u="none" strike="noStrike" baseline="0">
                <a:solidFill>
                  <a:srgbClr val="000000"/>
                </a:solidFill>
                <a:latin typeface="Arial"/>
                <a:ea typeface="Arial"/>
                <a:cs typeface="Arial"/>
              </a:defRPr>
            </a:pPr>
            <a:endParaRPr lang="ro-RO"/>
          </a:p>
        </c:txPr>
        <c:crossAx val="466636856"/>
        <c:crosses val="autoZero"/>
        <c:auto val="1"/>
        <c:lblAlgn val="ctr"/>
        <c:lblOffset val="100"/>
        <c:tickLblSkip val="1"/>
        <c:tickMarkSkip val="1"/>
        <c:noMultiLvlLbl val="0"/>
      </c:catAx>
      <c:valAx>
        <c:axId val="466636856"/>
        <c:scaling>
          <c:orientation val="minMax"/>
        </c:scaling>
        <c:delete val="1"/>
        <c:axPos val="l"/>
        <c:numFmt formatCode="General" sourceLinked="1"/>
        <c:majorTickMark val="out"/>
        <c:minorTickMark val="none"/>
        <c:tickLblPos val="nextTo"/>
        <c:crossAx val="466646264"/>
        <c:crosses val="autoZero"/>
        <c:crossBetween val="between"/>
      </c:valAx>
      <c:spPr>
        <a:noFill/>
        <a:ln w="25322">
          <a:noFill/>
        </a:ln>
      </c:spPr>
    </c:plotArea>
    <c:legend>
      <c:legendPos val="r"/>
      <c:layout>
        <c:manualLayout>
          <c:xMode val="edge"/>
          <c:yMode val="edge"/>
          <c:x val="0.88257107540173063"/>
          <c:y val="3.2258064516129038E-2"/>
          <c:w val="9.2707045735475904E-2"/>
          <c:h val="0.33640552995391704"/>
        </c:manualLayout>
      </c:layout>
      <c:overlay val="0"/>
      <c:spPr>
        <a:noFill/>
        <a:ln w="3165">
          <a:solidFill>
            <a:srgbClr val="000000"/>
          </a:solidFill>
          <a:prstDash val="solid"/>
        </a:ln>
      </c:spPr>
      <c:txPr>
        <a:bodyPr/>
        <a:lstStyle/>
        <a:p>
          <a:pPr>
            <a:defRPr sz="1097" b="1"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196" b="1" i="0" u="none" strike="noStrike" baseline="0">
          <a:solidFill>
            <a:srgbClr val="000000"/>
          </a:solidFill>
          <a:latin typeface="Arial"/>
          <a:ea typeface="Arial"/>
          <a:cs typeface="Arial"/>
        </a:defRPr>
      </a:pPr>
      <a:endParaRPr lang="ro-R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mn-lt"/>
                <a:ea typeface="Times New Roman"/>
                <a:cs typeface="Times New Roman"/>
              </a:defRPr>
            </a:pPr>
            <a:r>
              <a:rPr lang="en-US">
                <a:latin typeface="+mn-lt"/>
              </a:rPr>
              <a:t>Modalităţi de ocupare a posturilor de judecător 201</a:t>
            </a:r>
            <a:r>
              <a:rPr lang="ro-RO">
                <a:latin typeface="+mn-lt"/>
              </a:rPr>
              <a:t>7</a:t>
            </a:r>
            <a:endParaRPr lang="en-US">
              <a:latin typeface="+mn-lt"/>
            </a:endParaRPr>
          </a:p>
        </c:rich>
      </c:tx>
      <c:layout>
        <c:manualLayout>
          <c:xMode val="edge"/>
          <c:yMode val="edge"/>
          <c:x val="0.19093927361643909"/>
          <c:y val="1.6909886264216994E-2"/>
        </c:manualLayout>
      </c:layout>
      <c:overlay val="0"/>
      <c:spPr>
        <a:noFill/>
        <a:ln w="25338">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697283352401465"/>
          <c:y val="0.19444450925115839"/>
          <c:w val="0.60698689956331875"/>
          <c:h val="0.46464646464646481"/>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2.3206427659200352E-3"/>
                  <c:y val="5.1242433079703173E-3"/>
                </c:manualLayout>
              </c:layout>
              <c:tx>
                <c:rich>
                  <a:bodyPr/>
                  <a:lstStyle/>
                  <a:p>
                    <a:pPr>
                      <a:defRPr sz="848" b="1" i="0" u="none" strike="noStrike" baseline="0">
                        <a:solidFill>
                          <a:srgbClr val="000000"/>
                        </a:solidFill>
                        <a:latin typeface="Arial"/>
                        <a:ea typeface="Arial"/>
                        <a:cs typeface="Arial"/>
                      </a:defRPr>
                    </a:pPr>
                    <a:r>
                      <a:rPr lang="en-US"/>
                      <a:t>71</a:t>
                    </a:r>
                  </a:p>
                </c:rich>
              </c:tx>
              <c:spPr>
                <a:noFill/>
                <a:ln w="25338">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EA-4739-88CE-EE37F85381C6}"/>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71</c:v>
                </c:pt>
              </c:numCache>
            </c:numRef>
          </c:val>
          <c:extLst xmlns:c16r2="http://schemas.microsoft.com/office/drawing/2015/06/chart">
            <c:ext xmlns:c16="http://schemas.microsoft.com/office/drawing/2014/chart" uri="{C3380CC4-5D6E-409C-BE32-E72D297353CC}">
              <c16:uniqueId val="{00000001-8BEA-4739-88CE-EE37F85381C6}"/>
            </c:ext>
          </c:extLst>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30483047231E-2"/>
                  <c:y val="1.1430266502882419E-2"/>
                </c:manualLayout>
              </c:layout>
              <c:spPr>
                <a:noFill/>
                <a:ln w="25338">
                  <a:noFill/>
                </a:ln>
              </c:spPr>
              <c:txPr>
                <a:bodyPr/>
                <a:lstStyle/>
                <a:p>
                  <a:pPr>
                    <a:defRPr sz="84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BEA-4739-88CE-EE37F85381C6}"/>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133</c:v>
                </c:pt>
              </c:numCache>
            </c:numRef>
          </c:val>
          <c:extLst xmlns:c16r2="http://schemas.microsoft.com/office/drawing/2015/06/chart">
            <c:ext xmlns:c16="http://schemas.microsoft.com/office/drawing/2014/chart" uri="{C3380CC4-5D6E-409C-BE32-E72D297353CC}">
              <c16:uniqueId val="{00000003-8BEA-4739-88CE-EE37F85381C6}"/>
            </c:ext>
          </c:extLst>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3.2804809655203396E-2"/>
                  <c:y val="-1.4239331194711808E-3"/>
                </c:manualLayout>
              </c:layout>
              <c:spPr>
                <a:noFill/>
                <a:ln w="25338">
                  <a:noFill/>
                </a:ln>
              </c:spPr>
              <c:txPr>
                <a:bodyPr/>
                <a:lstStyle/>
                <a:p>
                  <a:pPr>
                    <a:defRPr sz="84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BEA-4739-88CE-EE37F85381C6}"/>
                </c:ext>
                <c:ext xmlns:c15="http://schemas.microsoft.com/office/drawing/2012/chart" uri="{CE6537A1-D6FC-4f65-9D91-7224C49458BB}">
                  <c15:layout>
                    <c:manualLayout>
                      <c:w val="5.6168203333557667E-2"/>
                      <c:h val="2.8790253070218069E-2"/>
                    </c:manualLayout>
                  </c15:layout>
                </c:ext>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5-8BEA-4739-88CE-EE37F85381C6}"/>
            </c:ext>
          </c:extLst>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3.8095897653371097E-2"/>
                  <c:y val="-2.8854894821649392E-3"/>
                </c:manualLayout>
              </c:layout>
              <c:spPr>
                <a:noFill/>
                <a:ln w="25338">
                  <a:noFill/>
                </a:ln>
              </c:spPr>
              <c:txPr>
                <a:bodyPr/>
                <a:lstStyle/>
                <a:p>
                  <a:pPr>
                    <a:defRPr sz="8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BEA-4739-88CE-EE37F85381C6}"/>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7-8BEA-4739-88CE-EE37F85381C6}"/>
            </c:ext>
          </c:extLst>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202E-2"/>
                  <c:y val="1.6965019103251881E-2"/>
                </c:manualLayout>
              </c:layout>
              <c:spPr>
                <a:noFill/>
                <a:ln w="25338">
                  <a:noFill/>
                </a:ln>
              </c:spPr>
              <c:txPr>
                <a:bodyPr/>
                <a:lstStyle/>
                <a:p>
                  <a:pPr>
                    <a:defRPr sz="9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BEA-4739-88CE-EE37F85381C6}"/>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9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9-8BEA-4739-88CE-EE37F85381C6}"/>
            </c:ext>
          </c:extLst>
        </c:ser>
        <c:dLbls>
          <c:showLegendKey val="0"/>
          <c:showVal val="1"/>
          <c:showCatName val="0"/>
          <c:showSerName val="0"/>
          <c:showPercent val="0"/>
          <c:showBubbleSize val="0"/>
        </c:dLbls>
        <c:gapWidth val="150"/>
        <c:gapDepth val="0"/>
        <c:shape val="box"/>
        <c:axId val="466645088"/>
        <c:axId val="466648224"/>
        <c:axId val="0"/>
      </c:bar3DChart>
      <c:catAx>
        <c:axId val="466645088"/>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7" b="1" i="0" u="none" strike="noStrike" baseline="0">
                <a:solidFill>
                  <a:srgbClr val="000000"/>
                </a:solidFill>
                <a:latin typeface="Arial"/>
                <a:ea typeface="Arial"/>
                <a:cs typeface="Arial"/>
              </a:defRPr>
            </a:pPr>
            <a:endParaRPr lang="ro-RO"/>
          </a:p>
        </c:txPr>
        <c:crossAx val="466648224"/>
        <c:crosses val="autoZero"/>
        <c:auto val="1"/>
        <c:lblAlgn val="ctr"/>
        <c:lblOffset val="100"/>
        <c:tickLblSkip val="1"/>
        <c:tickMarkSkip val="1"/>
        <c:noMultiLvlLbl val="0"/>
      </c:catAx>
      <c:valAx>
        <c:axId val="466648224"/>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ro-RO"/>
          </a:p>
        </c:txPr>
        <c:crossAx val="466645088"/>
        <c:crosses val="autoZero"/>
        <c:crossBetween val="between"/>
        <c:majorUnit val="10"/>
      </c:valAx>
      <c:spPr>
        <a:noFill/>
        <a:ln w="25338">
          <a:noFill/>
        </a:ln>
      </c:spPr>
    </c:plotArea>
    <c:legend>
      <c:legendPos val="b"/>
      <c:legendEntry>
        <c:idx val="4"/>
        <c:txPr>
          <a:bodyPr/>
          <a:lstStyle/>
          <a:p>
            <a:pPr>
              <a:defRPr sz="900" b="1" i="0" u="none" strike="noStrike" baseline="0">
                <a:solidFill>
                  <a:srgbClr val="000000"/>
                </a:solidFill>
                <a:latin typeface="+mn-lt"/>
                <a:ea typeface="Arial"/>
                <a:cs typeface="Arial"/>
              </a:defRPr>
            </a:pPr>
            <a:endParaRPr lang="ro-RO"/>
          </a:p>
        </c:txPr>
      </c:legendEntry>
      <c:layout>
        <c:manualLayout>
          <c:xMode val="edge"/>
          <c:yMode val="edge"/>
          <c:x val="7.6444130381138273E-2"/>
          <c:y val="0.72190428048345878"/>
          <c:w val="0.92355586961886171"/>
          <c:h val="0.27534610025598677"/>
        </c:manualLayout>
      </c:layout>
      <c:overlay val="0"/>
      <c:spPr>
        <a:noFill/>
        <a:ln w="25338">
          <a:noFill/>
        </a:ln>
      </c:spPr>
      <c:txPr>
        <a:bodyPr/>
        <a:lstStyle/>
        <a:p>
          <a:pPr>
            <a:defRPr sz="900" b="1" i="0" u="none" strike="noStrike" baseline="0">
              <a:solidFill>
                <a:srgbClr val="000000"/>
              </a:solidFill>
              <a:latin typeface="+mn-lt"/>
              <a:ea typeface="Arial"/>
              <a:cs typeface="Arial"/>
            </a:defRPr>
          </a:pPr>
          <a:endParaRPr lang="ro-RO"/>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ro-R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Times New Roman"/>
                <a:cs typeface="Times New Roman"/>
              </a:defRPr>
            </a:pPr>
            <a:r>
              <a:rPr lang="en-US" sz="1100" b="1" i="0" u="none" strike="noStrike" baseline="0">
                <a:solidFill>
                  <a:srgbClr val="000000"/>
                </a:solidFill>
                <a:latin typeface="+mn-lt"/>
                <a:cs typeface="Arial"/>
              </a:rPr>
              <a:t>Ocuparea prin concurs a funcţiilor de conducere urmare </a:t>
            </a:r>
            <a:r>
              <a:rPr lang="ro-RO" sz="1100" b="1" i="0" u="none" strike="noStrike" baseline="0">
                <a:solidFill>
                  <a:srgbClr val="000000"/>
                </a:solidFill>
                <a:latin typeface="+mn-lt"/>
                <a:cs typeface="Arial"/>
              </a:rPr>
              <a:t>a </a:t>
            </a:r>
            <a:r>
              <a:rPr lang="en-US" sz="1100" b="1" i="0" u="none" strike="noStrike" baseline="0">
                <a:solidFill>
                  <a:srgbClr val="000000"/>
                </a:solidFill>
                <a:latin typeface="+mn-lt"/>
                <a:cs typeface="Arial"/>
              </a:rPr>
              <a:t>concursurilor organizate la nivelul instanţelor judecătoreşti în anul 201</a:t>
            </a:r>
            <a:r>
              <a:rPr lang="ro-RO" sz="1100" b="1" i="0" u="none" strike="noStrike" baseline="0">
                <a:solidFill>
                  <a:srgbClr val="000000"/>
                </a:solidFill>
                <a:latin typeface="+mn-lt"/>
                <a:cs typeface="Arial"/>
              </a:rPr>
              <a:t>7</a:t>
            </a: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endParaRPr>
          </a:p>
        </c:rich>
      </c:tx>
      <c:layout>
        <c:manualLayout>
          <c:xMode val="edge"/>
          <c:yMode val="edge"/>
          <c:x val="0.1297539149888142"/>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9E-2"/>
          <c:y val="0.23411371237458187"/>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293850455199643E-2"/>
                  <c:y val="-5.0526160769826467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D7C-4FBB-9E5E-1C1CA99C7944}"/>
                </c:ex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D7C-4FBB-9E5E-1C1CA99C7944}"/>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D7C-4FBB-9E5E-1C1CA99C7944}"/>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2017</c:v>
                </c:pt>
                <c:pt idx="1">
                  <c:v>Concurs septembrie - decembrie 2017</c:v>
                </c:pt>
              </c:strCache>
            </c:strRef>
          </c:cat>
          <c:val>
            <c:numRef>
              <c:f>Sheet1!$B$2:$C$2</c:f>
              <c:numCache>
                <c:formatCode>General</c:formatCode>
                <c:ptCount val="2"/>
                <c:pt idx="0">
                  <c:v>127</c:v>
                </c:pt>
                <c:pt idx="1">
                  <c:v>126</c:v>
                </c:pt>
              </c:numCache>
            </c:numRef>
          </c:val>
          <c:extLst xmlns:c16r2="http://schemas.microsoft.com/office/drawing/2015/06/chart">
            <c:ext xmlns:c16="http://schemas.microsoft.com/office/drawing/2014/chart" uri="{C3380CC4-5D6E-409C-BE32-E72D297353CC}">
              <c16:uniqueId val="{00000003-9D7C-4FBB-9E5E-1C1CA99C7944}"/>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3866024606337865E-2"/>
                  <c:y val="-4.6129529779164236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D7C-4FBB-9E5E-1C1CA99C7944}"/>
                </c:ex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D7C-4FBB-9E5E-1C1CA99C7944}"/>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D7C-4FBB-9E5E-1C1CA99C7944}"/>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2017</c:v>
                </c:pt>
                <c:pt idx="1">
                  <c:v>Concurs septembrie - decembrie 2017</c:v>
                </c:pt>
              </c:strCache>
            </c:strRef>
          </c:cat>
          <c:val>
            <c:numRef>
              <c:f>Sheet1!$B$3:$C$3</c:f>
              <c:numCache>
                <c:formatCode>General</c:formatCode>
                <c:ptCount val="2"/>
                <c:pt idx="0">
                  <c:v>58</c:v>
                </c:pt>
                <c:pt idx="1">
                  <c:v>46</c:v>
                </c:pt>
              </c:numCache>
            </c:numRef>
          </c:val>
          <c:extLst xmlns:c16r2="http://schemas.microsoft.com/office/drawing/2015/06/chart">
            <c:ext xmlns:c16="http://schemas.microsoft.com/office/drawing/2014/chart" uri="{C3380CC4-5D6E-409C-BE32-E72D297353CC}">
              <c16:uniqueId val="{00000007-9D7C-4FBB-9E5E-1C1CA99C7944}"/>
            </c:ext>
          </c:extLst>
        </c:ser>
        <c:dLbls>
          <c:showLegendKey val="0"/>
          <c:showVal val="0"/>
          <c:showCatName val="0"/>
          <c:showSerName val="0"/>
          <c:showPercent val="0"/>
          <c:showBubbleSize val="0"/>
        </c:dLbls>
        <c:gapWidth val="150"/>
        <c:gapDepth val="0"/>
        <c:shape val="box"/>
        <c:axId val="466647832"/>
        <c:axId val="466638816"/>
        <c:axId val="0"/>
      </c:bar3DChart>
      <c:catAx>
        <c:axId val="46664783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mn-lt"/>
                <a:ea typeface="Times New Roman"/>
                <a:cs typeface="Times New Roman"/>
              </a:defRPr>
            </a:pPr>
            <a:endParaRPr lang="ro-RO"/>
          </a:p>
        </c:txPr>
        <c:crossAx val="466638816"/>
        <c:crosses val="autoZero"/>
        <c:auto val="1"/>
        <c:lblAlgn val="ctr"/>
        <c:lblOffset val="100"/>
        <c:tickLblSkip val="1"/>
        <c:tickMarkSkip val="1"/>
        <c:noMultiLvlLbl val="0"/>
      </c:catAx>
      <c:valAx>
        <c:axId val="466638816"/>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mn-lt"/>
                <a:ea typeface="Times New Roman"/>
                <a:cs typeface="Times New Roman"/>
              </a:defRPr>
            </a:pPr>
            <a:endParaRPr lang="ro-RO"/>
          </a:p>
        </c:txPr>
        <c:crossAx val="466647832"/>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ro-RO"/>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ro-RO"/>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ro-RO"/>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ro-R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5" b="1" i="0" u="none" strike="noStrike" baseline="0">
                <a:solidFill>
                  <a:srgbClr val="000000"/>
                </a:solidFill>
                <a:latin typeface="+mn-lt"/>
                <a:ea typeface="Times New Roman"/>
                <a:cs typeface="Times New Roman"/>
              </a:defRPr>
            </a:pPr>
            <a:r>
              <a:rPr lang="ro-RO">
                <a:latin typeface="+mn-lt"/>
              </a:rPr>
              <a:t>Gradul de ocupare a posturilor de judecător, ca urmare a concursului de promovare efectivă în funcţii de execuţie</a:t>
            </a:r>
          </a:p>
        </c:rich>
      </c:tx>
      <c:layout>
        <c:manualLayout>
          <c:xMode val="edge"/>
          <c:yMode val="edge"/>
          <c:x val="0.10882956878850109"/>
          <c:y val="1.9685039370078754E-2"/>
        </c:manualLayout>
      </c:layout>
      <c:overlay val="0"/>
      <c:spPr>
        <a:noFill/>
        <a:ln w="25400">
          <a:noFill/>
        </a:ln>
      </c:spPr>
    </c:title>
    <c:autoTitleDeleted val="0"/>
    <c:plotArea>
      <c:layout>
        <c:manualLayout>
          <c:layoutTarget val="inner"/>
          <c:xMode val="edge"/>
          <c:yMode val="edge"/>
          <c:x val="8.4188911704312114E-2"/>
          <c:y val="0.33464566929133882"/>
          <c:w val="0.55030800821355264"/>
          <c:h val="0.48031496062992179"/>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72</c:v>
                </c:pt>
                <c:pt idx="1">
                  <c:v>187</c:v>
                </c:pt>
              </c:numCache>
            </c:numRef>
          </c:val>
          <c:extLst xmlns:c16r2="http://schemas.microsoft.com/office/drawing/2015/06/chart">
            <c:ext xmlns:c16="http://schemas.microsoft.com/office/drawing/2014/chart" uri="{C3380CC4-5D6E-409C-BE32-E72D297353CC}">
              <c16:uniqueId val="{00000000-8B0B-417B-A6B7-3939BED4B119}"/>
            </c:ext>
          </c:extLst>
        </c:ser>
        <c:ser>
          <c:idx val="1"/>
          <c:order val="1"/>
          <c:tx>
            <c:strRef>
              <c:f>Sheet1!$A$3</c:f>
              <c:strCache>
                <c:ptCount val="1"/>
                <c:pt idx="0">
                  <c:v>posturi ocupate ca urmare a concursului</c:v>
                </c:pt>
              </c:strCache>
            </c:strRef>
          </c:tx>
          <c:spPr>
            <a:solidFill>
              <a:srgbClr val="00FF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70</c:v>
                </c:pt>
                <c:pt idx="1">
                  <c:v>148</c:v>
                </c:pt>
              </c:numCache>
            </c:numRef>
          </c:val>
          <c:extLst xmlns:c16r2="http://schemas.microsoft.com/office/drawing/2015/06/chart">
            <c:ext xmlns:c16="http://schemas.microsoft.com/office/drawing/2014/chart" uri="{C3380CC4-5D6E-409C-BE32-E72D297353CC}">
              <c16:uniqueId val="{00000001-8B0B-417B-A6B7-3939BED4B119}"/>
            </c:ext>
          </c:extLst>
        </c:ser>
        <c:ser>
          <c:idx val="2"/>
          <c:order val="2"/>
          <c:tx>
            <c:strRef>
              <c:f>Sheet1!$A$4</c:f>
              <c:strCache>
                <c:ptCount val="1"/>
                <c:pt idx="0">
                  <c:v>posturi ocupate prin valorificare</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2-8B0B-417B-A6B7-3939BED4B119}"/>
            </c:ext>
          </c:extLst>
        </c:ser>
        <c:dLbls>
          <c:showLegendKey val="0"/>
          <c:showVal val="1"/>
          <c:showCatName val="0"/>
          <c:showSerName val="0"/>
          <c:showPercent val="0"/>
          <c:showBubbleSize val="0"/>
        </c:dLbls>
        <c:gapWidth val="150"/>
        <c:axId val="466647440"/>
        <c:axId val="466644696"/>
      </c:barChart>
      <c:catAx>
        <c:axId val="4666474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mn-lt"/>
                <a:ea typeface="Arial"/>
                <a:cs typeface="Arial"/>
              </a:defRPr>
            </a:pPr>
            <a:endParaRPr lang="ro-RO"/>
          </a:p>
        </c:txPr>
        <c:crossAx val="466644696"/>
        <c:crosses val="autoZero"/>
        <c:auto val="1"/>
        <c:lblAlgn val="ctr"/>
        <c:lblOffset val="100"/>
        <c:tickLblSkip val="1"/>
        <c:tickMarkSkip val="1"/>
        <c:noMultiLvlLbl val="0"/>
      </c:catAx>
      <c:valAx>
        <c:axId val="4666446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ro-RO"/>
          </a:p>
        </c:txPr>
        <c:crossAx val="466647440"/>
        <c:crosses val="autoZero"/>
        <c:crossBetween val="between"/>
      </c:valAx>
      <c:spPr>
        <a:solidFill>
          <a:srgbClr val="C0C0C0"/>
        </a:solidFill>
        <a:ln w="12700">
          <a:solidFill>
            <a:srgbClr val="808080"/>
          </a:solidFill>
          <a:prstDash val="solid"/>
        </a:ln>
      </c:spPr>
    </c:plotArea>
    <c:legend>
      <c:legendPos val="r"/>
      <c:layout>
        <c:manualLayout>
          <c:xMode val="edge"/>
          <c:yMode val="edge"/>
          <c:x val="0.65503080082135523"/>
          <c:y val="0.37401574803149606"/>
          <c:w val="0.33675564681724868"/>
          <c:h val="0.39370078740157488"/>
        </c:manualLayout>
      </c:layout>
      <c:overlay val="0"/>
      <c:spPr>
        <a:noFill/>
        <a:ln w="3175">
          <a:solidFill>
            <a:srgbClr val="000000"/>
          </a:solidFill>
          <a:prstDash val="solid"/>
        </a:ln>
      </c:spPr>
      <c:txPr>
        <a:bodyPr/>
        <a:lstStyle/>
        <a:p>
          <a:pPr>
            <a:defRPr sz="735"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ro-R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mn-lt"/>
                <a:ea typeface="Times New Roman"/>
                <a:cs typeface="Times New Roman"/>
              </a:defRPr>
            </a:pPr>
            <a:r>
              <a:rPr lang="ro-RO">
                <a:latin typeface="+mn-lt"/>
              </a:rPr>
              <a:t>Gradul</a:t>
            </a:r>
            <a:r>
              <a:rPr lang="ro-RO" baseline="0">
                <a:latin typeface="+mn-lt"/>
              </a:rPr>
              <a:t> de ocupare a</a:t>
            </a:r>
            <a:r>
              <a:rPr lang="en-US">
                <a:latin typeface="+mn-lt"/>
              </a:rPr>
              <a:t> posturilor de judecător ca urmare a concursului de promovare pe loc</a:t>
            </a:r>
          </a:p>
        </c:rich>
      </c:tx>
      <c:layout>
        <c:manualLayout>
          <c:xMode val="edge"/>
          <c:yMode val="edge"/>
          <c:x val="9.8012298012298008E-2"/>
          <c:y val="8.5313120115761934E-2"/>
        </c:manualLayout>
      </c:layout>
      <c:overlay val="0"/>
      <c:spPr>
        <a:noFill/>
        <a:ln w="25349">
          <a:noFill/>
        </a:ln>
      </c:spPr>
    </c:title>
    <c:autoTitleDeleted val="0"/>
    <c:plotArea>
      <c:layout>
        <c:manualLayout>
          <c:layoutTarget val="inner"/>
          <c:xMode val="edge"/>
          <c:yMode val="edge"/>
          <c:x val="0.10061601642710473"/>
          <c:y val="0.42125984251968501"/>
          <c:w val="0.53182751540041073"/>
          <c:h val="0.48818897637795344"/>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ACD5-4329-BF90-86772F0C34C3}"/>
            </c:ext>
          </c:extLst>
        </c:ser>
        <c:ser>
          <c:idx val="1"/>
          <c:order val="1"/>
          <c:tx>
            <c:strRef>
              <c:f>Sheet1!$A$3</c:f>
              <c:strCache>
                <c:ptCount val="1"/>
                <c:pt idx="0">
                  <c:v>posturi ocupate la curţi de apel</c:v>
                </c:pt>
              </c:strCache>
            </c:strRef>
          </c:tx>
          <c:spPr>
            <a:solidFill>
              <a:srgbClr val="00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114</c:v>
                </c:pt>
              </c:numCache>
            </c:numRef>
          </c:val>
          <c:extLst xmlns:c16r2="http://schemas.microsoft.com/office/drawing/2015/06/chart">
            <c:ext xmlns:c16="http://schemas.microsoft.com/office/drawing/2014/chart" uri="{C3380CC4-5D6E-409C-BE32-E72D297353CC}">
              <c16:uniqueId val="{00000001-ACD5-4329-BF90-86772F0C34C3}"/>
            </c:ext>
          </c:extLst>
        </c:ser>
        <c:ser>
          <c:idx val="2"/>
          <c:order val="2"/>
          <c:tx>
            <c:strRef>
              <c:f>Sheet1!$A$4</c:f>
              <c:strCache>
                <c:ptCount val="1"/>
                <c:pt idx="0">
                  <c:v>posturi scoase la concurs la tribunale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General</c:formatCode>
                <c:ptCount val="1"/>
                <c:pt idx="0">
                  <c:v>200</c:v>
                </c:pt>
              </c:numCache>
            </c:numRef>
          </c:val>
          <c:extLst xmlns:c16r2="http://schemas.microsoft.com/office/drawing/2015/06/chart">
            <c:ext xmlns:c16="http://schemas.microsoft.com/office/drawing/2014/chart" uri="{C3380CC4-5D6E-409C-BE32-E72D297353CC}">
              <c16:uniqueId val="{00000002-ACD5-4329-BF90-86772F0C34C3}"/>
            </c:ext>
          </c:extLst>
        </c:ser>
        <c:ser>
          <c:idx val="3"/>
          <c:order val="3"/>
          <c:tx>
            <c:strRef>
              <c:f>Sheet1!$A$5</c:f>
              <c:strCache>
                <c:ptCount val="1"/>
                <c:pt idx="0">
                  <c:v>posturi ocupate la tribunale</c:v>
                </c:pt>
              </c:strCache>
            </c:strRef>
          </c:tx>
          <c:spPr>
            <a:solidFill>
              <a:srgbClr val="CC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General</c:formatCode>
                <c:ptCount val="1"/>
                <c:pt idx="0">
                  <c:v>196</c:v>
                </c:pt>
              </c:numCache>
            </c:numRef>
          </c:val>
          <c:extLst xmlns:c16r2="http://schemas.microsoft.com/office/drawing/2015/06/chart">
            <c:ext xmlns:c16="http://schemas.microsoft.com/office/drawing/2014/chart" uri="{C3380CC4-5D6E-409C-BE32-E72D297353CC}">
              <c16:uniqueId val="{00000003-ACD5-4329-BF90-86772F0C34C3}"/>
            </c:ext>
          </c:extLst>
        </c:ser>
        <c:dLbls>
          <c:showLegendKey val="0"/>
          <c:showVal val="1"/>
          <c:showCatName val="0"/>
          <c:showSerName val="0"/>
          <c:showPercent val="0"/>
          <c:showBubbleSize val="0"/>
        </c:dLbls>
        <c:gapWidth val="150"/>
        <c:axId val="466647048"/>
        <c:axId val="466645872"/>
      </c:barChart>
      <c:catAx>
        <c:axId val="46664704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ro-RO"/>
          </a:p>
        </c:txPr>
        <c:crossAx val="466645872"/>
        <c:crosses val="autoZero"/>
        <c:auto val="1"/>
        <c:lblAlgn val="ctr"/>
        <c:lblOffset val="100"/>
        <c:tickLblSkip val="1"/>
        <c:tickMarkSkip val="1"/>
        <c:noMultiLvlLbl val="0"/>
      </c:catAx>
      <c:valAx>
        <c:axId val="466645872"/>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mn-lt"/>
                <a:ea typeface="Arial"/>
                <a:cs typeface="Arial"/>
              </a:defRPr>
            </a:pPr>
            <a:endParaRPr lang="ro-RO"/>
          </a:p>
        </c:txPr>
        <c:crossAx val="466647048"/>
        <c:crosses val="autoZero"/>
        <c:crossBetween val="between"/>
      </c:valAx>
      <c:spPr>
        <a:solidFill>
          <a:srgbClr val="C0C0C0"/>
        </a:solidFill>
        <a:ln w="12675">
          <a:solidFill>
            <a:srgbClr val="808080"/>
          </a:solidFill>
          <a:prstDash val="solid"/>
        </a:ln>
      </c:spPr>
    </c:plotArea>
    <c:legend>
      <c:legendPos val="r"/>
      <c:layout>
        <c:manualLayout>
          <c:xMode val="edge"/>
          <c:yMode val="edge"/>
          <c:x val="0.65297741273100685"/>
          <c:y val="0.50393700787401552"/>
          <c:w val="0.33675564681724868"/>
          <c:h val="0.38188976377952816"/>
        </c:manualLayout>
      </c:layout>
      <c:overlay val="0"/>
      <c:spPr>
        <a:noFill/>
        <a:ln w="3169">
          <a:solidFill>
            <a:srgbClr val="000000"/>
          </a:solidFill>
          <a:prstDash val="solid"/>
        </a:ln>
      </c:spPr>
      <c:txPr>
        <a:bodyPr/>
        <a:lstStyle/>
        <a:p>
          <a:pPr>
            <a:defRPr sz="734"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ro-R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Gradul</a:t>
            </a:r>
            <a:r>
              <a:rPr lang="ro-RO" baseline="0">
                <a:solidFill>
                  <a:sysClr val="windowText" lastClr="000000"/>
                </a:solidFill>
                <a:latin typeface="+mn-lt"/>
              </a:rPr>
              <a:t> de ocupare a</a:t>
            </a:r>
            <a:r>
              <a:rPr lang="en-US">
                <a:solidFill>
                  <a:sysClr val="windowText" lastClr="000000"/>
                </a:solidFill>
                <a:latin typeface="+mn-lt"/>
              </a:rPr>
              <a:t> posturilor de </a:t>
            </a:r>
            <a:r>
              <a:rPr lang="ro-RO">
                <a:solidFill>
                  <a:sysClr val="windowText" lastClr="000000"/>
                </a:solidFill>
                <a:latin typeface="+mn-lt"/>
              </a:rPr>
              <a:t>procur</a:t>
            </a:r>
            <a:r>
              <a:rPr lang="en-US">
                <a:solidFill>
                  <a:sysClr val="windowText" lastClr="000000"/>
                </a:solidFill>
                <a:latin typeface="+mn-lt"/>
              </a:rPr>
              <a:t>or </a:t>
            </a:r>
            <a:endParaRPr lang="ro-RO">
              <a:solidFill>
                <a:sysClr val="windowText" lastClr="000000"/>
              </a:solidFill>
              <a:latin typeface="+mn-lt"/>
            </a:endParaRPr>
          </a:p>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la 1 ianuarie 2017</a:t>
            </a:r>
            <a:endParaRPr lang="en-US">
              <a:solidFill>
                <a:sysClr val="windowText" lastClr="000000"/>
              </a:solidFill>
              <a:latin typeface="+mn-lt"/>
            </a:endParaRPr>
          </a:p>
        </c:rich>
      </c:tx>
      <c:layout>
        <c:manualLayout>
          <c:xMode val="edge"/>
          <c:yMode val="edge"/>
          <c:x val="0.21408567249704474"/>
          <c:y val="2.121788539873376E-2"/>
        </c:manualLayout>
      </c:layout>
      <c:overlay val="0"/>
      <c:spPr>
        <a:noFill/>
        <a:ln w="2533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0">
              <a:solidFill>
                <a:srgbClr val="000000"/>
              </a:solidFill>
              <a:prstDash val="solid"/>
            </a:ln>
          </c:spPr>
          <c:invertIfNegative val="0"/>
          <c:dLbls>
            <c:dLbl>
              <c:idx val="0"/>
              <c:layout>
                <c:manualLayout>
                  <c:x val="-2.4981264051961048E-3"/>
                  <c:y val="-4.6136101499423335E-3"/>
                </c:manualLayout>
              </c:layout>
              <c:spPr>
                <a:noFill/>
                <a:ln w="25339">
                  <a:noFill/>
                </a:ln>
              </c:spPr>
              <c:txPr>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8F9-4B80-91AA-9B1B5E1D24C3}"/>
                </c:ext>
                <c:ext xmlns:c15="http://schemas.microsoft.com/office/drawing/2012/chart" uri="{CE6537A1-D6FC-4f65-9D91-7224C49458BB}"/>
              </c:extLst>
            </c:dLbl>
            <c:spPr>
              <a:noFill/>
              <a:ln w="2533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0.83779999999999999</c:v>
                </c:pt>
              </c:numCache>
            </c:numRef>
          </c:val>
          <c:extLst xmlns:c16r2="http://schemas.microsoft.com/office/drawing/2015/06/chart">
            <c:ext xmlns:c16="http://schemas.microsoft.com/office/drawing/2014/chart" uri="{C3380CC4-5D6E-409C-BE32-E72D297353CC}">
              <c16:uniqueId val="{00000001-58F9-4B80-91AA-9B1B5E1D24C3}"/>
            </c:ext>
          </c:extLst>
        </c:ser>
        <c:ser>
          <c:idx val="1"/>
          <c:order val="1"/>
          <c:tx>
            <c:strRef>
              <c:f>Sheet1!$A$3</c:f>
              <c:strCache>
                <c:ptCount val="1"/>
                <c:pt idx="0">
                  <c:v>PCA </c:v>
                </c:pt>
              </c:strCache>
            </c:strRef>
          </c:tx>
          <c:spPr>
            <a:solidFill>
              <a:srgbClr val="863A47"/>
            </a:solidFill>
            <a:ln w="12670">
              <a:solidFill>
                <a:srgbClr val="000000"/>
              </a:solidFill>
              <a:prstDash val="solid"/>
            </a:ln>
          </c:spPr>
          <c:invertIfNegative val="0"/>
          <c:dLbls>
            <c:dLbl>
              <c:idx val="0"/>
              <c:layout>
                <c:manualLayout>
                  <c:x val="7.4943792155882207E-3"/>
                  <c:y val="-2.3068050749711629E-2"/>
                </c:manualLayout>
              </c:layout>
              <c:spPr>
                <a:noFill/>
                <a:ln w="25339">
                  <a:noFill/>
                </a:ln>
              </c:spPr>
              <c:txPr>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8F9-4B80-91AA-9B1B5E1D24C3}"/>
                </c:ext>
                <c:ext xmlns:c15="http://schemas.microsoft.com/office/drawing/2012/chart" uri="{CE6537A1-D6FC-4f65-9D91-7224C49458BB}"/>
              </c:extLst>
            </c:dLbl>
            <c:spPr>
              <a:noFill/>
              <a:ln w="2533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0.00%</c:formatCode>
                <c:ptCount val="1"/>
                <c:pt idx="0">
                  <c:v>0.95940000000000003</c:v>
                </c:pt>
              </c:numCache>
            </c:numRef>
          </c:val>
          <c:extLst xmlns:c16r2="http://schemas.microsoft.com/office/drawing/2015/06/chart">
            <c:ext xmlns:c16="http://schemas.microsoft.com/office/drawing/2014/chart" uri="{C3380CC4-5D6E-409C-BE32-E72D297353CC}">
              <c16:uniqueId val="{00000003-58F9-4B80-91AA-9B1B5E1D24C3}"/>
            </c:ext>
          </c:extLst>
        </c:ser>
        <c:ser>
          <c:idx val="2"/>
          <c:order val="2"/>
          <c:tx>
            <c:strRef>
              <c:f>Sheet1!$A$4</c:f>
              <c:strCache>
                <c:ptCount val="1"/>
                <c:pt idx="0">
                  <c:v>PT </c:v>
                </c:pt>
              </c:strCache>
            </c:strRef>
          </c:tx>
          <c:spPr>
            <a:solidFill>
              <a:srgbClr val="FFFFCC"/>
            </a:solidFill>
            <a:ln w="12670">
              <a:solidFill>
                <a:srgbClr val="000000"/>
              </a:solidFill>
              <a:prstDash val="solid"/>
            </a:ln>
          </c:spPr>
          <c:invertIfNegative val="0"/>
          <c:dLbls>
            <c:dLbl>
              <c:idx val="0"/>
              <c:layout>
                <c:manualLayout>
                  <c:x val="2.4981264051961032E-2"/>
                  <c:y val="-4.1522491349480994E-2"/>
                </c:manualLayout>
              </c:layout>
              <c:spPr>
                <a:noFill/>
                <a:ln w="25339">
                  <a:noFill/>
                </a:ln>
              </c:spPr>
              <c:txPr>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8F9-4B80-91AA-9B1B5E1D24C3}"/>
                </c:ext>
                <c:ext xmlns:c15="http://schemas.microsoft.com/office/drawing/2012/chart" uri="{CE6537A1-D6FC-4f65-9D91-7224C49458BB}"/>
              </c:extLst>
            </c:dLbl>
            <c:spPr>
              <a:noFill/>
              <a:ln w="2533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0.90480000000000005</c:v>
                </c:pt>
              </c:numCache>
            </c:numRef>
          </c:val>
          <c:extLst xmlns:c16r2="http://schemas.microsoft.com/office/drawing/2015/06/chart">
            <c:ext xmlns:c16="http://schemas.microsoft.com/office/drawing/2014/chart" uri="{C3380CC4-5D6E-409C-BE32-E72D297353CC}">
              <c16:uniqueId val="{00000005-58F9-4B80-91AA-9B1B5E1D24C3}"/>
            </c:ext>
          </c:extLst>
        </c:ser>
        <c:ser>
          <c:idx val="3"/>
          <c:order val="3"/>
          <c:tx>
            <c:strRef>
              <c:f>Sheet1!$A$5</c:f>
              <c:strCache>
                <c:ptCount val="1"/>
                <c:pt idx="0">
                  <c:v>PJ </c:v>
                </c:pt>
              </c:strCache>
            </c:strRef>
          </c:tx>
          <c:spPr>
            <a:solidFill>
              <a:srgbClr val="CCFFFF"/>
            </a:solidFill>
            <a:ln w="12670">
              <a:solidFill>
                <a:srgbClr val="000000"/>
              </a:solidFill>
              <a:prstDash val="solid"/>
            </a:ln>
          </c:spPr>
          <c:invertIfNegative val="0"/>
          <c:dLbls>
            <c:dLbl>
              <c:idx val="0"/>
              <c:layout>
                <c:manualLayout>
                  <c:x val="1.2490632025980514E-2"/>
                  <c:y val="-9.2272202998847086E-3"/>
                </c:manualLayout>
              </c:layout>
              <c:tx>
                <c:rich>
                  <a:bodyPr/>
                  <a:lstStyle/>
                  <a:p>
                    <a:r>
                      <a:rPr lang="en-US" sz="1000"/>
                      <a:t>[]</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58F9-4B80-91AA-9B1B5E1D24C3}"/>
                </c:ext>
                <c:ext xmlns:c15="http://schemas.microsoft.com/office/drawing/2012/chart" uri="{CE6537A1-D6FC-4f65-9D91-7224C49458BB}"/>
              </c:extLst>
            </c:dLbl>
            <c:spPr>
              <a:noFill/>
              <a:ln w="2533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0.86409999999999998</c:v>
                </c:pt>
              </c:numCache>
            </c:numRef>
          </c:val>
          <c:extLst xmlns:c16r2="http://schemas.microsoft.com/office/drawing/2015/06/chart">
            <c:ext xmlns:c16="http://schemas.microsoft.com/office/drawing/2014/chart" uri="{C3380CC4-5D6E-409C-BE32-E72D297353CC}">
              <c16:uniqueId val="{00000007-58F9-4B80-91AA-9B1B5E1D24C3}"/>
            </c:ext>
          </c:extLst>
        </c:ser>
        <c:dLbls>
          <c:showLegendKey val="0"/>
          <c:showVal val="0"/>
          <c:showCatName val="0"/>
          <c:showSerName val="0"/>
          <c:showPercent val="0"/>
          <c:showBubbleSize val="0"/>
        </c:dLbls>
        <c:gapWidth val="150"/>
        <c:shape val="box"/>
        <c:axId val="466638032"/>
        <c:axId val="466650184"/>
        <c:axId val="0"/>
      </c:bar3DChart>
      <c:catAx>
        <c:axId val="466638032"/>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o-RO"/>
          </a:p>
        </c:txPr>
        <c:crossAx val="466650184"/>
        <c:crosses val="autoZero"/>
        <c:auto val="1"/>
        <c:lblAlgn val="ctr"/>
        <c:lblOffset val="100"/>
        <c:noMultiLvlLbl val="0"/>
      </c:catAx>
      <c:valAx>
        <c:axId val="466650184"/>
        <c:scaling>
          <c:orientation val="minMax"/>
          <c:min val="0"/>
        </c:scaling>
        <c:delete val="0"/>
        <c:axPos val="l"/>
        <c:majorGridlines>
          <c:spPr>
            <a:ln w="3168">
              <a:solidFill>
                <a:srgbClr val="000000"/>
              </a:solidFill>
              <a:prstDash val="solid"/>
            </a:ln>
          </c:spPr>
        </c:majorGridlines>
        <c:numFmt formatCode="0.00%" sourceLinked="0"/>
        <c:majorTickMark val="in"/>
        <c:minorTickMark val="none"/>
        <c:tickLblPos val="nextTo"/>
        <c:spPr>
          <a:ln w="3168">
            <a:solidFill>
              <a:srgbClr val="000000"/>
            </a:solidFill>
            <a:prstDash val="solid"/>
          </a:ln>
        </c:spPr>
        <c:txPr>
          <a:bodyPr rot="0" vert="horz"/>
          <a:lstStyle/>
          <a:p>
            <a:pPr>
              <a:defRPr sz="1125" b="1" i="0" u="none" strike="noStrike" baseline="0">
                <a:solidFill>
                  <a:srgbClr val="000000"/>
                </a:solidFill>
                <a:latin typeface="+mn-lt"/>
                <a:ea typeface="Arial"/>
                <a:cs typeface="Arial"/>
              </a:defRPr>
            </a:pPr>
            <a:endParaRPr lang="ro-RO"/>
          </a:p>
        </c:txPr>
        <c:crossAx val="466638032"/>
        <c:crosses val="autoZero"/>
        <c:crossBetween val="between"/>
      </c:valAx>
      <c:spPr>
        <a:noFill/>
        <a:ln w="25390">
          <a:noFill/>
        </a:ln>
      </c:spPr>
    </c:plotArea>
    <c:legend>
      <c:legendPos val="r"/>
      <c:layout>
        <c:manualLayout>
          <c:xMode val="edge"/>
          <c:yMode val="edge"/>
          <c:x val="0.82235834609494651"/>
          <c:y val="0.35734870317002887"/>
          <c:w val="0.15620214395099541"/>
          <c:h val="0.27089337175792511"/>
        </c:manualLayout>
      </c:layout>
      <c:overlay val="0"/>
      <c:spPr>
        <a:noFill/>
        <a:ln w="3168">
          <a:solidFill>
            <a:srgbClr val="000000"/>
          </a:solidFill>
          <a:prstDash val="solid"/>
        </a:ln>
      </c:spPr>
      <c:txPr>
        <a:bodyPr/>
        <a:lstStyle/>
        <a:p>
          <a:pPr>
            <a:defRPr sz="800"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ro-RO"/>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Times New Roman"/>
                <a:cs typeface="Times New Roman"/>
              </a:defRPr>
            </a:pPr>
            <a:r>
              <a:rPr lang="en-US" sz="1100">
                <a:latin typeface="+mn-lt"/>
              </a:rPr>
              <a:t>Modalităţi de ocupare a posturilor de procuror </a:t>
            </a:r>
            <a:endParaRPr lang="ro-RO" sz="1100">
              <a:latin typeface="+mn-lt"/>
            </a:endParaRPr>
          </a:p>
          <a:p>
            <a:pPr>
              <a:defRPr sz="1100" b="1" i="0" u="none" strike="noStrike" baseline="0">
                <a:solidFill>
                  <a:srgbClr val="000000"/>
                </a:solidFill>
                <a:latin typeface="+mn-lt"/>
                <a:ea typeface="Times New Roman"/>
                <a:cs typeface="Times New Roman"/>
              </a:defRPr>
            </a:pPr>
            <a:r>
              <a:rPr lang="ro-RO" sz="1100">
                <a:latin typeface="+mn-lt"/>
              </a:rPr>
              <a:t>2017</a:t>
            </a:r>
          </a:p>
        </c:rich>
      </c:tx>
      <c:layout>
        <c:manualLayout>
          <c:xMode val="edge"/>
          <c:yMode val="edge"/>
          <c:x val="0.17270243271829827"/>
          <c:y val="2.0194741282339706E-2"/>
        </c:manualLayout>
      </c:layout>
      <c:overlay val="0"/>
      <c:spPr>
        <a:noFill/>
        <a:ln w="22139">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71"/>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1070">
              <a:solidFill>
                <a:srgbClr val="000000"/>
              </a:solidFill>
              <a:prstDash val="solid"/>
            </a:ln>
          </c:spPr>
          <c:invertIfNegative val="0"/>
          <c:dLbls>
            <c:dLbl>
              <c:idx val="0"/>
              <c:layout>
                <c:manualLayout>
                  <c:x val="-1.3894012713078959E-2"/>
                  <c:y val="-3.8377099414297379E-3"/>
                </c:manualLayout>
              </c:layout>
              <c:spPr>
                <a:noFill/>
                <a:ln w="22139">
                  <a:noFill/>
                </a:ln>
              </c:spPr>
              <c:txPr>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7BB-4C0C-84EF-0F974F70C2F8}"/>
                </c:ext>
                <c:ext xmlns:c15="http://schemas.microsoft.com/office/drawing/2012/chart" uri="{CE6537A1-D6FC-4f65-9D91-7224C49458BB}"/>
              </c:extLst>
            </c:dLbl>
            <c:spPr>
              <a:noFill/>
              <a:ln w="22139">
                <a:noFill/>
              </a:ln>
            </c:spPr>
            <c:txPr>
              <a:bodyPr wrap="square" lIns="38100" tIns="19050" rIns="38100" bIns="19050" anchor="ctr">
                <a:spAutoFit/>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1-87BB-4C0C-84EF-0F974F70C2F8}"/>
            </c:ext>
          </c:extLst>
        </c:ser>
        <c:ser>
          <c:idx val="1"/>
          <c:order val="1"/>
          <c:tx>
            <c:strRef>
              <c:f>Sheet1!$A$3</c:f>
              <c:strCache>
                <c:ptCount val="1"/>
                <c:pt idx="0">
                  <c:v>procurori numiti în urma promovării concursului de admitere în magistratură</c:v>
                </c:pt>
              </c:strCache>
            </c:strRef>
          </c:tx>
          <c:spPr>
            <a:solidFill>
              <a:srgbClr val="993366"/>
            </a:solidFill>
            <a:ln w="11070">
              <a:solidFill>
                <a:srgbClr val="000000"/>
              </a:solidFill>
              <a:prstDash val="solid"/>
            </a:ln>
          </c:spPr>
          <c:invertIfNegative val="0"/>
          <c:dLbls>
            <c:dLbl>
              <c:idx val="0"/>
              <c:layout>
                <c:manualLayout>
                  <c:x val="6.7144940622971327E-2"/>
                  <c:y val="-6.6721264525595987E-3"/>
                </c:manualLayout>
              </c:layout>
              <c:spPr>
                <a:noFill/>
                <a:ln w="22139">
                  <a:noFill/>
                </a:ln>
              </c:spPr>
              <c:txPr>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7BB-4C0C-84EF-0F974F70C2F8}"/>
                </c:ext>
                <c:ext xmlns:c15="http://schemas.microsoft.com/office/drawing/2012/chart" uri="{CE6537A1-D6FC-4f65-9D91-7224C49458BB}"/>
              </c:extLst>
            </c:dLbl>
            <c:spPr>
              <a:noFill/>
              <a:ln w="22139">
                <a:noFill/>
              </a:ln>
            </c:spPr>
            <c:txPr>
              <a:bodyPr wrap="square" lIns="38100" tIns="19050" rIns="38100" bIns="19050" anchor="ctr">
                <a:spAutoFit/>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56</c:v>
                </c:pt>
              </c:numCache>
            </c:numRef>
          </c:val>
          <c:extLst xmlns:c16r2="http://schemas.microsoft.com/office/drawing/2015/06/chart">
            <c:ext xmlns:c16="http://schemas.microsoft.com/office/drawing/2014/chart" uri="{C3380CC4-5D6E-409C-BE32-E72D297353CC}">
              <c16:uniqueId val="{00000003-87BB-4C0C-84EF-0F974F70C2F8}"/>
            </c:ext>
          </c:extLst>
        </c:ser>
        <c:ser>
          <c:idx val="2"/>
          <c:order val="2"/>
          <c:tx>
            <c:strRef>
              <c:f>Sheet1!$A$4</c:f>
              <c:strCache>
                <c:ptCount val="1"/>
                <c:pt idx="0">
                  <c:v>judecători numiţi, la cerere, procurori</c:v>
                </c:pt>
              </c:strCache>
            </c:strRef>
          </c:tx>
          <c:spPr>
            <a:solidFill>
              <a:srgbClr val="FFFFCC"/>
            </a:solidFill>
            <a:ln w="11070">
              <a:solidFill>
                <a:srgbClr val="000000"/>
              </a:solidFill>
              <a:prstDash val="solid"/>
            </a:ln>
          </c:spPr>
          <c:invertIfNegative val="0"/>
          <c:dLbls>
            <c:dLbl>
              <c:idx val="0"/>
              <c:layout>
                <c:manualLayout>
                  <c:x val="7.6854452575528698E-2"/>
                  <c:y val="2.0622696457613969E-3"/>
                </c:manualLayout>
              </c:layout>
              <c:spPr>
                <a:noFill/>
                <a:ln w="22139">
                  <a:noFill/>
                </a:ln>
              </c:spPr>
              <c:txPr>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7BB-4C0C-84EF-0F974F70C2F8}"/>
                </c:ext>
                <c:ext xmlns:c15="http://schemas.microsoft.com/office/drawing/2012/chart" uri="{CE6537A1-D6FC-4f65-9D91-7224C49458BB}"/>
              </c:extLst>
            </c:dLbl>
            <c:spPr>
              <a:noFill/>
              <a:ln w="22139">
                <a:noFill/>
              </a:ln>
            </c:spPr>
            <c:txPr>
              <a:bodyPr wrap="square" lIns="38100" tIns="19050" rIns="38100" bIns="19050" anchor="ctr">
                <a:spAutoFit/>
              </a:bodyPr>
              <a:lstStyle/>
              <a:p>
                <a:pPr>
                  <a:defRPr sz="852"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87BB-4C0C-84EF-0F974F70C2F8}"/>
            </c:ext>
          </c:extLst>
        </c:ser>
        <c:dLbls>
          <c:showLegendKey val="0"/>
          <c:showVal val="0"/>
          <c:showCatName val="0"/>
          <c:showSerName val="0"/>
          <c:showPercent val="0"/>
          <c:showBubbleSize val="0"/>
        </c:dLbls>
        <c:gapWidth val="150"/>
        <c:gapDepth val="0"/>
        <c:shape val="box"/>
        <c:axId val="466649400"/>
        <c:axId val="466652144"/>
        <c:axId val="0"/>
      </c:bar3DChart>
      <c:catAx>
        <c:axId val="466649400"/>
        <c:scaling>
          <c:orientation val="minMax"/>
        </c:scaling>
        <c:delete val="0"/>
        <c:axPos val="b"/>
        <c:majorGridlines>
          <c:spPr>
            <a:ln w="2767">
              <a:solidFill>
                <a:srgbClr val="000000"/>
              </a:solidFill>
              <a:prstDash val="solid"/>
            </a:ln>
          </c:spPr>
        </c:majorGridlines>
        <c:numFmt formatCode="General" sourceLinked="1"/>
        <c:majorTickMark val="out"/>
        <c:minorTickMark val="none"/>
        <c:tickLblPos val="low"/>
        <c:spPr>
          <a:ln w="2767">
            <a:solidFill>
              <a:srgbClr val="000000"/>
            </a:solidFill>
            <a:prstDash val="solid"/>
          </a:ln>
        </c:spPr>
        <c:txPr>
          <a:bodyPr rot="0" vert="horz"/>
          <a:lstStyle/>
          <a:p>
            <a:pPr>
              <a:defRPr sz="1284" b="1" i="0" u="none" strike="noStrike" baseline="0">
                <a:solidFill>
                  <a:srgbClr val="000000"/>
                </a:solidFill>
                <a:latin typeface="Arial"/>
                <a:ea typeface="Arial"/>
                <a:cs typeface="Arial"/>
              </a:defRPr>
            </a:pPr>
            <a:endParaRPr lang="ro-RO"/>
          </a:p>
        </c:txPr>
        <c:crossAx val="466652144"/>
        <c:crosses val="autoZero"/>
        <c:auto val="1"/>
        <c:lblAlgn val="ctr"/>
        <c:lblOffset val="100"/>
        <c:tickLblSkip val="1"/>
        <c:tickMarkSkip val="1"/>
        <c:noMultiLvlLbl val="0"/>
      </c:catAx>
      <c:valAx>
        <c:axId val="466652144"/>
        <c:scaling>
          <c:orientation val="minMax"/>
          <c:max val="100"/>
        </c:scaling>
        <c:delete val="0"/>
        <c:axPos val="l"/>
        <c:majorGridlines>
          <c:spPr>
            <a:ln w="2767">
              <a:solidFill>
                <a:srgbClr val="000000"/>
              </a:solidFill>
              <a:prstDash val="solid"/>
            </a:ln>
          </c:spPr>
        </c:majorGridlines>
        <c:numFmt formatCode="General" sourceLinked="1"/>
        <c:majorTickMark val="out"/>
        <c:minorTickMark val="none"/>
        <c:tickLblPos val="nextTo"/>
        <c:spPr>
          <a:ln w="2767">
            <a:solidFill>
              <a:srgbClr val="000000"/>
            </a:solidFill>
            <a:prstDash val="solid"/>
          </a:ln>
        </c:spPr>
        <c:txPr>
          <a:bodyPr rot="0" vert="horz"/>
          <a:lstStyle/>
          <a:p>
            <a:pPr>
              <a:defRPr sz="852" b="1" i="0" u="none" strike="noStrike" baseline="0">
                <a:solidFill>
                  <a:srgbClr val="000000"/>
                </a:solidFill>
                <a:latin typeface="Arial"/>
                <a:ea typeface="Arial"/>
                <a:cs typeface="Arial"/>
              </a:defRPr>
            </a:pPr>
            <a:endParaRPr lang="ro-RO"/>
          </a:p>
        </c:txPr>
        <c:crossAx val="466649400"/>
        <c:crosses val="autoZero"/>
        <c:crossBetween val="between"/>
        <c:majorUnit val="10"/>
      </c:valAx>
      <c:spPr>
        <a:noFill/>
        <a:ln w="22187">
          <a:noFill/>
        </a:ln>
      </c:spPr>
    </c:plotArea>
    <c:legend>
      <c:legendPos val="r"/>
      <c:overlay val="0"/>
      <c:spPr>
        <a:noFill/>
        <a:ln w="22139">
          <a:noFill/>
        </a:ln>
      </c:spPr>
      <c:txPr>
        <a:bodyPr/>
        <a:lstStyle/>
        <a:p>
          <a:pPr>
            <a:defRPr sz="786" b="1" i="0" u="none" strike="noStrike" baseline="0">
              <a:solidFill>
                <a:srgbClr val="000000"/>
              </a:solidFill>
              <a:latin typeface="+mn-lt"/>
              <a:ea typeface="Arial"/>
              <a:cs typeface="Arial"/>
            </a:defRPr>
          </a:pPr>
          <a:endParaRPr lang="ro-RO"/>
        </a:p>
      </c:txPr>
    </c:legend>
    <c:plotVisOnly val="1"/>
    <c:dispBlanksAs val="gap"/>
    <c:showDLblsOverMax val="0"/>
  </c:chart>
  <c:spPr>
    <a:noFill/>
    <a:ln>
      <a:noFill/>
    </a:ln>
  </c:spPr>
  <c:txPr>
    <a:bodyPr/>
    <a:lstStyle/>
    <a:p>
      <a:pPr>
        <a:defRPr sz="1044" b="1" i="0" u="none" strike="noStrike" baseline="0">
          <a:solidFill>
            <a:srgbClr val="000000"/>
          </a:solidFill>
          <a:latin typeface="Arial"/>
          <a:ea typeface="Arial"/>
          <a:cs typeface="Arial"/>
        </a:defRPr>
      </a:pPr>
      <a:endParaRPr lang="ro-RO"/>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6" b="1" i="0" u="none" strike="noStrike" baseline="0">
                <a:solidFill>
                  <a:srgbClr val="7030A0"/>
                </a:solidFill>
                <a:latin typeface="+mn-lt"/>
                <a:ea typeface="Times New Roman"/>
                <a:cs typeface="Times New Roman"/>
              </a:defRPr>
            </a:pPr>
            <a:r>
              <a:rPr lang="en-US" sz="997" b="1" i="0" u="none" strike="noStrike" baseline="0">
                <a:solidFill>
                  <a:sysClr val="windowText" lastClr="000000"/>
                </a:solidFill>
                <a:latin typeface="+mn-lt"/>
                <a:cs typeface="Arial"/>
              </a:rPr>
              <a:t>Ocuparea funcţiilor de conducere </a:t>
            </a:r>
            <a:r>
              <a:rPr lang="ro-RO" sz="997" b="1" i="0" u="none" strike="noStrike" baseline="0">
                <a:solidFill>
                  <a:sysClr val="windowText" lastClr="000000"/>
                </a:solidFill>
                <a:latin typeface="+mn-lt"/>
                <a:cs typeface="Arial"/>
              </a:rPr>
              <a:t>la nivelul parchetelor </a:t>
            </a:r>
            <a:r>
              <a:rPr lang="en-US" sz="997" b="1" i="0" u="none" strike="noStrike" baseline="0">
                <a:solidFill>
                  <a:sysClr val="windowText" lastClr="000000"/>
                </a:solidFill>
                <a:latin typeface="+mn-lt"/>
                <a:cs typeface="Arial"/>
              </a:rPr>
              <a:t>urmare </a:t>
            </a:r>
            <a:r>
              <a:rPr lang="ro-RO" sz="997" b="1" i="0" u="none" strike="noStrike" baseline="0">
                <a:solidFill>
                  <a:sysClr val="windowText" lastClr="000000"/>
                </a:solidFill>
                <a:latin typeface="+mn-lt"/>
                <a:cs typeface="Arial"/>
              </a:rPr>
              <a:t>a </a:t>
            </a:r>
            <a:r>
              <a:rPr lang="en-US" sz="997" b="1" i="0" u="none" strike="noStrike" baseline="0">
                <a:solidFill>
                  <a:sysClr val="windowText" lastClr="000000"/>
                </a:solidFill>
                <a:latin typeface="+mn-lt"/>
                <a:cs typeface="Arial"/>
              </a:rPr>
              <a:t>concursurilor organizate în anul </a:t>
            </a:r>
            <a:r>
              <a:rPr lang="ro-RO" sz="997" b="1" i="0" u="none" strike="noStrike" baseline="0">
                <a:solidFill>
                  <a:sysClr val="windowText" lastClr="000000"/>
                </a:solidFill>
                <a:latin typeface="+mn-lt"/>
                <a:cs typeface="Arial"/>
              </a:rPr>
              <a:t>2017</a:t>
            </a:r>
            <a:endParaRPr lang="en-US" sz="800" b="1" i="0" u="none" strike="noStrike" baseline="0">
              <a:solidFill>
                <a:sysClr val="windowText" lastClr="000000"/>
              </a:solidFill>
              <a:latin typeface="+mn-lt"/>
              <a:cs typeface="Arial"/>
            </a:endParaRPr>
          </a:p>
          <a:p>
            <a:pPr>
              <a:defRPr sz="1176" b="1" i="0" u="none" strike="noStrike" baseline="0">
                <a:solidFill>
                  <a:srgbClr val="7030A0"/>
                </a:solidFill>
                <a:latin typeface="+mn-lt"/>
                <a:ea typeface="Times New Roman"/>
                <a:cs typeface="Times New Roman"/>
              </a:defRPr>
            </a:pPr>
            <a:endParaRPr lang="en-US" sz="800" b="1" i="0" u="none" strike="noStrike" baseline="0">
              <a:solidFill>
                <a:srgbClr val="7030A0"/>
              </a:solidFill>
              <a:latin typeface="+mn-lt"/>
              <a:cs typeface="Arial"/>
            </a:endParaRPr>
          </a:p>
          <a:p>
            <a:pPr>
              <a:defRPr sz="1176" b="1" i="0" u="none" strike="noStrike" baseline="0">
                <a:solidFill>
                  <a:srgbClr val="7030A0"/>
                </a:solidFill>
                <a:latin typeface="+mn-lt"/>
                <a:ea typeface="Times New Roman"/>
                <a:cs typeface="Times New Roman"/>
              </a:defRPr>
            </a:pPr>
            <a:endParaRPr lang="en-US" sz="800" b="1" i="0" u="none" strike="noStrike" baseline="0">
              <a:solidFill>
                <a:srgbClr val="7030A0"/>
              </a:solidFill>
              <a:latin typeface="+mn-lt"/>
              <a:cs typeface="Arial"/>
            </a:endParaRPr>
          </a:p>
          <a:p>
            <a:pPr>
              <a:defRPr sz="1176" b="1" i="0" u="none" strike="noStrike" baseline="0">
                <a:solidFill>
                  <a:srgbClr val="7030A0"/>
                </a:solidFill>
                <a:latin typeface="+mn-lt"/>
                <a:ea typeface="Times New Roman"/>
                <a:cs typeface="Times New Roman"/>
              </a:defRPr>
            </a:pPr>
            <a:endParaRPr lang="en-US" sz="800" b="1" i="0" u="none" strike="noStrike" baseline="0">
              <a:solidFill>
                <a:srgbClr val="7030A0"/>
              </a:solidFill>
              <a:latin typeface="+mn-lt"/>
              <a:cs typeface="Arial"/>
            </a:endParaRPr>
          </a:p>
          <a:p>
            <a:pPr>
              <a:defRPr sz="1176" b="1" i="0" u="none" strike="noStrike" baseline="0">
                <a:solidFill>
                  <a:srgbClr val="7030A0"/>
                </a:solidFill>
                <a:latin typeface="+mn-lt"/>
                <a:ea typeface="Times New Roman"/>
                <a:cs typeface="Times New Roman"/>
              </a:defRPr>
            </a:pPr>
            <a:endParaRPr lang="en-US" sz="800" b="1" i="0" u="none" strike="noStrike" baseline="0">
              <a:solidFill>
                <a:srgbClr val="7030A0"/>
              </a:solidFill>
              <a:latin typeface="+mn-lt"/>
              <a:cs typeface="Arial"/>
            </a:endParaRPr>
          </a:p>
          <a:p>
            <a:pPr>
              <a:defRPr sz="1176" b="1" i="0" u="none" strike="noStrike" baseline="0">
                <a:solidFill>
                  <a:srgbClr val="7030A0"/>
                </a:solidFill>
                <a:latin typeface="+mn-lt"/>
                <a:ea typeface="Times New Roman"/>
                <a:cs typeface="Times New Roman"/>
              </a:defRPr>
            </a:pPr>
            <a:endParaRPr lang="en-US" sz="800" b="1" i="0" u="none" strike="noStrike" baseline="0">
              <a:solidFill>
                <a:srgbClr val="7030A0"/>
              </a:solidFill>
              <a:latin typeface="+mn-lt"/>
            </a:endParaRPr>
          </a:p>
        </c:rich>
      </c:tx>
      <c:layout>
        <c:manualLayout>
          <c:xMode val="edge"/>
          <c:yMode val="edge"/>
          <c:x val="0.11633110883561079"/>
          <c:y val="0"/>
        </c:manualLayout>
      </c:layout>
      <c:overlay val="0"/>
      <c:spPr>
        <a:noFill/>
        <a:ln w="2531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177E-2"/>
          <c:y val="0.22742474916387959"/>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57">
              <a:solidFill>
                <a:srgbClr val="000000"/>
              </a:solidFill>
              <a:prstDash val="solid"/>
            </a:ln>
          </c:spPr>
          <c:invertIfNegative val="0"/>
          <c:dLbls>
            <c:dLbl>
              <c:idx val="0"/>
              <c:layout>
                <c:manualLayout>
                  <c:x val="4.8290610176730399E-2"/>
                  <c:y val="-2.1772622124543145E-2"/>
                </c:manualLayout>
              </c:layout>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58D-4213-B6F9-F21D6FDA8098}"/>
                </c:ext>
                <c:ext xmlns:c15="http://schemas.microsoft.com/office/drawing/2012/chart" uri="{CE6537A1-D6FC-4f65-9D91-7224C49458BB}"/>
              </c:extLst>
            </c:dLbl>
            <c:dLbl>
              <c:idx val="1"/>
              <c:layout>
                <c:manualLayout>
                  <c:x val="4.0796992613648518E-2"/>
                  <c:y val="-1.5162384014918224E-2"/>
                </c:manualLayout>
              </c:layout>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58D-4213-B6F9-F21D6FDA8098}"/>
                </c:ext>
                <c:ext xmlns:c15="http://schemas.microsoft.com/office/drawing/2012/chart" uri="{CE6537A1-D6FC-4f65-9D91-7224C49458BB}"/>
              </c:extLst>
            </c:dLbl>
            <c:dLbl>
              <c:idx val="2"/>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314">
                <a:noFill/>
              </a:ln>
            </c:spPr>
            <c:txPr>
              <a:bodyPr wrap="square" lIns="38100" tIns="19050" rIns="38100" bIns="19050" anchor="ctr">
                <a:spAutoFit/>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2017</c:v>
                </c:pt>
                <c:pt idx="1">
                  <c:v>Concurs septembrie-decembrie 2017</c:v>
                </c:pt>
              </c:strCache>
            </c:strRef>
          </c:cat>
          <c:val>
            <c:numRef>
              <c:f>Sheet1!$B$2:$C$2</c:f>
              <c:numCache>
                <c:formatCode>General</c:formatCode>
                <c:ptCount val="2"/>
                <c:pt idx="0">
                  <c:v>138</c:v>
                </c:pt>
                <c:pt idx="1">
                  <c:v>132</c:v>
                </c:pt>
              </c:numCache>
            </c:numRef>
          </c:val>
          <c:extLst xmlns:c16r2="http://schemas.microsoft.com/office/drawing/2015/06/chart">
            <c:ext xmlns:c16="http://schemas.microsoft.com/office/drawing/2014/chart" uri="{C3380CC4-5D6E-409C-BE32-E72D297353CC}">
              <c16:uniqueId val="{00000003-958D-4213-B6F9-F21D6FDA8098}"/>
            </c:ext>
          </c:extLst>
        </c:ser>
        <c:ser>
          <c:idx val="1"/>
          <c:order val="1"/>
          <c:tx>
            <c:strRef>
              <c:f>Sheet1!$A$3</c:f>
              <c:strCache>
                <c:ptCount val="1"/>
                <c:pt idx="0">
                  <c:v>Posturi ocupate</c:v>
                </c:pt>
              </c:strCache>
            </c:strRef>
          </c:tx>
          <c:spPr>
            <a:solidFill>
              <a:srgbClr val="993366"/>
            </a:solidFill>
            <a:ln w="12657">
              <a:solidFill>
                <a:srgbClr val="000000"/>
              </a:solidFill>
              <a:prstDash val="solid"/>
            </a:ln>
          </c:spPr>
          <c:invertIfNegative val="0"/>
          <c:dLbls>
            <c:dLbl>
              <c:idx val="0"/>
              <c:layout>
                <c:manualLayout>
                  <c:x val="4.9218130231071897E-2"/>
                  <c:y val="-3.4814135098716455E-2"/>
                </c:manualLayout>
              </c:layout>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58D-4213-B6F9-F21D6FDA8098}"/>
                </c:ext>
                <c:ext xmlns:c15="http://schemas.microsoft.com/office/drawing/2012/chart" uri="{CE6537A1-D6FC-4f65-9D91-7224C49458BB}"/>
              </c:extLst>
            </c:dLbl>
            <c:dLbl>
              <c:idx val="1"/>
              <c:layout>
                <c:manualLayout>
                  <c:x val="5.5147331459936402E-2"/>
                  <c:y val="-3.887666962368741E-2"/>
                </c:manualLayout>
              </c:layout>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58D-4213-B6F9-F21D6FDA8098}"/>
                </c:ext>
                <c:ext xmlns:c15="http://schemas.microsoft.com/office/drawing/2012/chart" uri="{CE6537A1-D6FC-4f65-9D91-7224C49458BB}"/>
              </c:extLst>
            </c:dLbl>
            <c:dLbl>
              <c:idx val="2"/>
              <c:spPr>
                <a:noFill/>
                <a:ln w="25314">
                  <a:noFill/>
                </a:ln>
              </c:spPr>
              <c:txPr>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dLbl>
            <c:spPr>
              <a:noFill/>
              <a:ln w="25314">
                <a:noFill/>
              </a:ln>
            </c:spPr>
            <c:txPr>
              <a:bodyPr wrap="square" lIns="38100" tIns="19050" rIns="38100" bIns="19050" anchor="ctr">
                <a:spAutoFit/>
              </a:bodyPr>
              <a:lstStyle/>
              <a:p>
                <a:pPr>
                  <a:defRPr sz="1024" b="1" i="0" u="none" strike="noStrike" baseline="0">
                    <a:solidFill>
                      <a:srgbClr val="000000"/>
                    </a:solidFill>
                    <a:latin typeface="Times New Roman"/>
                    <a:ea typeface="Times New Roman"/>
                    <a:cs typeface="Times New Roman"/>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2017</c:v>
                </c:pt>
                <c:pt idx="1">
                  <c:v>Concurs septembrie-decembrie 2017</c:v>
                </c:pt>
              </c:strCache>
            </c:strRef>
          </c:cat>
          <c:val>
            <c:numRef>
              <c:f>Sheet1!$B$3:$C$3</c:f>
              <c:numCache>
                <c:formatCode>General</c:formatCode>
                <c:ptCount val="2"/>
                <c:pt idx="0">
                  <c:v>65</c:v>
                </c:pt>
                <c:pt idx="1">
                  <c:v>48</c:v>
                </c:pt>
              </c:numCache>
            </c:numRef>
          </c:val>
          <c:extLst xmlns:c16r2="http://schemas.microsoft.com/office/drawing/2015/06/chart">
            <c:ext xmlns:c16="http://schemas.microsoft.com/office/drawing/2014/chart" uri="{C3380CC4-5D6E-409C-BE32-E72D297353CC}">
              <c16:uniqueId val="{00000007-958D-4213-B6F9-F21D6FDA8098}"/>
            </c:ext>
          </c:extLst>
        </c:ser>
        <c:dLbls>
          <c:showLegendKey val="0"/>
          <c:showVal val="0"/>
          <c:showCatName val="0"/>
          <c:showSerName val="0"/>
          <c:showPercent val="0"/>
          <c:showBubbleSize val="0"/>
        </c:dLbls>
        <c:gapWidth val="150"/>
        <c:gapDepth val="0"/>
        <c:shape val="box"/>
        <c:axId val="433708792"/>
        <c:axId val="433707616"/>
        <c:axId val="0"/>
      </c:bar3DChart>
      <c:catAx>
        <c:axId val="433708792"/>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1024" b="1" i="0" u="none" strike="noStrike" baseline="0">
                <a:solidFill>
                  <a:srgbClr val="000000"/>
                </a:solidFill>
                <a:latin typeface="+mn-lt"/>
                <a:ea typeface="Times New Roman"/>
                <a:cs typeface="Times New Roman"/>
              </a:defRPr>
            </a:pPr>
            <a:endParaRPr lang="ro-RO"/>
          </a:p>
        </c:txPr>
        <c:crossAx val="433707616"/>
        <c:crosses val="autoZero"/>
        <c:auto val="1"/>
        <c:lblAlgn val="ctr"/>
        <c:lblOffset val="100"/>
        <c:tickLblSkip val="1"/>
        <c:tickMarkSkip val="1"/>
        <c:noMultiLvlLbl val="0"/>
      </c:catAx>
      <c:valAx>
        <c:axId val="433707616"/>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1024" b="1" i="0" u="none" strike="noStrike" baseline="0">
                <a:solidFill>
                  <a:srgbClr val="000000"/>
                </a:solidFill>
                <a:latin typeface="Times New Roman"/>
                <a:ea typeface="Times New Roman"/>
                <a:cs typeface="Times New Roman"/>
              </a:defRPr>
            </a:pPr>
            <a:endParaRPr lang="ro-RO"/>
          </a:p>
        </c:txPr>
        <c:crossAx val="433708792"/>
        <c:crosses val="autoZero"/>
        <c:crossBetween val="between"/>
      </c:valAx>
      <c:spPr>
        <a:noFill/>
        <a:ln w="25369">
          <a:noFill/>
        </a:ln>
      </c:spPr>
    </c:plotArea>
    <c:legend>
      <c:legendPos val="r"/>
      <c:legendEntry>
        <c:idx val="0"/>
        <c:txPr>
          <a:bodyPr/>
          <a:lstStyle/>
          <a:p>
            <a:pPr>
              <a:defRPr sz="999" b="1" i="0" u="none" strike="noStrike" baseline="0">
                <a:solidFill>
                  <a:srgbClr val="000000"/>
                </a:solidFill>
                <a:latin typeface="+mn-lt"/>
                <a:ea typeface="Times New Roman"/>
                <a:cs typeface="Times New Roman"/>
              </a:defRPr>
            </a:pPr>
            <a:endParaRPr lang="ro-RO"/>
          </a:p>
        </c:txPr>
      </c:legendEntry>
      <c:legendEntry>
        <c:idx val="1"/>
        <c:txPr>
          <a:bodyPr/>
          <a:lstStyle/>
          <a:p>
            <a:pPr>
              <a:defRPr sz="999" b="1" i="0" u="none" strike="noStrike" baseline="0">
                <a:solidFill>
                  <a:srgbClr val="000000"/>
                </a:solidFill>
                <a:latin typeface="+mn-lt"/>
                <a:ea typeface="Times New Roman"/>
                <a:cs typeface="Times New Roman"/>
              </a:defRPr>
            </a:pPr>
            <a:endParaRPr lang="ro-RO"/>
          </a:p>
        </c:txPr>
      </c:legendEntry>
      <c:layout>
        <c:manualLayout>
          <c:xMode val="edge"/>
          <c:yMode val="edge"/>
          <c:x val="0.24640287769784167"/>
          <c:y val="0.93817204301075252"/>
          <c:w val="0.56294964028776973"/>
          <c:h val="6.4516129032258063E-2"/>
        </c:manualLayout>
      </c:layout>
      <c:overlay val="0"/>
      <c:spPr>
        <a:noFill/>
        <a:ln w="3164">
          <a:solidFill>
            <a:srgbClr val="000000"/>
          </a:solidFill>
          <a:prstDash val="solid"/>
        </a:ln>
      </c:spPr>
      <c:txPr>
        <a:bodyPr/>
        <a:lstStyle/>
        <a:p>
          <a:pPr>
            <a:defRPr sz="732" b="1" i="0" u="none" strike="noStrike" baseline="0">
              <a:solidFill>
                <a:srgbClr val="000000"/>
              </a:solidFill>
              <a:latin typeface="+mn-lt"/>
              <a:ea typeface="Times New Roman"/>
              <a:cs typeface="Times New Roman"/>
            </a:defRPr>
          </a:pPr>
          <a:endParaRPr lang="ro-RO"/>
        </a:p>
      </c:txPr>
    </c:legend>
    <c:plotVisOnly val="1"/>
    <c:dispBlanksAs val="gap"/>
    <c:showDLblsOverMax val="0"/>
  </c:chart>
  <c:spPr>
    <a:noFill/>
    <a:ln>
      <a:noFill/>
    </a:ln>
  </c:spPr>
  <c:txPr>
    <a:bodyPr/>
    <a:lstStyle/>
    <a:p>
      <a:pPr>
        <a:defRPr sz="799" b="1" i="0" u="none" strike="noStrike" baseline="0">
          <a:solidFill>
            <a:srgbClr val="000000"/>
          </a:solidFill>
          <a:latin typeface="Times New Roman"/>
          <a:ea typeface="Times New Roman"/>
          <a:cs typeface="Times New Roman"/>
        </a:defRPr>
      </a:pPr>
      <a:endParaRPr lang="ro-RO"/>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1" b="1" i="0" u="none" strike="noStrike" baseline="0">
                <a:solidFill>
                  <a:srgbClr val="7030A0"/>
                </a:solidFill>
                <a:latin typeface="+mn-lt"/>
                <a:ea typeface="Times New Roman"/>
                <a:cs typeface="Times New Roman"/>
              </a:defRPr>
            </a:pPr>
            <a:r>
              <a:rPr lang="en-US">
                <a:solidFill>
                  <a:sysClr val="windowText" lastClr="000000"/>
                </a:solidFill>
                <a:latin typeface="+mn-lt"/>
              </a:rPr>
              <a:t>Ocuparea posturilor de procuror, ca urmare a concursului de promovare efectivă în funcţii de execuţie</a:t>
            </a:r>
          </a:p>
        </c:rich>
      </c:tx>
      <c:layout>
        <c:manualLayout>
          <c:xMode val="edge"/>
          <c:yMode val="edge"/>
          <c:x val="0.11816359374831233"/>
          <c:y val="0.10554363775394218"/>
        </c:manualLayout>
      </c:layout>
      <c:overlay val="0"/>
      <c:spPr>
        <a:noFill/>
        <a:ln w="25315">
          <a:noFill/>
        </a:ln>
      </c:spPr>
    </c:title>
    <c:autoTitleDeleted val="0"/>
    <c:plotArea>
      <c:layout>
        <c:manualLayout>
          <c:layoutTarget val="inner"/>
          <c:xMode val="edge"/>
          <c:yMode val="edge"/>
          <c:x val="8.4188911704312114E-2"/>
          <c:y val="0.36065378191362474"/>
          <c:w val="0.62083523833714394"/>
          <c:h val="0.4818659031257461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Sheet1!$B$2:$D$2</c:f>
              <c:numCache>
                <c:formatCode>General</c:formatCode>
                <c:ptCount val="2"/>
                <c:pt idx="0">
                  <c:v>62</c:v>
                </c:pt>
                <c:pt idx="1">
                  <c:v>8</c:v>
                </c:pt>
              </c:numCache>
            </c:numRef>
          </c:val>
          <c:extLst xmlns:c16r2="http://schemas.microsoft.com/office/drawing/2015/06/chart">
            <c:ext xmlns:c16="http://schemas.microsoft.com/office/drawing/2014/chart" uri="{C3380CC4-5D6E-409C-BE32-E72D297353CC}">
              <c16:uniqueId val="{00000000-0D4A-4BC5-8776-F66C97D6B1EA}"/>
            </c:ext>
          </c:extLst>
        </c:ser>
        <c:ser>
          <c:idx val="1"/>
          <c:order val="1"/>
          <c:tx>
            <c:strRef>
              <c:f>Sheet1!$A$3</c:f>
              <c:strCache>
                <c:ptCount val="1"/>
                <c:pt idx="0">
                  <c:v>posturi ocupate ca urmare a concursului</c:v>
                </c:pt>
              </c:strCache>
            </c:strRef>
          </c:tx>
          <c:spPr>
            <a:solidFill>
              <a:srgbClr val="00FFFF"/>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Sheet1!$B$3:$D$3</c:f>
              <c:numCache>
                <c:formatCode>General</c:formatCode>
                <c:ptCount val="2"/>
                <c:pt idx="0">
                  <c:v>49</c:v>
                </c:pt>
                <c:pt idx="1">
                  <c:v>8</c:v>
                </c:pt>
              </c:numCache>
            </c:numRef>
          </c:val>
          <c:extLst xmlns:c16r2="http://schemas.microsoft.com/office/drawing/2015/06/chart">
            <c:ext xmlns:c16="http://schemas.microsoft.com/office/drawing/2014/chart" uri="{C3380CC4-5D6E-409C-BE32-E72D297353CC}">
              <c16:uniqueId val="{00000001-0D4A-4BC5-8776-F66C97D6B1EA}"/>
            </c:ext>
          </c:extLst>
        </c:ser>
        <c:ser>
          <c:idx val="2"/>
          <c:order val="2"/>
          <c:tx>
            <c:strRef>
              <c:f>Sheet1!$A$4</c:f>
              <c:strCache>
                <c:ptCount val="1"/>
                <c:pt idx="0">
                  <c:v>posturi ocupate prin valorificare</c:v>
                </c:pt>
              </c:strCache>
            </c:strRef>
          </c:tx>
          <c:spPr>
            <a:solidFill>
              <a:srgbClr val="FFFFCC"/>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Sheet1!$B$4:$D$4</c:f>
              <c:numCache>
                <c:formatCode>General</c:formatCode>
                <c:ptCount val="2"/>
              </c:numCache>
            </c:numRef>
          </c:val>
          <c:extLst xmlns:c16r2="http://schemas.microsoft.com/office/drawing/2015/06/chart">
            <c:ext xmlns:c16="http://schemas.microsoft.com/office/drawing/2014/chart" uri="{C3380CC4-5D6E-409C-BE32-E72D297353CC}">
              <c16:uniqueId val="{00000002-0D4A-4BC5-8776-F66C97D6B1EA}"/>
            </c:ext>
          </c:extLst>
        </c:ser>
        <c:dLbls>
          <c:showLegendKey val="0"/>
          <c:showVal val="0"/>
          <c:showCatName val="0"/>
          <c:showSerName val="0"/>
          <c:showPercent val="0"/>
          <c:showBubbleSize val="0"/>
        </c:dLbls>
        <c:gapWidth val="150"/>
        <c:axId val="433709576"/>
        <c:axId val="433709968"/>
      </c:barChart>
      <c:catAx>
        <c:axId val="433709576"/>
        <c:scaling>
          <c:orientation val="minMax"/>
        </c:scaling>
        <c:delete val="0"/>
        <c:axPos val="b"/>
        <c:numFmt formatCode="General" sourceLinked="1"/>
        <c:majorTickMark val="out"/>
        <c:minorTickMark val="none"/>
        <c:tickLblPos val="nextTo"/>
        <c:spPr>
          <a:ln w="3165">
            <a:solidFill>
              <a:srgbClr val="000000"/>
            </a:solidFill>
            <a:prstDash val="solid"/>
          </a:ln>
        </c:spPr>
        <c:txPr>
          <a:bodyPr rot="0" vert="horz"/>
          <a:lstStyle/>
          <a:p>
            <a:pPr>
              <a:defRPr sz="999" b="1" i="0" u="none" strike="noStrike" baseline="0">
                <a:solidFill>
                  <a:srgbClr val="000000"/>
                </a:solidFill>
                <a:latin typeface="+mn-lt"/>
                <a:ea typeface="Arial"/>
                <a:cs typeface="Arial"/>
              </a:defRPr>
            </a:pPr>
            <a:endParaRPr lang="ro-RO"/>
          </a:p>
        </c:txPr>
        <c:crossAx val="433709968"/>
        <c:crosses val="autoZero"/>
        <c:auto val="1"/>
        <c:lblAlgn val="ctr"/>
        <c:lblOffset val="100"/>
        <c:tickLblSkip val="1"/>
        <c:tickMarkSkip val="1"/>
        <c:noMultiLvlLbl val="0"/>
      </c:catAx>
      <c:valAx>
        <c:axId val="43370996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ro-RO"/>
          </a:p>
        </c:txPr>
        <c:crossAx val="433709576"/>
        <c:crosses val="autoZero"/>
        <c:crossBetween val="between"/>
      </c:valAx>
      <c:spPr>
        <a:solidFill>
          <a:srgbClr val="C0C0C0"/>
        </a:solidFill>
        <a:ln w="12658">
          <a:solidFill>
            <a:srgbClr val="808080"/>
          </a:solidFill>
          <a:prstDash val="solid"/>
        </a:ln>
      </c:spPr>
    </c:plotArea>
    <c:legend>
      <c:legendPos val="r"/>
      <c:layout>
        <c:manualLayout>
          <c:xMode val="edge"/>
          <c:yMode val="edge"/>
          <c:x val="0.73102310231023115"/>
          <c:y val="0.50316455696202533"/>
          <c:w val="0.2590759075907591"/>
          <c:h val="0.38291139240506328"/>
        </c:manualLayout>
      </c:layout>
      <c:overlay val="0"/>
      <c:spPr>
        <a:noFill/>
        <a:ln w="3165">
          <a:solidFill>
            <a:srgbClr val="000000"/>
          </a:solidFill>
          <a:prstDash val="solid"/>
        </a:ln>
      </c:spPr>
      <c:txPr>
        <a:bodyPr/>
        <a:lstStyle/>
        <a:p>
          <a:pPr>
            <a:defRPr sz="733"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4" b="1" i="0" u="none" strike="noStrike" baseline="0">
          <a:solidFill>
            <a:srgbClr val="000000"/>
          </a:solidFill>
          <a:latin typeface="Arial"/>
          <a:ea typeface="Arial"/>
          <a:cs typeface="Arial"/>
        </a:defRPr>
      </a:pPr>
      <a:endParaRPr lang="ro-RO"/>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1" b="1" i="0" u="none" strike="noStrike" baseline="0">
                <a:solidFill>
                  <a:srgbClr val="7030A0"/>
                </a:solidFill>
                <a:latin typeface="+mn-lt"/>
                <a:ea typeface="Times New Roman"/>
                <a:cs typeface="Times New Roman"/>
              </a:defRPr>
            </a:pPr>
            <a:r>
              <a:rPr lang="en-US">
                <a:solidFill>
                  <a:sysClr val="windowText" lastClr="000000"/>
                </a:solidFill>
                <a:latin typeface="+mn-lt"/>
              </a:rPr>
              <a:t>Ocuparea posturilor de procuror, ca urmare a concursului de promovare </a:t>
            </a:r>
            <a:r>
              <a:rPr lang="ro-RO">
                <a:solidFill>
                  <a:sysClr val="windowText" lastClr="000000"/>
                </a:solidFill>
                <a:latin typeface="+mn-lt"/>
              </a:rPr>
              <a:t>pe loc</a:t>
            </a:r>
            <a:endParaRPr lang="en-US">
              <a:solidFill>
                <a:sysClr val="windowText" lastClr="000000"/>
              </a:solidFill>
              <a:latin typeface="+mn-lt"/>
            </a:endParaRPr>
          </a:p>
        </c:rich>
      </c:tx>
      <c:layout>
        <c:manualLayout>
          <c:xMode val="edge"/>
          <c:yMode val="edge"/>
          <c:x val="0.18536794011859628"/>
          <c:y val="9.0392047450761556E-2"/>
        </c:manualLayout>
      </c:layout>
      <c:overlay val="0"/>
      <c:spPr>
        <a:noFill/>
        <a:ln w="25315">
          <a:noFill/>
        </a:ln>
      </c:spPr>
    </c:title>
    <c:autoTitleDeleted val="0"/>
    <c:plotArea>
      <c:layout>
        <c:manualLayout>
          <c:layoutTarget val="inner"/>
          <c:xMode val="edge"/>
          <c:yMode val="edge"/>
          <c:x val="8.4188911704312114E-2"/>
          <c:y val="0.31519923645907905"/>
          <c:w val="0.72152802472271627"/>
          <c:h val="0.4114101646385113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Sheet1!$B$2:$E$2</c:f>
              <c:numCache>
                <c:formatCode>General</c:formatCode>
                <c:ptCount val="3"/>
                <c:pt idx="0">
                  <c:v>200</c:v>
                </c:pt>
                <c:pt idx="1">
                  <c:v>70</c:v>
                </c:pt>
                <c:pt idx="2">
                  <c:v>30</c:v>
                </c:pt>
              </c:numCache>
            </c:numRef>
          </c:val>
          <c:extLst xmlns:c16r2="http://schemas.microsoft.com/office/drawing/2015/06/chart">
            <c:ext xmlns:c16="http://schemas.microsoft.com/office/drawing/2014/chart" uri="{C3380CC4-5D6E-409C-BE32-E72D297353CC}">
              <c16:uniqueId val="{00000000-6487-47B8-A804-88714B6C2765}"/>
            </c:ext>
          </c:extLst>
        </c:ser>
        <c:ser>
          <c:idx val="1"/>
          <c:order val="1"/>
          <c:tx>
            <c:strRef>
              <c:f>Sheet1!$A$3</c:f>
              <c:strCache>
                <c:ptCount val="1"/>
                <c:pt idx="0">
                  <c:v>posturi ocupate ca urmare a concursului</c:v>
                </c:pt>
              </c:strCache>
            </c:strRef>
          </c:tx>
          <c:spPr>
            <a:solidFill>
              <a:srgbClr val="00FFFF"/>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Sheet1!$B$3:$E$3</c:f>
              <c:numCache>
                <c:formatCode>General</c:formatCode>
                <c:ptCount val="3"/>
                <c:pt idx="0">
                  <c:v>203</c:v>
                </c:pt>
                <c:pt idx="1">
                  <c:v>74</c:v>
                </c:pt>
                <c:pt idx="2">
                  <c:v>31</c:v>
                </c:pt>
              </c:numCache>
            </c:numRef>
          </c:val>
          <c:extLst xmlns:c16r2="http://schemas.microsoft.com/office/drawing/2015/06/chart">
            <c:ext xmlns:c16="http://schemas.microsoft.com/office/drawing/2014/chart" uri="{C3380CC4-5D6E-409C-BE32-E72D297353CC}">
              <c16:uniqueId val="{00000001-6487-47B8-A804-88714B6C2765}"/>
            </c:ext>
          </c:extLst>
        </c:ser>
        <c:dLbls>
          <c:showLegendKey val="0"/>
          <c:showVal val="0"/>
          <c:showCatName val="0"/>
          <c:showSerName val="0"/>
          <c:showPercent val="0"/>
          <c:showBubbleSize val="0"/>
        </c:dLbls>
        <c:gapWidth val="150"/>
        <c:axId val="433696248"/>
        <c:axId val="433703696"/>
      </c:barChart>
      <c:catAx>
        <c:axId val="433696248"/>
        <c:scaling>
          <c:orientation val="minMax"/>
        </c:scaling>
        <c:delete val="0"/>
        <c:axPos val="b"/>
        <c:numFmt formatCode="General" sourceLinked="1"/>
        <c:majorTickMark val="out"/>
        <c:minorTickMark val="none"/>
        <c:tickLblPos val="nextTo"/>
        <c:spPr>
          <a:ln w="3165">
            <a:solidFill>
              <a:srgbClr val="000000"/>
            </a:solidFill>
            <a:prstDash val="solid"/>
          </a:ln>
        </c:spPr>
        <c:txPr>
          <a:bodyPr rot="0" vert="horz"/>
          <a:lstStyle/>
          <a:p>
            <a:pPr>
              <a:defRPr sz="999" b="1" i="0" u="none" strike="noStrike" baseline="0">
                <a:solidFill>
                  <a:srgbClr val="000000"/>
                </a:solidFill>
                <a:latin typeface="+mn-lt"/>
                <a:ea typeface="Arial"/>
                <a:cs typeface="Arial"/>
              </a:defRPr>
            </a:pPr>
            <a:endParaRPr lang="ro-RO"/>
          </a:p>
        </c:txPr>
        <c:crossAx val="433703696"/>
        <c:crosses val="autoZero"/>
        <c:auto val="1"/>
        <c:lblAlgn val="ctr"/>
        <c:lblOffset val="100"/>
        <c:tickLblSkip val="1"/>
        <c:tickMarkSkip val="1"/>
        <c:noMultiLvlLbl val="0"/>
      </c:catAx>
      <c:valAx>
        <c:axId val="43370369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ro-RO"/>
          </a:p>
        </c:txPr>
        <c:crossAx val="433696248"/>
        <c:crosses val="autoZero"/>
        <c:crossBetween val="between"/>
      </c:valAx>
      <c:spPr>
        <a:solidFill>
          <a:srgbClr val="C0C0C0"/>
        </a:solidFill>
        <a:ln w="12658">
          <a:solidFill>
            <a:srgbClr val="808080"/>
          </a:solidFill>
          <a:prstDash val="solid"/>
        </a:ln>
      </c:spPr>
    </c:plotArea>
    <c:legend>
      <c:legendPos val="r"/>
      <c:layout>
        <c:manualLayout>
          <c:xMode val="edge"/>
          <c:yMode val="edge"/>
          <c:x val="0.80858085808580871"/>
          <c:y val="0.31645569620253167"/>
          <c:w val="0.16831683168316833"/>
          <c:h val="0.38291139240506328"/>
        </c:manualLayout>
      </c:layout>
      <c:overlay val="0"/>
      <c:spPr>
        <a:noFill/>
        <a:ln w="3165">
          <a:solidFill>
            <a:srgbClr val="000000"/>
          </a:solidFill>
          <a:prstDash val="solid"/>
        </a:ln>
      </c:spPr>
      <c:txPr>
        <a:bodyPr/>
        <a:lstStyle/>
        <a:p>
          <a:pPr>
            <a:defRPr sz="733"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4" b="1" i="0" u="none" strike="noStrike" baseline="0">
          <a:solidFill>
            <a:srgbClr val="000000"/>
          </a:solidFill>
          <a:latin typeface="Arial"/>
          <a:ea typeface="Arial"/>
          <a:cs typeface="Arial"/>
        </a:defRPr>
      </a:pPr>
      <a:endParaRPr lang="ro-RO"/>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tx>
        <c:rich>
          <a:bodyPr/>
          <a:lstStyle/>
          <a:p>
            <a:pPr>
              <a:defRPr/>
            </a:pPr>
            <a:r>
              <a:rPr lang="en-US" sz="1100"/>
              <a:t>Num</a:t>
            </a:r>
            <a:r>
              <a:rPr lang="ro-RO" sz="1100"/>
              <a:t>ă</a:t>
            </a:r>
            <a:r>
              <a:rPr lang="en-US" sz="1100"/>
              <a:t>r seminarii</a:t>
            </a:r>
          </a:p>
        </c:rich>
      </c:tx>
      <c:layout>
        <c:manualLayout>
          <c:xMode val="edge"/>
          <c:yMode val="edge"/>
          <c:x val="0.31849207305275989"/>
          <c:y val="2.564102564102564E-2"/>
        </c:manualLayout>
      </c:layout>
      <c:overlay val="0"/>
      <c:spPr>
        <a:noFill/>
        <a:ln w="25103">
          <a:noFill/>
        </a:ln>
      </c:spPr>
    </c:title>
    <c:autoTitleDeleted val="0"/>
    <c:view3D>
      <c:rotX val="10"/>
      <c:rotY val="3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Numar seminarii</c:v>
                </c:pt>
              </c:strCache>
            </c:strRef>
          </c:tx>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1-F64A-402F-A0BD-0BA612F39FD9}"/>
              </c:ext>
            </c:extLst>
          </c:dPt>
          <c:dPt>
            <c:idx val="1"/>
            <c:invertIfNegative val="0"/>
            <c:bubble3D val="0"/>
            <c:spPr>
              <a:solidFill>
                <a:srgbClr val="009900"/>
              </a:solidFill>
            </c:spPr>
            <c:extLst xmlns:c16r2="http://schemas.microsoft.com/office/drawing/2015/06/chart">
              <c:ext xmlns:c16="http://schemas.microsoft.com/office/drawing/2014/chart" uri="{C3380CC4-5D6E-409C-BE32-E72D297353CC}">
                <c16:uniqueId val="{00000003-F64A-402F-A0BD-0BA612F39FD9}"/>
              </c:ext>
            </c:extLst>
          </c:dPt>
          <c:dPt>
            <c:idx val="2"/>
            <c:invertIfNegative val="0"/>
            <c:bubble3D val="0"/>
            <c:spPr>
              <a:solidFill>
                <a:srgbClr val="FF6600"/>
              </a:solidFill>
            </c:spPr>
            <c:extLst xmlns:c16r2="http://schemas.microsoft.com/office/drawing/2015/06/chart">
              <c:ext xmlns:c16="http://schemas.microsoft.com/office/drawing/2014/chart" uri="{C3380CC4-5D6E-409C-BE32-E72D297353CC}">
                <c16:uniqueId val="{00000005-F64A-402F-A0BD-0BA612F39FD9}"/>
              </c:ext>
            </c:extLst>
          </c:dPt>
          <c:dPt>
            <c:idx val="3"/>
            <c:invertIfNegative val="0"/>
            <c:bubble3D val="0"/>
            <c:spPr>
              <a:solidFill>
                <a:srgbClr val="660066"/>
              </a:solidFill>
            </c:spPr>
            <c:extLst xmlns:c16r2="http://schemas.microsoft.com/office/drawing/2015/06/chart">
              <c:ext xmlns:c16="http://schemas.microsoft.com/office/drawing/2014/chart" uri="{C3380CC4-5D6E-409C-BE32-E72D297353CC}">
                <c16:uniqueId val="{00000007-F64A-402F-A0BD-0BA612F39FD9}"/>
              </c:ext>
            </c:extLst>
          </c:dPt>
          <c:dPt>
            <c:idx val="4"/>
            <c:invertIfNegative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9-F64A-402F-A0BD-0BA612F39FD9}"/>
              </c:ext>
            </c:extLst>
          </c:dPt>
          <c:dPt>
            <c:idx val="5"/>
            <c:invertIfNegative val="0"/>
            <c:bubble3D val="0"/>
            <c:spPr>
              <a:solidFill>
                <a:srgbClr val="FF0000"/>
              </a:solidFill>
            </c:spPr>
            <c:extLst xmlns:c16r2="http://schemas.microsoft.com/office/drawing/2015/06/chart">
              <c:ext xmlns:c16="http://schemas.microsoft.com/office/drawing/2014/chart" uri="{C3380CC4-5D6E-409C-BE32-E72D297353CC}">
                <c16:uniqueId val="{0000000B-F64A-402F-A0BD-0BA612F39FD9}"/>
              </c:ext>
            </c:extLst>
          </c:dPt>
          <c:dPt>
            <c:idx val="6"/>
            <c:invertIfNegative val="0"/>
            <c:bubble3D val="0"/>
            <c:spPr>
              <a:solidFill>
                <a:srgbClr val="FF0066"/>
              </a:solidFill>
            </c:spPr>
            <c:extLst xmlns:c16r2="http://schemas.microsoft.com/office/drawing/2015/06/chart">
              <c:ext xmlns:c16="http://schemas.microsoft.com/office/drawing/2014/chart" uri="{C3380CC4-5D6E-409C-BE32-E72D297353CC}">
                <c16:uniqueId val="{0000000D-F64A-402F-A0BD-0BA612F39FD9}"/>
              </c:ext>
            </c:extLst>
          </c:dPt>
          <c:dPt>
            <c:idx val="7"/>
            <c:invertIfNegative val="0"/>
            <c:bubble3D val="0"/>
            <c:spPr>
              <a:solidFill>
                <a:srgbClr val="FFC000"/>
              </a:solidFill>
            </c:spPr>
            <c:extLst xmlns:c16r2="http://schemas.microsoft.com/office/drawing/2015/06/chart">
              <c:ext xmlns:c16="http://schemas.microsoft.com/office/drawing/2014/chart" uri="{C3380CC4-5D6E-409C-BE32-E72D297353CC}">
                <c16:uniqueId val="{0000000F-F64A-402F-A0BD-0BA612F39FD9}"/>
              </c:ext>
            </c:extLst>
          </c:dPt>
          <c:dPt>
            <c:idx val="8"/>
            <c:invertIfNegative val="0"/>
            <c:bubble3D val="0"/>
            <c:spPr>
              <a:solidFill>
                <a:srgbClr val="7030A0"/>
              </a:solidFill>
            </c:spPr>
            <c:extLst xmlns:c16r2="http://schemas.microsoft.com/office/drawing/2015/06/chart">
              <c:ext xmlns:c16="http://schemas.microsoft.com/office/drawing/2014/chart" uri="{C3380CC4-5D6E-409C-BE32-E72D297353CC}">
                <c16:uniqueId val="{00000011-F64A-402F-A0BD-0BA612F39FD9}"/>
              </c:ext>
            </c:extLst>
          </c:dPt>
          <c:dLbls>
            <c:dLbl>
              <c:idx val="0"/>
              <c:layout>
                <c:manualLayout>
                  <c:x val="0"/>
                  <c:y val="0.14285714285714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64A-402F-A0BD-0BA612F39FD9}"/>
                </c:ext>
                <c:ext xmlns:c15="http://schemas.microsoft.com/office/drawing/2012/chart" uri="{CE6537A1-D6FC-4f65-9D91-7224C49458BB}"/>
              </c:extLst>
            </c:dLbl>
            <c:dLbl>
              <c:idx val="1"/>
              <c:layout>
                <c:manualLayout>
                  <c:x val="2.3148148148148147E-3"/>
                  <c:y val="0.27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4A-402F-A0BD-0BA612F39FD9}"/>
                </c:ext>
                <c:ext xmlns:c15="http://schemas.microsoft.com/office/drawing/2012/chart" uri="{CE6537A1-D6FC-4f65-9D91-7224C49458BB}"/>
              </c:extLst>
            </c:dLbl>
            <c:dLbl>
              <c:idx val="2"/>
              <c:layout>
                <c:manualLayout>
                  <c:x val="2.3148148148148147E-3"/>
                  <c:y val="0.246031746031746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64A-402F-A0BD-0BA612F39FD9}"/>
                </c:ext>
                <c:ext xmlns:c15="http://schemas.microsoft.com/office/drawing/2012/chart" uri="{CE6537A1-D6FC-4f65-9D91-7224C49458BB}"/>
              </c:extLst>
            </c:dLbl>
            <c:dLbl>
              <c:idx val="3"/>
              <c:layout>
                <c:manualLayout>
                  <c:x val="0"/>
                  <c:y val="0.30952349706286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64A-402F-A0BD-0BA612F39FD9}"/>
                </c:ext>
                <c:ext xmlns:c15="http://schemas.microsoft.com/office/drawing/2012/chart" uri="{CE6537A1-D6FC-4f65-9D91-7224C49458BB}"/>
              </c:extLst>
            </c:dLbl>
            <c:dLbl>
              <c:idx val="4"/>
              <c:layout>
                <c:manualLayout>
                  <c:x val="0"/>
                  <c:y val="0.309523809523809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64A-402F-A0BD-0BA612F39FD9}"/>
                </c:ext>
                <c:ext xmlns:c15="http://schemas.microsoft.com/office/drawing/2012/chart" uri="{CE6537A1-D6FC-4f65-9D91-7224C49458BB}"/>
              </c:extLst>
            </c:dLbl>
            <c:dLbl>
              <c:idx val="5"/>
              <c:layout>
                <c:manualLayout>
                  <c:x val="0"/>
                  <c:y val="0.353174603174603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64A-402F-A0BD-0BA612F39FD9}"/>
                </c:ext>
                <c:ext xmlns:c15="http://schemas.microsoft.com/office/drawing/2012/chart" uri="{CE6537A1-D6FC-4f65-9D91-7224C49458BB}"/>
              </c:extLst>
            </c:dLbl>
            <c:dLbl>
              <c:idx val="6"/>
              <c:layout>
                <c:manualLayout>
                  <c:x val="-8.4875562720133283E-17"/>
                  <c:y val="0.325396825396825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64A-402F-A0BD-0BA612F39FD9}"/>
                </c:ext>
                <c:ext xmlns:c15="http://schemas.microsoft.com/office/drawing/2012/chart" uri="{CE6537A1-D6FC-4f65-9D91-7224C49458BB}"/>
              </c:extLst>
            </c:dLbl>
            <c:dLbl>
              <c:idx val="7"/>
              <c:layout>
                <c:manualLayout>
                  <c:x val="-2.3148148148149847E-3"/>
                  <c:y val="0.273809523809523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64A-402F-A0BD-0BA612F39FD9}"/>
                </c:ext>
                <c:ext xmlns:c15="http://schemas.microsoft.com/office/drawing/2012/chart" uri="{CE6537A1-D6FC-4f65-9D91-7224C49458BB}"/>
              </c:extLst>
            </c:dLbl>
            <c:dLbl>
              <c:idx val="8"/>
              <c:layout>
                <c:manualLayout>
                  <c:x val="9.0090090090090089E-3"/>
                  <c:y val="0.24418604651162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64A-402F-A0BD-0BA612F39FD9}"/>
                </c:ext>
                <c:ext xmlns:c15="http://schemas.microsoft.com/office/drawing/2012/chart" uri="{CE6537A1-D6FC-4f65-9D91-7224C49458BB}"/>
              </c:extLst>
            </c:dLbl>
            <c:spPr>
              <a:noFill/>
              <a:ln w="25103">
                <a:noFill/>
              </a:ln>
            </c:spPr>
            <c:txPr>
              <a:bodyPr/>
              <a:lstStyle/>
              <a:p>
                <a:pPr>
                  <a:defRPr b="1"/>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Sheet1!$B$2:$B$10</c:f>
              <c:numCache>
                <c:formatCode>General</c:formatCode>
                <c:ptCount val="9"/>
                <c:pt idx="0">
                  <c:v>105</c:v>
                </c:pt>
                <c:pt idx="1">
                  <c:v>184</c:v>
                </c:pt>
                <c:pt idx="2">
                  <c:v>191</c:v>
                </c:pt>
                <c:pt idx="3">
                  <c:v>231</c:v>
                </c:pt>
                <c:pt idx="4">
                  <c:v>255</c:v>
                </c:pt>
                <c:pt idx="5">
                  <c:v>289</c:v>
                </c:pt>
                <c:pt idx="6">
                  <c:v>296</c:v>
                </c:pt>
                <c:pt idx="7">
                  <c:v>278</c:v>
                </c:pt>
                <c:pt idx="8">
                  <c:v>267</c:v>
                </c:pt>
              </c:numCache>
            </c:numRef>
          </c:val>
          <c:extLst xmlns:c16r2="http://schemas.microsoft.com/office/drawing/2015/06/chart">
            <c:ext xmlns:c16="http://schemas.microsoft.com/office/drawing/2014/chart" uri="{C3380CC4-5D6E-409C-BE32-E72D297353CC}">
              <c16:uniqueId val="{00000012-F64A-402F-A0BD-0BA612F39FD9}"/>
            </c:ext>
          </c:extLst>
        </c:ser>
        <c:dLbls>
          <c:showLegendKey val="0"/>
          <c:showVal val="0"/>
          <c:showCatName val="0"/>
          <c:showSerName val="0"/>
          <c:showPercent val="0"/>
          <c:showBubbleSize val="0"/>
        </c:dLbls>
        <c:gapWidth val="150"/>
        <c:shape val="box"/>
        <c:axId val="433694680"/>
        <c:axId val="433696640"/>
        <c:axId val="0"/>
      </c:bar3DChart>
      <c:catAx>
        <c:axId val="433694680"/>
        <c:scaling>
          <c:orientation val="minMax"/>
        </c:scaling>
        <c:delete val="0"/>
        <c:axPos val="b"/>
        <c:numFmt formatCode="General" sourceLinked="1"/>
        <c:majorTickMark val="out"/>
        <c:minorTickMark val="none"/>
        <c:tickLblPos val="nextTo"/>
        <c:crossAx val="433696640"/>
        <c:crosses val="autoZero"/>
        <c:auto val="1"/>
        <c:lblAlgn val="ctr"/>
        <c:lblOffset val="100"/>
        <c:noMultiLvlLbl val="0"/>
      </c:catAx>
      <c:valAx>
        <c:axId val="433696640"/>
        <c:scaling>
          <c:orientation val="minMax"/>
        </c:scaling>
        <c:delete val="0"/>
        <c:axPos val="l"/>
        <c:majorGridlines/>
        <c:numFmt formatCode="General" sourceLinked="1"/>
        <c:majorTickMark val="out"/>
        <c:minorTickMark val="none"/>
        <c:tickLblPos val="nextTo"/>
        <c:crossAx val="433694680"/>
        <c:crosses val="autoZero"/>
        <c:crossBetween val="between"/>
      </c:valAx>
      <c:spPr>
        <a:noFill/>
        <a:ln w="25103">
          <a:noFill/>
        </a:ln>
      </c:spPr>
    </c:plotArea>
    <c:legend>
      <c:legendPos val="r"/>
      <c:layout>
        <c:manualLayout>
          <c:xMode val="edge"/>
          <c:yMode val="edge"/>
          <c:x val="0.89608177172061332"/>
          <c:y val="0.27051671732522797"/>
          <c:w val="8.6882453151618397E-2"/>
          <c:h val="0.5957446808510638"/>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708165997322627E-3"/>
          <c:y val="5.0938337801608571E-2"/>
          <c:w val="0.90093708165997333"/>
          <c:h val="0.79356568364611269"/>
        </c:manualLayout>
      </c:layout>
      <c:barChart>
        <c:barDir val="col"/>
        <c:grouping val="clustered"/>
        <c:varyColors val="0"/>
        <c:ser>
          <c:idx val="1"/>
          <c:order val="0"/>
          <c:tx>
            <c:strRef>
              <c:f>Sheet1!$A$2</c:f>
              <c:strCache>
                <c:ptCount val="1"/>
                <c:pt idx="0">
                  <c:v>2013</c:v>
                </c:pt>
              </c:strCache>
            </c:strRef>
          </c:tx>
          <c:spPr>
            <a:solidFill>
              <a:srgbClr val="993366"/>
            </a:solidFill>
            <a:ln w="12683">
              <a:solidFill>
                <a:srgbClr val="000000"/>
              </a:solidFill>
              <a:prstDash val="solid"/>
            </a:ln>
          </c:spPr>
          <c:invertIfNegative val="0"/>
          <c:dLbls>
            <c:dLbl>
              <c:idx val="0"/>
              <c:layout>
                <c:manualLayout>
                  <c:x val="-3.7609881109990084E-4"/>
                  <c:y val="6.6705560998507399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87-4010-A959-FF26FE6D69A4}"/>
                </c:ext>
                <c:ext xmlns:c15="http://schemas.microsoft.com/office/drawing/2012/chart" uri="{CE6537A1-D6FC-4f65-9D91-7224C49458BB}"/>
              </c:extLst>
            </c:dLbl>
            <c:spPr>
              <a:noFill/>
              <a:ln w="25366">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Sheet1!$B$2:$G$2</c:f>
              <c:numCache>
                <c:formatCode>General</c:formatCode>
                <c:ptCount val="6"/>
                <c:pt idx="0">
                  <c:v>94</c:v>
                </c:pt>
                <c:pt idx="1">
                  <c:v>65</c:v>
                </c:pt>
                <c:pt idx="2">
                  <c:v>10</c:v>
                </c:pt>
                <c:pt idx="3">
                  <c:v>7</c:v>
                </c:pt>
                <c:pt idx="4">
                  <c:v>0</c:v>
                </c:pt>
              </c:numCache>
            </c:numRef>
          </c:val>
          <c:extLst xmlns:c16r2="http://schemas.microsoft.com/office/drawing/2015/06/chart">
            <c:ext xmlns:c16="http://schemas.microsoft.com/office/drawing/2014/chart" uri="{C3380CC4-5D6E-409C-BE32-E72D297353CC}">
              <c16:uniqueId val="{00000001-9487-4010-A959-FF26FE6D69A4}"/>
            </c:ext>
          </c:extLst>
        </c:ser>
        <c:ser>
          <c:idx val="2"/>
          <c:order val="1"/>
          <c:tx>
            <c:strRef>
              <c:f>Sheet1!$A$3</c:f>
              <c:strCache>
                <c:ptCount val="1"/>
                <c:pt idx="0">
                  <c:v>2014</c:v>
                </c:pt>
              </c:strCache>
            </c:strRef>
          </c:tx>
          <c:spPr>
            <a:solidFill>
              <a:srgbClr val="FFFFCC"/>
            </a:solidFill>
            <a:ln w="12683">
              <a:solidFill>
                <a:srgbClr val="000000"/>
              </a:solidFill>
              <a:prstDash val="solid"/>
            </a:ln>
          </c:spPr>
          <c:invertIfNegative val="0"/>
          <c:dLbls>
            <c:dLbl>
              <c:idx val="1"/>
              <c:layout>
                <c:manualLayout>
                  <c:x val="-1.4208776744193685E-3"/>
                  <c:y val="2.917421265979131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87-4010-A959-FF26FE6D69A4}"/>
                </c:ext>
                <c:ext xmlns:c15="http://schemas.microsoft.com/office/drawing/2012/chart" uri="{CE6537A1-D6FC-4f65-9D91-7224C49458BB}"/>
              </c:extLst>
            </c:dLbl>
            <c:dLbl>
              <c:idx val="4"/>
              <c:layout>
                <c:manualLayout>
                  <c:x val="5.6866024039969876E-4"/>
                  <c:y val="4.5084587216892569E-4"/>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87-4010-A959-FF26FE6D69A4}"/>
                </c:ext>
                <c:ext xmlns:c15="http://schemas.microsoft.com/office/drawing/2012/chart" uri="{CE6537A1-D6FC-4f65-9D91-7224C49458BB}"/>
              </c:extLst>
            </c:dLbl>
            <c:spPr>
              <a:noFill/>
              <a:ln w="25366">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Sheet1!$B$3:$G$3</c:f>
              <c:numCache>
                <c:formatCode>General</c:formatCode>
                <c:ptCount val="6"/>
                <c:pt idx="0">
                  <c:v>76</c:v>
                </c:pt>
                <c:pt idx="1">
                  <c:v>79</c:v>
                </c:pt>
                <c:pt idx="2">
                  <c:v>11</c:v>
                </c:pt>
                <c:pt idx="3">
                  <c:v>8</c:v>
                </c:pt>
                <c:pt idx="4">
                  <c:v>2</c:v>
                </c:pt>
              </c:numCache>
            </c:numRef>
          </c:val>
          <c:extLst xmlns:c16r2="http://schemas.microsoft.com/office/drawing/2015/06/chart">
            <c:ext xmlns:c16="http://schemas.microsoft.com/office/drawing/2014/chart" uri="{C3380CC4-5D6E-409C-BE32-E72D297353CC}">
              <c16:uniqueId val="{00000004-9487-4010-A959-FF26FE6D69A4}"/>
            </c:ext>
          </c:extLst>
        </c:ser>
        <c:ser>
          <c:idx val="5"/>
          <c:order val="2"/>
          <c:tx>
            <c:strRef>
              <c:f>Sheet1!$A$4</c:f>
              <c:strCache>
                <c:ptCount val="1"/>
                <c:pt idx="0">
                  <c:v>2015</c:v>
                </c:pt>
              </c:strCache>
            </c:strRef>
          </c:tx>
          <c:spPr>
            <a:solidFill>
              <a:srgbClr val="FF8080"/>
            </a:solidFill>
            <a:ln w="12683">
              <a:solidFill>
                <a:srgbClr val="000000"/>
              </a:solidFill>
              <a:prstDash val="solid"/>
            </a:ln>
          </c:spPr>
          <c:invertIfNegative val="0"/>
          <c:dLbls>
            <c:dLbl>
              <c:idx val="0"/>
              <c:layout>
                <c:manualLayout>
                  <c:x val="1.4870796140521308E-3"/>
                  <c:y val="1.7376153208938788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87-4010-A959-FF26FE6D69A4}"/>
                </c:ext>
                <c:ext xmlns:c15="http://schemas.microsoft.com/office/drawing/2012/chart" uri="{CE6537A1-D6FC-4f65-9D91-7224C49458BB}"/>
              </c:extLst>
            </c:dLbl>
            <c:dLbl>
              <c:idx val="1"/>
              <c:layout>
                <c:manualLayout>
                  <c:x val="6.2041519665368694E-3"/>
                  <c:y val="1.3087603559499561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87-4010-A959-FF26FE6D69A4}"/>
                </c:ext>
                <c:ext xmlns:c15="http://schemas.microsoft.com/office/drawing/2012/chart" uri="{CE6537A1-D6FC-4f65-9D91-7224C49458BB}"/>
              </c:extLst>
            </c:dLbl>
            <c:dLbl>
              <c:idx val="3"/>
              <c:layout>
                <c:manualLayout>
                  <c:x val="2.1381016657616714E-3"/>
                  <c:y val="2.8099841064351816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487-4010-A959-FF26FE6D69A4}"/>
                </c:ext>
                <c:ext xmlns:c15="http://schemas.microsoft.com/office/drawing/2012/chart" uri="{CE6537A1-D6FC-4f65-9D91-7224C49458BB}"/>
              </c:extLst>
            </c:dLbl>
            <c:dLbl>
              <c:idx val="4"/>
              <c:layout>
                <c:manualLayout>
                  <c:x val="-1.176954495809901E-3"/>
                  <c:y val="-4.803921819974688E-3"/>
                </c:manualLayout>
              </c:layout>
              <c:spPr>
                <a:noFill/>
                <a:ln w="25366">
                  <a:noFill/>
                </a:ln>
              </c:spPr>
              <c:txPr>
                <a:bodyPr/>
                <a:lstStyle/>
                <a:p>
                  <a:pPr>
                    <a:defRPr sz="899"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487-4010-A959-FF26FE6D69A4}"/>
                </c:ext>
                <c:ext xmlns:c15="http://schemas.microsoft.com/office/drawing/2012/chart" uri="{CE6537A1-D6FC-4f65-9D91-7224C49458BB}"/>
              </c:extLst>
            </c:dLbl>
            <c:spPr>
              <a:noFill/>
              <a:ln w="25366">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Sheet1!$B$4:$G$4</c:f>
              <c:numCache>
                <c:formatCode>General</c:formatCode>
                <c:ptCount val="6"/>
                <c:pt idx="0">
                  <c:v>90</c:v>
                </c:pt>
                <c:pt idx="1">
                  <c:v>69</c:v>
                </c:pt>
                <c:pt idx="2">
                  <c:v>11</c:v>
                </c:pt>
                <c:pt idx="3">
                  <c:v>5</c:v>
                </c:pt>
                <c:pt idx="4">
                  <c:v>1</c:v>
                </c:pt>
              </c:numCache>
            </c:numRef>
          </c:val>
          <c:extLst xmlns:c16r2="http://schemas.microsoft.com/office/drawing/2015/06/chart">
            <c:ext xmlns:c16="http://schemas.microsoft.com/office/drawing/2014/chart" uri="{C3380CC4-5D6E-409C-BE32-E72D297353CC}">
              <c16:uniqueId val="{00000009-9487-4010-A959-FF26FE6D69A4}"/>
            </c:ext>
          </c:extLst>
        </c:ser>
        <c:ser>
          <c:idx val="3"/>
          <c:order val="3"/>
          <c:tx>
            <c:strRef>
              <c:f>Sheet1!$A$5</c:f>
              <c:strCache>
                <c:ptCount val="1"/>
                <c:pt idx="0">
                  <c:v>2016</c:v>
                </c:pt>
              </c:strCache>
            </c:strRef>
          </c:tx>
          <c:spPr>
            <a:solidFill>
              <a:srgbClr val="CCFFFF"/>
            </a:solidFill>
            <a:ln w="12683">
              <a:solidFill>
                <a:srgbClr val="000000"/>
              </a:solidFill>
              <a:prstDash val="solid"/>
            </a:ln>
          </c:spPr>
          <c:invertIfNegative val="0"/>
          <c:dLbls>
            <c:spPr>
              <a:noFill/>
              <a:ln w="25366">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Sheet1!$B$5:$G$5</c:f>
              <c:numCache>
                <c:formatCode>General</c:formatCode>
                <c:ptCount val="6"/>
                <c:pt idx="0">
                  <c:v>79</c:v>
                </c:pt>
                <c:pt idx="1">
                  <c:v>78</c:v>
                </c:pt>
                <c:pt idx="2">
                  <c:v>13</c:v>
                </c:pt>
                <c:pt idx="3">
                  <c:v>6</c:v>
                </c:pt>
                <c:pt idx="4">
                  <c:v>0</c:v>
                </c:pt>
              </c:numCache>
            </c:numRef>
          </c:val>
          <c:extLst xmlns:c16r2="http://schemas.microsoft.com/office/drawing/2015/06/chart">
            <c:ext xmlns:c16="http://schemas.microsoft.com/office/drawing/2014/chart" uri="{C3380CC4-5D6E-409C-BE32-E72D297353CC}">
              <c16:uniqueId val="{0000000A-9487-4010-A959-FF26FE6D69A4}"/>
            </c:ext>
          </c:extLst>
        </c:ser>
        <c:ser>
          <c:idx val="0"/>
          <c:order val="4"/>
          <c:tx>
            <c:strRef>
              <c:f>Sheet1!$A$6</c:f>
              <c:strCache>
                <c:ptCount val="1"/>
                <c:pt idx="0">
                  <c:v>2017</c:v>
                </c:pt>
              </c:strCache>
            </c:strRef>
          </c:tx>
          <c:spPr>
            <a:solidFill>
              <a:srgbClr val="9999FF"/>
            </a:solidFill>
            <a:ln w="12683">
              <a:solidFill>
                <a:srgbClr val="000000"/>
              </a:solidFill>
              <a:prstDash val="solid"/>
            </a:ln>
          </c:spPr>
          <c:invertIfNegative val="0"/>
          <c:dLbls>
            <c:spPr>
              <a:noFill/>
              <a:ln w="25366">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Sheet1!$B$6:$G$6</c:f>
              <c:numCache>
                <c:formatCode>General</c:formatCode>
                <c:ptCount val="6"/>
                <c:pt idx="0">
                  <c:v>72</c:v>
                </c:pt>
                <c:pt idx="1">
                  <c:v>85</c:v>
                </c:pt>
                <c:pt idx="2">
                  <c:v>13</c:v>
                </c:pt>
                <c:pt idx="3">
                  <c:v>5</c:v>
                </c:pt>
                <c:pt idx="4">
                  <c:v>0</c:v>
                </c:pt>
              </c:numCache>
            </c:numRef>
          </c:val>
          <c:extLst xmlns:c16r2="http://schemas.microsoft.com/office/drawing/2015/06/chart">
            <c:ext xmlns:c16="http://schemas.microsoft.com/office/drawing/2014/chart" uri="{C3380CC4-5D6E-409C-BE32-E72D297353CC}">
              <c16:uniqueId val="{0000000B-9487-4010-A959-FF26FE6D69A4}"/>
            </c:ext>
          </c:extLst>
        </c:ser>
        <c:dLbls>
          <c:showLegendKey val="0"/>
          <c:showVal val="1"/>
          <c:showCatName val="0"/>
          <c:showSerName val="0"/>
          <c:showPercent val="0"/>
          <c:showBubbleSize val="0"/>
        </c:dLbls>
        <c:gapWidth val="150"/>
        <c:axId val="466641168"/>
        <c:axId val="466641952"/>
      </c:barChart>
      <c:catAx>
        <c:axId val="466641168"/>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ro-RO"/>
          </a:p>
        </c:txPr>
        <c:crossAx val="466641952"/>
        <c:crosses val="autoZero"/>
        <c:auto val="1"/>
        <c:lblAlgn val="ctr"/>
        <c:lblOffset val="100"/>
        <c:tickLblSkip val="1"/>
        <c:tickMarkSkip val="1"/>
        <c:noMultiLvlLbl val="0"/>
      </c:catAx>
      <c:valAx>
        <c:axId val="466641952"/>
        <c:scaling>
          <c:orientation val="minMax"/>
        </c:scaling>
        <c:delete val="1"/>
        <c:axPos val="l"/>
        <c:numFmt formatCode="General" sourceLinked="1"/>
        <c:majorTickMark val="out"/>
        <c:minorTickMark val="none"/>
        <c:tickLblPos val="nextTo"/>
        <c:crossAx val="466641168"/>
        <c:crosses val="autoZero"/>
        <c:crossBetween val="between"/>
      </c:valAx>
      <c:spPr>
        <a:blipFill dpi="0" rotWithShape="0">
          <a:blip xmlns:r="http://schemas.openxmlformats.org/officeDocument/2006/relationships" r:embed="rId1"/>
          <a:srcRect/>
          <a:tile tx="0" ty="0" sx="100000" sy="100000" flip="none" algn="tl"/>
        </a:blipFill>
        <a:ln w="12683">
          <a:solidFill>
            <a:srgbClr val="808080"/>
          </a:solidFill>
          <a:prstDash val="solid"/>
        </a:ln>
      </c:spPr>
    </c:plotArea>
    <c:legend>
      <c:legendPos val="r"/>
      <c:layout>
        <c:manualLayout>
          <c:xMode val="edge"/>
          <c:yMode val="edge"/>
          <c:x val="0.92637215528781791"/>
          <c:y val="5.8981233243967819E-2"/>
          <c:w val="7.3627844712182061E-2"/>
          <c:h val="0.31099195710455763"/>
        </c:manualLayout>
      </c:layout>
      <c:overlay val="0"/>
      <c:spPr>
        <a:noFill/>
        <a:ln w="3171">
          <a:solidFill>
            <a:srgbClr val="000000"/>
          </a:solidFill>
          <a:prstDash val="solid"/>
        </a:ln>
      </c:spPr>
      <c:txPr>
        <a:bodyPr/>
        <a:lstStyle/>
        <a:p>
          <a:pPr>
            <a:defRPr sz="824" b="1" i="0" u="none" strike="noStrike" baseline="0">
              <a:solidFill>
                <a:srgbClr val="000000"/>
              </a:solidFill>
              <a:latin typeface="Arial"/>
              <a:ea typeface="Arial"/>
              <a:cs typeface="Arial"/>
            </a:defRPr>
          </a:pPr>
          <a:endParaRPr lang="ro-RO"/>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899" b="1" i="0" u="none" strike="noStrike" baseline="0">
          <a:solidFill>
            <a:srgbClr val="000000"/>
          </a:solidFill>
          <a:latin typeface="Arial"/>
          <a:ea typeface="Arial"/>
          <a:cs typeface="Arial"/>
        </a:defRPr>
      </a:pPr>
      <a:endParaRPr lang="ro-RO"/>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tx>
        <c:rich>
          <a:bodyPr/>
          <a:lstStyle/>
          <a:p>
            <a:pPr>
              <a:defRPr/>
            </a:pPr>
            <a:r>
              <a:rPr lang="en-US" sz="1100"/>
              <a:t>Num</a:t>
            </a:r>
            <a:r>
              <a:rPr lang="ro-RO" sz="1100"/>
              <a:t>ă</a:t>
            </a:r>
            <a:r>
              <a:rPr lang="en-US" sz="1100"/>
              <a:t>r de particip</a:t>
            </a:r>
            <a:r>
              <a:rPr lang="ro-RO" sz="1100"/>
              <a:t>ă</a:t>
            </a:r>
            <a:r>
              <a:rPr lang="en-US" sz="1100"/>
              <a:t>ri la ac</a:t>
            </a:r>
            <a:r>
              <a:rPr lang="ro-RO" sz="1100"/>
              <a:t>ț</a:t>
            </a:r>
            <a:r>
              <a:rPr lang="en-US" sz="1100"/>
              <a:t>iuni de formare</a:t>
            </a:r>
          </a:p>
        </c:rich>
      </c:tx>
      <c:overlay val="0"/>
      <c:spPr>
        <a:noFill/>
        <a:ln w="19413">
          <a:noFill/>
        </a:ln>
      </c:spPr>
    </c:title>
    <c:autoTitleDeleted val="0"/>
    <c:view3D>
      <c:rotX val="10"/>
      <c:rotY val="30"/>
      <c:depthPercent val="100"/>
      <c:rAngAx val="1"/>
    </c:view3D>
    <c:floor>
      <c:thickness val="0"/>
    </c:floor>
    <c:sideWall>
      <c:thickness val="0"/>
    </c:sideWall>
    <c:backWall>
      <c:thickness val="0"/>
    </c:backWall>
    <c:plotArea>
      <c:layout>
        <c:manualLayout>
          <c:layoutTarget val="inner"/>
          <c:xMode val="edge"/>
          <c:yMode val="edge"/>
          <c:x val="8.191126279863481E-2"/>
          <c:y val="0.18151815181518152"/>
          <c:w val="0.78156996587030714"/>
          <c:h val="0.65676567656765672"/>
        </c:manualLayout>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1-0C7F-4650-9DB4-BD4DB1524BC5}"/>
              </c:ext>
            </c:extLst>
          </c:dPt>
          <c:dPt>
            <c:idx val="1"/>
            <c:invertIfNegative val="0"/>
            <c:bubble3D val="0"/>
            <c:spPr>
              <a:solidFill>
                <a:srgbClr val="009900"/>
              </a:solidFill>
            </c:spPr>
            <c:extLst xmlns:c16r2="http://schemas.microsoft.com/office/drawing/2015/06/chart">
              <c:ext xmlns:c16="http://schemas.microsoft.com/office/drawing/2014/chart" uri="{C3380CC4-5D6E-409C-BE32-E72D297353CC}">
                <c16:uniqueId val="{00000003-0C7F-4650-9DB4-BD4DB1524BC5}"/>
              </c:ext>
            </c:extLst>
          </c:dPt>
          <c:dPt>
            <c:idx val="2"/>
            <c:invertIfNegative val="0"/>
            <c:bubble3D val="0"/>
            <c:spPr>
              <a:solidFill>
                <a:srgbClr val="FF6600"/>
              </a:solidFill>
            </c:spPr>
            <c:extLst xmlns:c16r2="http://schemas.microsoft.com/office/drawing/2015/06/chart">
              <c:ext xmlns:c16="http://schemas.microsoft.com/office/drawing/2014/chart" uri="{C3380CC4-5D6E-409C-BE32-E72D297353CC}">
                <c16:uniqueId val="{00000005-0C7F-4650-9DB4-BD4DB1524BC5}"/>
              </c:ext>
            </c:extLst>
          </c:dPt>
          <c:dPt>
            <c:idx val="3"/>
            <c:invertIfNegative val="0"/>
            <c:bubble3D val="0"/>
            <c:spPr>
              <a:solidFill>
                <a:srgbClr val="660066"/>
              </a:solidFill>
            </c:spPr>
            <c:extLst xmlns:c16r2="http://schemas.microsoft.com/office/drawing/2015/06/chart">
              <c:ext xmlns:c16="http://schemas.microsoft.com/office/drawing/2014/chart" uri="{C3380CC4-5D6E-409C-BE32-E72D297353CC}">
                <c16:uniqueId val="{00000007-0C7F-4650-9DB4-BD4DB1524BC5}"/>
              </c:ext>
            </c:extLst>
          </c:dPt>
          <c:dPt>
            <c:idx val="4"/>
            <c:invertIfNegative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9-0C7F-4650-9DB4-BD4DB1524BC5}"/>
              </c:ext>
            </c:extLst>
          </c:dPt>
          <c:dPt>
            <c:idx val="5"/>
            <c:invertIfNegative val="0"/>
            <c:bubble3D val="0"/>
            <c:spPr>
              <a:solidFill>
                <a:srgbClr val="FF0000"/>
              </a:solidFill>
            </c:spPr>
            <c:extLst xmlns:c16r2="http://schemas.microsoft.com/office/drawing/2015/06/chart">
              <c:ext xmlns:c16="http://schemas.microsoft.com/office/drawing/2014/chart" uri="{C3380CC4-5D6E-409C-BE32-E72D297353CC}">
                <c16:uniqueId val="{0000000B-0C7F-4650-9DB4-BD4DB1524BC5}"/>
              </c:ext>
            </c:extLst>
          </c:dPt>
          <c:dPt>
            <c:idx val="6"/>
            <c:invertIfNegative val="0"/>
            <c:bubble3D val="0"/>
            <c:spPr>
              <a:solidFill>
                <a:srgbClr val="FF0066"/>
              </a:solidFill>
            </c:spPr>
            <c:extLst xmlns:c16r2="http://schemas.microsoft.com/office/drawing/2015/06/chart">
              <c:ext xmlns:c16="http://schemas.microsoft.com/office/drawing/2014/chart" uri="{C3380CC4-5D6E-409C-BE32-E72D297353CC}">
                <c16:uniqueId val="{0000000D-0C7F-4650-9DB4-BD4DB1524BC5}"/>
              </c:ext>
            </c:extLst>
          </c:dPt>
          <c:dPt>
            <c:idx val="7"/>
            <c:invertIfNegative val="0"/>
            <c:bubble3D val="0"/>
            <c:spPr>
              <a:solidFill>
                <a:srgbClr val="FFC000"/>
              </a:solidFill>
            </c:spPr>
            <c:extLst xmlns:c16r2="http://schemas.microsoft.com/office/drawing/2015/06/chart">
              <c:ext xmlns:c16="http://schemas.microsoft.com/office/drawing/2014/chart" uri="{C3380CC4-5D6E-409C-BE32-E72D297353CC}">
                <c16:uniqueId val="{0000000F-0C7F-4650-9DB4-BD4DB1524BC5}"/>
              </c:ext>
            </c:extLst>
          </c:dPt>
          <c:dPt>
            <c:idx val="8"/>
            <c:invertIfNegative val="0"/>
            <c:bubble3D val="0"/>
            <c:spPr>
              <a:solidFill>
                <a:srgbClr val="7030A0"/>
              </a:solidFill>
            </c:spPr>
            <c:extLst xmlns:c16r2="http://schemas.microsoft.com/office/drawing/2015/06/chart">
              <c:ext xmlns:c16="http://schemas.microsoft.com/office/drawing/2014/chart" uri="{C3380CC4-5D6E-409C-BE32-E72D297353CC}">
                <c16:uniqueId val="{00000011-0C7F-4650-9DB4-BD4DB1524BC5}"/>
              </c:ext>
            </c:extLst>
          </c:dPt>
          <c:dLbls>
            <c:dLbl>
              <c:idx val="0"/>
              <c:layout>
                <c:manualLayout>
                  <c:x val="0"/>
                  <c:y val="0.142857142857142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C7F-4650-9DB4-BD4DB1524BC5}"/>
                </c:ext>
                <c:ext xmlns:c15="http://schemas.microsoft.com/office/drawing/2012/chart" uri="{CE6537A1-D6FC-4f65-9D91-7224C49458BB}"/>
              </c:extLst>
            </c:dLbl>
            <c:dLbl>
              <c:idx val="1"/>
              <c:layout>
                <c:manualLayout>
                  <c:x val="2.3148148148148147E-3"/>
                  <c:y val="0.21031746031746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C7F-4650-9DB4-BD4DB1524BC5}"/>
                </c:ext>
                <c:ext xmlns:c15="http://schemas.microsoft.com/office/drawing/2012/chart" uri="{CE6537A1-D6FC-4f65-9D91-7224C49458BB}"/>
              </c:extLst>
            </c:dLbl>
            <c:dLbl>
              <c:idx val="2"/>
              <c:layout>
                <c:manualLayout>
                  <c:x val="2.3148148148148147E-3"/>
                  <c:y val="0.269841269841269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C7F-4650-9DB4-BD4DB1524BC5}"/>
                </c:ext>
                <c:ext xmlns:c15="http://schemas.microsoft.com/office/drawing/2012/chart" uri="{CE6537A1-D6FC-4f65-9D91-7224C49458BB}"/>
              </c:extLst>
            </c:dLbl>
            <c:dLbl>
              <c:idx val="3"/>
              <c:layout>
                <c:manualLayout>
                  <c:x val="0"/>
                  <c:y val="0.3095234970628675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C7F-4650-9DB4-BD4DB1524BC5}"/>
                </c:ext>
                <c:ext xmlns:c15="http://schemas.microsoft.com/office/drawing/2012/chart" uri="{CE6537A1-D6FC-4f65-9D91-7224C49458BB}"/>
              </c:extLst>
            </c:dLbl>
            <c:dLbl>
              <c:idx val="4"/>
              <c:layout>
                <c:manualLayout>
                  <c:x val="0"/>
                  <c:y val="0.273809523809523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C7F-4650-9DB4-BD4DB1524BC5}"/>
                </c:ext>
                <c:ext xmlns:c15="http://schemas.microsoft.com/office/drawing/2012/chart" uri="{CE6537A1-D6FC-4f65-9D91-7224C49458BB}"/>
              </c:extLst>
            </c:dLbl>
            <c:dLbl>
              <c:idx val="5"/>
              <c:layout>
                <c:manualLayout>
                  <c:x val="2.3148148148148147E-3"/>
                  <c:y val="0.301586989126359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C7F-4650-9DB4-BD4DB1524BC5}"/>
                </c:ext>
                <c:ext xmlns:c15="http://schemas.microsoft.com/office/drawing/2012/chart" uri="{CE6537A1-D6FC-4f65-9D91-7224C49458BB}"/>
              </c:extLst>
            </c:dLbl>
            <c:dLbl>
              <c:idx val="6"/>
              <c:layout>
                <c:manualLayout>
                  <c:x val="2.3148148148148147E-3"/>
                  <c:y val="0.257936507936507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C7F-4650-9DB4-BD4DB1524BC5}"/>
                </c:ext>
                <c:ext xmlns:c15="http://schemas.microsoft.com/office/drawing/2012/chart" uri="{CE6537A1-D6FC-4f65-9D91-7224C49458BB}"/>
              </c:extLst>
            </c:dLbl>
            <c:dLbl>
              <c:idx val="7"/>
              <c:layout>
                <c:manualLayout>
                  <c:x val="6.9444444444444441E-3"/>
                  <c:y val="0.186507936507936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C7F-4650-9DB4-BD4DB1524BC5}"/>
                </c:ext>
                <c:ext xmlns:c15="http://schemas.microsoft.com/office/drawing/2012/chart" uri="{CE6537A1-D6FC-4f65-9D91-7224C49458BB}"/>
              </c:extLst>
            </c:dLbl>
            <c:dLbl>
              <c:idx val="8"/>
              <c:layout>
                <c:manualLayout>
                  <c:x val="8.7431693989071038E-3"/>
                  <c:y val="0.180106426524764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C7F-4650-9DB4-BD4DB1524BC5}"/>
                </c:ext>
                <c:ext xmlns:c15="http://schemas.microsoft.com/office/drawing/2012/chart" uri="{CE6537A1-D6FC-4f65-9D91-7224C49458BB}"/>
              </c:extLst>
            </c:dLbl>
            <c:spPr>
              <a:noFill/>
              <a:ln w="19413">
                <a:noFill/>
              </a:ln>
            </c:spPr>
            <c:txPr>
              <a:bodyPr/>
              <a:lstStyle/>
              <a:p>
                <a:pPr>
                  <a:defRPr b="1"/>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Sheet1!$B$2:$B$10</c:f>
              <c:numCache>
                <c:formatCode>General</c:formatCode>
                <c:ptCount val="9"/>
                <c:pt idx="0">
                  <c:v>1750</c:v>
                </c:pt>
                <c:pt idx="1">
                  <c:v>3522</c:v>
                </c:pt>
                <c:pt idx="2">
                  <c:v>4779</c:v>
                </c:pt>
                <c:pt idx="3">
                  <c:v>5988</c:v>
                </c:pt>
                <c:pt idx="4">
                  <c:v>6121</c:v>
                </c:pt>
                <c:pt idx="5">
                  <c:v>7274</c:v>
                </c:pt>
                <c:pt idx="6">
                  <c:v>6920</c:v>
                </c:pt>
                <c:pt idx="7">
                  <c:v>5228</c:v>
                </c:pt>
                <c:pt idx="8">
                  <c:v>4324</c:v>
                </c:pt>
              </c:numCache>
            </c:numRef>
          </c:val>
          <c:extLst xmlns:c16r2="http://schemas.microsoft.com/office/drawing/2015/06/chart">
            <c:ext xmlns:c16="http://schemas.microsoft.com/office/drawing/2014/chart" uri="{C3380CC4-5D6E-409C-BE32-E72D297353CC}">
              <c16:uniqueId val="{00000012-0C7F-4650-9DB4-BD4DB1524BC5}"/>
            </c:ext>
          </c:extLst>
        </c:ser>
        <c:dLbls>
          <c:showLegendKey val="0"/>
          <c:showVal val="0"/>
          <c:showCatName val="0"/>
          <c:showSerName val="0"/>
          <c:showPercent val="0"/>
          <c:showBubbleSize val="0"/>
        </c:dLbls>
        <c:gapWidth val="150"/>
        <c:shape val="box"/>
        <c:axId val="433698600"/>
        <c:axId val="433699776"/>
        <c:axId val="0"/>
      </c:bar3DChart>
      <c:catAx>
        <c:axId val="433698600"/>
        <c:scaling>
          <c:orientation val="minMax"/>
        </c:scaling>
        <c:delete val="0"/>
        <c:axPos val="b"/>
        <c:numFmt formatCode="General" sourceLinked="1"/>
        <c:majorTickMark val="out"/>
        <c:minorTickMark val="none"/>
        <c:tickLblPos val="nextTo"/>
        <c:crossAx val="433699776"/>
        <c:crosses val="autoZero"/>
        <c:auto val="1"/>
        <c:lblAlgn val="ctr"/>
        <c:lblOffset val="100"/>
        <c:noMultiLvlLbl val="0"/>
      </c:catAx>
      <c:valAx>
        <c:axId val="433699776"/>
        <c:scaling>
          <c:orientation val="minMax"/>
        </c:scaling>
        <c:delete val="0"/>
        <c:axPos val="l"/>
        <c:majorGridlines/>
        <c:numFmt formatCode="General" sourceLinked="1"/>
        <c:majorTickMark val="out"/>
        <c:minorTickMark val="none"/>
        <c:tickLblPos val="nextTo"/>
        <c:crossAx val="433698600"/>
        <c:crosses val="autoZero"/>
        <c:crossBetween val="between"/>
      </c:valAx>
      <c:spPr>
        <a:noFill/>
        <a:ln w="19413">
          <a:noFill/>
        </a:ln>
      </c:spPr>
    </c:plotArea>
    <c:legend>
      <c:legendPos val="r"/>
      <c:layout>
        <c:manualLayout>
          <c:xMode val="edge"/>
          <c:yMode val="edge"/>
          <c:x val="0.8904109589041096"/>
          <c:y val="0.25249169435215946"/>
          <c:w val="8.9041095890410954E-2"/>
          <c:h val="0.61129568106312293"/>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7.5355165335313961E-3"/>
          <c:y val="8.3794925634296011E-2"/>
          <c:w val="0.80249775231873088"/>
          <c:h val="0.86392207640711671"/>
        </c:manualLayout>
      </c:layout>
      <c:pie3DChart>
        <c:varyColors val="1"/>
        <c:ser>
          <c:idx val="0"/>
          <c:order val="0"/>
          <c:tx>
            <c:strRef>
              <c:f>Sheet1!$A$2</c:f>
              <c:strCache>
                <c:ptCount val="1"/>
                <c:pt idx="0">
                  <c:v>Est</c:v>
                </c:pt>
              </c:strCache>
            </c:strRef>
          </c:tx>
          <c:spPr>
            <a:solidFill>
              <a:srgbClr val="9999FF"/>
            </a:solidFill>
            <a:ln w="10620">
              <a:solidFill>
                <a:srgbClr val="000000"/>
              </a:solidFill>
              <a:prstDash val="solid"/>
            </a:ln>
          </c:spPr>
          <c:dPt>
            <c:idx val="0"/>
            <c:bubble3D val="0"/>
            <c:spPr>
              <a:solidFill>
                <a:srgbClr val="FFCC00"/>
              </a:solidFill>
              <a:ln w="10620">
                <a:solidFill>
                  <a:srgbClr val="000000"/>
                </a:solidFill>
                <a:prstDash val="solid"/>
              </a:ln>
            </c:spPr>
            <c:extLst xmlns:c16r2="http://schemas.microsoft.com/office/drawing/2015/06/chart">
              <c:ext xmlns:c16="http://schemas.microsoft.com/office/drawing/2014/chart" uri="{C3380CC4-5D6E-409C-BE32-E72D297353CC}">
                <c16:uniqueId val="{00000001-9313-4DFD-BD94-7D44B3189015}"/>
              </c:ext>
            </c:extLst>
          </c:dPt>
          <c:dPt>
            <c:idx val="1"/>
            <c:bubble3D val="0"/>
            <c:spPr>
              <a:solidFill>
                <a:schemeClr val="tx2">
                  <a:lumMod val="60000"/>
                  <a:lumOff val="40000"/>
                </a:schemeClr>
              </a:solidFill>
              <a:ln w="10620">
                <a:solidFill>
                  <a:srgbClr val="000000"/>
                </a:solidFill>
                <a:prstDash val="solid"/>
              </a:ln>
            </c:spPr>
            <c:extLst xmlns:c16r2="http://schemas.microsoft.com/office/drawing/2015/06/chart">
              <c:ext xmlns:c16="http://schemas.microsoft.com/office/drawing/2014/chart" uri="{C3380CC4-5D6E-409C-BE32-E72D297353CC}">
                <c16:uniqueId val="{00000003-9313-4DFD-BD94-7D44B3189015}"/>
              </c:ext>
            </c:extLst>
          </c:dPt>
          <c:dLbls>
            <c:dLbl>
              <c:idx val="0"/>
              <c:layout>
                <c:manualLayout>
                  <c:x val="-0.25048963002796526"/>
                  <c:y val="-1.580495771361913E-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13-4DFD-BD94-7D44B3189015}"/>
                </c:ext>
                <c:ext xmlns:c15="http://schemas.microsoft.com/office/drawing/2012/chart" uri="{CE6537A1-D6FC-4f65-9D91-7224C49458BB}"/>
              </c:extLst>
            </c:dLbl>
            <c:dLbl>
              <c:idx val="1"/>
              <c:layout>
                <c:manualLayout>
                  <c:x val="0.16781066864159758"/>
                  <c:y val="-0.20368247302420531"/>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13-4DFD-BD94-7D44B3189015}"/>
                </c:ext>
                <c:ext xmlns:c15="http://schemas.microsoft.com/office/drawing/2012/chart" uri="{CE6537A1-D6FC-4f65-9D91-7224C49458BB}"/>
              </c:extLst>
            </c:dLbl>
            <c:dLbl>
              <c:idx val="2"/>
              <c:layout>
                <c:manualLayout>
                  <c:x val="2.1928970108682978E-2"/>
                  <c:y val="9.0416020832041658E-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13-4DFD-BD94-7D44B3189015}"/>
                </c:ext>
                <c:ext xmlns:c15="http://schemas.microsoft.com/office/drawing/2012/chart" uri="{CE6537A1-D6FC-4f65-9D91-7224C49458BB}"/>
              </c:extLst>
            </c:dLbl>
            <c:dLbl>
              <c:idx val="3"/>
              <c:layout>
                <c:manualLayout>
                  <c:x val="3.4208130400812206E-2"/>
                  <c:y val="8.4521875710418942E-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13-4DFD-BD94-7D44B3189015}"/>
                </c:ext>
                <c:ext xmlns:c15="http://schemas.microsoft.com/office/drawing/2012/chart" uri="{CE6537A1-D6FC-4f65-9D91-7224C49458BB}"/>
              </c:extLst>
            </c:dLbl>
            <c:dLbl>
              <c:idx val="4"/>
              <c:layout>
                <c:manualLayout>
                  <c:xMode val="edge"/>
                  <c:yMode val="edge"/>
                  <c:x val="0.38545454545454844"/>
                  <c:y val="2.0491803278688551E-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13-4DFD-BD94-7D44B3189015}"/>
                </c:ext>
                <c:ext xmlns:c15="http://schemas.microsoft.com/office/drawing/2012/chart" uri="{CE6537A1-D6FC-4f65-9D91-7224C49458BB}"/>
              </c:extLst>
            </c:dLbl>
            <c:dLbl>
              <c:idx val="5"/>
              <c:layout>
                <c:manualLayout>
                  <c:xMode val="edge"/>
                  <c:yMode val="edge"/>
                  <c:x val="0.41636363636363638"/>
                  <c:y val="0.1065573770491803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13-4DFD-BD94-7D44B3189015}"/>
                </c:ext>
                <c:ext xmlns:c15="http://schemas.microsoft.com/office/drawing/2012/chart" uri="{CE6537A1-D6FC-4f65-9D91-7224C49458BB}"/>
              </c:extLst>
            </c:dLbl>
            <c:dLbl>
              <c:idx val="6"/>
              <c:layout>
                <c:manualLayout>
                  <c:xMode val="edge"/>
                  <c:yMode val="edge"/>
                  <c:x val="0.39090909090909393"/>
                  <c:y val="4.5081967213114783E-2"/>
                </c:manualLayout>
              </c:layout>
              <c:spPr>
                <a:noFill/>
                <a:ln w="22363">
                  <a:noFill/>
                </a:ln>
              </c:spPr>
              <c:txPr>
                <a:bodyPr/>
                <a:lstStyle/>
                <a:p>
                  <a:pPr>
                    <a:defRPr sz="898"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313-4DFD-BD94-7D44B3189015}"/>
                </c:ext>
                <c:ext xmlns:c15="http://schemas.microsoft.com/office/drawing/2012/chart" uri="{CE6537A1-D6FC-4f65-9D91-7224C49458BB}"/>
              </c:extLst>
            </c:dLbl>
            <c:spPr>
              <a:noFill/>
              <a:ln w="22363">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 la cel putin o actiune de formare in 2017</c:v>
                </c:pt>
                <c:pt idx="1">
                  <c:v>Nu au participat la actiuni de formare in 2017</c:v>
                </c:pt>
              </c:strCache>
            </c:strRef>
          </c:cat>
          <c:val>
            <c:numRef>
              <c:f>Sheet1!$B$2:$C$2</c:f>
              <c:numCache>
                <c:formatCode>General</c:formatCode>
                <c:ptCount val="2"/>
                <c:pt idx="0">
                  <c:v>3359</c:v>
                </c:pt>
                <c:pt idx="1">
                  <c:v>3770</c:v>
                </c:pt>
              </c:numCache>
            </c:numRef>
          </c:val>
          <c:extLst xmlns:c16r2="http://schemas.microsoft.com/office/drawing/2015/06/chart">
            <c:ext xmlns:c16="http://schemas.microsoft.com/office/drawing/2014/chart" uri="{C3380CC4-5D6E-409C-BE32-E72D297353CC}">
              <c16:uniqueId val="{00000009-9313-4DFD-BD94-7D44B3189015}"/>
            </c:ext>
          </c:extLst>
        </c:ser>
        <c:ser>
          <c:idx val="1"/>
          <c:order val="1"/>
          <c:tx>
            <c:strRef>
              <c:f>Sheet1!$A$3</c:f>
              <c:strCache>
                <c:ptCount val="1"/>
              </c:strCache>
            </c:strRef>
          </c:tx>
          <c:spPr>
            <a:solidFill>
              <a:srgbClr val="993366"/>
            </a:solidFill>
            <a:ln w="10620">
              <a:solidFill>
                <a:srgbClr val="000000"/>
              </a:solidFill>
              <a:prstDash val="solid"/>
            </a:ln>
          </c:spPr>
          <c:dPt>
            <c:idx val="0"/>
            <c:bubble3D val="0"/>
            <c:spPr>
              <a:solidFill>
                <a:srgbClr val="9999FF"/>
              </a:solidFill>
              <a:ln w="10620">
                <a:solidFill>
                  <a:srgbClr val="000000"/>
                </a:solidFill>
                <a:prstDash val="solid"/>
              </a:ln>
            </c:spPr>
            <c:extLst xmlns:c16r2="http://schemas.microsoft.com/office/drawing/2015/06/chart">
              <c:ext xmlns:c16="http://schemas.microsoft.com/office/drawing/2014/chart" uri="{C3380CC4-5D6E-409C-BE32-E72D297353CC}">
                <c16:uniqueId val="{0000000B-9313-4DFD-BD94-7D44B3189015}"/>
              </c:ext>
            </c:extLst>
          </c:dPt>
          <c:dPt>
            <c:idx val="1"/>
            <c:bubble3D val="0"/>
            <c:extLst xmlns:c16r2="http://schemas.microsoft.com/office/drawing/2015/06/chart">
              <c:ext xmlns:c16="http://schemas.microsoft.com/office/drawing/2014/chart" uri="{C3380CC4-5D6E-409C-BE32-E72D297353CC}">
                <c16:uniqueId val="{0000000C-9313-4DFD-BD94-7D44B3189015}"/>
              </c:ext>
            </c:extLst>
          </c:dPt>
          <c:dLbls>
            <c:spPr>
              <a:noFill/>
              <a:ln w="22363">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 la cel putin o actiune de formare in 2017</c:v>
                </c:pt>
                <c:pt idx="1">
                  <c:v>Nu au participat la actiuni de formare in 2017</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D-9313-4DFD-BD94-7D44B3189015}"/>
            </c:ext>
          </c:extLst>
        </c:ser>
        <c:dLbls>
          <c:showLegendKey val="0"/>
          <c:showVal val="0"/>
          <c:showCatName val="0"/>
          <c:showSerName val="0"/>
          <c:showPercent val="0"/>
          <c:showBubbleSize val="0"/>
          <c:showLeaderLines val="1"/>
        </c:dLbls>
      </c:pie3DChart>
      <c:spPr>
        <a:solidFill>
          <a:srgbClr val="C0C0C0"/>
        </a:solidFill>
        <a:ln w="10620">
          <a:solidFill>
            <a:srgbClr val="808080"/>
          </a:solidFill>
          <a:prstDash val="solid"/>
        </a:ln>
      </c:spPr>
    </c:plotArea>
    <c:legend>
      <c:legendPos val="r"/>
      <c:layout>
        <c:manualLayout>
          <c:xMode val="edge"/>
          <c:yMode val="edge"/>
          <c:x val="0.81090924270649078"/>
          <c:y val="8.4292081414351516E-2"/>
          <c:w val="0.181818067970132"/>
          <c:h val="0.8678571782300798"/>
        </c:manualLayout>
      </c:layout>
      <c:overlay val="0"/>
      <c:spPr>
        <a:noFill/>
        <a:ln w="2655">
          <a:solidFill>
            <a:srgbClr val="000000"/>
          </a:solidFill>
          <a:prstDash val="solid"/>
        </a:ln>
      </c:spPr>
      <c:txPr>
        <a:bodyPr/>
        <a:lstStyle/>
        <a:p>
          <a:pPr>
            <a:defRPr sz="704" b="1" i="0" u="none" strike="noStrike" baseline="0">
              <a:solidFill>
                <a:srgbClr val="000000"/>
              </a:solidFill>
              <a:latin typeface="+mn-lt"/>
              <a:ea typeface="Arial"/>
              <a:cs typeface="Arial"/>
            </a:defRPr>
          </a:pPr>
          <a:endParaRPr lang="ro-RO"/>
        </a:p>
      </c:txPr>
    </c:legend>
    <c:plotVisOnly val="1"/>
    <c:dispBlanksAs val="zero"/>
    <c:showDLblsOverMax val="0"/>
  </c:chart>
  <c:spPr>
    <a:noFill/>
    <a:ln>
      <a:noFill/>
    </a:ln>
  </c:spPr>
  <c:txPr>
    <a:bodyPr/>
    <a:lstStyle/>
    <a:p>
      <a:pPr>
        <a:defRPr sz="898" b="1" i="0" u="none" strike="noStrike" baseline="0">
          <a:solidFill>
            <a:srgbClr val="000000"/>
          </a:solidFill>
          <a:latin typeface="Arial"/>
          <a:ea typeface="Arial"/>
          <a:cs typeface="Arial"/>
        </a:defRPr>
      </a:pPr>
      <a:endParaRPr lang="ro-RO"/>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0"/>
          <c:y val="7.7868852459016424E-2"/>
          <c:w val="0.78839321029205345"/>
          <c:h val="0.84977814093992965"/>
        </c:manualLayout>
      </c:layout>
      <c:pie3DChart>
        <c:varyColors val="1"/>
        <c:ser>
          <c:idx val="0"/>
          <c:order val="0"/>
          <c:tx>
            <c:strRef>
              <c:f>Sheet1!$A$2</c:f>
              <c:strCache>
                <c:ptCount val="1"/>
                <c:pt idx="0">
                  <c:v>Est</c:v>
                </c:pt>
              </c:strCache>
            </c:strRef>
          </c:tx>
          <c:spPr>
            <a:solidFill>
              <a:srgbClr val="9999FF"/>
            </a:solidFill>
            <a:ln w="10179">
              <a:solidFill>
                <a:srgbClr val="000000"/>
              </a:solidFill>
              <a:prstDash val="solid"/>
            </a:ln>
          </c:spPr>
          <c:dPt>
            <c:idx val="0"/>
            <c:bubble3D val="0"/>
            <c:spPr>
              <a:solidFill>
                <a:srgbClr val="99CC00"/>
              </a:solidFill>
              <a:ln w="10179">
                <a:solidFill>
                  <a:srgbClr val="000000"/>
                </a:solidFill>
                <a:prstDash val="solid"/>
              </a:ln>
            </c:spPr>
            <c:extLst xmlns:c16r2="http://schemas.microsoft.com/office/drawing/2015/06/chart">
              <c:ext xmlns:c16="http://schemas.microsoft.com/office/drawing/2014/chart" uri="{C3380CC4-5D6E-409C-BE32-E72D297353CC}">
                <c16:uniqueId val="{00000001-3840-4AA2-BE14-94F71496A745}"/>
              </c:ext>
            </c:extLst>
          </c:dPt>
          <c:dPt>
            <c:idx val="1"/>
            <c:bubble3D val="0"/>
            <c:spPr>
              <a:solidFill>
                <a:srgbClr val="FF9900"/>
              </a:solidFill>
              <a:ln w="10179">
                <a:solidFill>
                  <a:srgbClr val="000000"/>
                </a:solidFill>
                <a:prstDash val="solid"/>
              </a:ln>
            </c:spPr>
            <c:extLst xmlns:c16r2="http://schemas.microsoft.com/office/drawing/2015/06/chart">
              <c:ext xmlns:c16="http://schemas.microsoft.com/office/drawing/2014/chart" uri="{C3380CC4-5D6E-409C-BE32-E72D297353CC}">
                <c16:uniqueId val="{00000003-3840-4AA2-BE14-94F71496A745}"/>
              </c:ext>
            </c:extLst>
          </c:dPt>
          <c:dPt>
            <c:idx val="2"/>
            <c:bubble3D val="0"/>
            <c:spPr>
              <a:solidFill>
                <a:schemeClr val="tx2">
                  <a:lumMod val="60000"/>
                  <a:lumOff val="40000"/>
                </a:schemeClr>
              </a:solidFill>
              <a:ln w="10179">
                <a:solidFill>
                  <a:srgbClr val="000000"/>
                </a:solidFill>
                <a:prstDash val="solid"/>
              </a:ln>
            </c:spPr>
            <c:extLst xmlns:c16r2="http://schemas.microsoft.com/office/drawing/2015/06/chart">
              <c:ext xmlns:c16="http://schemas.microsoft.com/office/drawing/2014/chart" uri="{C3380CC4-5D6E-409C-BE32-E72D297353CC}">
                <c16:uniqueId val="{00000005-3840-4AA2-BE14-94F71496A745}"/>
              </c:ext>
            </c:extLst>
          </c:dPt>
          <c:dPt>
            <c:idx val="3"/>
            <c:bubble3D val="0"/>
            <c:spPr>
              <a:solidFill>
                <a:srgbClr val="7030A0"/>
              </a:solidFill>
              <a:ln w="10179">
                <a:solidFill>
                  <a:srgbClr val="000000"/>
                </a:solidFill>
                <a:prstDash val="solid"/>
              </a:ln>
            </c:spPr>
            <c:extLst xmlns:c16r2="http://schemas.microsoft.com/office/drawing/2015/06/chart">
              <c:ext xmlns:c16="http://schemas.microsoft.com/office/drawing/2014/chart" uri="{C3380CC4-5D6E-409C-BE32-E72D297353CC}">
                <c16:uniqueId val="{00000007-3840-4AA2-BE14-94F71496A745}"/>
              </c:ext>
            </c:extLst>
          </c:dPt>
          <c:dLbls>
            <c:dLbl>
              <c:idx val="0"/>
              <c:layout>
                <c:manualLayout>
                  <c:x val="-0.16730164077083942"/>
                  <c:y val="-0.30024944038959117"/>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840-4AA2-BE14-94F71496A745}"/>
                </c:ext>
                <c:ext xmlns:c15="http://schemas.microsoft.com/office/drawing/2012/chart" uri="{CE6537A1-D6FC-4f65-9D91-7224C49458BB}"/>
              </c:extLst>
            </c:dLbl>
            <c:dLbl>
              <c:idx val="1"/>
              <c:layout>
                <c:manualLayout>
                  <c:x val="0.15976017703669498"/>
                  <c:y val="3.9280415719301402E-2"/>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840-4AA2-BE14-94F71496A745}"/>
                </c:ext>
                <c:ext xmlns:c15="http://schemas.microsoft.com/office/drawing/2012/chart" uri="{CE6537A1-D6FC-4f65-9D91-7224C49458BB}"/>
              </c:extLst>
            </c:dLbl>
            <c:dLbl>
              <c:idx val="2"/>
              <c:layout>
                <c:manualLayout>
                  <c:x val="1.6139909594633958E-2"/>
                  <c:y val="6.3883688914463846E-2"/>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840-4AA2-BE14-94F71496A745}"/>
                </c:ext>
                <c:ext xmlns:c15="http://schemas.microsoft.com/office/drawing/2012/chart" uri="{CE6537A1-D6FC-4f65-9D91-7224C49458BB}"/>
              </c:extLst>
            </c:dLbl>
            <c:dLbl>
              <c:idx val="3"/>
              <c:layout>
                <c:manualLayout>
                  <c:x val="2.7233806422345307E-2"/>
                  <c:y val="6.8648888824142107E-2"/>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840-4AA2-BE14-94F71496A745}"/>
                </c:ext>
                <c:ext xmlns:c15="http://schemas.microsoft.com/office/drawing/2012/chart" uri="{CE6537A1-D6FC-4f65-9D91-7224C49458BB}"/>
              </c:extLst>
            </c:dLbl>
            <c:dLbl>
              <c:idx val="5"/>
              <c:layout>
                <c:manualLayout>
                  <c:xMode val="edge"/>
                  <c:yMode val="edge"/>
                  <c:x val="0.41636363636363638"/>
                  <c:y val="0.10655737704918032"/>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840-4AA2-BE14-94F71496A745}"/>
                </c:ext>
                <c:ext xmlns:c15="http://schemas.microsoft.com/office/drawing/2012/chart" uri="{CE6537A1-D6FC-4f65-9D91-7224C49458BB}"/>
              </c:extLst>
            </c:dLbl>
            <c:dLbl>
              <c:idx val="6"/>
              <c:layout>
                <c:manualLayout>
                  <c:xMode val="edge"/>
                  <c:yMode val="edge"/>
                  <c:x val="0.39090909090909376"/>
                  <c:y val="4.5081967213114783E-2"/>
                </c:manualLayout>
              </c:layout>
              <c:spPr>
                <a:noFill/>
                <a:ln w="21318">
                  <a:noFill/>
                </a:ln>
              </c:spPr>
              <c:txPr>
                <a:bodyPr/>
                <a:lstStyle/>
                <a:p>
                  <a:pPr>
                    <a:defRPr sz="860"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840-4AA2-BE14-94F71496A745}"/>
                </c:ext>
                <c:ext xmlns:c15="http://schemas.microsoft.com/office/drawing/2012/chart" uri="{CE6537A1-D6FC-4f65-9D91-7224C49458BB}"/>
              </c:extLst>
            </c:dLbl>
            <c:spPr>
              <a:noFill/>
              <a:ln w="21318">
                <a:noFill/>
              </a:ln>
            </c:spPr>
            <c:txPr>
              <a:bodyPr wrap="square" lIns="38100" tIns="19050" rIns="38100" bIns="19050" anchor="ctr">
                <a:spAutoFit/>
              </a:bodyPr>
              <a:lstStyle/>
              <a:p>
                <a:pPr>
                  <a:defRPr sz="86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Judecători</c:v>
                </c:pt>
                <c:pt idx="1">
                  <c:v>Procurori</c:v>
                </c:pt>
                <c:pt idx="2">
                  <c:v>Magistraţi asistenţi</c:v>
                </c:pt>
                <c:pt idx="3">
                  <c:v>Asimilaţi </c:v>
                </c:pt>
              </c:strCache>
            </c:strRef>
          </c:cat>
          <c:val>
            <c:numRef>
              <c:f>Sheet1!$B$2:$E$2</c:f>
              <c:numCache>
                <c:formatCode>General</c:formatCode>
                <c:ptCount val="4"/>
                <c:pt idx="0">
                  <c:v>2860</c:v>
                </c:pt>
                <c:pt idx="1">
                  <c:v>1366</c:v>
                </c:pt>
                <c:pt idx="2">
                  <c:v>23</c:v>
                </c:pt>
                <c:pt idx="3">
                  <c:v>75</c:v>
                </c:pt>
              </c:numCache>
            </c:numRef>
          </c:val>
          <c:extLst xmlns:c16r2="http://schemas.microsoft.com/office/drawing/2015/06/chart">
            <c:ext xmlns:c16="http://schemas.microsoft.com/office/drawing/2014/chart" uri="{C3380CC4-5D6E-409C-BE32-E72D297353CC}">
              <c16:uniqueId val="{0000000A-3840-4AA2-BE14-94F71496A745}"/>
            </c:ext>
          </c:extLst>
        </c:ser>
        <c:dLbls>
          <c:showLegendKey val="0"/>
          <c:showVal val="0"/>
          <c:showCatName val="0"/>
          <c:showSerName val="0"/>
          <c:showPercent val="0"/>
          <c:showBubbleSize val="0"/>
          <c:showLeaderLines val="1"/>
        </c:dLbls>
      </c:pie3DChart>
      <c:spPr>
        <a:solidFill>
          <a:srgbClr val="C0C0C0"/>
        </a:solidFill>
        <a:ln w="10179">
          <a:solidFill>
            <a:srgbClr val="808080"/>
          </a:solidFill>
          <a:prstDash val="solid"/>
        </a:ln>
      </c:spPr>
    </c:plotArea>
    <c:legend>
      <c:legendPos val="r"/>
      <c:layout>
        <c:manualLayout>
          <c:xMode val="edge"/>
          <c:yMode val="edge"/>
          <c:x val="0.79321571881049657"/>
          <c:y val="7.4620908235527167E-2"/>
          <c:w val="0.2032518797973315"/>
          <c:h val="0.86221611449512203"/>
        </c:manualLayout>
      </c:layout>
      <c:overlay val="0"/>
      <c:spPr>
        <a:noFill/>
        <a:ln w="2545">
          <a:solidFill>
            <a:srgbClr val="000000"/>
          </a:solidFill>
          <a:prstDash val="solid"/>
        </a:ln>
      </c:spPr>
      <c:txPr>
        <a:bodyPr/>
        <a:lstStyle/>
        <a:p>
          <a:pPr>
            <a:defRPr sz="671"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860" b="1" i="0" u="none" strike="noStrike" baseline="0">
          <a:solidFill>
            <a:srgbClr val="000000"/>
          </a:solidFill>
          <a:latin typeface="Arial"/>
          <a:ea typeface="Arial"/>
          <a:cs typeface="Arial"/>
        </a:defRPr>
      </a:pPr>
      <a:endParaRPr lang="ro-RO"/>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2.4204824715381913E-2"/>
          <c:y val="6.4516129032258063E-2"/>
          <c:w val="0.79654694899883405"/>
          <c:h val="0.85762398121287464"/>
        </c:manualLayout>
      </c:layout>
      <c:pie3DChart>
        <c:varyColors val="1"/>
        <c:ser>
          <c:idx val="0"/>
          <c:order val="0"/>
          <c:tx>
            <c:strRef>
              <c:f>Sheet1!$A$2</c:f>
              <c:strCache>
                <c:ptCount val="1"/>
                <c:pt idx="0">
                  <c:v>Est</c:v>
                </c:pt>
              </c:strCache>
            </c:strRef>
          </c:tx>
          <c:spPr>
            <a:solidFill>
              <a:srgbClr val="9999FF"/>
            </a:solidFill>
            <a:ln w="8321">
              <a:solidFill>
                <a:srgbClr val="000000"/>
              </a:solidFill>
              <a:prstDash val="solid"/>
            </a:ln>
          </c:spPr>
          <c:dPt>
            <c:idx val="0"/>
            <c:bubble3D val="0"/>
            <c:spPr>
              <a:solidFill>
                <a:srgbClr val="C00000"/>
              </a:solidFill>
              <a:ln w="8321">
                <a:solidFill>
                  <a:srgbClr val="000000"/>
                </a:solidFill>
                <a:prstDash val="solid"/>
              </a:ln>
            </c:spPr>
            <c:extLst xmlns:c16r2="http://schemas.microsoft.com/office/drawing/2015/06/chart">
              <c:ext xmlns:c16="http://schemas.microsoft.com/office/drawing/2014/chart" uri="{C3380CC4-5D6E-409C-BE32-E72D297353CC}">
                <c16:uniqueId val="{00000001-C7A7-4BCC-80A9-FCFD7D30C2E3}"/>
              </c:ext>
            </c:extLst>
          </c:dPt>
          <c:dPt>
            <c:idx val="1"/>
            <c:bubble3D val="0"/>
            <c:spPr>
              <a:solidFill>
                <a:srgbClr val="FFC000"/>
              </a:solidFill>
              <a:ln w="8321">
                <a:solidFill>
                  <a:srgbClr val="000000"/>
                </a:solidFill>
                <a:prstDash val="solid"/>
              </a:ln>
            </c:spPr>
            <c:extLst xmlns:c16r2="http://schemas.microsoft.com/office/drawing/2015/06/chart">
              <c:ext xmlns:c16="http://schemas.microsoft.com/office/drawing/2014/chart" uri="{C3380CC4-5D6E-409C-BE32-E72D297353CC}">
                <c16:uniqueId val="{00000003-C7A7-4BCC-80A9-FCFD7D30C2E3}"/>
              </c:ext>
            </c:extLst>
          </c:dPt>
          <c:dLbls>
            <c:dLbl>
              <c:idx val="0"/>
              <c:layout>
                <c:manualLayout>
                  <c:x val="-0.2208808062693231"/>
                  <c:y val="-0.11548804430942196"/>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A7-4BCC-80A9-FCFD7D30C2E3}"/>
                </c:ext>
                <c:ext xmlns:c15="http://schemas.microsoft.com/office/drawing/2012/chart" uri="{CE6537A1-D6FC-4f65-9D91-7224C49458BB}"/>
              </c:extLst>
            </c:dLbl>
            <c:dLbl>
              <c:idx val="1"/>
              <c:layout>
                <c:manualLayout>
                  <c:x val="0.19727781358291069"/>
                  <c:y val="-0.2134383202099738"/>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A7-4BCC-80A9-FCFD7D30C2E3}"/>
                </c:ext>
                <c:ext xmlns:c15="http://schemas.microsoft.com/office/drawing/2012/chart" uri="{CE6537A1-D6FC-4f65-9D91-7224C49458BB}"/>
              </c:extLst>
            </c:dLbl>
            <c:dLbl>
              <c:idx val="2"/>
              <c:layout>
                <c:manualLayout>
                  <c:x val="2.1928970108682978E-2"/>
                  <c:y val="9.0416020832041658E-2"/>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A7-4BCC-80A9-FCFD7D30C2E3}"/>
                </c:ext>
                <c:ext xmlns:c15="http://schemas.microsoft.com/office/drawing/2012/chart" uri="{CE6537A1-D6FC-4f65-9D91-7224C49458BB}"/>
              </c:extLst>
            </c:dLbl>
            <c:dLbl>
              <c:idx val="3"/>
              <c:layout>
                <c:manualLayout>
                  <c:x val="3.4208130400812241E-2"/>
                  <c:y val="8.4521875710419275E-2"/>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A7-4BCC-80A9-FCFD7D30C2E3}"/>
                </c:ext>
                <c:ext xmlns:c15="http://schemas.microsoft.com/office/drawing/2012/chart" uri="{CE6537A1-D6FC-4f65-9D91-7224C49458BB}"/>
              </c:extLst>
            </c:dLbl>
            <c:dLbl>
              <c:idx val="4"/>
              <c:layout>
                <c:manualLayout>
                  <c:xMode val="edge"/>
                  <c:yMode val="edge"/>
                  <c:x val="0.38545454545454927"/>
                  <c:y val="2.0491803278688582E-2"/>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7A7-4BCC-80A9-FCFD7D30C2E3}"/>
                </c:ext>
                <c:ext xmlns:c15="http://schemas.microsoft.com/office/drawing/2012/chart" uri="{CE6537A1-D6FC-4f65-9D91-7224C49458BB}"/>
              </c:extLst>
            </c:dLbl>
            <c:dLbl>
              <c:idx val="5"/>
              <c:layout>
                <c:manualLayout>
                  <c:xMode val="edge"/>
                  <c:yMode val="edge"/>
                  <c:x val="0.41636363636363638"/>
                  <c:y val="0.10655737704918032"/>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7A7-4BCC-80A9-FCFD7D30C2E3}"/>
                </c:ext>
                <c:ext xmlns:c15="http://schemas.microsoft.com/office/drawing/2012/chart" uri="{CE6537A1-D6FC-4f65-9D91-7224C49458BB}"/>
              </c:extLst>
            </c:dLbl>
            <c:dLbl>
              <c:idx val="6"/>
              <c:layout>
                <c:manualLayout>
                  <c:xMode val="edge"/>
                  <c:yMode val="edge"/>
                  <c:x val="0.39090909090909476"/>
                  <c:y val="4.508196721311479E-2"/>
                </c:manualLayout>
              </c:layout>
              <c:spPr>
                <a:noFill/>
                <a:ln w="17803">
                  <a:noFill/>
                </a:ln>
              </c:spPr>
              <c:txPr>
                <a:bodyPr/>
                <a:lstStyle/>
                <a:p>
                  <a:pPr>
                    <a:defRPr sz="869"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7A7-4BCC-80A9-FCFD7D30C2E3}"/>
                </c:ext>
                <c:ext xmlns:c15="http://schemas.microsoft.com/office/drawing/2012/chart" uri="{CE6537A1-D6FC-4f65-9D91-7224C49458BB}"/>
              </c:extLst>
            </c:dLbl>
            <c:spPr>
              <a:noFill/>
              <a:ln w="17803">
                <a:noFill/>
              </a:ln>
            </c:spPr>
            <c:txPr>
              <a:bodyPr wrap="square" lIns="38100" tIns="19050" rIns="38100" bIns="19050" anchor="ctr">
                <a:spAutoFit/>
              </a:bodyPr>
              <a:lstStyle/>
              <a:p>
                <a:pPr>
                  <a:defRPr sz="869"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formulat optiuni si au participat la cel putin o actiune de formare in 2017</c:v>
                </c:pt>
                <c:pt idx="1">
                  <c:v>Nu au participat la actiuni de formare in 2017, desi au formulat optiuni</c:v>
                </c:pt>
              </c:strCache>
            </c:strRef>
          </c:cat>
          <c:val>
            <c:numRef>
              <c:f>Sheet1!$B$2:$C$2</c:f>
              <c:numCache>
                <c:formatCode>General</c:formatCode>
                <c:ptCount val="2"/>
                <c:pt idx="0">
                  <c:v>3051</c:v>
                </c:pt>
                <c:pt idx="1">
                  <c:v>3135</c:v>
                </c:pt>
              </c:numCache>
            </c:numRef>
          </c:val>
          <c:extLst xmlns:c16r2="http://schemas.microsoft.com/office/drawing/2015/06/chart">
            <c:ext xmlns:c16="http://schemas.microsoft.com/office/drawing/2014/chart" uri="{C3380CC4-5D6E-409C-BE32-E72D297353CC}">
              <c16:uniqueId val="{00000009-C7A7-4BCC-80A9-FCFD7D30C2E3}"/>
            </c:ext>
          </c:extLst>
        </c:ser>
        <c:ser>
          <c:idx val="1"/>
          <c:order val="1"/>
          <c:tx>
            <c:strRef>
              <c:f>Sheet1!$A$3</c:f>
              <c:strCache>
                <c:ptCount val="1"/>
              </c:strCache>
            </c:strRef>
          </c:tx>
          <c:spPr>
            <a:solidFill>
              <a:srgbClr val="993366"/>
            </a:solidFill>
            <a:ln w="8321">
              <a:solidFill>
                <a:srgbClr val="000000"/>
              </a:solidFill>
              <a:prstDash val="solid"/>
            </a:ln>
          </c:spPr>
          <c:dPt>
            <c:idx val="0"/>
            <c:bubble3D val="0"/>
            <c:spPr>
              <a:solidFill>
                <a:srgbClr val="9999FF"/>
              </a:solidFill>
              <a:ln w="8321">
                <a:solidFill>
                  <a:srgbClr val="000000"/>
                </a:solidFill>
                <a:prstDash val="solid"/>
              </a:ln>
            </c:spPr>
            <c:extLst xmlns:c16r2="http://schemas.microsoft.com/office/drawing/2015/06/chart">
              <c:ext xmlns:c16="http://schemas.microsoft.com/office/drawing/2014/chart" uri="{C3380CC4-5D6E-409C-BE32-E72D297353CC}">
                <c16:uniqueId val="{0000000B-C7A7-4BCC-80A9-FCFD7D30C2E3}"/>
              </c:ext>
            </c:extLst>
          </c:dPt>
          <c:dPt>
            <c:idx val="1"/>
            <c:bubble3D val="0"/>
            <c:extLst xmlns:c16r2="http://schemas.microsoft.com/office/drawing/2015/06/chart">
              <c:ext xmlns:c16="http://schemas.microsoft.com/office/drawing/2014/chart" uri="{C3380CC4-5D6E-409C-BE32-E72D297353CC}">
                <c16:uniqueId val="{0000000C-C7A7-4BCC-80A9-FCFD7D30C2E3}"/>
              </c:ext>
            </c:extLst>
          </c:dPt>
          <c:dLbls>
            <c:spPr>
              <a:noFill/>
              <a:ln w="17803">
                <a:noFill/>
              </a:ln>
            </c:spPr>
            <c:txPr>
              <a:bodyPr wrap="square" lIns="38100" tIns="19050" rIns="38100" bIns="19050" anchor="ctr">
                <a:spAutoFit/>
              </a:bodyPr>
              <a:lstStyle/>
              <a:p>
                <a:pPr>
                  <a:defRPr sz="70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formulat optiuni si au participat la cel putin o actiune de formare in 2017</c:v>
                </c:pt>
                <c:pt idx="1">
                  <c:v>Nu au participat la actiuni de formare in 2017, desi au formulat optiuni</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D-C7A7-4BCC-80A9-FCFD7D30C2E3}"/>
            </c:ext>
          </c:extLst>
        </c:ser>
        <c:dLbls>
          <c:showLegendKey val="0"/>
          <c:showVal val="0"/>
          <c:showCatName val="0"/>
          <c:showSerName val="0"/>
          <c:showPercent val="0"/>
          <c:showBubbleSize val="0"/>
          <c:showLeaderLines val="1"/>
        </c:dLbls>
      </c:pie3DChart>
      <c:spPr>
        <a:solidFill>
          <a:srgbClr val="C0C0C0"/>
        </a:solidFill>
        <a:ln w="8321">
          <a:solidFill>
            <a:srgbClr val="808080"/>
          </a:solidFill>
          <a:prstDash val="solid"/>
        </a:ln>
      </c:spPr>
    </c:plotArea>
    <c:legend>
      <c:legendPos val="r"/>
      <c:layout>
        <c:manualLayout>
          <c:xMode val="edge"/>
          <c:yMode val="edge"/>
          <c:x val="0.82993779043951166"/>
          <c:y val="6.3852791782322171E-2"/>
          <c:w val="0.1679756613337906"/>
          <c:h val="0.86675088275836021"/>
        </c:manualLayout>
      </c:layout>
      <c:overlay val="0"/>
      <c:spPr>
        <a:noFill/>
        <a:ln w="2080">
          <a:solidFill>
            <a:srgbClr val="000000"/>
          </a:solidFill>
          <a:prstDash val="solid"/>
        </a:ln>
      </c:spPr>
      <c:txPr>
        <a:bodyPr/>
        <a:lstStyle/>
        <a:p>
          <a:pPr>
            <a:defRPr sz="701"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704" b="1" i="0" u="none" strike="noStrike" baseline="0">
          <a:solidFill>
            <a:srgbClr val="000000"/>
          </a:solidFill>
          <a:latin typeface="Arial"/>
          <a:ea typeface="Arial"/>
          <a:cs typeface="Arial"/>
        </a:defRPr>
      </a:pPr>
      <a:endParaRPr lang="ro-RO"/>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7061896983156825E-3"/>
          <c:y val="4.0358883026334162E-2"/>
          <c:w val="0.78507477867714093"/>
          <c:h val="0.83919773973638301"/>
        </c:manualLayout>
      </c:layout>
      <c:pie3DChart>
        <c:varyColors val="1"/>
        <c:ser>
          <c:idx val="0"/>
          <c:order val="0"/>
          <c:tx>
            <c:strRef>
              <c:f>Sheet1!$A$2</c:f>
              <c:strCache>
                <c:ptCount val="1"/>
                <c:pt idx="0">
                  <c:v>Est</c:v>
                </c:pt>
              </c:strCache>
            </c:strRef>
          </c:tx>
          <c:spPr>
            <a:solidFill>
              <a:srgbClr val="9999FF"/>
            </a:solidFill>
            <a:ln w="10096">
              <a:solidFill>
                <a:srgbClr val="000000"/>
              </a:solidFill>
              <a:prstDash val="solid"/>
            </a:ln>
          </c:spPr>
          <c:dPt>
            <c:idx val="0"/>
            <c:bubble3D val="0"/>
            <c:spPr>
              <a:solidFill>
                <a:srgbClr val="1F497D"/>
              </a:solidFill>
              <a:ln w="10096">
                <a:solidFill>
                  <a:srgbClr val="000000"/>
                </a:solidFill>
                <a:prstDash val="solid"/>
              </a:ln>
            </c:spPr>
            <c:extLst xmlns:c16r2="http://schemas.microsoft.com/office/drawing/2015/06/chart">
              <c:ext xmlns:c16="http://schemas.microsoft.com/office/drawing/2014/chart" uri="{C3380CC4-5D6E-409C-BE32-E72D297353CC}">
                <c16:uniqueId val="{00000001-B5D3-49D0-BBBF-A00A89991B5A}"/>
              </c:ext>
            </c:extLst>
          </c:dPt>
          <c:dPt>
            <c:idx val="1"/>
            <c:bubble3D val="0"/>
            <c:spPr>
              <a:solidFill>
                <a:srgbClr val="FFC000"/>
              </a:solidFill>
              <a:ln w="10096">
                <a:solidFill>
                  <a:srgbClr val="000000"/>
                </a:solidFill>
                <a:prstDash val="solid"/>
              </a:ln>
            </c:spPr>
            <c:extLst xmlns:c16r2="http://schemas.microsoft.com/office/drawing/2015/06/chart">
              <c:ext xmlns:c16="http://schemas.microsoft.com/office/drawing/2014/chart" uri="{C3380CC4-5D6E-409C-BE32-E72D297353CC}">
                <c16:uniqueId val="{00000003-B5D3-49D0-BBBF-A00A89991B5A}"/>
              </c:ext>
            </c:extLst>
          </c:dPt>
          <c:dLbls>
            <c:dLbl>
              <c:idx val="0"/>
              <c:layout>
                <c:manualLayout>
                  <c:x val="3.6693907676304913E-2"/>
                  <c:y val="-0.55174677551809093"/>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D3-49D0-BBBF-A00A89991B5A}"/>
                </c:ext>
                <c:ext xmlns:c15="http://schemas.microsoft.com/office/drawing/2012/chart" uri="{CE6537A1-D6FC-4f65-9D91-7224C49458BB}"/>
              </c:extLst>
            </c:dLbl>
            <c:dLbl>
              <c:idx val="1"/>
              <c:layout>
                <c:manualLayout>
                  <c:x val="6.9588096048460238E-2"/>
                  <c:y val="0.11105453842809525"/>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5D3-49D0-BBBF-A00A89991B5A}"/>
                </c:ext>
                <c:ext xmlns:c15="http://schemas.microsoft.com/office/drawing/2012/chart" uri="{CE6537A1-D6FC-4f65-9D91-7224C49458BB}"/>
              </c:extLst>
            </c:dLbl>
            <c:dLbl>
              <c:idx val="2"/>
              <c:layout>
                <c:manualLayout>
                  <c:x val="2.1928970108682978E-2"/>
                  <c:y val="9.0416020832041658E-2"/>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5D3-49D0-BBBF-A00A89991B5A}"/>
                </c:ext>
                <c:ext xmlns:c15="http://schemas.microsoft.com/office/drawing/2012/chart" uri="{CE6537A1-D6FC-4f65-9D91-7224C49458BB}"/>
              </c:extLst>
            </c:dLbl>
            <c:dLbl>
              <c:idx val="3"/>
              <c:layout>
                <c:manualLayout>
                  <c:x val="3.4208130400812241E-2"/>
                  <c:y val="8.4521875710419192E-2"/>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5D3-49D0-BBBF-A00A89991B5A}"/>
                </c:ext>
                <c:ext xmlns:c15="http://schemas.microsoft.com/office/drawing/2012/chart" uri="{CE6537A1-D6FC-4f65-9D91-7224C49458BB}"/>
              </c:extLst>
            </c:dLbl>
            <c:dLbl>
              <c:idx val="4"/>
              <c:layout>
                <c:manualLayout>
                  <c:xMode val="edge"/>
                  <c:yMode val="edge"/>
                  <c:x val="0.38545454545454905"/>
                  <c:y val="2.0491803278688582E-2"/>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5D3-49D0-BBBF-A00A89991B5A}"/>
                </c:ext>
                <c:ext xmlns:c15="http://schemas.microsoft.com/office/drawing/2012/chart" uri="{CE6537A1-D6FC-4f65-9D91-7224C49458BB}"/>
              </c:extLst>
            </c:dLbl>
            <c:dLbl>
              <c:idx val="5"/>
              <c:layout>
                <c:manualLayout>
                  <c:xMode val="edge"/>
                  <c:yMode val="edge"/>
                  <c:x val="0.41636363636363638"/>
                  <c:y val="0.10655737704918032"/>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5D3-49D0-BBBF-A00A89991B5A}"/>
                </c:ext>
                <c:ext xmlns:c15="http://schemas.microsoft.com/office/drawing/2012/chart" uri="{CE6537A1-D6FC-4f65-9D91-7224C49458BB}"/>
              </c:extLst>
            </c:dLbl>
            <c:dLbl>
              <c:idx val="6"/>
              <c:layout>
                <c:manualLayout>
                  <c:xMode val="edge"/>
                  <c:yMode val="edge"/>
                  <c:x val="0.39090909090909454"/>
                  <c:y val="4.508196721311479E-2"/>
                </c:manualLayout>
              </c:layout>
              <c:spPr>
                <a:noFill/>
                <a:ln w="21616">
                  <a:noFill/>
                </a:ln>
              </c:spPr>
              <c:txPr>
                <a:bodyPr/>
                <a:lstStyle/>
                <a:p>
                  <a:pPr>
                    <a:defRPr sz="855" b="1" i="0" u="none" strike="noStrike" baseline="0">
                      <a:solidFill>
                        <a:srgbClr val="000000"/>
                      </a:solidFill>
                      <a:latin typeface="Arial"/>
                      <a:ea typeface="Arial"/>
                      <a:cs typeface="Arial"/>
                    </a:defRPr>
                  </a:pPr>
                  <a:endParaRPr lang="ro-RO"/>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5D3-49D0-BBBF-A00A89991B5A}"/>
                </c:ext>
                <c:ext xmlns:c15="http://schemas.microsoft.com/office/drawing/2012/chart" uri="{CE6537A1-D6FC-4f65-9D91-7224C49458BB}"/>
              </c:extLst>
            </c:dLbl>
            <c:spPr>
              <a:noFill/>
              <a:ln w="21616">
                <a:noFill/>
              </a:ln>
            </c:spPr>
            <c:txPr>
              <a:bodyPr wrap="square" lIns="38100" tIns="19050" rIns="38100" bIns="19050" anchor="ctr">
                <a:spAutoFit/>
              </a:bodyPr>
              <a:lstStyle/>
              <a:p>
                <a:pPr>
                  <a:defRPr sz="85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Sheet1!$B$2:$C$2</c:f>
              <c:numCache>
                <c:formatCode>General</c:formatCode>
                <c:ptCount val="2"/>
                <c:pt idx="0">
                  <c:v>6319</c:v>
                </c:pt>
                <c:pt idx="1">
                  <c:v>810</c:v>
                </c:pt>
              </c:numCache>
            </c:numRef>
          </c:val>
          <c:extLst xmlns:c16r2="http://schemas.microsoft.com/office/drawing/2015/06/chart">
            <c:ext xmlns:c16="http://schemas.microsoft.com/office/drawing/2014/chart" uri="{C3380CC4-5D6E-409C-BE32-E72D297353CC}">
              <c16:uniqueId val="{00000009-B5D3-49D0-BBBF-A00A89991B5A}"/>
            </c:ext>
          </c:extLst>
        </c:ser>
        <c:ser>
          <c:idx val="1"/>
          <c:order val="1"/>
          <c:tx>
            <c:strRef>
              <c:f>Sheet1!$A$3</c:f>
              <c:strCache>
                <c:ptCount val="1"/>
              </c:strCache>
            </c:strRef>
          </c:tx>
          <c:spPr>
            <a:solidFill>
              <a:srgbClr val="993366"/>
            </a:solidFill>
            <a:ln w="10096">
              <a:solidFill>
                <a:srgbClr val="000000"/>
              </a:solidFill>
              <a:prstDash val="solid"/>
            </a:ln>
          </c:spPr>
          <c:dPt>
            <c:idx val="0"/>
            <c:bubble3D val="0"/>
            <c:spPr>
              <a:solidFill>
                <a:srgbClr val="9999FF"/>
              </a:solidFill>
              <a:ln w="10096">
                <a:solidFill>
                  <a:srgbClr val="000000"/>
                </a:solidFill>
                <a:prstDash val="solid"/>
              </a:ln>
            </c:spPr>
            <c:extLst xmlns:c16r2="http://schemas.microsoft.com/office/drawing/2015/06/chart">
              <c:ext xmlns:c16="http://schemas.microsoft.com/office/drawing/2014/chart" uri="{C3380CC4-5D6E-409C-BE32-E72D297353CC}">
                <c16:uniqueId val="{0000000B-B5D3-49D0-BBBF-A00A89991B5A}"/>
              </c:ext>
            </c:extLst>
          </c:dPt>
          <c:dPt>
            <c:idx val="1"/>
            <c:bubble3D val="0"/>
            <c:extLst xmlns:c16r2="http://schemas.microsoft.com/office/drawing/2015/06/chart">
              <c:ext xmlns:c16="http://schemas.microsoft.com/office/drawing/2014/chart" uri="{C3380CC4-5D6E-409C-BE32-E72D297353CC}">
                <c16:uniqueId val="{0000000C-B5D3-49D0-BBBF-A00A89991B5A}"/>
              </c:ext>
            </c:extLst>
          </c:dPt>
          <c:dLbls>
            <c:spPr>
              <a:noFill/>
              <a:ln w="21616">
                <a:noFill/>
              </a:ln>
            </c:spPr>
            <c:txPr>
              <a:bodyPr wrap="square" lIns="38100" tIns="19050" rIns="38100" bIns="19050" anchor="ctr">
                <a:spAutoFit/>
              </a:bodyPr>
              <a:lstStyle/>
              <a:p>
                <a:pPr>
                  <a:defRPr sz="85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D-B5D3-49D0-BBBF-A00A89991B5A}"/>
            </c:ext>
          </c:extLst>
        </c:ser>
        <c:dLbls>
          <c:showLegendKey val="0"/>
          <c:showVal val="0"/>
          <c:showCatName val="0"/>
          <c:showSerName val="0"/>
          <c:showPercent val="0"/>
          <c:showBubbleSize val="0"/>
          <c:showLeaderLines val="1"/>
        </c:dLbls>
      </c:pie3DChart>
      <c:spPr>
        <a:solidFill>
          <a:srgbClr val="C0C0C0"/>
        </a:solidFill>
        <a:ln w="10096">
          <a:solidFill>
            <a:srgbClr val="808080"/>
          </a:solidFill>
          <a:prstDash val="solid"/>
        </a:ln>
      </c:spPr>
    </c:plotArea>
    <c:legend>
      <c:legendPos val="r"/>
      <c:layout>
        <c:manualLayout>
          <c:xMode val="edge"/>
          <c:yMode val="edge"/>
          <c:x val="0.79709523465530108"/>
          <c:y val="3.688555440003962E-2"/>
          <c:w val="0.19563196802234584"/>
          <c:h val="0.84728717872530079"/>
        </c:manualLayout>
      </c:layout>
      <c:overlay val="0"/>
      <c:spPr>
        <a:noFill/>
        <a:ln w="2524">
          <a:solidFill>
            <a:srgbClr val="000000"/>
          </a:solidFill>
          <a:prstDash val="solid"/>
        </a:ln>
      </c:spPr>
      <c:txPr>
        <a:bodyPr/>
        <a:lstStyle/>
        <a:p>
          <a:pPr>
            <a:defRPr sz="783" b="1" i="0" u="none" strike="noStrike" baseline="0">
              <a:solidFill>
                <a:srgbClr val="000000"/>
              </a:solidFill>
              <a:latin typeface="Arial"/>
              <a:ea typeface="Arial"/>
              <a:cs typeface="Arial"/>
            </a:defRPr>
          </a:pPr>
          <a:endParaRPr lang="ro-RO"/>
        </a:p>
      </c:txPr>
    </c:legend>
    <c:plotVisOnly val="1"/>
    <c:dispBlanksAs val="zero"/>
    <c:showDLblsOverMax val="0"/>
  </c:chart>
  <c:spPr>
    <a:noFill/>
    <a:ln>
      <a:noFill/>
    </a:ln>
  </c:spPr>
  <c:txPr>
    <a:bodyPr/>
    <a:lstStyle/>
    <a:p>
      <a:pPr>
        <a:defRPr sz="855" b="1" i="0" u="none" strike="noStrike" baseline="0">
          <a:solidFill>
            <a:srgbClr val="000000"/>
          </a:solidFill>
          <a:latin typeface="Arial"/>
          <a:ea typeface="Arial"/>
          <a:cs typeface="Arial"/>
        </a:defRPr>
      </a:pPr>
      <a:endParaRPr lang="ro-RO"/>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Dinamica bugetului curtilor de apel 2015-2017 (euro)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'tabele instante 2017'!$AK$25</c:f>
              <c:strCache>
                <c:ptCount val="1"/>
                <c:pt idx="0">
                  <c:v>Buget curti de apel</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'tabele instante 2017'!$AJ$26:$AJ$28</c:f>
              <c:numCache>
                <c:formatCode>General</c:formatCode>
                <c:ptCount val="3"/>
                <c:pt idx="0">
                  <c:v>2015</c:v>
                </c:pt>
                <c:pt idx="1">
                  <c:v>2016</c:v>
                </c:pt>
                <c:pt idx="2">
                  <c:v>2017</c:v>
                </c:pt>
              </c:numCache>
            </c:numRef>
          </c:cat>
          <c:val>
            <c:numRef>
              <c:f>'tabele instante 2017'!$AK$26:$AK$28</c:f>
              <c:numCache>
                <c:formatCode>_-* #,##0\ _l_e_i_-;\-* #,##0\ _l_e_i_-;_-* "-"??\ _l_e_i_-;_-@_-</c:formatCode>
                <c:ptCount val="3"/>
                <c:pt idx="0">
                  <c:v>462681756.75675672</c:v>
                </c:pt>
                <c:pt idx="1">
                  <c:v>388287111.1111111</c:v>
                </c:pt>
                <c:pt idx="2">
                  <c:v>533528222.22222227</c:v>
                </c:pt>
              </c:numCache>
            </c:numRef>
          </c:val>
          <c:extLst xmlns:c16r2="http://schemas.microsoft.com/office/drawing/2015/06/chart">
            <c:ext xmlns:c16="http://schemas.microsoft.com/office/drawing/2014/chart" uri="{C3380CC4-5D6E-409C-BE32-E72D297353CC}">
              <c16:uniqueId val="{00000000-43CC-48FC-A437-5FAC8A93D4ED}"/>
            </c:ext>
          </c:extLst>
        </c:ser>
        <c:dLbls>
          <c:showLegendKey val="0"/>
          <c:showVal val="0"/>
          <c:showCatName val="0"/>
          <c:showSerName val="0"/>
          <c:showPercent val="0"/>
          <c:showBubbleSize val="0"/>
        </c:dLbls>
        <c:gapWidth val="219"/>
        <c:overlap val="-27"/>
        <c:axId val="343000264"/>
        <c:axId val="343005360"/>
      </c:barChart>
      <c:catAx>
        <c:axId val="343000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5360"/>
        <c:crosses val="autoZero"/>
        <c:auto val="1"/>
        <c:lblAlgn val="ctr"/>
        <c:lblOffset val="100"/>
        <c:noMultiLvlLbl val="0"/>
      </c:catAx>
      <c:valAx>
        <c:axId val="343005360"/>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0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3175" cap="flat" cmpd="sng" algn="ctr">
      <a:solidFill>
        <a:sysClr val="windowText" lastClr="000000"/>
      </a:solidFill>
      <a:round/>
    </a:ln>
    <a:effectLst/>
  </c:spPr>
  <c:txPr>
    <a:bodyPr/>
    <a:lstStyle/>
    <a:p>
      <a:pPr>
        <a:defRPr/>
      </a:pPr>
      <a:endParaRPr lang="ro-RO"/>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baseline="0">
                <a:effectLst/>
              </a:rPr>
              <a:t>Dinamica cheltuielilor de personal 2015-2017 (euro)</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'tabele instante 2017'!$AK$48</c:f>
              <c:strCache>
                <c:ptCount val="1"/>
                <c:pt idx="0">
                  <c:v>Cheltuieli de personal</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'tabele instante 2017'!$AJ$49:$AJ$51</c:f>
              <c:numCache>
                <c:formatCode>General</c:formatCode>
                <c:ptCount val="3"/>
                <c:pt idx="0">
                  <c:v>2015</c:v>
                </c:pt>
                <c:pt idx="1">
                  <c:v>2016</c:v>
                </c:pt>
                <c:pt idx="2">
                  <c:v>2017</c:v>
                </c:pt>
              </c:numCache>
            </c:numRef>
          </c:cat>
          <c:val>
            <c:numRef>
              <c:f>'tabele instante 2017'!$AK$49:$AK$51</c:f>
              <c:numCache>
                <c:formatCode>_-* #,##0\ _l_e_i_-;\-* #,##0\ _l_e_i_-;_-* "-"??\ _l_e_i_-;_-@_-</c:formatCode>
                <c:ptCount val="3"/>
                <c:pt idx="0">
                  <c:v>401506306.30630624</c:v>
                </c:pt>
                <c:pt idx="1">
                  <c:v>320029555.55555558</c:v>
                </c:pt>
                <c:pt idx="2">
                  <c:v>473061555.55555558</c:v>
                </c:pt>
              </c:numCache>
            </c:numRef>
          </c:val>
          <c:extLst xmlns:c16r2="http://schemas.microsoft.com/office/drawing/2015/06/chart">
            <c:ext xmlns:c16="http://schemas.microsoft.com/office/drawing/2014/chart" uri="{C3380CC4-5D6E-409C-BE32-E72D297353CC}">
              <c16:uniqueId val="{00000000-7565-44B3-A5AE-B7AFA6222F65}"/>
            </c:ext>
          </c:extLst>
        </c:ser>
        <c:dLbls>
          <c:showLegendKey val="0"/>
          <c:showVal val="0"/>
          <c:showCatName val="0"/>
          <c:showSerName val="0"/>
          <c:showPercent val="0"/>
          <c:showBubbleSize val="0"/>
        </c:dLbls>
        <c:gapWidth val="219"/>
        <c:overlap val="-27"/>
        <c:axId val="343003008"/>
        <c:axId val="343003400"/>
      </c:barChart>
      <c:catAx>
        <c:axId val="34300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3400"/>
        <c:crosses val="autoZero"/>
        <c:auto val="1"/>
        <c:lblAlgn val="ctr"/>
        <c:lblOffset val="100"/>
        <c:noMultiLvlLbl val="0"/>
      </c:catAx>
      <c:valAx>
        <c:axId val="343003400"/>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3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RO"/>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Dinamica cheltuielilor cu bunuri si servicii 2015-2017 (euro)</a:t>
            </a:r>
            <a:endParaRPr lang="en-US" sz="12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'tabele instante 2017'!$AK$66</c:f>
              <c:strCache>
                <c:ptCount val="1"/>
                <c:pt idx="0">
                  <c:v>Bunuri si servicii</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'tabele instante 2017'!$AJ$67:$AJ$69</c:f>
              <c:numCache>
                <c:formatCode>General</c:formatCode>
                <c:ptCount val="3"/>
                <c:pt idx="0">
                  <c:v>2015</c:v>
                </c:pt>
                <c:pt idx="1">
                  <c:v>2016</c:v>
                </c:pt>
                <c:pt idx="2">
                  <c:v>2017</c:v>
                </c:pt>
              </c:numCache>
            </c:numRef>
          </c:cat>
          <c:val>
            <c:numRef>
              <c:f>'tabele instante 2017'!$AK$67:$AK$69</c:f>
              <c:numCache>
                <c:formatCode>_-* #,##0\ _l_e_i_-;\-* #,##0\ _l_e_i_-;_-* "-"??\ _l_e_i_-;_-@_-</c:formatCode>
                <c:ptCount val="3"/>
                <c:pt idx="0">
                  <c:v>38865090.090090089</c:v>
                </c:pt>
                <c:pt idx="1">
                  <c:v>40222444.444444448</c:v>
                </c:pt>
                <c:pt idx="2">
                  <c:v>38608000</c:v>
                </c:pt>
              </c:numCache>
            </c:numRef>
          </c:val>
          <c:extLst xmlns:c16r2="http://schemas.microsoft.com/office/drawing/2015/06/chart">
            <c:ext xmlns:c16="http://schemas.microsoft.com/office/drawing/2014/chart" uri="{C3380CC4-5D6E-409C-BE32-E72D297353CC}">
              <c16:uniqueId val="{00000000-1B19-431D-ACA1-E42EAE836488}"/>
            </c:ext>
          </c:extLst>
        </c:ser>
        <c:dLbls>
          <c:showLegendKey val="0"/>
          <c:showVal val="0"/>
          <c:showCatName val="0"/>
          <c:showSerName val="0"/>
          <c:showPercent val="0"/>
          <c:showBubbleSize val="0"/>
        </c:dLbls>
        <c:gapWidth val="219"/>
        <c:overlap val="-27"/>
        <c:axId val="343004576"/>
        <c:axId val="343001048"/>
      </c:barChart>
      <c:catAx>
        <c:axId val="34300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1048"/>
        <c:crosses val="autoZero"/>
        <c:auto val="1"/>
        <c:lblAlgn val="ctr"/>
        <c:lblOffset val="100"/>
        <c:noMultiLvlLbl val="0"/>
      </c:catAx>
      <c:valAx>
        <c:axId val="343001048"/>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43004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RO"/>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baseline="0">
                <a:effectLst/>
              </a:rPr>
              <a:t>Dinamica cheltuielilor de investitii 2015-2017 (euro)</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clustered"/>
        <c:varyColors val="0"/>
        <c:ser>
          <c:idx val="0"/>
          <c:order val="0"/>
          <c:tx>
            <c:strRef>
              <c:f>'tabele instante 2017'!$AK$85</c:f>
              <c:strCache>
                <c:ptCount val="1"/>
                <c:pt idx="0">
                  <c:v>Cheltuieli de investitii</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'tabele instante 2017'!$AJ$86:$AJ$88</c:f>
              <c:numCache>
                <c:formatCode>General</c:formatCode>
                <c:ptCount val="3"/>
                <c:pt idx="0">
                  <c:v>2015</c:v>
                </c:pt>
                <c:pt idx="1">
                  <c:v>2016</c:v>
                </c:pt>
                <c:pt idx="2">
                  <c:v>2017</c:v>
                </c:pt>
              </c:numCache>
            </c:numRef>
          </c:cat>
          <c:val>
            <c:numRef>
              <c:f>'tabele instante 2017'!$AK$86:$AK$88</c:f>
              <c:numCache>
                <c:formatCode>_-* #,##0\ _l_e_i_-;\-* #,##0\ _l_e_i_-;_-* "-"??\ _l_e_i_-;_-@_-</c:formatCode>
                <c:ptCount val="3"/>
                <c:pt idx="0">
                  <c:v>7945495.4954954945</c:v>
                </c:pt>
                <c:pt idx="1">
                  <c:v>5847333.333333333</c:v>
                </c:pt>
                <c:pt idx="2">
                  <c:v>5161555.555555556</c:v>
                </c:pt>
              </c:numCache>
            </c:numRef>
          </c:val>
          <c:extLst xmlns:c16r2="http://schemas.microsoft.com/office/drawing/2015/06/chart">
            <c:ext xmlns:c16="http://schemas.microsoft.com/office/drawing/2014/chart" uri="{C3380CC4-5D6E-409C-BE32-E72D297353CC}">
              <c16:uniqueId val="{00000000-A688-47A3-BD49-AD5B76E7ED60}"/>
            </c:ext>
          </c:extLst>
        </c:ser>
        <c:dLbls>
          <c:showLegendKey val="0"/>
          <c:showVal val="0"/>
          <c:showCatName val="0"/>
          <c:showSerName val="0"/>
          <c:showPercent val="0"/>
          <c:showBubbleSize val="0"/>
        </c:dLbls>
        <c:gapWidth val="219"/>
        <c:overlap val="-27"/>
        <c:axId val="339736760"/>
        <c:axId val="339742640"/>
      </c:barChart>
      <c:catAx>
        <c:axId val="33973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39742640"/>
        <c:crosses val="autoZero"/>
        <c:auto val="1"/>
        <c:lblAlgn val="ctr"/>
        <c:lblOffset val="100"/>
        <c:noMultiLvlLbl val="0"/>
      </c:catAx>
      <c:valAx>
        <c:axId val="339742640"/>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39736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RO"/>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25" b="1" i="0" u="none" strike="noStrike" baseline="0">
                <a:solidFill>
                  <a:srgbClr val="000000"/>
                </a:solidFill>
                <a:latin typeface="+mn-lt"/>
                <a:ea typeface="Arial"/>
                <a:cs typeface="Arial"/>
              </a:defRPr>
            </a:pPr>
            <a:r>
              <a:rPr lang="en-US">
                <a:latin typeface="+mn-lt"/>
              </a:rPr>
              <a:t>Dinamica bugetului parchetelor 2015-2017 (euro)</a:t>
            </a:r>
          </a:p>
        </c:rich>
      </c:tx>
      <c:layout>
        <c:manualLayout>
          <c:xMode val="edge"/>
          <c:yMode val="edge"/>
          <c:x val="0.19069791857413171"/>
          <c:y val="3.9647577092511016E-2"/>
        </c:manualLayout>
      </c:layout>
      <c:overlay val="0"/>
      <c:spPr>
        <a:noFill/>
        <a:ln w="25400">
          <a:noFill/>
        </a:ln>
      </c:spPr>
    </c:title>
    <c:autoTitleDeleted val="0"/>
    <c:plotArea>
      <c:layout>
        <c:manualLayout>
          <c:layoutTarget val="inner"/>
          <c:xMode val="edge"/>
          <c:yMode val="edge"/>
          <c:x val="0.24651190783056395"/>
          <c:y val="0.24229074889867841"/>
          <c:w val="0.41627954246859383"/>
          <c:h val="0.5770925110132159"/>
        </c:manualLayout>
      </c:layout>
      <c:lineChart>
        <c:grouping val="standard"/>
        <c:varyColors val="0"/>
        <c:ser>
          <c:idx val="0"/>
          <c:order val="0"/>
          <c:tx>
            <c:strRef>
              <c:f>'tabele instante 2017'!$R$28</c:f>
              <c:strCache>
                <c:ptCount val="1"/>
                <c:pt idx="0">
                  <c:v>Buget alocat parchetelor (euro)</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2017'!$Q$29:$Q$31</c:f>
              <c:numCache>
                <c:formatCode>General</c:formatCode>
                <c:ptCount val="3"/>
                <c:pt idx="0">
                  <c:v>2015</c:v>
                </c:pt>
                <c:pt idx="1">
                  <c:v>2016</c:v>
                </c:pt>
                <c:pt idx="2">
                  <c:v>2017</c:v>
                </c:pt>
              </c:numCache>
            </c:numRef>
          </c:cat>
          <c:val>
            <c:numRef>
              <c:f>'tabele instante 2017'!$R$29:$R$31</c:f>
              <c:numCache>
                <c:formatCode>_-* #,##0\ _l_e_i_-;\-* #,##0\ _l_e_i_-;_-* "-"??\ _l_e_i_-;_-@_-</c:formatCode>
                <c:ptCount val="3"/>
                <c:pt idx="0">
                  <c:v>232497297.29729727</c:v>
                </c:pt>
                <c:pt idx="1">
                  <c:v>196539111.1111111</c:v>
                </c:pt>
                <c:pt idx="2">
                  <c:v>272840222.22222221</c:v>
                </c:pt>
              </c:numCache>
            </c:numRef>
          </c:val>
          <c:smooth val="0"/>
          <c:extLst xmlns:c16r2="http://schemas.microsoft.com/office/drawing/2015/06/chart">
            <c:ext xmlns:c16="http://schemas.microsoft.com/office/drawing/2014/chart" uri="{C3380CC4-5D6E-409C-BE32-E72D297353CC}">
              <c16:uniqueId val="{00000000-893E-45E0-B7CC-0C76E0EC8972}"/>
            </c:ext>
          </c:extLst>
        </c:ser>
        <c:dLbls>
          <c:showLegendKey val="0"/>
          <c:showVal val="0"/>
          <c:showCatName val="0"/>
          <c:showSerName val="0"/>
          <c:showPercent val="0"/>
          <c:showBubbleSize val="0"/>
        </c:dLbls>
        <c:marker val="1"/>
        <c:smooth val="0"/>
        <c:axId val="431317776"/>
        <c:axId val="431318560"/>
      </c:lineChart>
      <c:catAx>
        <c:axId val="431317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31318560"/>
        <c:crosses val="autoZero"/>
        <c:auto val="1"/>
        <c:lblAlgn val="ctr"/>
        <c:lblOffset val="100"/>
        <c:tickLblSkip val="1"/>
        <c:tickMarkSkip val="1"/>
        <c:noMultiLvlLbl val="0"/>
      </c:catAx>
      <c:valAx>
        <c:axId val="431318560"/>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31317776"/>
        <c:crosses val="autoZero"/>
        <c:crossBetween val="between"/>
      </c:valAx>
      <c:spPr>
        <a:solidFill>
          <a:srgbClr val="C0C0C0"/>
        </a:solidFill>
        <a:ln w="12700">
          <a:solidFill>
            <a:srgbClr val="808080"/>
          </a:solidFill>
          <a:prstDash val="solid"/>
        </a:ln>
      </c:spPr>
    </c:plotArea>
    <c:legend>
      <c:legendPos val="r"/>
      <c:layout>
        <c:manualLayout>
          <c:xMode val="edge"/>
          <c:yMode val="edge"/>
          <c:x val="0.68837282548983703"/>
          <c:y val="0.45814977973568283"/>
          <c:w val="0.29302349996948063"/>
          <c:h val="0.14977973568281944"/>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ro-R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5" b="1" i="0" u="none" strike="noStrike" baseline="0">
                <a:solidFill>
                  <a:srgbClr val="000000"/>
                </a:solidFill>
                <a:latin typeface="+mn-lt"/>
                <a:ea typeface="Garamond"/>
                <a:cs typeface="Garamond"/>
              </a:defRPr>
            </a:pPr>
            <a:r>
              <a:rPr lang="en-US">
                <a:latin typeface="+mn-lt"/>
              </a:rPr>
              <a:t>Volumul de activitate la nivelul parchetelor în 2017 - lucrări de soluţionat</a:t>
            </a:r>
          </a:p>
        </c:rich>
      </c:tx>
      <c:layout>
        <c:manualLayout>
          <c:xMode val="edge"/>
          <c:yMode val="edge"/>
          <c:x val="8.3226632522407168E-2"/>
          <c:y val="3.3898305084745762E-3"/>
        </c:manualLayout>
      </c:layout>
      <c:overlay val="0"/>
      <c:spPr>
        <a:noFill/>
        <a:ln w="25304">
          <a:noFill/>
        </a:ln>
      </c:spPr>
    </c:title>
    <c:autoTitleDeleted val="0"/>
    <c:plotArea>
      <c:layout>
        <c:manualLayout>
          <c:layoutTarget val="inner"/>
          <c:xMode val="edge"/>
          <c:yMode val="edge"/>
          <c:x val="0.31498079385403327"/>
          <c:y val="0.25084745762711869"/>
          <c:w val="0.27656850192061455"/>
          <c:h val="0.73220338983050848"/>
        </c:manualLayout>
      </c:layout>
      <c:pieChart>
        <c:varyColors val="1"/>
        <c:ser>
          <c:idx val="0"/>
          <c:order val="0"/>
          <c:tx>
            <c:strRef>
              <c:f>Sheet1!$A$2</c:f>
              <c:strCache>
                <c:ptCount val="1"/>
                <c:pt idx="0">
                  <c:v>Volum de activitate</c:v>
                </c:pt>
              </c:strCache>
            </c:strRef>
          </c:tx>
          <c:spPr>
            <a:solidFill>
              <a:srgbClr val="9999FF"/>
            </a:solidFill>
            <a:ln w="12652">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F481-4E19-87FB-635B52ED152D}"/>
              </c:ext>
            </c:extLst>
          </c:dPt>
          <c:dPt>
            <c:idx val="1"/>
            <c:bubble3D val="0"/>
            <c:spPr>
              <a:solidFill>
                <a:srgbClr val="993366"/>
              </a:solidFill>
              <a:ln w="12652">
                <a:solidFill>
                  <a:srgbClr val="000000"/>
                </a:solidFill>
                <a:prstDash val="solid"/>
              </a:ln>
            </c:spPr>
            <c:extLst xmlns:c16r2="http://schemas.microsoft.com/office/drawing/2015/06/chart">
              <c:ext xmlns:c16="http://schemas.microsoft.com/office/drawing/2014/chart" uri="{C3380CC4-5D6E-409C-BE32-E72D297353CC}">
                <c16:uniqueId val="{00000002-F481-4E19-87FB-635B52ED152D}"/>
              </c:ext>
            </c:extLst>
          </c:dPt>
          <c:dPt>
            <c:idx val="2"/>
            <c:bubble3D val="0"/>
            <c:spPr>
              <a:solidFill>
                <a:srgbClr val="FFFFCC"/>
              </a:solidFill>
              <a:ln w="12652">
                <a:solidFill>
                  <a:srgbClr val="000000"/>
                </a:solidFill>
                <a:prstDash val="solid"/>
              </a:ln>
            </c:spPr>
            <c:extLst xmlns:c16r2="http://schemas.microsoft.com/office/drawing/2015/06/chart">
              <c:ext xmlns:c16="http://schemas.microsoft.com/office/drawing/2014/chart" uri="{C3380CC4-5D6E-409C-BE32-E72D297353CC}">
                <c16:uniqueId val="{00000004-F481-4E19-87FB-635B52ED152D}"/>
              </c:ext>
            </c:extLst>
          </c:dPt>
          <c:dPt>
            <c:idx val="3"/>
            <c:bubble3D val="0"/>
            <c:spPr>
              <a:solidFill>
                <a:srgbClr val="CCFFFF"/>
              </a:solidFill>
              <a:ln w="12652">
                <a:solidFill>
                  <a:srgbClr val="000000"/>
                </a:solidFill>
                <a:prstDash val="solid"/>
              </a:ln>
            </c:spPr>
            <c:extLst xmlns:c16r2="http://schemas.microsoft.com/office/drawing/2015/06/chart">
              <c:ext xmlns:c16="http://schemas.microsoft.com/office/drawing/2014/chart" uri="{C3380CC4-5D6E-409C-BE32-E72D297353CC}">
                <c16:uniqueId val="{00000006-F481-4E19-87FB-635B52ED152D}"/>
              </c:ext>
            </c:extLst>
          </c:dPt>
          <c:dLbls>
            <c:dLbl>
              <c:idx val="0"/>
              <c:layout>
                <c:manualLayout>
                  <c:x val="3.5037953469111205E-2"/>
                  <c:y val="-2.1279991195245485E-2"/>
                </c:manualLayout>
              </c:layout>
              <c:numFmt formatCode="0.0%" sourceLinked="0"/>
              <c:spPr>
                <a:noFill/>
                <a:ln w="25304">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F481-4E19-87FB-635B52ED152D}"/>
                </c:ext>
                <c:ext xmlns:c15="http://schemas.microsoft.com/office/drawing/2012/chart" uri="{CE6537A1-D6FC-4f65-9D91-7224C49458BB}"/>
              </c:extLst>
            </c:dLbl>
            <c:dLbl>
              <c:idx val="1"/>
              <c:layout>
                <c:manualLayout>
                  <c:x val="-1.4499501316070029E-2"/>
                  <c:y val="-3.1224944147004774E-2"/>
                </c:manualLayout>
              </c:layout>
              <c:numFmt formatCode="0.0%" sourceLinked="0"/>
              <c:spPr>
                <a:noFill/>
                <a:ln w="25304">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F481-4E19-87FB-635B52ED152D}"/>
                </c:ext>
                <c:ext xmlns:c15="http://schemas.microsoft.com/office/drawing/2012/chart" uri="{CE6537A1-D6FC-4f65-9D91-7224C49458BB}"/>
              </c:extLst>
            </c:dLbl>
            <c:dLbl>
              <c:idx val="2"/>
              <c:layout>
                <c:manualLayout>
                  <c:x val="-1.847474831491136E-2"/>
                  <c:y val="-2.2069732616242704E-2"/>
                </c:manualLayout>
              </c:layout>
              <c:numFmt formatCode="0.0%" sourceLinked="0"/>
              <c:spPr>
                <a:noFill/>
                <a:ln w="25304">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F481-4E19-87FB-635B52ED152D}"/>
                </c:ext>
                <c:ext xmlns:c15="http://schemas.microsoft.com/office/drawing/2012/chart" uri="{CE6537A1-D6FC-4f65-9D91-7224C49458BB}"/>
              </c:extLst>
            </c:dLbl>
            <c:numFmt formatCode="0.0%" sourceLinked="0"/>
            <c:spPr>
              <a:noFill/>
              <a:ln w="25304">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P.J.</c:v>
                </c:pt>
                <c:pt idx="1">
                  <c:v>P.T.</c:v>
                </c:pt>
                <c:pt idx="2">
                  <c:v>P.C.A.</c:v>
                </c:pt>
                <c:pt idx="3">
                  <c:v>P.I.C.C.J</c:v>
                </c:pt>
              </c:strCache>
            </c:strRef>
          </c:cat>
          <c:val>
            <c:numRef>
              <c:f>Sheet1!$B$2:$E$2</c:f>
              <c:numCache>
                <c:formatCode>General</c:formatCode>
                <c:ptCount val="4"/>
                <c:pt idx="0">
                  <c:v>2631907</c:v>
                </c:pt>
                <c:pt idx="1">
                  <c:v>342798</c:v>
                </c:pt>
                <c:pt idx="2">
                  <c:v>147000</c:v>
                </c:pt>
                <c:pt idx="3" formatCode="#,##0">
                  <c:v>181511</c:v>
                </c:pt>
              </c:numCache>
            </c:numRef>
          </c:val>
          <c:extLst xmlns:c16r2="http://schemas.microsoft.com/office/drawing/2015/06/chart">
            <c:ext xmlns:c16="http://schemas.microsoft.com/office/drawing/2014/chart" uri="{C3380CC4-5D6E-409C-BE32-E72D297353CC}">
              <c16:uniqueId val="{00000007-F481-4E19-87FB-635B52ED152D}"/>
            </c:ext>
          </c:extLst>
        </c:ser>
        <c:dLbls>
          <c:showLegendKey val="0"/>
          <c:showVal val="0"/>
          <c:showCatName val="0"/>
          <c:showSerName val="0"/>
          <c:showPercent val="1"/>
          <c:showBubbleSize val="0"/>
          <c:showLeaderLines val="1"/>
        </c:dLbls>
        <c:firstSliceAng val="0"/>
      </c:pieChart>
      <c:spPr>
        <a:solidFill>
          <a:srgbClr val="C0C0C0"/>
        </a:solidFill>
        <a:ln w="12652">
          <a:solidFill>
            <a:srgbClr val="808080"/>
          </a:solidFill>
          <a:prstDash val="solid"/>
        </a:ln>
      </c:spPr>
    </c:plotArea>
    <c:legend>
      <c:legendPos val="r"/>
      <c:layout>
        <c:manualLayout>
          <c:xMode val="edge"/>
          <c:yMode val="edge"/>
          <c:x val="0.86043533930857863"/>
          <c:y val="0.26779661016949152"/>
          <c:w val="0.12163892445582586"/>
          <c:h val="0.34237288135593219"/>
        </c:manualLayout>
      </c:layout>
      <c:overlay val="0"/>
      <c:spPr>
        <a:noFill/>
        <a:ln w="3163">
          <a:solidFill>
            <a:srgbClr val="000000"/>
          </a:solidFill>
          <a:prstDash val="solid"/>
        </a:ln>
      </c:spPr>
      <c:txPr>
        <a:bodyPr/>
        <a:lstStyle/>
        <a:p>
          <a:pPr>
            <a:defRPr sz="936" b="1" i="0" u="none" strike="noStrike" baseline="0">
              <a:solidFill>
                <a:srgbClr val="000000"/>
              </a:solidFill>
              <a:latin typeface="+mn-lt"/>
              <a:ea typeface="Arial"/>
              <a:cs typeface="Arial"/>
            </a:defRPr>
          </a:pPr>
          <a:endParaRPr lang="ro-RO"/>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1021" b="1" i="0" u="none" strike="noStrike" baseline="0">
          <a:solidFill>
            <a:srgbClr val="000000"/>
          </a:solidFill>
          <a:latin typeface="Arial"/>
          <a:ea typeface="Arial"/>
          <a:cs typeface="Arial"/>
        </a:defRPr>
      </a:pPr>
      <a:endParaRPr lang="ro-R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cheltuielilor de personal 2015-2017 (euro)</a:t>
            </a:r>
          </a:p>
        </c:rich>
      </c:tx>
      <c:layout>
        <c:manualLayout>
          <c:xMode val="edge"/>
          <c:yMode val="edge"/>
          <c:x val="0.16587677725118483"/>
          <c:y val="4.1284403669724773E-2"/>
        </c:manualLayout>
      </c:layout>
      <c:overlay val="0"/>
      <c:spPr>
        <a:noFill/>
        <a:ln w="25400">
          <a:noFill/>
        </a:ln>
      </c:spPr>
    </c:title>
    <c:autoTitleDeleted val="0"/>
    <c:plotArea>
      <c:layout>
        <c:manualLayout>
          <c:layoutTarget val="inner"/>
          <c:xMode val="edge"/>
          <c:yMode val="edge"/>
          <c:x val="0.25118483412322273"/>
          <c:y val="0.24770642201834864"/>
          <c:w val="0.37203791469194314"/>
          <c:h val="0.56422018348623848"/>
        </c:manualLayout>
      </c:layout>
      <c:lineChart>
        <c:grouping val="standard"/>
        <c:varyColors val="0"/>
        <c:ser>
          <c:idx val="0"/>
          <c:order val="0"/>
          <c:tx>
            <c:strRef>
              <c:f>'tabele instante 2017'!$R$47</c:f>
              <c:strCache>
                <c:ptCount val="1"/>
                <c:pt idx="0">
                  <c:v>Cheltuieli de personal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2017'!$Q$48:$Q$50</c:f>
              <c:numCache>
                <c:formatCode>General</c:formatCode>
                <c:ptCount val="3"/>
                <c:pt idx="0">
                  <c:v>2015</c:v>
                </c:pt>
                <c:pt idx="1">
                  <c:v>2016</c:v>
                </c:pt>
                <c:pt idx="2">
                  <c:v>2017</c:v>
                </c:pt>
              </c:numCache>
            </c:numRef>
          </c:cat>
          <c:val>
            <c:numRef>
              <c:f>'tabele instante 2017'!$R$48:$R$50</c:f>
              <c:numCache>
                <c:formatCode>_-* #,##0\ _l_e_i_-;\-* #,##0\ _l_e_i_-;_-* "-"??\ _l_e_i_-;_-@_-</c:formatCode>
                <c:ptCount val="3"/>
                <c:pt idx="0">
                  <c:v>206104954.95495492</c:v>
                </c:pt>
                <c:pt idx="1">
                  <c:v>167709555.55555555</c:v>
                </c:pt>
                <c:pt idx="2">
                  <c:v>241777777.77777779</c:v>
                </c:pt>
              </c:numCache>
            </c:numRef>
          </c:val>
          <c:smooth val="0"/>
          <c:extLst xmlns:c16r2="http://schemas.microsoft.com/office/drawing/2015/06/chart">
            <c:ext xmlns:c16="http://schemas.microsoft.com/office/drawing/2014/chart" uri="{C3380CC4-5D6E-409C-BE32-E72D297353CC}">
              <c16:uniqueId val="{00000000-93A0-458B-A940-F90238111F00}"/>
            </c:ext>
          </c:extLst>
        </c:ser>
        <c:dLbls>
          <c:showLegendKey val="0"/>
          <c:showVal val="0"/>
          <c:showCatName val="0"/>
          <c:showSerName val="0"/>
          <c:showPercent val="0"/>
          <c:showBubbleSize val="0"/>
        </c:dLbls>
        <c:marker val="1"/>
        <c:smooth val="0"/>
        <c:axId val="464358240"/>
        <c:axId val="464364904"/>
      </c:lineChart>
      <c:catAx>
        <c:axId val="4643582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64364904"/>
        <c:crosses val="autoZero"/>
        <c:auto val="1"/>
        <c:lblAlgn val="ctr"/>
        <c:lblOffset val="100"/>
        <c:tickLblSkip val="1"/>
        <c:tickMarkSkip val="1"/>
        <c:noMultiLvlLbl val="0"/>
      </c:catAx>
      <c:valAx>
        <c:axId val="464364904"/>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64358240"/>
        <c:crosses val="autoZero"/>
        <c:crossBetween val="between"/>
      </c:valAx>
      <c:spPr>
        <a:solidFill>
          <a:srgbClr val="C0C0C0"/>
        </a:solidFill>
        <a:ln w="12700">
          <a:solidFill>
            <a:srgbClr val="808080"/>
          </a:solidFill>
          <a:prstDash val="solid"/>
        </a:ln>
      </c:spPr>
    </c:plotArea>
    <c:legend>
      <c:legendPos val="r"/>
      <c:layout>
        <c:manualLayout>
          <c:xMode val="edge"/>
          <c:yMode val="edge"/>
          <c:x val="0.64928909952606639"/>
          <c:y val="0.48623853211009177"/>
          <c:w val="0.33175355450236965"/>
          <c:h val="9.1743119266055106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ro-RO"/>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cheltuielilor cu bunuri si servicii 2015 -2017 (euro)</a:t>
            </a:r>
          </a:p>
        </c:rich>
      </c:tx>
      <c:layout>
        <c:manualLayout>
          <c:xMode val="edge"/>
          <c:yMode val="edge"/>
          <c:x val="0.14460810045803096"/>
          <c:y val="4.4117647058823532E-2"/>
        </c:manualLayout>
      </c:layout>
      <c:overlay val="0"/>
      <c:spPr>
        <a:noFill/>
        <a:ln w="25400">
          <a:noFill/>
        </a:ln>
      </c:spPr>
    </c:title>
    <c:autoTitleDeleted val="0"/>
    <c:plotArea>
      <c:layout>
        <c:manualLayout>
          <c:layoutTarget val="inner"/>
          <c:xMode val="edge"/>
          <c:yMode val="edge"/>
          <c:x val="0.24509862586795791"/>
          <c:y val="0.33823691328179228"/>
          <c:w val="0.41421667771684884"/>
          <c:h val="0.46078651954331123"/>
        </c:manualLayout>
      </c:layout>
      <c:lineChart>
        <c:grouping val="standard"/>
        <c:varyColors val="0"/>
        <c:ser>
          <c:idx val="0"/>
          <c:order val="0"/>
          <c:tx>
            <c:strRef>
              <c:f>'tabele instante 2017'!$R$66</c:f>
              <c:strCache>
                <c:ptCount val="1"/>
                <c:pt idx="0">
                  <c:v>Bunuri si servicii </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2017'!$Q$67:$Q$69</c:f>
              <c:numCache>
                <c:formatCode>General</c:formatCode>
                <c:ptCount val="3"/>
                <c:pt idx="0">
                  <c:v>2015</c:v>
                </c:pt>
                <c:pt idx="1">
                  <c:v>2016</c:v>
                </c:pt>
                <c:pt idx="2">
                  <c:v>2017</c:v>
                </c:pt>
              </c:numCache>
            </c:numRef>
          </c:cat>
          <c:val>
            <c:numRef>
              <c:f>'tabele instante 2017'!$R$67:$R$69</c:f>
              <c:numCache>
                <c:formatCode>_-* #,##0\ _l_e_i_-;\-* #,##0\ _l_e_i_-;_-* "-"??\ _l_e_i_-;_-@_-</c:formatCode>
                <c:ptCount val="3"/>
                <c:pt idx="0">
                  <c:v>18211711.711711708</c:v>
                </c:pt>
                <c:pt idx="1">
                  <c:v>18396666.666666668</c:v>
                </c:pt>
                <c:pt idx="2">
                  <c:v>16006444.444444444</c:v>
                </c:pt>
              </c:numCache>
            </c:numRef>
          </c:val>
          <c:smooth val="0"/>
          <c:extLst xmlns:c16r2="http://schemas.microsoft.com/office/drawing/2015/06/chart">
            <c:ext xmlns:c16="http://schemas.microsoft.com/office/drawing/2014/chart" uri="{C3380CC4-5D6E-409C-BE32-E72D297353CC}">
              <c16:uniqueId val="{00000000-1534-4973-8E0B-F66B6464DF3E}"/>
            </c:ext>
          </c:extLst>
        </c:ser>
        <c:dLbls>
          <c:showLegendKey val="0"/>
          <c:showVal val="0"/>
          <c:showCatName val="0"/>
          <c:showSerName val="0"/>
          <c:showPercent val="0"/>
          <c:showBubbleSize val="0"/>
        </c:dLbls>
        <c:marker val="1"/>
        <c:smooth val="0"/>
        <c:axId val="434159776"/>
        <c:axId val="434157816"/>
      </c:lineChart>
      <c:catAx>
        <c:axId val="434159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34157816"/>
        <c:crosses val="autoZero"/>
        <c:auto val="1"/>
        <c:lblAlgn val="ctr"/>
        <c:lblOffset val="100"/>
        <c:tickLblSkip val="1"/>
        <c:tickMarkSkip val="1"/>
        <c:noMultiLvlLbl val="0"/>
      </c:catAx>
      <c:valAx>
        <c:axId val="434157816"/>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434159776"/>
        <c:crosses val="autoZero"/>
        <c:crossBetween val="between"/>
      </c:valAx>
      <c:spPr>
        <a:solidFill>
          <a:srgbClr val="C0C0C0"/>
        </a:solidFill>
        <a:ln w="12700">
          <a:solidFill>
            <a:srgbClr val="808080"/>
          </a:solidFill>
          <a:prstDash val="solid"/>
        </a:ln>
      </c:spPr>
    </c:plotArea>
    <c:legend>
      <c:legendPos val="r"/>
      <c:layout>
        <c:manualLayout>
          <c:xMode val="edge"/>
          <c:yMode val="edge"/>
          <c:x val="0.68627605372857803"/>
          <c:y val="0.5196104163450157"/>
          <c:w val="0.29411841902115177"/>
          <c:h val="9.8039730327826646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ro-RO"/>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cheltuiellori de investitii 2015-2017 (euro) </a:t>
            </a:r>
          </a:p>
        </c:rich>
      </c:tx>
      <c:layout>
        <c:manualLayout>
          <c:xMode val="edge"/>
          <c:yMode val="edge"/>
          <c:x val="0.16058419704836163"/>
          <c:y val="4.3269230769230768E-2"/>
        </c:manualLayout>
      </c:layout>
      <c:overlay val="0"/>
      <c:spPr>
        <a:noFill/>
        <a:ln w="25400">
          <a:noFill/>
        </a:ln>
      </c:spPr>
    </c:title>
    <c:autoTitleDeleted val="0"/>
    <c:plotArea>
      <c:layout>
        <c:manualLayout>
          <c:layoutTarget val="inner"/>
          <c:xMode val="edge"/>
          <c:yMode val="edge"/>
          <c:x val="0.22871100571920078"/>
          <c:y val="0.25961599406549085"/>
          <c:w val="0.39416152049479286"/>
          <c:h val="0.54327050610000871"/>
        </c:manualLayout>
      </c:layout>
      <c:lineChart>
        <c:grouping val="standard"/>
        <c:varyColors val="0"/>
        <c:ser>
          <c:idx val="0"/>
          <c:order val="0"/>
          <c:tx>
            <c:strRef>
              <c:f>'tabele instante 2017'!$R$82</c:f>
              <c:strCache>
                <c:ptCount val="1"/>
                <c:pt idx="0">
                  <c:v>Cheltuieli de investitii </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2017'!$Q$83:$Q$85</c:f>
              <c:numCache>
                <c:formatCode>General</c:formatCode>
                <c:ptCount val="3"/>
                <c:pt idx="0">
                  <c:v>2015</c:v>
                </c:pt>
                <c:pt idx="1">
                  <c:v>2016</c:v>
                </c:pt>
                <c:pt idx="2">
                  <c:v>2017</c:v>
                </c:pt>
              </c:numCache>
            </c:numRef>
          </c:cat>
          <c:val>
            <c:numRef>
              <c:f>'tabele instante 2017'!$R$83:$R$85</c:f>
              <c:numCache>
                <c:formatCode>_-* #,##0\ _l_e_i_-;\-* #,##0\ _l_e_i_-;_-* "-"??\ _l_e_i_-;_-@_-</c:formatCode>
                <c:ptCount val="3"/>
                <c:pt idx="0">
                  <c:v>6233558.5585585581</c:v>
                </c:pt>
                <c:pt idx="1">
                  <c:v>6059777.777777778</c:v>
                </c:pt>
                <c:pt idx="2">
                  <c:v>10777777.777777778</c:v>
                </c:pt>
              </c:numCache>
            </c:numRef>
          </c:val>
          <c:smooth val="0"/>
          <c:extLst xmlns:c16r2="http://schemas.microsoft.com/office/drawing/2015/06/chart">
            <c:ext xmlns:c16="http://schemas.microsoft.com/office/drawing/2014/chart" uri="{C3380CC4-5D6E-409C-BE32-E72D297353CC}">
              <c16:uniqueId val="{00000000-44CD-4F54-A5A4-BE06BF68AACC}"/>
            </c:ext>
          </c:extLst>
        </c:ser>
        <c:dLbls>
          <c:showLegendKey val="0"/>
          <c:showVal val="0"/>
          <c:showCatName val="0"/>
          <c:showSerName val="0"/>
          <c:showPercent val="0"/>
          <c:showBubbleSize val="0"/>
        </c:dLbls>
        <c:marker val="1"/>
        <c:smooth val="0"/>
        <c:axId val="340150000"/>
        <c:axId val="338372480"/>
      </c:lineChart>
      <c:catAx>
        <c:axId val="3401500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338372480"/>
        <c:crosses val="autoZero"/>
        <c:auto val="1"/>
        <c:lblAlgn val="ctr"/>
        <c:lblOffset val="100"/>
        <c:tickLblSkip val="1"/>
        <c:tickMarkSkip val="1"/>
        <c:noMultiLvlLbl val="0"/>
      </c:catAx>
      <c:valAx>
        <c:axId val="338372480"/>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o-RO"/>
          </a:p>
        </c:txPr>
        <c:crossAx val="340150000"/>
        <c:crosses val="autoZero"/>
        <c:crossBetween val="between"/>
      </c:valAx>
      <c:spPr>
        <a:solidFill>
          <a:srgbClr val="C0C0C0"/>
        </a:solidFill>
        <a:ln w="12700">
          <a:solidFill>
            <a:srgbClr val="808080"/>
          </a:solidFill>
          <a:prstDash val="solid"/>
        </a:ln>
      </c:spPr>
    </c:plotArea>
    <c:legend>
      <c:legendPos val="r"/>
      <c:layout>
        <c:manualLayout>
          <c:xMode val="edge"/>
          <c:yMode val="edge"/>
          <c:x val="0.64963656915148382"/>
          <c:y val="0.45192408641227533"/>
          <c:w val="0.33090100963656921"/>
          <c:h val="0.1634620432061376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ro-R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ro-RO"/>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27424749163879"/>
          <c:y val="0.28435114503816794"/>
          <c:w val="0.51839464882943143"/>
          <c:h val="0.59160305343511455"/>
        </c:manualLayout>
      </c:layout>
      <c:pieChart>
        <c:varyColors val="1"/>
        <c:ser>
          <c:idx val="0"/>
          <c:order val="0"/>
          <c:tx>
            <c:strRef>
              <c:f>Sheet1!$A$2</c:f>
              <c:strCache>
                <c:ptCount val="1"/>
              </c:strCache>
            </c:strRef>
          </c:tx>
          <c:spPr>
            <a:solidFill>
              <a:srgbClr val="9999FF"/>
            </a:solidFill>
            <a:ln w="12716">
              <a:solidFill>
                <a:srgbClr val="000000"/>
              </a:solidFill>
              <a:prstDash val="solid"/>
            </a:ln>
          </c:spPr>
          <c:explosion val="45"/>
          <c:dPt>
            <c:idx val="0"/>
            <c:bubble3D val="0"/>
            <c:extLst xmlns:c16r2="http://schemas.microsoft.com/office/drawing/2015/06/chart">
              <c:ext xmlns:c16="http://schemas.microsoft.com/office/drawing/2014/chart" uri="{C3380CC4-5D6E-409C-BE32-E72D297353CC}">
                <c16:uniqueId val="{00000000-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002-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004-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06-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008-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00A-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0C-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0E-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10-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12-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14-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16-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18-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1A-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01C-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01E-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020-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22-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024-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026-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028-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02A-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02C-095A-4C44-B8FC-B3FD1CB1C15B}"/>
              </c:ext>
            </c:extLst>
          </c:dPt>
          <c:dLbls>
            <c:numFmt formatCode="0%" sourceLinked="0"/>
            <c:spPr>
              <a:noFill/>
              <a:ln w="25432">
                <a:noFill/>
              </a:ln>
            </c:spPr>
            <c:txPr>
              <a:bodyPr wrap="square" lIns="38100" tIns="19050" rIns="38100" bIns="19050" anchor="ctr">
                <a:spAutoFit/>
              </a:bodyPr>
              <a:lstStyle/>
              <a:p>
                <a:pPr>
                  <a:defRPr sz="801" b="1" i="0" u="none" strike="noStrike" baseline="0">
                    <a:solidFill>
                      <a:srgbClr val="000000"/>
                    </a:solidFill>
                    <a:latin typeface="Arial"/>
                    <a:ea typeface="Arial"/>
                    <a:cs typeface="Arial"/>
                  </a:defRPr>
                </a:pPr>
                <a:endParaRPr lang="ro-R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Sheet1!$B$2:$X$2</c:f>
              <c:numCache>
                <c:formatCode>General</c:formatCode>
                <c:ptCount val="23"/>
                <c:pt idx="0">
                  <c:v>459</c:v>
                </c:pt>
                <c:pt idx="1">
                  <c:v>139</c:v>
                </c:pt>
                <c:pt idx="2">
                  <c:v>64</c:v>
                </c:pt>
                <c:pt idx="3">
                  <c:v>164</c:v>
                </c:pt>
                <c:pt idx="4">
                  <c:v>59</c:v>
                </c:pt>
                <c:pt idx="5">
                  <c:v>16</c:v>
                </c:pt>
                <c:pt idx="6">
                  <c:v>51</c:v>
                </c:pt>
                <c:pt idx="7">
                  <c:v>60</c:v>
                </c:pt>
                <c:pt idx="8">
                  <c:v>49</c:v>
                </c:pt>
                <c:pt idx="9">
                  <c:v>43</c:v>
                </c:pt>
                <c:pt idx="10">
                  <c:v>184</c:v>
                </c:pt>
                <c:pt idx="11">
                  <c:v>139</c:v>
                </c:pt>
                <c:pt idx="12">
                  <c:v>29</c:v>
                </c:pt>
                <c:pt idx="13">
                  <c:v>139</c:v>
                </c:pt>
                <c:pt idx="14">
                  <c:v>12</c:v>
                </c:pt>
                <c:pt idx="15">
                  <c:v>53</c:v>
                </c:pt>
                <c:pt idx="16">
                  <c:v>29</c:v>
                </c:pt>
                <c:pt idx="17">
                  <c:v>35</c:v>
                </c:pt>
                <c:pt idx="18">
                  <c:v>53</c:v>
                </c:pt>
                <c:pt idx="19">
                  <c:v>63</c:v>
                </c:pt>
                <c:pt idx="20">
                  <c:v>73</c:v>
                </c:pt>
                <c:pt idx="21">
                  <c:v>65</c:v>
                </c:pt>
                <c:pt idx="22">
                  <c:v>20</c:v>
                </c:pt>
              </c:numCache>
            </c:numRef>
          </c:val>
          <c:extLst xmlns:c16r2="http://schemas.microsoft.com/office/drawing/2015/06/chart">
            <c:ext xmlns:c16="http://schemas.microsoft.com/office/drawing/2014/chart" uri="{C3380CC4-5D6E-409C-BE32-E72D297353CC}">
              <c16:uniqueId val="{0000002D-095A-4C44-B8FC-B3FD1CB1C15B}"/>
            </c:ext>
          </c:extLst>
        </c:ser>
        <c:ser>
          <c:idx val="1"/>
          <c:order val="1"/>
          <c:tx>
            <c:strRef>
              <c:f>Sheet1!$A$3</c:f>
              <c:strCache>
                <c:ptCount val="1"/>
              </c:strCache>
            </c:strRef>
          </c:tx>
          <c:spPr>
            <a:solidFill>
              <a:srgbClr val="993366"/>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02F-095A-4C44-B8FC-B3FD1CB1C15B}"/>
              </c:ext>
            </c:extLst>
          </c:dPt>
          <c:dPt>
            <c:idx val="1"/>
            <c:bubble3D val="0"/>
            <c:extLst xmlns:c16r2="http://schemas.microsoft.com/office/drawing/2015/06/chart">
              <c:ext xmlns:c16="http://schemas.microsoft.com/office/drawing/2014/chart" uri="{C3380CC4-5D6E-409C-BE32-E72D297353CC}">
                <c16:uniqueId val="{00000030-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032-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34-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036-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038-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3A-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3C-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3E-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40-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42-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44-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46-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48-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04A-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04C-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04E-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50-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052-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054-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056-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058-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05A-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Sheet1!$B$3:$X$3</c:f>
              <c:numCache>
                <c:formatCode>General</c:formatCode>
                <c:ptCount val="23"/>
              </c:numCache>
            </c:numRef>
          </c:val>
          <c:extLst xmlns:c16r2="http://schemas.microsoft.com/office/drawing/2015/06/chart">
            <c:ext xmlns:c16="http://schemas.microsoft.com/office/drawing/2014/chart" uri="{C3380CC4-5D6E-409C-BE32-E72D297353CC}">
              <c16:uniqueId val="{0000005B-095A-4C44-B8FC-B3FD1CB1C15B}"/>
            </c:ext>
          </c:extLst>
        </c:ser>
        <c:ser>
          <c:idx val="2"/>
          <c:order val="2"/>
          <c:tx>
            <c:strRef>
              <c:f>Sheet1!$A$4</c:f>
              <c:strCache>
                <c:ptCount val="1"/>
              </c:strCache>
            </c:strRef>
          </c:tx>
          <c:spPr>
            <a:solidFill>
              <a:srgbClr val="FFFFCC"/>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05D-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05F-095A-4C44-B8FC-B3FD1CB1C15B}"/>
              </c:ext>
            </c:extLst>
          </c:dPt>
          <c:dPt>
            <c:idx val="2"/>
            <c:bubble3D val="0"/>
            <c:extLst xmlns:c16r2="http://schemas.microsoft.com/office/drawing/2015/06/chart">
              <c:ext xmlns:c16="http://schemas.microsoft.com/office/drawing/2014/chart" uri="{C3380CC4-5D6E-409C-BE32-E72D297353CC}">
                <c16:uniqueId val="{00000060-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62-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064-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066-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68-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6A-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6C-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6E-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70-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72-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74-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76-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078-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07A-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07C-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7E-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080-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082-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084-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086-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088-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Sheet1!$B$4:$X$4</c:f>
              <c:numCache>
                <c:formatCode>General</c:formatCode>
                <c:ptCount val="23"/>
              </c:numCache>
            </c:numRef>
          </c:val>
          <c:extLst xmlns:c16r2="http://schemas.microsoft.com/office/drawing/2015/06/chart">
            <c:ext xmlns:c16="http://schemas.microsoft.com/office/drawing/2014/chart" uri="{C3380CC4-5D6E-409C-BE32-E72D297353CC}">
              <c16:uniqueId val="{00000089-095A-4C44-B8FC-B3FD1CB1C15B}"/>
            </c:ext>
          </c:extLst>
        </c:ser>
        <c:ser>
          <c:idx val="3"/>
          <c:order val="3"/>
          <c:tx>
            <c:strRef>
              <c:f>Sheet1!$A$5</c:f>
              <c:strCache>
                <c:ptCount val="1"/>
              </c:strCache>
            </c:strRef>
          </c:tx>
          <c:spPr>
            <a:solidFill>
              <a:srgbClr val="CCFFFF"/>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08B-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08D-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08F-095A-4C44-B8FC-B3FD1CB1C15B}"/>
              </c:ext>
            </c:extLst>
          </c:dPt>
          <c:dPt>
            <c:idx val="3"/>
            <c:bubble3D val="0"/>
            <c:extLst xmlns:c16r2="http://schemas.microsoft.com/office/drawing/2015/06/chart">
              <c:ext xmlns:c16="http://schemas.microsoft.com/office/drawing/2014/chart" uri="{C3380CC4-5D6E-409C-BE32-E72D297353CC}">
                <c16:uniqueId val="{00000090-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092-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094-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96-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98-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9A-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9C-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9E-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A0-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A2-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A4-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0A6-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0A8-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0AA-095A-4C44-B8FC-B3FD1CB1C15B}"/>
              </c:ext>
            </c:extLst>
          </c:dPt>
          <c:dPt>
            <c:idx val="17"/>
            <c:bubble3D val="0"/>
            <c:extLst xmlns:c16r2="http://schemas.microsoft.com/office/drawing/2015/06/chart">
              <c:ext xmlns:c16="http://schemas.microsoft.com/office/drawing/2014/chart" uri="{C3380CC4-5D6E-409C-BE32-E72D297353CC}">
                <c16:uniqueId val="{000000AB-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0AD-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0AF-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0B1-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0B3-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0B5-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Sheet1!$B$5:$X$5</c:f>
              <c:numCache>
                <c:formatCode>General</c:formatCode>
                <c:ptCount val="23"/>
              </c:numCache>
            </c:numRef>
          </c:val>
          <c:extLst xmlns:c16r2="http://schemas.microsoft.com/office/drawing/2015/06/chart">
            <c:ext xmlns:c16="http://schemas.microsoft.com/office/drawing/2014/chart" uri="{C3380CC4-5D6E-409C-BE32-E72D297353CC}">
              <c16:uniqueId val="{000000B6-095A-4C44-B8FC-B3FD1CB1C15B}"/>
            </c:ext>
          </c:extLst>
        </c:ser>
        <c:ser>
          <c:idx val="4"/>
          <c:order val="4"/>
          <c:tx>
            <c:strRef>
              <c:f>Sheet1!$A$6</c:f>
              <c:strCache>
                <c:ptCount val="1"/>
              </c:strCache>
            </c:strRef>
          </c:tx>
          <c:spPr>
            <a:solidFill>
              <a:srgbClr val="660066"/>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0B8-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0BA-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0BC-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BE-095A-4C44-B8FC-B3FD1CB1C15B}"/>
              </c:ext>
            </c:extLst>
          </c:dPt>
          <c:dPt>
            <c:idx val="4"/>
            <c:bubble3D val="0"/>
            <c:extLst xmlns:c16r2="http://schemas.microsoft.com/office/drawing/2015/06/chart">
              <c:ext xmlns:c16="http://schemas.microsoft.com/office/drawing/2014/chart" uri="{C3380CC4-5D6E-409C-BE32-E72D297353CC}">
                <c16:uniqueId val="{000000BF-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0C1-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C3-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C5-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C7-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C9-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CB-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CD-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CF-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D1-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0D3-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0D5-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0D7-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D9-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0DB-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0DD-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0DF-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0E1-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0E3-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Sheet1!$B$6:$X$6</c:f>
              <c:numCache>
                <c:formatCode>General</c:formatCode>
                <c:ptCount val="23"/>
              </c:numCache>
            </c:numRef>
          </c:val>
          <c:extLst xmlns:c16r2="http://schemas.microsoft.com/office/drawing/2015/06/chart">
            <c:ext xmlns:c16="http://schemas.microsoft.com/office/drawing/2014/chart" uri="{C3380CC4-5D6E-409C-BE32-E72D297353CC}">
              <c16:uniqueId val="{000000E4-095A-4C44-B8FC-B3FD1CB1C15B}"/>
            </c:ext>
          </c:extLst>
        </c:ser>
        <c:ser>
          <c:idx val="5"/>
          <c:order val="5"/>
          <c:tx>
            <c:strRef>
              <c:f>Sheet1!$A$7</c:f>
              <c:strCache>
                <c:ptCount val="1"/>
              </c:strCache>
            </c:strRef>
          </c:tx>
          <c:spPr>
            <a:solidFill>
              <a:srgbClr val="FF8080"/>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0E6-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0E8-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0EA-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0EC-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0EE-095A-4C44-B8FC-B3FD1CB1C15B}"/>
              </c:ext>
            </c:extLst>
          </c:dPt>
          <c:dPt>
            <c:idx val="5"/>
            <c:bubble3D val="0"/>
            <c:extLst xmlns:c16r2="http://schemas.microsoft.com/office/drawing/2015/06/chart">
              <c:ext xmlns:c16="http://schemas.microsoft.com/office/drawing/2014/chart" uri="{C3380CC4-5D6E-409C-BE32-E72D297353CC}">
                <c16:uniqueId val="{000000EF-095A-4C44-B8FC-B3FD1CB1C15B}"/>
              </c:ext>
            </c:extLst>
          </c:dPt>
          <c:dPt>
            <c:idx val="6"/>
            <c:bubble3D val="0"/>
            <c:spPr>
              <a:solidFill>
                <a:srgbClr val="0066CC"/>
              </a:solidFill>
              <a:ln w="12716">
                <a:solidFill>
                  <a:srgbClr val="000000"/>
                </a:solidFill>
                <a:prstDash val="solid"/>
              </a:ln>
            </c:spPr>
            <c:extLst xmlns:c16r2="http://schemas.microsoft.com/office/drawing/2015/06/chart">
              <c:ext xmlns:c16="http://schemas.microsoft.com/office/drawing/2014/chart" uri="{C3380CC4-5D6E-409C-BE32-E72D297353CC}">
                <c16:uniqueId val="{000000F1-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0F3-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F5-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0F7-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0F9-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0FB-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0FD-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0FF-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101-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103-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105-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107-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109-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10B-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10D-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10F-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111-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Sheet1!$B$7:$X$7</c:f>
              <c:numCache>
                <c:formatCode>General</c:formatCode>
                <c:ptCount val="23"/>
                <c:pt idx="0">
                  <c:v>0</c:v>
                </c:pt>
              </c:numCache>
            </c:numRef>
          </c:val>
          <c:extLst xmlns:c16r2="http://schemas.microsoft.com/office/drawing/2015/06/chart">
            <c:ext xmlns:c16="http://schemas.microsoft.com/office/drawing/2014/chart" uri="{C3380CC4-5D6E-409C-BE32-E72D297353CC}">
              <c16:uniqueId val="{00000112-095A-4C44-B8FC-B3FD1CB1C15B}"/>
            </c:ext>
          </c:extLst>
        </c:ser>
        <c:ser>
          <c:idx val="6"/>
          <c:order val="6"/>
          <c:tx>
            <c:strRef>
              <c:f>Sheet1!$A$8</c:f>
              <c:strCache>
                <c:ptCount val="1"/>
              </c:strCache>
            </c:strRef>
          </c:tx>
          <c:spPr>
            <a:solidFill>
              <a:srgbClr val="0066CC"/>
            </a:solidFill>
            <a:ln w="12716">
              <a:solidFill>
                <a:srgbClr val="000000"/>
              </a:solidFill>
              <a:prstDash val="solid"/>
            </a:ln>
          </c:spPr>
          <c:explosion val="45"/>
          <c:dPt>
            <c:idx val="0"/>
            <c:bubble3D val="0"/>
            <c:spPr>
              <a:solidFill>
                <a:srgbClr val="9999FF"/>
              </a:solidFill>
              <a:ln w="12716">
                <a:solidFill>
                  <a:srgbClr val="000000"/>
                </a:solidFill>
                <a:prstDash val="solid"/>
              </a:ln>
            </c:spPr>
            <c:extLst xmlns:c16r2="http://schemas.microsoft.com/office/drawing/2015/06/chart">
              <c:ext xmlns:c16="http://schemas.microsoft.com/office/drawing/2014/chart" uri="{C3380CC4-5D6E-409C-BE32-E72D297353CC}">
                <c16:uniqueId val="{00000114-095A-4C44-B8FC-B3FD1CB1C15B}"/>
              </c:ext>
            </c:extLst>
          </c:dPt>
          <c:dPt>
            <c:idx val="1"/>
            <c:bubble3D val="0"/>
            <c:spPr>
              <a:solidFill>
                <a:srgbClr val="993366"/>
              </a:solidFill>
              <a:ln w="12716">
                <a:solidFill>
                  <a:srgbClr val="000000"/>
                </a:solidFill>
                <a:prstDash val="solid"/>
              </a:ln>
            </c:spPr>
            <c:extLst xmlns:c16r2="http://schemas.microsoft.com/office/drawing/2015/06/chart">
              <c:ext xmlns:c16="http://schemas.microsoft.com/office/drawing/2014/chart" uri="{C3380CC4-5D6E-409C-BE32-E72D297353CC}">
                <c16:uniqueId val="{00000116-095A-4C44-B8FC-B3FD1CB1C15B}"/>
              </c:ext>
            </c:extLst>
          </c:dPt>
          <c:dPt>
            <c:idx val="2"/>
            <c:bubble3D val="0"/>
            <c:spPr>
              <a:solidFill>
                <a:srgbClr val="FFFFCC"/>
              </a:solidFill>
              <a:ln w="12716">
                <a:solidFill>
                  <a:srgbClr val="000000"/>
                </a:solidFill>
                <a:prstDash val="solid"/>
              </a:ln>
            </c:spPr>
            <c:extLst xmlns:c16r2="http://schemas.microsoft.com/office/drawing/2015/06/chart">
              <c:ext xmlns:c16="http://schemas.microsoft.com/office/drawing/2014/chart" uri="{C3380CC4-5D6E-409C-BE32-E72D297353CC}">
                <c16:uniqueId val="{00000118-095A-4C44-B8FC-B3FD1CB1C15B}"/>
              </c:ext>
            </c:extLst>
          </c:dPt>
          <c:dPt>
            <c:idx val="3"/>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11A-095A-4C44-B8FC-B3FD1CB1C15B}"/>
              </c:ext>
            </c:extLst>
          </c:dPt>
          <c:dPt>
            <c:idx val="4"/>
            <c:bubble3D val="0"/>
            <c:spPr>
              <a:solidFill>
                <a:srgbClr val="660066"/>
              </a:solidFill>
              <a:ln w="12716">
                <a:solidFill>
                  <a:srgbClr val="000000"/>
                </a:solidFill>
                <a:prstDash val="solid"/>
              </a:ln>
            </c:spPr>
            <c:extLst xmlns:c16r2="http://schemas.microsoft.com/office/drawing/2015/06/chart">
              <c:ext xmlns:c16="http://schemas.microsoft.com/office/drawing/2014/chart" uri="{C3380CC4-5D6E-409C-BE32-E72D297353CC}">
                <c16:uniqueId val="{0000011C-095A-4C44-B8FC-B3FD1CB1C15B}"/>
              </c:ext>
            </c:extLst>
          </c:dPt>
          <c:dPt>
            <c:idx val="5"/>
            <c:bubble3D val="0"/>
            <c:spPr>
              <a:solidFill>
                <a:srgbClr val="FF8080"/>
              </a:solidFill>
              <a:ln w="12716">
                <a:solidFill>
                  <a:srgbClr val="000000"/>
                </a:solidFill>
                <a:prstDash val="solid"/>
              </a:ln>
            </c:spPr>
            <c:extLst xmlns:c16r2="http://schemas.microsoft.com/office/drawing/2015/06/chart">
              <c:ext xmlns:c16="http://schemas.microsoft.com/office/drawing/2014/chart" uri="{C3380CC4-5D6E-409C-BE32-E72D297353CC}">
                <c16:uniqueId val="{0000011E-095A-4C44-B8FC-B3FD1CB1C15B}"/>
              </c:ext>
            </c:extLst>
          </c:dPt>
          <c:dPt>
            <c:idx val="6"/>
            <c:bubble3D val="0"/>
            <c:extLst xmlns:c16r2="http://schemas.microsoft.com/office/drawing/2015/06/chart">
              <c:ext xmlns:c16="http://schemas.microsoft.com/office/drawing/2014/chart" uri="{C3380CC4-5D6E-409C-BE32-E72D297353CC}">
                <c16:uniqueId val="{0000011F-095A-4C44-B8FC-B3FD1CB1C15B}"/>
              </c:ext>
            </c:extLst>
          </c:dPt>
          <c:dPt>
            <c:idx val="7"/>
            <c:bubble3D val="0"/>
            <c:spPr>
              <a:solidFill>
                <a:srgbClr val="CCCCFF"/>
              </a:solidFill>
              <a:ln w="12716">
                <a:solidFill>
                  <a:srgbClr val="000000"/>
                </a:solidFill>
                <a:prstDash val="solid"/>
              </a:ln>
            </c:spPr>
            <c:extLst xmlns:c16r2="http://schemas.microsoft.com/office/drawing/2015/06/chart">
              <c:ext xmlns:c16="http://schemas.microsoft.com/office/drawing/2014/chart" uri="{C3380CC4-5D6E-409C-BE32-E72D297353CC}">
                <c16:uniqueId val="{00000121-095A-4C44-B8FC-B3FD1CB1C15B}"/>
              </c:ext>
            </c:extLst>
          </c:dPt>
          <c:dPt>
            <c:idx val="8"/>
            <c:bubble3D val="0"/>
            <c:spPr>
              <a:solidFill>
                <a:srgbClr val="000080"/>
              </a:solidFill>
              <a:ln w="12716">
                <a:solidFill>
                  <a:srgbClr val="000000"/>
                </a:solidFill>
                <a:prstDash val="solid"/>
              </a:ln>
            </c:spPr>
            <c:extLst xmlns:c16r2="http://schemas.microsoft.com/office/drawing/2015/06/chart">
              <c:ext xmlns:c16="http://schemas.microsoft.com/office/drawing/2014/chart" uri="{C3380CC4-5D6E-409C-BE32-E72D297353CC}">
                <c16:uniqueId val="{00000123-095A-4C44-B8FC-B3FD1CB1C15B}"/>
              </c:ext>
            </c:extLst>
          </c:dPt>
          <c:dPt>
            <c:idx val="9"/>
            <c:bubble3D val="0"/>
            <c:spPr>
              <a:solidFill>
                <a:srgbClr val="FF00FF"/>
              </a:solidFill>
              <a:ln w="12716">
                <a:solidFill>
                  <a:srgbClr val="000000"/>
                </a:solidFill>
                <a:prstDash val="solid"/>
              </a:ln>
            </c:spPr>
            <c:extLst xmlns:c16r2="http://schemas.microsoft.com/office/drawing/2015/06/chart">
              <c:ext xmlns:c16="http://schemas.microsoft.com/office/drawing/2014/chart" uri="{C3380CC4-5D6E-409C-BE32-E72D297353CC}">
                <c16:uniqueId val="{00000125-095A-4C44-B8FC-B3FD1CB1C15B}"/>
              </c:ext>
            </c:extLst>
          </c:dPt>
          <c:dPt>
            <c:idx val="10"/>
            <c:bubble3D val="0"/>
            <c:spPr>
              <a:solidFill>
                <a:srgbClr val="FFFF00"/>
              </a:solidFill>
              <a:ln w="12716">
                <a:solidFill>
                  <a:srgbClr val="000000"/>
                </a:solidFill>
                <a:prstDash val="solid"/>
              </a:ln>
            </c:spPr>
            <c:extLst xmlns:c16r2="http://schemas.microsoft.com/office/drawing/2015/06/chart">
              <c:ext xmlns:c16="http://schemas.microsoft.com/office/drawing/2014/chart" uri="{C3380CC4-5D6E-409C-BE32-E72D297353CC}">
                <c16:uniqueId val="{00000127-095A-4C44-B8FC-B3FD1CB1C15B}"/>
              </c:ext>
            </c:extLst>
          </c:dPt>
          <c:dPt>
            <c:idx val="11"/>
            <c:bubble3D val="0"/>
            <c:spPr>
              <a:solidFill>
                <a:srgbClr val="00FFFF"/>
              </a:solidFill>
              <a:ln w="12716">
                <a:solidFill>
                  <a:srgbClr val="000000"/>
                </a:solidFill>
                <a:prstDash val="solid"/>
              </a:ln>
            </c:spPr>
            <c:extLst xmlns:c16r2="http://schemas.microsoft.com/office/drawing/2015/06/chart">
              <c:ext xmlns:c16="http://schemas.microsoft.com/office/drawing/2014/chart" uri="{C3380CC4-5D6E-409C-BE32-E72D297353CC}">
                <c16:uniqueId val="{00000129-095A-4C44-B8FC-B3FD1CB1C15B}"/>
              </c:ext>
            </c:extLst>
          </c:dPt>
          <c:dPt>
            <c:idx val="12"/>
            <c:bubble3D val="0"/>
            <c:spPr>
              <a:solidFill>
                <a:srgbClr val="800080"/>
              </a:solidFill>
              <a:ln w="12716">
                <a:solidFill>
                  <a:srgbClr val="000000"/>
                </a:solidFill>
                <a:prstDash val="solid"/>
              </a:ln>
            </c:spPr>
            <c:extLst xmlns:c16r2="http://schemas.microsoft.com/office/drawing/2015/06/chart">
              <c:ext xmlns:c16="http://schemas.microsoft.com/office/drawing/2014/chart" uri="{C3380CC4-5D6E-409C-BE32-E72D297353CC}">
                <c16:uniqueId val="{0000012B-095A-4C44-B8FC-B3FD1CB1C15B}"/>
              </c:ext>
            </c:extLst>
          </c:dPt>
          <c:dPt>
            <c:idx val="13"/>
            <c:bubble3D val="0"/>
            <c:spPr>
              <a:solidFill>
                <a:srgbClr val="800000"/>
              </a:solidFill>
              <a:ln w="12716">
                <a:solidFill>
                  <a:srgbClr val="000000"/>
                </a:solidFill>
                <a:prstDash val="solid"/>
              </a:ln>
            </c:spPr>
            <c:extLst xmlns:c16r2="http://schemas.microsoft.com/office/drawing/2015/06/chart">
              <c:ext xmlns:c16="http://schemas.microsoft.com/office/drawing/2014/chart" uri="{C3380CC4-5D6E-409C-BE32-E72D297353CC}">
                <c16:uniqueId val="{0000012D-095A-4C44-B8FC-B3FD1CB1C15B}"/>
              </c:ext>
            </c:extLst>
          </c:dPt>
          <c:dPt>
            <c:idx val="14"/>
            <c:bubble3D val="0"/>
            <c:spPr>
              <a:solidFill>
                <a:srgbClr val="008080"/>
              </a:solidFill>
              <a:ln w="12716">
                <a:solidFill>
                  <a:srgbClr val="000000"/>
                </a:solidFill>
                <a:prstDash val="solid"/>
              </a:ln>
            </c:spPr>
            <c:extLst xmlns:c16r2="http://schemas.microsoft.com/office/drawing/2015/06/chart">
              <c:ext xmlns:c16="http://schemas.microsoft.com/office/drawing/2014/chart" uri="{C3380CC4-5D6E-409C-BE32-E72D297353CC}">
                <c16:uniqueId val="{0000012F-095A-4C44-B8FC-B3FD1CB1C15B}"/>
              </c:ext>
            </c:extLst>
          </c:dPt>
          <c:dPt>
            <c:idx val="15"/>
            <c:bubble3D val="0"/>
            <c:spPr>
              <a:solidFill>
                <a:srgbClr val="0000FF"/>
              </a:solidFill>
              <a:ln w="12716">
                <a:solidFill>
                  <a:srgbClr val="000000"/>
                </a:solidFill>
                <a:prstDash val="solid"/>
              </a:ln>
            </c:spPr>
            <c:extLst xmlns:c16r2="http://schemas.microsoft.com/office/drawing/2015/06/chart">
              <c:ext xmlns:c16="http://schemas.microsoft.com/office/drawing/2014/chart" uri="{C3380CC4-5D6E-409C-BE32-E72D297353CC}">
                <c16:uniqueId val="{00000131-095A-4C44-B8FC-B3FD1CB1C15B}"/>
              </c:ext>
            </c:extLst>
          </c:dPt>
          <c:dPt>
            <c:idx val="16"/>
            <c:bubble3D val="0"/>
            <c:spPr>
              <a:solidFill>
                <a:srgbClr val="00CCFF"/>
              </a:solidFill>
              <a:ln w="12716">
                <a:solidFill>
                  <a:srgbClr val="000000"/>
                </a:solidFill>
                <a:prstDash val="solid"/>
              </a:ln>
            </c:spPr>
            <c:extLst xmlns:c16r2="http://schemas.microsoft.com/office/drawing/2015/06/chart">
              <c:ext xmlns:c16="http://schemas.microsoft.com/office/drawing/2014/chart" uri="{C3380CC4-5D6E-409C-BE32-E72D297353CC}">
                <c16:uniqueId val="{00000133-095A-4C44-B8FC-B3FD1CB1C15B}"/>
              </c:ext>
            </c:extLst>
          </c:dPt>
          <c:dPt>
            <c:idx val="17"/>
            <c:bubble3D val="0"/>
            <c:spPr>
              <a:solidFill>
                <a:srgbClr val="CCFFFF"/>
              </a:solidFill>
              <a:ln w="12716">
                <a:solidFill>
                  <a:srgbClr val="000000"/>
                </a:solidFill>
                <a:prstDash val="solid"/>
              </a:ln>
            </c:spPr>
            <c:extLst xmlns:c16r2="http://schemas.microsoft.com/office/drawing/2015/06/chart">
              <c:ext xmlns:c16="http://schemas.microsoft.com/office/drawing/2014/chart" uri="{C3380CC4-5D6E-409C-BE32-E72D297353CC}">
                <c16:uniqueId val="{00000135-095A-4C44-B8FC-B3FD1CB1C15B}"/>
              </c:ext>
            </c:extLst>
          </c:dPt>
          <c:dPt>
            <c:idx val="18"/>
            <c:bubble3D val="0"/>
            <c:spPr>
              <a:solidFill>
                <a:srgbClr val="CCFFCC"/>
              </a:solidFill>
              <a:ln w="12716">
                <a:solidFill>
                  <a:srgbClr val="000000"/>
                </a:solidFill>
                <a:prstDash val="solid"/>
              </a:ln>
            </c:spPr>
            <c:extLst xmlns:c16r2="http://schemas.microsoft.com/office/drawing/2015/06/chart">
              <c:ext xmlns:c16="http://schemas.microsoft.com/office/drawing/2014/chart" uri="{C3380CC4-5D6E-409C-BE32-E72D297353CC}">
                <c16:uniqueId val="{00000137-095A-4C44-B8FC-B3FD1CB1C15B}"/>
              </c:ext>
            </c:extLst>
          </c:dPt>
          <c:dPt>
            <c:idx val="19"/>
            <c:bubble3D val="0"/>
            <c:spPr>
              <a:solidFill>
                <a:srgbClr val="FFFF99"/>
              </a:solidFill>
              <a:ln w="12716">
                <a:solidFill>
                  <a:srgbClr val="000000"/>
                </a:solidFill>
                <a:prstDash val="solid"/>
              </a:ln>
            </c:spPr>
            <c:extLst xmlns:c16r2="http://schemas.microsoft.com/office/drawing/2015/06/chart">
              <c:ext xmlns:c16="http://schemas.microsoft.com/office/drawing/2014/chart" uri="{C3380CC4-5D6E-409C-BE32-E72D297353CC}">
                <c16:uniqueId val="{00000139-095A-4C44-B8FC-B3FD1CB1C15B}"/>
              </c:ext>
            </c:extLst>
          </c:dPt>
          <c:dPt>
            <c:idx val="20"/>
            <c:bubble3D val="0"/>
            <c:spPr>
              <a:solidFill>
                <a:srgbClr val="99CCFF"/>
              </a:solidFill>
              <a:ln w="12716">
                <a:solidFill>
                  <a:srgbClr val="000000"/>
                </a:solidFill>
                <a:prstDash val="solid"/>
              </a:ln>
            </c:spPr>
            <c:extLst xmlns:c16r2="http://schemas.microsoft.com/office/drawing/2015/06/chart">
              <c:ext xmlns:c16="http://schemas.microsoft.com/office/drawing/2014/chart" uri="{C3380CC4-5D6E-409C-BE32-E72D297353CC}">
                <c16:uniqueId val="{0000013B-095A-4C44-B8FC-B3FD1CB1C15B}"/>
              </c:ext>
            </c:extLst>
          </c:dPt>
          <c:dPt>
            <c:idx val="21"/>
            <c:bubble3D val="0"/>
            <c:spPr>
              <a:solidFill>
                <a:srgbClr val="FF99CC"/>
              </a:solidFill>
              <a:ln w="12716">
                <a:solidFill>
                  <a:srgbClr val="000000"/>
                </a:solidFill>
                <a:prstDash val="solid"/>
              </a:ln>
            </c:spPr>
            <c:extLst xmlns:c16r2="http://schemas.microsoft.com/office/drawing/2015/06/chart">
              <c:ext xmlns:c16="http://schemas.microsoft.com/office/drawing/2014/chart" uri="{C3380CC4-5D6E-409C-BE32-E72D297353CC}">
                <c16:uniqueId val="{0000013D-095A-4C44-B8FC-B3FD1CB1C15B}"/>
              </c:ext>
            </c:extLst>
          </c:dPt>
          <c:dPt>
            <c:idx val="22"/>
            <c:bubble3D val="0"/>
            <c:spPr>
              <a:solidFill>
                <a:srgbClr val="CC99FF"/>
              </a:solidFill>
              <a:ln w="12716">
                <a:solidFill>
                  <a:srgbClr val="000000"/>
                </a:solidFill>
                <a:prstDash val="solid"/>
              </a:ln>
            </c:spPr>
            <c:extLst xmlns:c16r2="http://schemas.microsoft.com/office/drawing/2015/06/chart">
              <c:ext xmlns:c16="http://schemas.microsoft.com/office/drawing/2014/chart" uri="{C3380CC4-5D6E-409C-BE32-E72D297353CC}">
                <c16:uniqueId val="{0000013F-095A-4C44-B8FC-B3FD1CB1C15B}"/>
              </c:ext>
            </c:extLst>
          </c:dPt>
          <c:cat>
            <c:strRef>
              <c:f>Sheet1!$B$1:$X$1</c:f>
              <c:strCache>
                <c:ptCount val="23"/>
                <c:pt idx="0">
                  <c:v>Furt calificat</c:v>
                </c:pt>
                <c:pt idx="1">
                  <c:v>Furt</c:v>
                </c:pt>
                <c:pt idx="2">
                  <c:v>Grup Criminal Organizat</c:v>
                </c:pt>
                <c:pt idx="3">
                  <c:v>Trafic de persoane</c:v>
                </c:pt>
                <c:pt idx="4">
                  <c:v>Conducere fără permis</c:v>
                </c:pt>
                <c:pt idx="5">
                  <c:v>Refuz recoltare probe biologice</c:v>
                </c:pt>
                <c:pt idx="6">
                  <c:v>Omor</c:v>
                </c:pt>
                <c:pt idx="7">
                  <c:v>Vătămare corporală gravă</c:v>
                </c:pt>
                <c:pt idx="8">
                  <c:v>Vătămare corporală din culpă</c:v>
                </c:pt>
                <c:pt idx="9">
                  <c:v>Act sexual cu un minor</c:v>
                </c:pt>
                <c:pt idx="10">
                  <c:v>Inselaciune</c:v>
                </c:pt>
                <c:pt idx="11">
                  <c:v>Falsificare acte oficiale</c:v>
                </c:pt>
                <c:pt idx="12">
                  <c:v>Omor </c:v>
                </c:pt>
                <c:pt idx="13">
                  <c:v>Talharie</c:v>
                </c:pt>
                <c:pt idx="14">
                  <c:v>Santaj</c:v>
                </c:pt>
                <c:pt idx="15">
                  <c:v>Uz de fals</c:v>
                </c:pt>
                <c:pt idx="16">
                  <c:v>Tentativa la omor</c:v>
                </c:pt>
                <c:pt idx="17">
                  <c:v>Abandonde familie</c:v>
                </c:pt>
                <c:pt idx="18">
                  <c:v>Spalarea de bani</c:v>
                </c:pt>
                <c:pt idx="19">
                  <c:v>Violare de domiciu</c:v>
                </c:pt>
                <c:pt idx="20">
                  <c:v>Lovire si alte violente</c:v>
                </c:pt>
                <c:pt idx="21">
                  <c:v>Fals privind identitatea</c:v>
                </c:pt>
                <c:pt idx="22">
                  <c:v>Complicitate la spalare de bani</c:v>
                </c:pt>
              </c:strCache>
            </c:strRef>
          </c:cat>
          <c:val>
            <c:numRef>
              <c:f>Sheet1!$B$8:$X$8</c:f>
              <c:numCache>
                <c:formatCode>General</c:formatCode>
                <c:ptCount val="23"/>
              </c:numCache>
            </c:numRef>
          </c:val>
          <c:extLst xmlns:c16r2="http://schemas.microsoft.com/office/drawing/2015/06/chart">
            <c:ext xmlns:c16="http://schemas.microsoft.com/office/drawing/2014/chart" uri="{C3380CC4-5D6E-409C-BE32-E72D297353CC}">
              <c16:uniqueId val="{00000140-095A-4C44-B8FC-B3FD1CB1C15B}"/>
            </c:ext>
          </c:extLst>
        </c:ser>
        <c:dLbls>
          <c:showLegendKey val="0"/>
          <c:showVal val="0"/>
          <c:showCatName val="0"/>
          <c:showSerName val="0"/>
          <c:showPercent val="0"/>
          <c:showBubbleSize val="0"/>
          <c:showLeaderLines val="1"/>
        </c:dLbls>
        <c:firstSliceAng val="0"/>
      </c:pieChart>
      <c:spPr>
        <a:solidFill>
          <a:srgbClr val="C0C0C0"/>
        </a:solidFill>
        <a:ln w="12716">
          <a:solidFill>
            <a:srgbClr val="808080"/>
          </a:solidFill>
          <a:prstDash val="solid"/>
        </a:ln>
      </c:spPr>
    </c:plotArea>
    <c:legend>
      <c:legendPos val="r"/>
      <c:layout>
        <c:manualLayout>
          <c:xMode val="edge"/>
          <c:yMode val="edge"/>
          <c:x val="5.016722408026756E-2"/>
          <c:y val="0"/>
          <c:w val="0.89632107023411367"/>
          <c:h val="0.25"/>
        </c:manualLayout>
      </c:layout>
      <c:overlay val="0"/>
      <c:spPr>
        <a:noFill/>
        <a:ln w="3179">
          <a:solidFill>
            <a:srgbClr val="000000"/>
          </a:solidFill>
          <a:prstDash val="solid"/>
        </a:ln>
      </c:spPr>
      <c:txPr>
        <a:bodyPr/>
        <a:lstStyle/>
        <a:p>
          <a:pPr>
            <a:defRPr sz="736" b="1" i="0" u="none" strike="noStrike" baseline="0">
              <a:solidFill>
                <a:srgbClr val="000000"/>
              </a:solidFill>
              <a:latin typeface="+mn-lt"/>
              <a:ea typeface="Times New Roman"/>
              <a:cs typeface="Times New Roman"/>
            </a:defRPr>
          </a:pPr>
          <a:endParaRPr lang="ro-RO"/>
        </a:p>
      </c:txPr>
    </c:legend>
    <c:plotVisOnly val="1"/>
    <c:dispBlanksAs val="zero"/>
    <c:showDLblsOverMax val="0"/>
  </c:chart>
  <c:spPr>
    <a:noFill/>
    <a:ln>
      <a:noFill/>
    </a:ln>
  </c:spPr>
  <c:txPr>
    <a:bodyPr/>
    <a:lstStyle/>
    <a:p>
      <a:pPr>
        <a:defRPr sz="801" b="1" i="0" u="none" strike="noStrike" baseline="0">
          <a:solidFill>
            <a:srgbClr val="000000"/>
          </a:solidFill>
          <a:latin typeface="Arial"/>
          <a:ea typeface="Arial"/>
          <a:cs typeface="Arial"/>
        </a:defRPr>
      </a:pPr>
      <a:endParaRPr lang="ro-R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0" b="1" i="0" u="none" strike="noStrike" baseline="0">
                <a:solidFill>
                  <a:srgbClr val="000000"/>
                </a:solidFill>
                <a:latin typeface="+mn-lt"/>
                <a:ea typeface="Garamond"/>
                <a:cs typeface="Garamond"/>
              </a:defRPr>
            </a:pPr>
            <a:r>
              <a:rPr lang="en-US">
                <a:latin typeface="+mn-lt"/>
              </a:rPr>
              <a:t>Volum de activitate la nivelul parchetelor în 2017 - dosare penale de soluţionat</a:t>
            </a:r>
          </a:p>
        </c:rich>
      </c:tx>
      <c:layout>
        <c:manualLayout>
          <c:xMode val="edge"/>
          <c:yMode val="edge"/>
          <c:x val="0.13745271122320304"/>
          <c:y val="0"/>
        </c:manualLayout>
      </c:layout>
      <c:overlay val="0"/>
      <c:spPr>
        <a:noFill/>
        <a:ln w="25289">
          <a:noFill/>
        </a:ln>
      </c:spPr>
    </c:title>
    <c:autoTitleDeleted val="0"/>
    <c:plotArea>
      <c:layout>
        <c:manualLayout>
          <c:layoutTarget val="inner"/>
          <c:xMode val="edge"/>
          <c:yMode val="edge"/>
          <c:x val="0.15636822194199243"/>
          <c:y val="0.25163398692810462"/>
          <c:w val="0.28877679697351827"/>
          <c:h val="0.74836601307189543"/>
        </c:manualLayout>
      </c:layout>
      <c:pieChart>
        <c:varyColors val="1"/>
        <c:ser>
          <c:idx val="0"/>
          <c:order val="0"/>
          <c:tx>
            <c:strRef>
              <c:f>Sheet1!$A$2</c:f>
              <c:strCache>
                <c:ptCount val="1"/>
                <c:pt idx="0">
                  <c:v>Volum de dosare de solutionat</c:v>
                </c:pt>
              </c:strCache>
            </c:strRef>
          </c:tx>
          <c:spPr>
            <a:solidFill>
              <a:srgbClr val="9999FF"/>
            </a:solidFill>
            <a:ln w="12645">
              <a:solidFill>
                <a:srgbClr val="000000"/>
              </a:solidFill>
              <a:prstDash val="solid"/>
            </a:ln>
          </c:spPr>
          <c:explosion val="25"/>
          <c:dPt>
            <c:idx val="0"/>
            <c:bubble3D val="0"/>
            <c:extLst xmlns:c16r2="http://schemas.microsoft.com/office/drawing/2015/06/chart">
              <c:ext xmlns:c16="http://schemas.microsoft.com/office/drawing/2014/chart" uri="{C3380CC4-5D6E-409C-BE32-E72D297353CC}">
                <c16:uniqueId val="{00000000-3FC6-4279-ABAF-0417DAD4E5BE}"/>
              </c:ext>
            </c:extLst>
          </c:dPt>
          <c:dPt>
            <c:idx val="1"/>
            <c:bubble3D val="0"/>
            <c:spPr>
              <a:solidFill>
                <a:srgbClr val="993366"/>
              </a:solidFill>
              <a:ln w="12645">
                <a:solidFill>
                  <a:srgbClr val="000000"/>
                </a:solidFill>
                <a:prstDash val="solid"/>
              </a:ln>
            </c:spPr>
            <c:extLst xmlns:c16r2="http://schemas.microsoft.com/office/drawing/2015/06/chart">
              <c:ext xmlns:c16="http://schemas.microsoft.com/office/drawing/2014/chart" uri="{C3380CC4-5D6E-409C-BE32-E72D297353CC}">
                <c16:uniqueId val="{00000002-3FC6-4279-ABAF-0417DAD4E5BE}"/>
              </c:ext>
            </c:extLst>
          </c:dPt>
          <c:dPt>
            <c:idx val="2"/>
            <c:bubble3D val="0"/>
            <c:spPr>
              <a:solidFill>
                <a:srgbClr val="FFFFCC"/>
              </a:solidFill>
              <a:ln w="12645">
                <a:solidFill>
                  <a:srgbClr val="000000"/>
                </a:solidFill>
                <a:prstDash val="solid"/>
              </a:ln>
            </c:spPr>
            <c:extLst xmlns:c16r2="http://schemas.microsoft.com/office/drawing/2015/06/chart">
              <c:ext xmlns:c16="http://schemas.microsoft.com/office/drawing/2014/chart" uri="{C3380CC4-5D6E-409C-BE32-E72D297353CC}">
                <c16:uniqueId val="{00000004-3FC6-4279-ABAF-0417DAD4E5BE}"/>
              </c:ext>
            </c:extLst>
          </c:dPt>
          <c:dPt>
            <c:idx val="3"/>
            <c:bubble3D val="0"/>
            <c:spPr>
              <a:solidFill>
                <a:srgbClr val="CCFFFF"/>
              </a:solidFill>
              <a:ln w="12645">
                <a:solidFill>
                  <a:srgbClr val="000000"/>
                </a:solidFill>
                <a:prstDash val="solid"/>
              </a:ln>
            </c:spPr>
            <c:extLst xmlns:c16r2="http://schemas.microsoft.com/office/drawing/2015/06/chart">
              <c:ext xmlns:c16="http://schemas.microsoft.com/office/drawing/2014/chart" uri="{C3380CC4-5D6E-409C-BE32-E72D297353CC}">
                <c16:uniqueId val="{00000006-3FC6-4279-ABAF-0417DAD4E5BE}"/>
              </c:ext>
            </c:extLst>
          </c:dPt>
          <c:dLbls>
            <c:dLbl>
              <c:idx val="0"/>
              <c:layout>
                <c:manualLayout>
                  <c:x val="0.1329314963643321"/>
                  <c:y val="-0.13802938103140927"/>
                </c:manualLayout>
              </c:layout>
              <c:numFmt formatCode="0.0%" sourceLinked="0"/>
              <c:spPr>
                <a:noFill/>
                <a:ln w="25289">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3FC6-4279-ABAF-0417DAD4E5BE}"/>
                </c:ext>
                <c:ext xmlns:c15="http://schemas.microsoft.com/office/drawing/2012/chart" uri="{CE6537A1-D6FC-4f65-9D91-7224C49458BB}"/>
              </c:extLst>
            </c:dLbl>
            <c:dLbl>
              <c:idx val="1"/>
              <c:layout>
                <c:manualLayout>
                  <c:x val="-2.1862883052409465E-2"/>
                  <c:y val="-2.8850071364166313E-2"/>
                </c:manualLayout>
              </c:layout>
              <c:numFmt formatCode="0.0%" sourceLinked="0"/>
              <c:spPr>
                <a:noFill/>
                <a:ln w="25289">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3FC6-4279-ABAF-0417DAD4E5BE}"/>
                </c:ext>
                <c:ext xmlns:c15="http://schemas.microsoft.com/office/drawing/2012/chart" uri="{CE6537A1-D6FC-4f65-9D91-7224C49458BB}"/>
              </c:extLst>
            </c:dLbl>
            <c:dLbl>
              <c:idx val="2"/>
              <c:layout>
                <c:manualLayout>
                  <c:x val="1.708456995965979E-2"/>
                  <c:y val="-8.6902090170685148E-2"/>
                </c:manualLayout>
              </c:layout>
              <c:numFmt formatCode="0.0%" sourceLinked="0"/>
              <c:spPr>
                <a:noFill/>
                <a:ln w="25289">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3FC6-4279-ABAF-0417DAD4E5BE}"/>
                </c:ext>
                <c:ext xmlns:c15="http://schemas.microsoft.com/office/drawing/2012/chart" uri="{CE6537A1-D6FC-4f65-9D91-7224C49458BB}"/>
              </c:extLst>
            </c:dLbl>
            <c:dLbl>
              <c:idx val="3"/>
              <c:layout>
                <c:manualLayout>
                  <c:x val="7.4143793474169828E-2"/>
                  <c:y val="-3.3103769321846027E-2"/>
                </c:manualLayout>
              </c:layout>
              <c:numFmt formatCode="0.0%" sourceLinked="0"/>
              <c:spPr>
                <a:noFill/>
                <a:ln w="25289">
                  <a:noFill/>
                </a:ln>
              </c:spPr>
              <c:txPr>
                <a:bodyPr/>
                <a:lstStyle/>
                <a:p>
                  <a:pPr>
                    <a:defRPr sz="1195" b="1" i="0" u="none" strike="noStrike" baseline="0">
                      <a:solidFill>
                        <a:srgbClr val="000000"/>
                      </a:solidFill>
                      <a:latin typeface="Arial"/>
                      <a:ea typeface="Arial"/>
                      <a:cs typeface="Arial"/>
                    </a:defRPr>
                  </a:pPr>
                  <a:endParaRPr lang="ro-RO"/>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3FC6-4279-ABAF-0417DAD4E5BE}"/>
                </c:ext>
                <c:ext xmlns:c15="http://schemas.microsoft.com/office/drawing/2012/chart" uri="{CE6537A1-D6FC-4f65-9D91-7224C49458BB}"/>
              </c:extLst>
            </c:dLbl>
            <c:numFmt formatCode="0.0%" sourceLinked="0"/>
            <c:spPr>
              <a:noFill/>
              <a:ln w="25289">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Parchetele de pe lângă judecătorii</c:v>
                </c:pt>
                <c:pt idx="1">
                  <c:v>Parchetele de pe lângă tribunale</c:v>
                </c:pt>
                <c:pt idx="2">
                  <c:v>Parchetele de pe lângă curţile de apel</c:v>
                </c:pt>
                <c:pt idx="3">
                  <c:v>P.I.C.C.J</c:v>
                </c:pt>
              </c:strCache>
            </c:strRef>
          </c:cat>
          <c:val>
            <c:numRef>
              <c:f>Sheet1!$B$2:$E$2</c:f>
              <c:numCache>
                <c:formatCode>General</c:formatCode>
                <c:ptCount val="4"/>
                <c:pt idx="0">
                  <c:v>1613212</c:v>
                </c:pt>
                <c:pt idx="1">
                  <c:v>81888</c:v>
                </c:pt>
                <c:pt idx="2">
                  <c:v>15770</c:v>
                </c:pt>
                <c:pt idx="3" formatCode="0">
                  <c:v>41197</c:v>
                </c:pt>
              </c:numCache>
            </c:numRef>
          </c:val>
          <c:extLst xmlns:c16r2="http://schemas.microsoft.com/office/drawing/2015/06/chart">
            <c:ext xmlns:c16="http://schemas.microsoft.com/office/drawing/2014/chart" uri="{C3380CC4-5D6E-409C-BE32-E72D297353CC}">
              <c16:uniqueId val="{00000007-3FC6-4279-ABAF-0417DAD4E5BE}"/>
            </c:ext>
          </c:extLst>
        </c:ser>
        <c:dLbls>
          <c:showLegendKey val="0"/>
          <c:showVal val="0"/>
          <c:showCatName val="0"/>
          <c:showSerName val="0"/>
          <c:showPercent val="1"/>
          <c:showBubbleSize val="0"/>
          <c:showLeaderLines val="1"/>
        </c:dLbls>
        <c:firstSliceAng val="0"/>
      </c:pieChart>
      <c:spPr>
        <a:solidFill>
          <a:srgbClr val="C0C0C0"/>
        </a:solidFill>
        <a:ln w="12645">
          <a:solidFill>
            <a:srgbClr val="808080"/>
          </a:solidFill>
          <a:prstDash val="solid"/>
        </a:ln>
      </c:spPr>
    </c:plotArea>
    <c:legend>
      <c:legendPos val="r"/>
      <c:layout>
        <c:manualLayout>
          <c:xMode val="edge"/>
          <c:yMode val="edge"/>
          <c:x val="0.6633039092055486"/>
          <c:y val="0.23529411764705882"/>
          <c:w val="0.33669609079445145"/>
          <c:h val="0.42156862745098034"/>
        </c:manualLayout>
      </c:layout>
      <c:overlay val="0"/>
      <c:spPr>
        <a:noFill/>
        <a:ln w="3161">
          <a:solidFill>
            <a:srgbClr val="000000"/>
          </a:solidFill>
          <a:prstDash val="solid"/>
        </a:ln>
      </c:spPr>
      <c:txPr>
        <a:bodyPr/>
        <a:lstStyle/>
        <a:p>
          <a:pPr>
            <a:defRPr sz="801" b="1" i="0" u="none" strike="noStrike" baseline="0">
              <a:solidFill>
                <a:srgbClr val="000000"/>
              </a:solidFill>
              <a:latin typeface="+mn-lt"/>
              <a:ea typeface="Arial"/>
              <a:cs typeface="Arial"/>
            </a:defRPr>
          </a:pPr>
          <a:endParaRPr lang="ro-RO"/>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1070" b="1" i="0" u="none" strike="noStrike" baseline="0">
          <a:solidFill>
            <a:srgbClr val="000000"/>
          </a:solidFill>
          <a:latin typeface="Arial"/>
          <a:ea typeface="Arial"/>
          <a:cs typeface="Arial"/>
        </a:defRPr>
      </a:pPr>
      <a:endParaRPr lang="ro-R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5027322404371584E-2"/>
          <c:y val="3.5087719298245612E-2"/>
          <c:w val="0.85655737704918034"/>
          <c:h val="0.73684210526315796"/>
        </c:manualLayout>
      </c:layout>
      <c:bar3DChart>
        <c:barDir val="col"/>
        <c:grouping val="clustered"/>
        <c:varyColors val="0"/>
        <c:ser>
          <c:idx val="3"/>
          <c:order val="0"/>
          <c:tx>
            <c:strRef>
              <c:f>Sheet1!$A$2</c:f>
              <c:strCache>
                <c:ptCount val="1"/>
                <c:pt idx="0">
                  <c:v>2017</c:v>
                </c:pt>
              </c:strCache>
            </c:strRef>
          </c:tx>
          <c:spPr>
            <a:solidFill>
              <a:srgbClr val="CCFFFF"/>
            </a:solidFill>
            <a:ln w="12645">
              <a:solidFill>
                <a:srgbClr val="000000"/>
              </a:solidFill>
              <a:prstDash val="solid"/>
            </a:ln>
          </c:spPr>
          <c:invertIfNegative val="0"/>
          <c:dLbls>
            <c:dLbl>
              <c:idx val="0"/>
              <c:layout>
                <c:manualLayout>
                  <c:x val="5.9511625594602102E-3"/>
                  <c:y val="-3.3774968269811412E-2"/>
                </c:manualLayout>
              </c:layout>
              <c:spPr>
                <a:noFill/>
                <a:ln w="25290">
                  <a:noFill/>
                </a:ln>
              </c:spPr>
              <c:txPr>
                <a:bodyPr/>
                <a:lstStyle/>
                <a:p>
                  <a:pPr>
                    <a:defRPr sz="144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832-4936-B428-289A23548F6B}"/>
                </c:ext>
                <c:ext xmlns:c15="http://schemas.microsoft.com/office/drawing/2012/chart" uri="{CE6537A1-D6FC-4f65-9D91-7224C49458BB}"/>
              </c:extLst>
            </c:dLbl>
            <c:dLbl>
              <c:idx val="1"/>
              <c:layout>
                <c:manualLayout>
                  <c:x val="-2.8453130498771073E-2"/>
                  <c:y val="-5.5147100311497832E-3"/>
                </c:manualLayout>
              </c:layout>
              <c:spPr>
                <a:noFill/>
                <a:ln w="25290">
                  <a:noFill/>
                </a:ln>
              </c:spPr>
              <c:txPr>
                <a:bodyPr/>
                <a:lstStyle/>
                <a:p>
                  <a:pPr>
                    <a:defRPr sz="144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832-4936-B428-289A23548F6B}"/>
                </c:ext>
                <c:ext xmlns:c15="http://schemas.microsoft.com/office/drawing/2012/chart" uri="{CE6537A1-D6FC-4f65-9D91-7224C49458BB}"/>
              </c:extLst>
            </c:dLbl>
            <c:dLbl>
              <c:idx val="2"/>
              <c:layout>
                <c:manualLayout>
                  <c:x val="-5.4801977500312793E-3"/>
                  <c:y val="-3.5734353628331661E-2"/>
                </c:manualLayout>
              </c:layout>
              <c:spPr>
                <a:noFill/>
                <a:ln w="25290">
                  <a:noFill/>
                </a:ln>
              </c:spPr>
              <c:txPr>
                <a:bodyPr/>
                <a:lstStyle/>
                <a:p>
                  <a:pPr>
                    <a:defRPr sz="144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832-4936-B428-289A23548F6B}"/>
                </c:ext>
                <c:ext xmlns:c15="http://schemas.microsoft.com/office/drawing/2012/chart" uri="{CE6537A1-D6FC-4f65-9D91-7224C49458BB}"/>
              </c:extLst>
            </c:dLbl>
            <c:spPr>
              <a:noFill/>
              <a:ln w="25290">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Sheet1!$B$2:$D$2</c:f>
              <c:numCache>
                <c:formatCode>General</c:formatCode>
                <c:ptCount val="3"/>
                <c:pt idx="0">
                  <c:v>1</c:v>
                </c:pt>
                <c:pt idx="1">
                  <c:v>5</c:v>
                </c:pt>
                <c:pt idx="2">
                  <c:v>9</c:v>
                </c:pt>
              </c:numCache>
            </c:numRef>
          </c:val>
          <c:extLst xmlns:c16r2="http://schemas.microsoft.com/office/drawing/2015/06/chart">
            <c:ext xmlns:c16="http://schemas.microsoft.com/office/drawing/2014/chart" uri="{C3380CC4-5D6E-409C-BE32-E72D297353CC}">
              <c16:uniqueId val="{00000003-B832-4936-B428-289A23548F6B}"/>
            </c:ext>
          </c:extLst>
        </c:ser>
        <c:ser>
          <c:idx val="1"/>
          <c:order val="1"/>
          <c:tx>
            <c:strRef>
              <c:f>Sheet1!$A$3</c:f>
              <c:strCache>
                <c:ptCount val="1"/>
                <c:pt idx="0">
                  <c:v>2016</c:v>
                </c:pt>
              </c:strCache>
            </c:strRef>
          </c:tx>
          <c:spPr>
            <a:solidFill>
              <a:srgbClr val="993366"/>
            </a:solidFill>
            <a:ln w="12645">
              <a:solidFill>
                <a:srgbClr val="000000"/>
              </a:solidFill>
              <a:prstDash val="solid"/>
            </a:ln>
          </c:spPr>
          <c:invertIfNegative val="0"/>
          <c:dLbls>
            <c:dLbl>
              <c:idx val="0"/>
              <c:layout>
                <c:manualLayout>
                  <c:x val="1.6485239253528322E-2"/>
                  <c:y val="-3.2582315275824003E-2"/>
                </c:manualLayout>
              </c:layout>
              <c:spPr>
                <a:noFill/>
                <a:ln w="25290">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832-4936-B428-289A23548F6B}"/>
                </c:ext>
                <c:ext xmlns:c15="http://schemas.microsoft.com/office/drawing/2012/chart" uri="{CE6537A1-D6FC-4f65-9D91-7224C49458BB}"/>
              </c:extLst>
            </c:dLbl>
            <c:dLbl>
              <c:idx val="2"/>
              <c:layout>
                <c:manualLayout>
                  <c:x val="1.0518183191710606E-2"/>
                  <c:y val="-8.9121107822975054E-2"/>
                </c:manualLayout>
              </c:layout>
              <c:spPr>
                <a:noFill/>
                <a:ln w="25290">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832-4936-B428-289A23548F6B}"/>
                </c:ext>
                <c:ext xmlns:c15="http://schemas.microsoft.com/office/drawing/2012/chart" uri="{CE6537A1-D6FC-4f65-9D91-7224C49458BB}"/>
              </c:extLst>
            </c:dLbl>
            <c:spPr>
              <a:noFill/>
              <a:ln w="25290">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Sheet1!$B$3:$D$3</c:f>
              <c:numCache>
                <c:formatCode>General</c:formatCode>
                <c:ptCount val="3"/>
                <c:pt idx="0">
                  <c:v>1</c:v>
                </c:pt>
                <c:pt idx="1">
                  <c:v>6</c:v>
                </c:pt>
                <c:pt idx="2">
                  <c:v>8</c:v>
                </c:pt>
              </c:numCache>
            </c:numRef>
          </c:val>
          <c:extLst xmlns:c16r2="http://schemas.microsoft.com/office/drawing/2015/06/chart">
            <c:ext xmlns:c16="http://schemas.microsoft.com/office/drawing/2014/chart" uri="{C3380CC4-5D6E-409C-BE32-E72D297353CC}">
              <c16:uniqueId val="{00000006-B832-4936-B428-289A23548F6B}"/>
            </c:ext>
          </c:extLst>
        </c:ser>
        <c:ser>
          <c:idx val="2"/>
          <c:order val="2"/>
          <c:tx>
            <c:strRef>
              <c:f>Sheet1!$A$4</c:f>
              <c:strCache>
                <c:ptCount val="1"/>
                <c:pt idx="0">
                  <c:v>2015</c:v>
                </c:pt>
              </c:strCache>
            </c:strRef>
          </c:tx>
          <c:spPr>
            <a:solidFill>
              <a:srgbClr val="FFFFCC"/>
            </a:solidFill>
            <a:ln w="12645">
              <a:solidFill>
                <a:srgbClr val="000000"/>
              </a:solidFill>
              <a:prstDash val="solid"/>
            </a:ln>
          </c:spPr>
          <c:invertIfNegative val="0"/>
          <c:dLbls>
            <c:dLbl>
              <c:idx val="0"/>
              <c:layout>
                <c:manualLayout>
                  <c:x val="2.0376025961915956E-2"/>
                  <c:y val="-3.8430268492198216E-2"/>
                </c:manualLayout>
              </c:layout>
              <c:spPr>
                <a:noFill/>
                <a:ln w="25290">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832-4936-B428-289A23548F6B}"/>
                </c:ext>
                <c:ext xmlns:c15="http://schemas.microsoft.com/office/drawing/2012/chart" uri="{CE6537A1-D6FC-4f65-9D91-7224C49458BB}"/>
              </c:extLst>
            </c:dLbl>
            <c:dLbl>
              <c:idx val="2"/>
              <c:layout>
                <c:manualLayout>
                  <c:x val="1.0310609244360447E-2"/>
                  <c:y val="-6.6701714176017113E-2"/>
                </c:manualLayout>
              </c:layout>
              <c:spPr>
                <a:noFill/>
                <a:ln w="25290">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832-4936-B428-289A23548F6B}"/>
                </c:ext>
                <c:ext xmlns:c15="http://schemas.microsoft.com/office/drawing/2012/chart" uri="{CE6537A1-D6FC-4f65-9D91-7224C49458BB}"/>
              </c:extLst>
            </c:dLbl>
            <c:spPr>
              <a:noFill/>
              <a:ln w="25290">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Sheet1!$B$4:$D$4</c:f>
              <c:numCache>
                <c:formatCode>General</c:formatCode>
                <c:ptCount val="3"/>
                <c:pt idx="0">
                  <c:v>1</c:v>
                </c:pt>
                <c:pt idx="1">
                  <c:v>8</c:v>
                </c:pt>
                <c:pt idx="2">
                  <c:v>6</c:v>
                </c:pt>
              </c:numCache>
            </c:numRef>
          </c:val>
          <c:extLst xmlns:c16r2="http://schemas.microsoft.com/office/drawing/2015/06/chart">
            <c:ext xmlns:c16="http://schemas.microsoft.com/office/drawing/2014/chart" uri="{C3380CC4-5D6E-409C-BE32-E72D297353CC}">
              <c16:uniqueId val="{00000009-B832-4936-B428-289A23548F6B}"/>
            </c:ext>
          </c:extLst>
        </c:ser>
        <c:dLbls>
          <c:showLegendKey val="0"/>
          <c:showVal val="1"/>
          <c:showCatName val="0"/>
          <c:showSerName val="0"/>
          <c:showPercent val="0"/>
          <c:showBubbleSize val="0"/>
        </c:dLbls>
        <c:gapWidth val="150"/>
        <c:gapDepth val="0"/>
        <c:shape val="box"/>
        <c:axId val="338374048"/>
        <c:axId val="338371696"/>
        <c:axId val="0"/>
      </c:bar3DChart>
      <c:catAx>
        <c:axId val="338374048"/>
        <c:scaling>
          <c:orientation val="minMax"/>
        </c:scaling>
        <c:delete val="0"/>
        <c:axPos val="b"/>
        <c:numFmt formatCode="General" sourceLinked="1"/>
        <c:majorTickMark val="out"/>
        <c:minorTickMark val="none"/>
        <c:tickLblPos val="low"/>
        <c:spPr>
          <a:ln w="3161">
            <a:solidFill>
              <a:srgbClr val="000000"/>
            </a:solidFill>
            <a:prstDash val="solid"/>
          </a:ln>
        </c:spPr>
        <c:txPr>
          <a:bodyPr rot="0" vert="horz"/>
          <a:lstStyle/>
          <a:p>
            <a:pPr>
              <a:defRPr sz="1195" b="1" i="0" u="none" strike="noStrike" baseline="0">
                <a:solidFill>
                  <a:srgbClr val="000000"/>
                </a:solidFill>
                <a:latin typeface="Arial"/>
                <a:ea typeface="Arial"/>
                <a:cs typeface="Arial"/>
              </a:defRPr>
            </a:pPr>
            <a:endParaRPr lang="ro-RO"/>
          </a:p>
        </c:txPr>
        <c:crossAx val="338371696"/>
        <c:crosses val="autoZero"/>
        <c:auto val="1"/>
        <c:lblAlgn val="ctr"/>
        <c:lblOffset val="100"/>
        <c:tickLblSkip val="1"/>
        <c:tickMarkSkip val="1"/>
        <c:noMultiLvlLbl val="0"/>
      </c:catAx>
      <c:valAx>
        <c:axId val="338371696"/>
        <c:scaling>
          <c:orientation val="minMax"/>
        </c:scaling>
        <c:delete val="1"/>
        <c:axPos val="l"/>
        <c:numFmt formatCode="General" sourceLinked="1"/>
        <c:majorTickMark val="out"/>
        <c:minorTickMark val="none"/>
        <c:tickLblPos val="nextTo"/>
        <c:crossAx val="338374048"/>
        <c:crosses val="autoZero"/>
        <c:crossBetween val="between"/>
      </c:valAx>
      <c:spPr>
        <a:noFill/>
        <a:ln w="25290">
          <a:noFill/>
        </a:ln>
      </c:spPr>
    </c:plotArea>
    <c:legend>
      <c:legendPos val="r"/>
      <c:layout>
        <c:manualLayout>
          <c:xMode val="edge"/>
          <c:yMode val="edge"/>
          <c:x val="0.88524590163934436"/>
          <c:y val="4.0935672514619881E-2"/>
          <c:w val="0.10245901639344263"/>
          <c:h val="0.25730994152046782"/>
        </c:manualLayout>
      </c:layout>
      <c:overlay val="0"/>
      <c:spPr>
        <a:noFill/>
        <a:ln w="3161">
          <a:solidFill>
            <a:srgbClr val="000000"/>
          </a:solidFill>
          <a:prstDash val="solid"/>
        </a:ln>
      </c:spPr>
      <c:txPr>
        <a:bodyPr/>
        <a:lstStyle/>
        <a:p>
          <a:pPr>
            <a:defRPr sz="1095" b="1" i="0" u="none" strike="noStrike" baseline="0">
              <a:solidFill>
                <a:srgbClr val="000000"/>
              </a:solidFill>
              <a:latin typeface="Arial"/>
              <a:ea typeface="Arial"/>
              <a:cs typeface="Arial"/>
            </a:defRPr>
          </a:pPr>
          <a:endParaRPr lang="ro-RO"/>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195" b="1" i="0" u="none" strike="noStrike" baseline="0">
          <a:solidFill>
            <a:srgbClr val="000000"/>
          </a:solidFill>
          <a:latin typeface="Arial"/>
          <a:ea typeface="Arial"/>
          <a:cs typeface="Arial"/>
        </a:defRPr>
      </a:pPr>
      <a:endParaRPr lang="ro-R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3140604467805518E-2"/>
          <c:y val="2.8571428571428571E-2"/>
          <c:w val="0.8659658344283836"/>
          <c:h val="0.75142857142857145"/>
        </c:manualLayout>
      </c:layout>
      <c:bar3DChart>
        <c:barDir val="col"/>
        <c:grouping val="clustered"/>
        <c:varyColors val="0"/>
        <c:ser>
          <c:idx val="3"/>
          <c:order val="0"/>
          <c:tx>
            <c:strRef>
              <c:f>Sheet1!$A$2</c:f>
              <c:strCache>
                <c:ptCount val="1"/>
                <c:pt idx="0">
                  <c:v>2017</c:v>
                </c:pt>
              </c:strCache>
            </c:strRef>
          </c:tx>
          <c:spPr>
            <a:solidFill>
              <a:srgbClr val="CCFFFF"/>
            </a:solidFill>
            <a:ln w="12651">
              <a:solidFill>
                <a:srgbClr val="000000"/>
              </a:solidFill>
              <a:prstDash val="solid"/>
            </a:ln>
          </c:spPr>
          <c:invertIfNegative val="0"/>
          <c:dLbls>
            <c:dLbl>
              <c:idx val="1"/>
              <c:layout>
                <c:manualLayout>
                  <c:x val="2.1407540068940634E-4"/>
                  <c:y val="-1.6781631634888619E-2"/>
                </c:manualLayout>
              </c:layout>
              <c:spPr>
                <a:noFill/>
                <a:ln w="25302">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E59-4210-8D9C-8EC7455882FD}"/>
                </c:ext>
                <c:ext xmlns:c15="http://schemas.microsoft.com/office/drawing/2012/chart" uri="{CE6537A1-D6FC-4f65-9D91-7224C49458BB}"/>
              </c:extLst>
            </c:dLbl>
            <c:dLbl>
              <c:idx val="2"/>
              <c:layout>
                <c:manualLayout>
                  <c:x val="7.0490804069786028E-3"/>
                  <c:y val="-2.4340480167251877E-2"/>
                </c:manualLayout>
              </c:layout>
              <c:spPr>
                <a:noFill/>
                <a:ln w="25302">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E59-4210-8D9C-8EC7455882FD}"/>
                </c:ext>
                <c:ext xmlns:c15="http://schemas.microsoft.com/office/drawing/2012/chart" uri="{CE6537A1-D6FC-4f65-9D91-7224C49458BB}"/>
              </c:extLst>
            </c:dLbl>
            <c:spPr>
              <a:noFill/>
              <a:ln w="25302">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Sheet1!$B$2:$D$2</c:f>
              <c:numCache>
                <c:formatCode>General</c:formatCode>
                <c:ptCount val="3"/>
                <c:pt idx="0">
                  <c:v>6</c:v>
                </c:pt>
                <c:pt idx="1">
                  <c:v>33</c:v>
                </c:pt>
                <c:pt idx="2">
                  <c:v>4</c:v>
                </c:pt>
              </c:numCache>
            </c:numRef>
          </c:val>
          <c:extLst xmlns:c16r2="http://schemas.microsoft.com/office/drawing/2015/06/chart">
            <c:ext xmlns:c16="http://schemas.microsoft.com/office/drawing/2014/chart" uri="{C3380CC4-5D6E-409C-BE32-E72D297353CC}">
              <c16:uniqueId val="{00000002-8E59-4210-8D9C-8EC7455882FD}"/>
            </c:ext>
          </c:extLst>
        </c:ser>
        <c:ser>
          <c:idx val="1"/>
          <c:order val="1"/>
          <c:tx>
            <c:strRef>
              <c:f>Sheet1!$A$3</c:f>
              <c:strCache>
                <c:ptCount val="1"/>
                <c:pt idx="0">
                  <c:v>2016</c:v>
                </c:pt>
              </c:strCache>
            </c:strRef>
          </c:tx>
          <c:spPr>
            <a:solidFill>
              <a:srgbClr val="993366"/>
            </a:solidFill>
            <a:ln w="12651">
              <a:solidFill>
                <a:srgbClr val="000000"/>
              </a:solidFill>
              <a:prstDash val="solid"/>
            </a:ln>
          </c:spPr>
          <c:invertIfNegative val="0"/>
          <c:dLbls>
            <c:dLbl>
              <c:idx val="1"/>
              <c:layout>
                <c:manualLayout>
                  <c:x val="2.304911712161184E-3"/>
                  <c:y val="-1.7592170813359065E-2"/>
                </c:manualLayout>
              </c:layout>
              <c:spPr>
                <a:noFill/>
                <a:ln w="25302">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E59-4210-8D9C-8EC7455882FD}"/>
                </c:ext>
                <c:ext xmlns:c15="http://schemas.microsoft.com/office/drawing/2012/chart" uri="{CE6537A1-D6FC-4f65-9D91-7224C49458BB}"/>
              </c:extLst>
            </c:dLbl>
            <c:dLbl>
              <c:idx val="2"/>
              <c:layout>
                <c:manualLayout>
                  <c:x val="9.1399167184503805E-3"/>
                  <c:y val="-2.7035370578677775E-2"/>
                </c:manualLayout>
              </c:layout>
              <c:spPr>
                <a:noFill/>
                <a:ln w="25302">
                  <a:noFill/>
                </a:ln>
              </c:spPr>
              <c:txPr>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E59-4210-8D9C-8EC7455882FD}"/>
                </c:ext>
                <c:ext xmlns:c15="http://schemas.microsoft.com/office/drawing/2012/chart" uri="{CE6537A1-D6FC-4f65-9D91-7224C49458BB}"/>
              </c:extLst>
            </c:dLbl>
            <c:spPr>
              <a:noFill/>
              <a:ln w="25302">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Sheet1!$B$3:$D$3</c:f>
              <c:numCache>
                <c:formatCode>General</c:formatCode>
                <c:ptCount val="3"/>
                <c:pt idx="0">
                  <c:v>10</c:v>
                </c:pt>
                <c:pt idx="1">
                  <c:v>28</c:v>
                </c:pt>
                <c:pt idx="2">
                  <c:v>5</c:v>
                </c:pt>
              </c:numCache>
            </c:numRef>
          </c:val>
          <c:extLst xmlns:c16r2="http://schemas.microsoft.com/office/drawing/2015/06/chart">
            <c:ext xmlns:c16="http://schemas.microsoft.com/office/drawing/2014/chart" uri="{C3380CC4-5D6E-409C-BE32-E72D297353CC}">
              <c16:uniqueId val="{00000005-8E59-4210-8D9C-8EC7455882FD}"/>
            </c:ext>
          </c:extLst>
        </c:ser>
        <c:ser>
          <c:idx val="2"/>
          <c:order val="2"/>
          <c:tx>
            <c:strRef>
              <c:f>Sheet1!$A$4</c:f>
              <c:strCache>
                <c:ptCount val="1"/>
                <c:pt idx="0">
                  <c:v>2015</c:v>
                </c:pt>
              </c:strCache>
            </c:strRef>
          </c:tx>
          <c:spPr>
            <a:solidFill>
              <a:srgbClr val="FFFFCC"/>
            </a:solidFill>
            <a:ln w="12651">
              <a:solidFill>
                <a:srgbClr val="000000"/>
              </a:solidFill>
              <a:prstDash val="solid"/>
            </a:ln>
          </c:spPr>
          <c:invertIfNegative val="0"/>
          <c:dLbls>
            <c:spPr>
              <a:noFill/>
              <a:ln w="25302">
                <a:noFill/>
              </a:ln>
            </c:spPr>
            <c:txPr>
              <a:bodyPr wrap="square" lIns="38100" tIns="19050" rIns="38100" bIns="19050" anchor="ctr">
                <a:spAutoFit/>
              </a:bodyPr>
              <a:lstStyle/>
              <a:p>
                <a:pPr>
                  <a:defRPr sz="119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Sheet1!$B$4:$D$4</c:f>
              <c:numCache>
                <c:formatCode>General</c:formatCode>
                <c:ptCount val="3"/>
                <c:pt idx="0">
                  <c:v>8</c:v>
                </c:pt>
                <c:pt idx="1">
                  <c:v>30</c:v>
                </c:pt>
                <c:pt idx="2">
                  <c:v>5</c:v>
                </c:pt>
              </c:numCache>
            </c:numRef>
          </c:val>
          <c:extLst xmlns:c16r2="http://schemas.microsoft.com/office/drawing/2015/06/chart">
            <c:ext xmlns:c16="http://schemas.microsoft.com/office/drawing/2014/chart" uri="{C3380CC4-5D6E-409C-BE32-E72D297353CC}">
              <c16:uniqueId val="{00000006-8E59-4210-8D9C-8EC7455882FD}"/>
            </c:ext>
          </c:extLst>
        </c:ser>
        <c:dLbls>
          <c:showLegendKey val="0"/>
          <c:showVal val="1"/>
          <c:showCatName val="0"/>
          <c:showSerName val="0"/>
          <c:showPercent val="0"/>
          <c:showBubbleSize val="0"/>
        </c:dLbls>
        <c:gapWidth val="150"/>
        <c:gapDepth val="0"/>
        <c:shape val="box"/>
        <c:axId val="338369736"/>
        <c:axId val="338374440"/>
        <c:axId val="0"/>
      </c:bar3DChart>
      <c:catAx>
        <c:axId val="338369736"/>
        <c:scaling>
          <c:orientation val="minMax"/>
        </c:scaling>
        <c:delete val="0"/>
        <c:axPos val="b"/>
        <c:numFmt formatCode="General" sourceLinked="1"/>
        <c:majorTickMark val="out"/>
        <c:minorTickMark val="none"/>
        <c:tickLblPos val="low"/>
        <c:spPr>
          <a:ln w="3163">
            <a:solidFill>
              <a:srgbClr val="000000"/>
            </a:solidFill>
            <a:prstDash val="solid"/>
          </a:ln>
        </c:spPr>
        <c:txPr>
          <a:bodyPr rot="0" vert="horz"/>
          <a:lstStyle/>
          <a:p>
            <a:pPr>
              <a:defRPr sz="1195" b="1" i="0" u="none" strike="noStrike" baseline="0">
                <a:solidFill>
                  <a:srgbClr val="000000"/>
                </a:solidFill>
                <a:latin typeface="Arial"/>
                <a:ea typeface="Arial"/>
                <a:cs typeface="Arial"/>
              </a:defRPr>
            </a:pPr>
            <a:endParaRPr lang="ro-RO"/>
          </a:p>
        </c:txPr>
        <c:crossAx val="338374440"/>
        <c:crosses val="autoZero"/>
        <c:auto val="1"/>
        <c:lblAlgn val="ctr"/>
        <c:lblOffset val="100"/>
        <c:tickLblSkip val="1"/>
        <c:tickMarkSkip val="1"/>
        <c:noMultiLvlLbl val="0"/>
      </c:catAx>
      <c:valAx>
        <c:axId val="338374440"/>
        <c:scaling>
          <c:orientation val="minMax"/>
        </c:scaling>
        <c:delete val="1"/>
        <c:axPos val="l"/>
        <c:numFmt formatCode="General" sourceLinked="1"/>
        <c:majorTickMark val="out"/>
        <c:minorTickMark val="none"/>
        <c:tickLblPos val="nextTo"/>
        <c:crossAx val="338369736"/>
        <c:crosses val="autoZero"/>
        <c:crossBetween val="between"/>
      </c:valAx>
      <c:spPr>
        <a:noFill/>
        <a:ln w="25302">
          <a:noFill/>
        </a:ln>
      </c:spPr>
    </c:plotArea>
    <c:legend>
      <c:legendPos val="r"/>
      <c:layout>
        <c:manualLayout>
          <c:xMode val="edge"/>
          <c:yMode val="edge"/>
          <c:x val="0.89618922470433648"/>
          <c:y val="0.37428571428571428"/>
          <c:w val="9.8554533508541389E-2"/>
          <c:h val="0.25142857142857139"/>
        </c:manualLayout>
      </c:layout>
      <c:overlay val="0"/>
      <c:spPr>
        <a:noFill/>
        <a:ln w="3163">
          <a:solidFill>
            <a:srgbClr val="000000"/>
          </a:solidFill>
          <a:prstDash val="solid"/>
        </a:ln>
      </c:spPr>
      <c:txPr>
        <a:bodyPr/>
        <a:lstStyle/>
        <a:p>
          <a:pPr>
            <a:defRPr sz="1096" b="1" i="0" u="none" strike="noStrike" baseline="0">
              <a:solidFill>
                <a:srgbClr val="000000"/>
              </a:solidFill>
              <a:latin typeface="Arial"/>
              <a:ea typeface="Arial"/>
              <a:cs typeface="Arial"/>
            </a:defRPr>
          </a:pPr>
          <a:endParaRPr lang="ro-RO"/>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195" b="1" i="0" u="none" strike="noStrike" baseline="0">
          <a:solidFill>
            <a:srgbClr val="000000"/>
          </a:solidFill>
          <a:latin typeface="Arial"/>
          <a:ea typeface="Arial"/>
          <a:cs typeface="Arial"/>
        </a:defRPr>
      </a:pPr>
      <a:endParaRPr lang="ro-R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99426934097428"/>
          <c:y val="2.2883295194508009E-3"/>
          <c:w val="0.58739255014326652"/>
          <c:h val="1"/>
        </c:manualLayout>
      </c:layout>
      <c:barChart>
        <c:barDir val="bar"/>
        <c:grouping val="clustered"/>
        <c:varyColors val="0"/>
        <c:ser>
          <c:idx val="6"/>
          <c:order val="0"/>
          <c:tx>
            <c:strRef>
              <c:f>Sheet1!$A$2</c:f>
              <c:strCache>
                <c:ptCount val="1"/>
                <c:pt idx="0">
                  <c:v>2017</c:v>
                </c:pt>
              </c:strCache>
            </c:strRef>
          </c:tx>
          <c:spPr>
            <a:solidFill>
              <a:srgbClr val="0066CC"/>
            </a:solidFill>
            <a:ln w="12693">
              <a:solidFill>
                <a:srgbClr val="000000"/>
              </a:solidFill>
              <a:prstDash val="solid"/>
            </a:ln>
          </c:spPr>
          <c:invertIfNegative val="0"/>
          <c:dLbls>
            <c:dLbl>
              <c:idx val="0"/>
              <c:layout>
                <c:manualLayout>
                  <c:x val="8.9830598953746454E-2"/>
                  <c:y val="8.1262059588183E-4"/>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DB-40FA-87AA-85286A228C53}"/>
                </c:ext>
                <c:ext xmlns:c15="http://schemas.microsoft.com/office/drawing/2012/chart" uri="{CE6537A1-D6FC-4f65-9D91-7224C49458BB}"/>
              </c:extLst>
            </c:dLbl>
            <c:dLbl>
              <c:idx val="1"/>
              <c:layout>
                <c:manualLayout>
                  <c:x val="5.9314973955807981E-2"/>
                  <c:y val="8.6584049435940447E-3"/>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DB-40FA-87AA-85286A228C53}"/>
                </c:ext>
                <c:ext xmlns:c15="http://schemas.microsoft.com/office/drawing/2012/chart" uri="{CE6537A1-D6FC-4f65-9D91-7224C49458BB}"/>
              </c:extLst>
            </c:dLbl>
            <c:dLbl>
              <c:idx val="2"/>
              <c:layout>
                <c:manualLayout>
                  <c:x val="4.0260519764994562E-2"/>
                  <c:y val="9.6392007329536566E-3"/>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DB-40FA-87AA-85286A228C53}"/>
                </c:ext>
                <c:ext xmlns:c15="http://schemas.microsoft.com/office/drawing/2012/chart" uri="{CE6537A1-D6FC-4f65-9D91-7224C49458BB}"/>
              </c:extLst>
            </c:dLbl>
            <c:dLbl>
              <c:idx val="3"/>
              <c:layout>
                <c:manualLayout>
                  <c:x val="2.1922388716641927E-2"/>
                  <c:y val="8.3313760192798014E-3"/>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ADB-40FA-87AA-85286A228C53}"/>
                </c:ext>
                <c:ext xmlns:c15="http://schemas.microsoft.com/office/drawing/2012/chart" uri="{CE6537A1-D6FC-4f65-9D91-7224C49458BB}"/>
              </c:extLst>
            </c:dLbl>
            <c:dLbl>
              <c:idx val="4"/>
              <c:layout>
                <c:manualLayout>
                  <c:x val="1.6191711219327831E-2"/>
                  <c:y val="1.5885373083635024E-4"/>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ADB-40FA-87AA-85286A228C53}"/>
                </c:ext>
                <c:ext xmlns:c15="http://schemas.microsoft.com/office/drawing/2012/chart" uri="{CE6537A1-D6FC-4f65-9D91-7224C49458BB}"/>
              </c:extLst>
            </c:dLbl>
            <c:dLbl>
              <c:idx val="5"/>
              <c:layout>
                <c:manualLayout>
                  <c:x val="9.1716520655850675E-3"/>
                  <c:y val="1.4869626636900807E-2"/>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ADB-40FA-87AA-85286A228C53}"/>
                </c:ext>
                <c:ext xmlns:c15="http://schemas.microsoft.com/office/drawing/2012/chart" uri="{CE6537A1-D6FC-4f65-9D91-7224C49458BB}"/>
              </c:extLst>
            </c:dLbl>
            <c:dLbl>
              <c:idx val="6"/>
              <c:layout>
                <c:manualLayout>
                  <c:x val="2.421464124404149E-2"/>
                  <c:y val="6.6971043484573556E-3"/>
                </c:manualLayout>
              </c:layout>
              <c:spPr>
                <a:noFill/>
                <a:ln w="25386">
                  <a:noFill/>
                </a:ln>
              </c:spPr>
              <c:txPr>
                <a:bodyPr/>
                <a:lstStyle/>
                <a:p>
                  <a:pPr>
                    <a:defRPr sz="925" b="1"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ADB-40FA-87AA-85286A228C53}"/>
                </c:ext>
                <c:ext xmlns:c15="http://schemas.microsoft.com/office/drawing/2012/chart" uri="{CE6537A1-D6FC-4f65-9D91-7224C49458BB}"/>
              </c:extLst>
            </c:dLbl>
            <c:spPr>
              <a:noFill/>
              <a:ln w="25386">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Sheet1!$B$2:$H$2</c:f>
              <c:numCache>
                <c:formatCode>General</c:formatCode>
                <c:ptCount val="7"/>
                <c:pt idx="0">
                  <c:v>64</c:v>
                </c:pt>
                <c:pt idx="1">
                  <c:v>37</c:v>
                </c:pt>
                <c:pt idx="2">
                  <c:v>30</c:v>
                </c:pt>
                <c:pt idx="3">
                  <c:v>18</c:v>
                </c:pt>
                <c:pt idx="4">
                  <c:v>8</c:v>
                </c:pt>
                <c:pt idx="5">
                  <c:v>7</c:v>
                </c:pt>
                <c:pt idx="6">
                  <c:v>12</c:v>
                </c:pt>
              </c:numCache>
            </c:numRef>
          </c:val>
          <c:extLst xmlns:c16r2="http://schemas.microsoft.com/office/drawing/2015/06/chart">
            <c:ext xmlns:c16="http://schemas.microsoft.com/office/drawing/2014/chart" uri="{C3380CC4-5D6E-409C-BE32-E72D297353CC}">
              <c16:uniqueId val="{00000007-9ADB-40FA-87AA-85286A228C53}"/>
            </c:ext>
          </c:extLst>
        </c:ser>
        <c:ser>
          <c:idx val="1"/>
          <c:order val="1"/>
          <c:tx>
            <c:strRef>
              <c:f>Sheet1!$A$3</c:f>
              <c:strCache>
                <c:ptCount val="1"/>
                <c:pt idx="0">
                  <c:v>2016</c:v>
                </c:pt>
              </c:strCache>
            </c:strRef>
          </c:tx>
          <c:spPr>
            <a:solidFill>
              <a:srgbClr val="993366"/>
            </a:solidFill>
            <a:ln w="12693">
              <a:solidFill>
                <a:srgbClr val="000000"/>
              </a:solidFill>
              <a:prstDash val="solid"/>
            </a:ln>
          </c:spPr>
          <c:invertIfNegative val="0"/>
          <c:dLbls>
            <c:dLbl>
              <c:idx val="0"/>
              <c:layout>
                <c:manualLayout>
                  <c:x val="8.6822004812360465E-2"/>
                  <c:y val="7.0052779361319262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ADB-40FA-87AA-85286A228C53}"/>
                </c:ext>
                <c:ext xmlns:c15="http://schemas.microsoft.com/office/drawing/2012/chart" uri="{CE6537A1-D6FC-4f65-9D91-7224C49458BB}"/>
              </c:extLst>
            </c:dLbl>
            <c:dLbl>
              <c:idx val="2"/>
              <c:layout>
                <c:manualLayout>
                  <c:x val="5.1865102445062816E-2"/>
                  <c:y val="-2.4747780824027066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ADB-40FA-87AA-85286A228C53}"/>
                </c:ext>
                <c:ext xmlns:c15="http://schemas.microsoft.com/office/drawing/2012/chart" uri="{CE6537A1-D6FC-4f65-9D91-7224C49458BB}"/>
              </c:extLst>
            </c:dLbl>
            <c:dLbl>
              <c:idx val="3"/>
              <c:layout>
                <c:manualLayout>
                  <c:x val="2.3211788844596848E-2"/>
                  <c:y val="7.9434722640775446E-4"/>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ADB-40FA-87AA-85286A228C53}"/>
                </c:ext>
                <c:ext xmlns:c15="http://schemas.microsoft.com/office/drawing/2012/chart" uri="{CE6537A1-D6FC-4f65-9D91-7224C49458BB}"/>
              </c:extLst>
            </c:dLbl>
            <c:dLbl>
              <c:idx val="6"/>
              <c:layout>
                <c:manualLayout>
                  <c:x val="2.69367061284434E-2"/>
                  <c:y val="6.0247731303549046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ADB-40FA-87AA-85286A228C53}"/>
                </c:ext>
                <c:ext xmlns:c15="http://schemas.microsoft.com/office/drawing/2012/chart" uri="{CE6537A1-D6FC-4f65-9D91-7224C49458BB}"/>
              </c:extLst>
            </c:dLbl>
            <c:spPr>
              <a:noFill/>
              <a:ln w="25386">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Sheet1!$B$3:$H$3</c:f>
              <c:numCache>
                <c:formatCode>General</c:formatCode>
                <c:ptCount val="7"/>
                <c:pt idx="0">
                  <c:v>65</c:v>
                </c:pt>
                <c:pt idx="1">
                  <c:v>36</c:v>
                </c:pt>
                <c:pt idx="2">
                  <c:v>29</c:v>
                </c:pt>
                <c:pt idx="3">
                  <c:v>19</c:v>
                </c:pt>
                <c:pt idx="4">
                  <c:v>7</c:v>
                </c:pt>
                <c:pt idx="5">
                  <c:v>7</c:v>
                </c:pt>
                <c:pt idx="6">
                  <c:v>13</c:v>
                </c:pt>
              </c:numCache>
            </c:numRef>
          </c:val>
          <c:extLst xmlns:c16r2="http://schemas.microsoft.com/office/drawing/2015/06/chart">
            <c:ext xmlns:c16="http://schemas.microsoft.com/office/drawing/2014/chart" uri="{C3380CC4-5D6E-409C-BE32-E72D297353CC}">
              <c16:uniqueId val="{0000000C-9ADB-40FA-87AA-85286A228C53}"/>
            </c:ext>
          </c:extLst>
        </c:ser>
        <c:ser>
          <c:idx val="5"/>
          <c:order val="2"/>
          <c:tx>
            <c:strRef>
              <c:f>Sheet1!$A$4</c:f>
              <c:strCache>
                <c:ptCount val="1"/>
                <c:pt idx="0">
                  <c:v>2015</c:v>
                </c:pt>
              </c:strCache>
            </c:strRef>
          </c:tx>
          <c:spPr>
            <a:solidFill>
              <a:srgbClr val="FF8080"/>
            </a:solidFill>
            <a:ln w="12693">
              <a:solidFill>
                <a:srgbClr val="000000"/>
              </a:solidFill>
              <a:prstDash val="solid"/>
            </a:ln>
          </c:spPr>
          <c:invertIfNegative val="0"/>
          <c:dLbls>
            <c:dLbl>
              <c:idx val="0"/>
              <c:layout>
                <c:manualLayout>
                  <c:x val="9.5561257979534409E-2"/>
                  <c:y val="1.1291341592393089E-2"/>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ADB-40FA-87AA-85286A228C53}"/>
                </c:ext>
                <c:ext xmlns:c15="http://schemas.microsoft.com/office/drawing/2012/chart" uri="{CE6537A1-D6FC-4f65-9D91-7224C49458BB}"/>
              </c:extLst>
            </c:dLbl>
            <c:dLbl>
              <c:idx val="2"/>
              <c:layout>
                <c:manualLayout>
                  <c:x val="5.0002643803139457E-2"/>
                  <c:y val="-4.77043945592448E-4"/>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ADB-40FA-87AA-85286A228C53}"/>
                </c:ext>
                <c:ext xmlns:c15="http://schemas.microsoft.com/office/drawing/2012/chart" uri="{CE6537A1-D6FC-4f65-9D91-7224C49458BB}"/>
              </c:extLst>
            </c:dLbl>
            <c:dLbl>
              <c:idx val="3"/>
              <c:layout>
                <c:manualLayout>
                  <c:x val="2.3211788844596848E-2"/>
                  <c:y val="-1.7845776756835741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ADB-40FA-87AA-85286A228C53}"/>
                </c:ext>
                <c:ext xmlns:c15="http://schemas.microsoft.com/office/drawing/2012/chart" uri="{CE6537A1-D6FC-4f65-9D91-7224C49458BB}"/>
              </c:extLst>
            </c:dLbl>
            <c:dLbl>
              <c:idx val="4"/>
              <c:layout>
                <c:manualLayout>
                  <c:x val="1.0747581450524124E-2"/>
                  <c:y val="-7.6690614282590164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ADB-40FA-87AA-85286A228C53}"/>
                </c:ext>
                <c:ext xmlns:c15="http://schemas.microsoft.com/office/drawing/2012/chart" uri="{CE6537A1-D6FC-4f65-9D91-7224C49458BB}"/>
              </c:extLst>
            </c:dLbl>
            <c:dLbl>
              <c:idx val="6"/>
              <c:layout>
                <c:manualLayout>
                  <c:x val="2.4071376615549478E-2"/>
                  <c:y val="-1.1308108106380457E-3"/>
                </c:manualLayout>
              </c:layout>
              <c:spPr>
                <a:noFill/>
                <a:ln w="25386">
                  <a:noFill/>
                </a:ln>
              </c:spPr>
              <c:txPr>
                <a:bodyPr/>
                <a:lstStyle/>
                <a:p>
                  <a:pPr>
                    <a:defRPr sz="800" b="0" i="0" u="none" strike="noStrike" baseline="0">
                      <a:solidFill>
                        <a:srgbClr val="000000"/>
                      </a:solidFill>
                      <a:latin typeface="Arial"/>
                      <a:ea typeface="Arial"/>
                      <a:cs typeface="Arial"/>
                    </a:defRPr>
                  </a:pPr>
                  <a:endParaRPr lang="ro-R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ADB-40FA-87AA-85286A228C53}"/>
                </c:ext>
                <c:ext xmlns:c15="http://schemas.microsoft.com/office/drawing/2012/chart" uri="{CE6537A1-D6FC-4f65-9D91-7224C49458BB}"/>
              </c:extLst>
            </c:dLbl>
            <c:spPr>
              <a:noFill/>
              <a:ln w="25386">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Sheet1!$B$4:$H$4</c:f>
              <c:numCache>
                <c:formatCode>General</c:formatCode>
                <c:ptCount val="7"/>
                <c:pt idx="0">
                  <c:v>64</c:v>
                </c:pt>
                <c:pt idx="1">
                  <c:v>35</c:v>
                </c:pt>
                <c:pt idx="2">
                  <c:v>32</c:v>
                </c:pt>
                <c:pt idx="3">
                  <c:v>19</c:v>
                </c:pt>
                <c:pt idx="4">
                  <c:v>6</c:v>
                </c:pt>
                <c:pt idx="5">
                  <c:v>7</c:v>
                </c:pt>
                <c:pt idx="6">
                  <c:v>13</c:v>
                </c:pt>
              </c:numCache>
            </c:numRef>
          </c:val>
          <c:extLst xmlns:c16r2="http://schemas.microsoft.com/office/drawing/2015/06/chart">
            <c:ext xmlns:c16="http://schemas.microsoft.com/office/drawing/2014/chart" uri="{C3380CC4-5D6E-409C-BE32-E72D297353CC}">
              <c16:uniqueId val="{00000012-9ADB-40FA-87AA-85286A228C53}"/>
            </c:ext>
          </c:extLst>
        </c:ser>
        <c:dLbls>
          <c:showLegendKey val="0"/>
          <c:showVal val="1"/>
          <c:showCatName val="0"/>
          <c:showSerName val="0"/>
          <c:showPercent val="0"/>
          <c:showBubbleSize val="0"/>
        </c:dLbls>
        <c:gapWidth val="150"/>
        <c:axId val="338375224"/>
        <c:axId val="338376008"/>
      </c:barChart>
      <c:catAx>
        <c:axId val="338375224"/>
        <c:scaling>
          <c:orientation val="minMax"/>
        </c:scaling>
        <c:delete val="0"/>
        <c:axPos val="l"/>
        <c:numFmt formatCode="General" sourceLinked="1"/>
        <c:majorTickMark val="out"/>
        <c:minorTickMark val="none"/>
        <c:tickLblPos val="nextTo"/>
        <c:spPr>
          <a:ln w="3173">
            <a:solidFill>
              <a:srgbClr val="000000"/>
            </a:solidFill>
            <a:prstDash val="solid"/>
          </a:ln>
        </c:spPr>
        <c:txPr>
          <a:bodyPr rot="0" vert="horz"/>
          <a:lstStyle/>
          <a:p>
            <a:pPr>
              <a:defRPr sz="1199" b="1" i="0" u="none" strike="noStrike" baseline="0">
                <a:solidFill>
                  <a:srgbClr val="000000"/>
                </a:solidFill>
                <a:latin typeface="Arial"/>
                <a:ea typeface="Arial"/>
                <a:cs typeface="Arial"/>
              </a:defRPr>
            </a:pPr>
            <a:endParaRPr lang="ro-RO"/>
          </a:p>
        </c:txPr>
        <c:crossAx val="338376008"/>
        <c:crosses val="autoZero"/>
        <c:auto val="1"/>
        <c:lblAlgn val="ctr"/>
        <c:lblOffset val="100"/>
        <c:tickLblSkip val="1"/>
        <c:tickMarkSkip val="1"/>
        <c:noMultiLvlLbl val="0"/>
      </c:catAx>
      <c:valAx>
        <c:axId val="338376008"/>
        <c:scaling>
          <c:orientation val="minMax"/>
        </c:scaling>
        <c:delete val="1"/>
        <c:axPos val="b"/>
        <c:numFmt formatCode="General" sourceLinked="1"/>
        <c:majorTickMark val="out"/>
        <c:minorTickMark val="none"/>
        <c:tickLblPos val="nextTo"/>
        <c:crossAx val="338375224"/>
        <c:crosses val="autoZero"/>
        <c:crossBetween val="between"/>
      </c:valAx>
      <c:spPr>
        <a:solidFill>
          <a:srgbClr val="C0C0C0"/>
        </a:solidFill>
        <a:ln w="12693">
          <a:solidFill>
            <a:srgbClr val="808080"/>
          </a:solidFill>
          <a:prstDash val="solid"/>
        </a:ln>
      </c:spPr>
    </c:plotArea>
    <c:legend>
      <c:legendPos val="r"/>
      <c:layout>
        <c:manualLayout>
          <c:xMode val="edge"/>
          <c:yMode val="edge"/>
          <c:x val="0.89255014326647564"/>
          <c:y val="2.2883295194508012E-2"/>
          <c:w val="0.10744985673352436"/>
          <c:h val="0.20137299771167047"/>
        </c:manualLayout>
      </c:layout>
      <c:overlay val="0"/>
      <c:spPr>
        <a:noFill/>
        <a:ln w="3173">
          <a:solidFill>
            <a:srgbClr val="000000"/>
          </a:solidFill>
          <a:prstDash val="solid"/>
        </a:ln>
      </c:spPr>
      <c:txPr>
        <a:bodyPr/>
        <a:lstStyle/>
        <a:p>
          <a:pPr>
            <a:defRPr sz="1099" b="1" i="0" u="none" strike="noStrike" baseline="0">
              <a:solidFill>
                <a:srgbClr val="000000"/>
              </a:solidFill>
              <a:latin typeface="Arial"/>
              <a:ea typeface="Arial"/>
              <a:cs typeface="Arial"/>
            </a:defRPr>
          </a:pPr>
          <a:endParaRPr lang="ro-RO"/>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524" b="1" i="0" u="none" strike="noStrike" baseline="0">
          <a:solidFill>
            <a:srgbClr val="000000"/>
          </a:solidFill>
          <a:latin typeface="Arial"/>
          <a:ea typeface="Arial"/>
          <a:cs typeface="Arial"/>
        </a:defRPr>
      </a:pPr>
      <a:endParaRPr lang="ro-R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mn-lt"/>
                <a:ea typeface="Arial"/>
                <a:cs typeface="Arial"/>
              </a:defRPr>
            </a:pPr>
            <a:r>
              <a:rPr lang="en-US" sz="1200">
                <a:latin typeface="+mn-lt"/>
              </a:rPr>
              <a:t>Operativitate comparată la nivelul parchetelor în anul 2017</a:t>
            </a:r>
          </a:p>
        </c:rich>
      </c:tx>
      <c:layout>
        <c:manualLayout>
          <c:xMode val="edge"/>
          <c:yMode val="edge"/>
          <c:x val="0.2129032258064516"/>
          <c:y val="2.02020202020202E-2"/>
        </c:manualLayout>
      </c:layout>
      <c:overlay val="0"/>
      <c:spPr>
        <a:noFill/>
        <a:ln w="25380">
          <a:noFill/>
        </a:ln>
      </c:spPr>
    </c:title>
    <c:autoTitleDeleted val="0"/>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322580645161298E-2"/>
          <c:y val="0.16835016835016833"/>
          <c:w val="0.81806451612903219"/>
          <c:h val="0.67340067340067333"/>
        </c:manualLayout>
      </c:layout>
      <c:bar3DChart>
        <c:barDir val="col"/>
        <c:grouping val="clustered"/>
        <c:varyColors val="0"/>
        <c:ser>
          <c:idx val="4"/>
          <c:order val="0"/>
          <c:tx>
            <c:strRef>
              <c:f>Sheet1!$A$2</c:f>
              <c:strCache>
                <c:ptCount val="1"/>
                <c:pt idx="0">
                  <c:v>P.I.C.C.J</c:v>
                </c:pt>
              </c:strCache>
            </c:strRef>
          </c:tx>
          <c:spPr>
            <a:solidFill>
              <a:srgbClr val="660066"/>
            </a:solidFill>
            <a:ln w="12690">
              <a:solidFill>
                <a:srgbClr val="000000"/>
              </a:solidFill>
              <a:prstDash val="solid"/>
            </a:ln>
          </c:spPr>
          <c:invertIfNegative val="0"/>
          <c:dLbls>
            <c:dLbl>
              <c:idx val="0"/>
              <c:layout>
                <c:manualLayout>
                  <c:x val="5.6684371585895843E-3"/>
                  <c:y val="-3.1156306548108526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671-43A3-861F-6F9F65E958D7}"/>
                </c:ext>
                <c:ext xmlns:c15="http://schemas.microsoft.com/office/drawing/2012/chart" uri="{CE6537A1-D6FC-4f65-9D91-7224C49458BB}"/>
              </c:extLst>
            </c:dLbl>
            <c:dLbl>
              <c:idx val="1"/>
              <c:layout>
                <c:manualLayout>
                  <c:x val="6.2139727321279814E-3"/>
                  <c:y val="-2.1269910198183306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671-43A3-861F-6F9F65E958D7}"/>
                </c:ext>
                <c:ext xmlns:c15="http://schemas.microsoft.com/office/drawing/2012/chart" uri="{CE6537A1-D6FC-4f65-9D91-7224C49458BB}"/>
              </c:extLst>
            </c:dLbl>
            <c:spPr>
              <a:noFill/>
              <a:ln w="25380">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Sheet1!$B$2:$C$2</c:f>
              <c:numCache>
                <c:formatCode>0%</c:formatCode>
                <c:ptCount val="2"/>
                <c:pt idx="0">
                  <c:v>0.71</c:v>
                </c:pt>
                <c:pt idx="1">
                  <c:v>0.44</c:v>
                </c:pt>
              </c:numCache>
            </c:numRef>
          </c:val>
          <c:extLst xmlns:c16r2="http://schemas.microsoft.com/office/drawing/2015/06/chart">
            <c:ext xmlns:c16="http://schemas.microsoft.com/office/drawing/2014/chart" uri="{C3380CC4-5D6E-409C-BE32-E72D297353CC}">
              <c16:uniqueId val="{00000002-2671-43A3-861F-6F9F65E958D7}"/>
            </c:ext>
          </c:extLst>
        </c:ser>
        <c:ser>
          <c:idx val="0"/>
          <c:order val="1"/>
          <c:tx>
            <c:strRef>
              <c:f>Sheet1!$A$3</c:f>
              <c:strCache>
                <c:ptCount val="1"/>
                <c:pt idx="0">
                  <c:v>P.C.A.</c:v>
                </c:pt>
              </c:strCache>
            </c:strRef>
          </c:tx>
          <c:spPr>
            <a:solidFill>
              <a:srgbClr val="9999FF"/>
            </a:solidFill>
            <a:ln w="12690">
              <a:solidFill>
                <a:srgbClr val="000000"/>
              </a:solidFill>
              <a:prstDash val="solid"/>
            </a:ln>
          </c:spPr>
          <c:invertIfNegative val="0"/>
          <c:dLbls>
            <c:dLbl>
              <c:idx val="0"/>
              <c:layout>
                <c:manualLayout>
                  <c:x val="2.512257000010415E-2"/>
                  <c:y val="-1.9282809613720836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71-43A3-861F-6F9F65E958D7}"/>
                </c:ext>
                <c:ext xmlns:c15="http://schemas.microsoft.com/office/drawing/2012/chart" uri="{CE6537A1-D6FC-4f65-9D91-7224C49458BB}"/>
              </c:extLst>
            </c:dLbl>
            <c:dLbl>
              <c:idx val="1"/>
              <c:layout>
                <c:manualLayout>
                  <c:x val="2.3087460412352212E-2"/>
                  <c:y val="-4.216188179147401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671-43A3-861F-6F9F65E958D7}"/>
                </c:ext>
                <c:ext xmlns:c15="http://schemas.microsoft.com/office/drawing/2012/chart" uri="{CE6537A1-D6FC-4f65-9D91-7224C49458BB}"/>
              </c:extLst>
            </c:dLbl>
            <c:spPr>
              <a:noFill/>
              <a:ln w="25380">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Sheet1!$B$3:$C$3</c:f>
              <c:numCache>
                <c:formatCode>0%</c:formatCode>
                <c:ptCount val="2"/>
                <c:pt idx="0">
                  <c:v>0.9</c:v>
                </c:pt>
                <c:pt idx="1">
                  <c:v>0.67</c:v>
                </c:pt>
              </c:numCache>
            </c:numRef>
          </c:val>
          <c:extLst xmlns:c16r2="http://schemas.microsoft.com/office/drawing/2015/06/chart">
            <c:ext xmlns:c16="http://schemas.microsoft.com/office/drawing/2014/chart" uri="{C3380CC4-5D6E-409C-BE32-E72D297353CC}">
              <c16:uniqueId val="{00000005-2671-43A3-861F-6F9F65E958D7}"/>
            </c:ext>
          </c:extLst>
        </c:ser>
        <c:ser>
          <c:idx val="1"/>
          <c:order val="2"/>
          <c:tx>
            <c:strRef>
              <c:f>Sheet1!$A$4</c:f>
              <c:strCache>
                <c:ptCount val="1"/>
                <c:pt idx="0">
                  <c:v>P.T.</c:v>
                </c:pt>
              </c:strCache>
            </c:strRef>
          </c:tx>
          <c:spPr>
            <a:solidFill>
              <a:srgbClr val="993366"/>
            </a:solidFill>
            <a:ln w="12690">
              <a:solidFill>
                <a:srgbClr val="000000"/>
              </a:solidFill>
              <a:prstDash val="solid"/>
            </a:ln>
          </c:spPr>
          <c:invertIfNegative val="0"/>
          <c:dLbls>
            <c:dLbl>
              <c:idx val="0"/>
              <c:layout>
                <c:manualLayout>
                  <c:x val="3.6834601028728875E-2"/>
                  <c:y val="-2.1708182414058835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671-43A3-861F-6F9F65E958D7}"/>
                </c:ext>
                <c:ext xmlns:c15="http://schemas.microsoft.com/office/drawing/2012/chart" uri="{CE6537A1-D6FC-4f65-9D91-7224C49458BB}"/>
              </c:extLst>
            </c:dLbl>
            <c:dLbl>
              <c:idx val="1"/>
              <c:layout>
                <c:manualLayout>
                  <c:x val="2.3186588215170501E-2"/>
                  <c:y val="-3.4737923666196713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671-43A3-861F-6F9F65E958D7}"/>
                </c:ext>
                <c:ext xmlns:c15="http://schemas.microsoft.com/office/drawing/2012/chart" uri="{CE6537A1-D6FC-4f65-9D91-7224C49458BB}"/>
              </c:extLst>
            </c:dLbl>
            <c:spPr>
              <a:noFill/>
              <a:ln w="25380">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Sheet1!$B$4:$C$4</c:f>
              <c:numCache>
                <c:formatCode>0%</c:formatCode>
                <c:ptCount val="2"/>
                <c:pt idx="0">
                  <c:v>0.83</c:v>
                </c:pt>
                <c:pt idx="1">
                  <c:v>0.44</c:v>
                </c:pt>
              </c:numCache>
            </c:numRef>
          </c:val>
          <c:extLst xmlns:c16r2="http://schemas.microsoft.com/office/drawing/2015/06/chart">
            <c:ext xmlns:c16="http://schemas.microsoft.com/office/drawing/2014/chart" uri="{C3380CC4-5D6E-409C-BE32-E72D297353CC}">
              <c16:uniqueId val="{00000008-2671-43A3-861F-6F9F65E958D7}"/>
            </c:ext>
          </c:extLst>
        </c:ser>
        <c:ser>
          <c:idx val="2"/>
          <c:order val="3"/>
          <c:tx>
            <c:strRef>
              <c:f>Sheet1!$A$5</c:f>
              <c:strCache>
                <c:ptCount val="1"/>
                <c:pt idx="0">
                  <c:v>P.J.</c:v>
                </c:pt>
              </c:strCache>
            </c:strRef>
          </c:tx>
          <c:spPr>
            <a:solidFill>
              <a:srgbClr val="FFFFCC"/>
            </a:solidFill>
            <a:ln w="12690">
              <a:solidFill>
                <a:srgbClr val="000000"/>
              </a:solidFill>
              <a:prstDash val="solid"/>
            </a:ln>
          </c:spPr>
          <c:invertIfNegative val="0"/>
          <c:dLbls>
            <c:dLbl>
              <c:idx val="0"/>
              <c:layout>
                <c:manualLayout>
                  <c:x val="1.7578890121869806E-2"/>
                  <c:y val="-3.4775411063483641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671-43A3-861F-6F9F65E958D7}"/>
                </c:ext>
                <c:ext xmlns:c15="http://schemas.microsoft.com/office/drawing/2012/chart" uri="{CE6537A1-D6FC-4f65-9D91-7224C49458BB}"/>
              </c:extLst>
            </c:dLbl>
            <c:dLbl>
              <c:idx val="1"/>
              <c:layout>
                <c:manualLayout>
                  <c:x val="1.4253457953472659E-2"/>
                  <c:y val="-3.8972848724222242E-2"/>
                </c:manualLayout>
              </c:layout>
              <c:spPr>
                <a:noFill/>
                <a:ln w="25380">
                  <a:noFill/>
                </a:ln>
              </c:spPr>
              <c:txPr>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671-43A3-861F-6F9F65E958D7}"/>
                </c:ext>
                <c:ext xmlns:c15="http://schemas.microsoft.com/office/drawing/2012/chart" uri="{CE6537A1-D6FC-4f65-9D91-7224C49458BB}"/>
              </c:extLst>
            </c:dLbl>
            <c:spPr>
              <a:noFill/>
              <a:ln w="25380">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Sheet1!$B$5:$C$5</c:f>
              <c:numCache>
                <c:formatCode>0%</c:formatCode>
                <c:ptCount val="2"/>
                <c:pt idx="0">
                  <c:v>0.55000000000000004</c:v>
                </c:pt>
                <c:pt idx="1">
                  <c:v>0.28999999999999998</c:v>
                </c:pt>
              </c:numCache>
            </c:numRef>
          </c:val>
          <c:extLst xmlns:c16r2="http://schemas.microsoft.com/office/drawing/2015/06/chart">
            <c:ext xmlns:c16="http://schemas.microsoft.com/office/drawing/2014/chart" uri="{C3380CC4-5D6E-409C-BE32-E72D297353CC}">
              <c16:uniqueId val="{0000000B-2671-43A3-861F-6F9F65E958D7}"/>
            </c:ext>
          </c:extLst>
        </c:ser>
        <c:dLbls>
          <c:showLegendKey val="0"/>
          <c:showVal val="1"/>
          <c:showCatName val="0"/>
          <c:showSerName val="0"/>
          <c:showPercent val="0"/>
          <c:showBubbleSize val="0"/>
        </c:dLbls>
        <c:gapWidth val="150"/>
        <c:gapDepth val="0"/>
        <c:shape val="box"/>
        <c:axId val="258454448"/>
        <c:axId val="258455624"/>
        <c:axId val="0"/>
      </c:bar3DChart>
      <c:catAx>
        <c:axId val="258454448"/>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124" b="1" i="0" u="none" strike="noStrike" baseline="0">
                <a:solidFill>
                  <a:srgbClr val="000000"/>
                </a:solidFill>
                <a:latin typeface="+mn-lt"/>
                <a:ea typeface="Arial"/>
                <a:cs typeface="Arial"/>
              </a:defRPr>
            </a:pPr>
            <a:endParaRPr lang="ro-RO"/>
          </a:p>
        </c:txPr>
        <c:crossAx val="258455624"/>
        <c:crosses val="autoZero"/>
        <c:auto val="1"/>
        <c:lblAlgn val="ctr"/>
        <c:lblOffset val="100"/>
        <c:tickLblSkip val="1"/>
        <c:tickMarkSkip val="1"/>
        <c:noMultiLvlLbl val="0"/>
      </c:catAx>
      <c:valAx>
        <c:axId val="258455624"/>
        <c:scaling>
          <c:orientation val="minMax"/>
        </c:scaling>
        <c:delete val="1"/>
        <c:axPos val="l"/>
        <c:numFmt formatCode="0%" sourceLinked="1"/>
        <c:majorTickMark val="out"/>
        <c:minorTickMark val="none"/>
        <c:tickLblPos val="nextTo"/>
        <c:crossAx val="258454448"/>
        <c:crosses val="autoZero"/>
        <c:crossBetween val="between"/>
      </c:valAx>
      <c:spPr>
        <a:noFill/>
        <a:ln w="25380">
          <a:noFill/>
        </a:ln>
      </c:spPr>
    </c:plotArea>
    <c:legend>
      <c:legendPos val="r"/>
      <c:layout>
        <c:manualLayout>
          <c:xMode val="edge"/>
          <c:yMode val="edge"/>
          <c:x val="0.88000000000000012"/>
          <c:y val="0.17171717171717168"/>
          <c:w val="0.10709677419354838"/>
          <c:h val="0.31313131313131315"/>
        </c:manualLayout>
      </c:layout>
      <c:overlay val="0"/>
      <c:spPr>
        <a:noFill/>
        <a:ln w="3173">
          <a:solidFill>
            <a:srgbClr val="000000"/>
          </a:solidFill>
          <a:prstDash val="solid"/>
        </a:ln>
      </c:spPr>
      <c:txPr>
        <a:bodyPr/>
        <a:lstStyle/>
        <a:p>
          <a:pPr>
            <a:defRPr sz="824" b="1" i="0" u="none" strike="noStrike" baseline="0">
              <a:solidFill>
                <a:srgbClr val="000000"/>
              </a:solidFill>
              <a:latin typeface="+mn-lt"/>
              <a:ea typeface="Arial"/>
              <a:cs typeface="Arial"/>
            </a:defRPr>
          </a:pPr>
          <a:endParaRPr lang="ro-RO"/>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049" b="1" i="0" u="none" strike="noStrike" baseline="0">
          <a:solidFill>
            <a:srgbClr val="000000"/>
          </a:solidFill>
          <a:latin typeface="Arial"/>
          <a:ea typeface="Arial"/>
          <a:cs typeface="Arial"/>
        </a:defRPr>
      </a:pPr>
      <a:endParaRPr lang="ro-R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Gradul</a:t>
            </a:r>
            <a:r>
              <a:rPr lang="ro-RO" baseline="0">
                <a:solidFill>
                  <a:sysClr val="windowText" lastClr="000000"/>
                </a:solidFill>
                <a:latin typeface="+mn-lt"/>
              </a:rPr>
              <a:t> de ocupare a</a:t>
            </a:r>
            <a:r>
              <a:rPr lang="en-US">
                <a:solidFill>
                  <a:sysClr val="windowText" lastClr="000000"/>
                </a:solidFill>
                <a:latin typeface="+mn-lt"/>
              </a:rPr>
              <a:t> posturilor de judecător </a:t>
            </a:r>
            <a:endParaRPr lang="ro-RO">
              <a:solidFill>
                <a:sysClr val="windowText" lastClr="000000"/>
              </a:solidFill>
              <a:latin typeface="+mn-lt"/>
            </a:endParaRPr>
          </a:p>
          <a:p>
            <a:pPr>
              <a:defRPr sz="1173" b="1" i="0" u="none" strike="noStrike" baseline="0">
                <a:solidFill>
                  <a:srgbClr val="000000"/>
                </a:solidFill>
                <a:latin typeface="+mn-lt"/>
                <a:ea typeface="Times New Roman"/>
                <a:cs typeface="Times New Roman"/>
              </a:defRPr>
            </a:pPr>
            <a:r>
              <a:rPr lang="ro-RO">
                <a:solidFill>
                  <a:sysClr val="windowText" lastClr="000000"/>
                </a:solidFill>
                <a:latin typeface="+mn-lt"/>
              </a:rPr>
              <a:t>la 1 ianuarie 2017</a:t>
            </a:r>
            <a:endParaRPr lang="en-US">
              <a:solidFill>
                <a:sysClr val="windowText" lastClr="000000"/>
              </a:solidFill>
              <a:latin typeface="+mn-lt"/>
            </a:endParaRP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1.2490632025980514E-2"/>
                  <c:y val="-5.99769319492504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372-4AEC-8069-354EBE0172E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0.90159999999999996</c:v>
                </c:pt>
              </c:numCache>
            </c:numRef>
          </c:val>
          <c:extLst xmlns:c16r2="http://schemas.microsoft.com/office/drawing/2015/06/chart">
            <c:ext xmlns:c16="http://schemas.microsoft.com/office/drawing/2014/chart" uri="{C3380CC4-5D6E-409C-BE32-E72D297353CC}">
              <c16:uniqueId val="{00000001-6372-4AEC-8069-354EBE0172E9}"/>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2.7479390457157131E-2"/>
                  <c:y val="-5.53633217993079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372-4AEC-8069-354EBE0172E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0.91949999999999998</c:v>
                </c:pt>
              </c:numCache>
            </c:numRef>
          </c:val>
          <c:extLst xmlns:c16r2="http://schemas.microsoft.com/office/drawing/2015/06/chart">
            <c:ext xmlns:c16="http://schemas.microsoft.com/office/drawing/2014/chart" uri="{C3380CC4-5D6E-409C-BE32-E72D297353CC}">
              <c16:uniqueId val="{00000003-6372-4AEC-8069-354EBE0172E9}"/>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2.4981264051961032E-2"/>
                  <c:y val="-4.15224913494809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372-4AEC-8069-354EBE0172E9}"/>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0.90400000000000003</c:v>
                </c:pt>
              </c:numCache>
            </c:numRef>
          </c:val>
          <c:extLst xmlns:c16r2="http://schemas.microsoft.com/office/drawing/2015/06/chart">
            <c:ext xmlns:c16="http://schemas.microsoft.com/office/drawing/2014/chart" uri="{C3380CC4-5D6E-409C-BE32-E72D297353CC}">
              <c16:uniqueId val="{00000005-6372-4AEC-8069-354EBE0172E9}"/>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3.4973769672745451E-2"/>
                  <c:y val="-4.1522491349480994E-2"/>
                </c:manualLayout>
              </c:layout>
              <c:tx>
                <c:rich>
                  <a:bodyPr/>
                  <a:lstStyle/>
                  <a:p>
                    <a:fld id="{31D00FAD-A0FB-49BF-A194-A9BCAF350450}" type="VALUE">
                      <a:rPr lang="en-US" sz="1000"/>
                      <a:pPr/>
                      <a:t>[VALOARE]</a:t>
                    </a:fld>
                    <a:endParaRPr lang="ro-RO"/>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372-4AEC-8069-354EBE0172E9}"/>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0.85400000000000043</c:v>
                </c:pt>
              </c:numCache>
            </c:numRef>
          </c:val>
          <c:extLst xmlns:c16r2="http://schemas.microsoft.com/office/drawing/2015/06/chart">
            <c:ext xmlns:c16="http://schemas.microsoft.com/office/drawing/2014/chart" uri="{C3380CC4-5D6E-409C-BE32-E72D297353CC}">
              <c16:uniqueId val="{00000007-6372-4AEC-8069-354EBE0172E9}"/>
            </c:ext>
          </c:extLst>
        </c:ser>
        <c:dLbls>
          <c:showLegendKey val="0"/>
          <c:showVal val="1"/>
          <c:showCatName val="0"/>
          <c:showSerName val="0"/>
          <c:showPercent val="0"/>
          <c:showBubbleSize val="0"/>
        </c:dLbls>
        <c:gapWidth val="150"/>
        <c:shape val="box"/>
        <c:axId val="466642344"/>
        <c:axId val="466646656"/>
        <c:axId val="0"/>
      </c:bar3DChart>
      <c:catAx>
        <c:axId val="46664234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ro-RO"/>
          </a:p>
        </c:txPr>
        <c:crossAx val="466646656"/>
        <c:crosses val="autoZero"/>
        <c:auto val="1"/>
        <c:lblAlgn val="ctr"/>
        <c:lblOffset val="100"/>
        <c:noMultiLvlLbl val="0"/>
      </c:catAx>
      <c:valAx>
        <c:axId val="466646656"/>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mn-lt"/>
                <a:ea typeface="Arial"/>
                <a:cs typeface="Arial"/>
              </a:defRPr>
            </a:pPr>
            <a:endParaRPr lang="ro-RO"/>
          </a:p>
        </c:txPr>
        <c:crossAx val="466642344"/>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mn-lt"/>
              <a:ea typeface="Arial"/>
              <a:cs typeface="Arial"/>
            </a:defRPr>
          </a:pPr>
          <a:endParaRPr lang="ro-RO"/>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ro-R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D489B-11E3-489F-AE78-17DCF310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51</Pages>
  <Words>47644</Words>
  <Characters>276339</Characters>
  <Application>Microsoft Office Word</Application>
  <DocSecurity>0</DocSecurity>
  <Lines>2302</Lines>
  <Paragraphs>646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Proiect 21 mai 2012</vt:lpstr>
      <vt:lpstr>Proiect 21 mai 2012</vt:lpstr>
    </vt:vector>
  </TitlesOfParts>
  <Company>csm1909</Company>
  <LinksUpToDate>false</LinksUpToDate>
  <CharactersWithSpaces>323337</CharactersWithSpaces>
  <SharedDoc>false</SharedDoc>
  <HLinks>
    <vt:vector size="174" baseType="variant">
      <vt:variant>
        <vt:i4>1048639</vt:i4>
      </vt:variant>
      <vt:variant>
        <vt:i4>170</vt:i4>
      </vt:variant>
      <vt:variant>
        <vt:i4>0</vt:i4>
      </vt:variant>
      <vt:variant>
        <vt:i4>5</vt:i4>
      </vt:variant>
      <vt:variant>
        <vt:lpwstr/>
      </vt:variant>
      <vt:variant>
        <vt:lpwstr>_Toc475264869</vt:lpwstr>
      </vt:variant>
      <vt:variant>
        <vt:i4>1048639</vt:i4>
      </vt:variant>
      <vt:variant>
        <vt:i4>164</vt:i4>
      </vt:variant>
      <vt:variant>
        <vt:i4>0</vt:i4>
      </vt:variant>
      <vt:variant>
        <vt:i4>5</vt:i4>
      </vt:variant>
      <vt:variant>
        <vt:lpwstr/>
      </vt:variant>
      <vt:variant>
        <vt:lpwstr>_Toc475264868</vt:lpwstr>
      </vt:variant>
      <vt:variant>
        <vt:i4>1048639</vt:i4>
      </vt:variant>
      <vt:variant>
        <vt:i4>158</vt:i4>
      </vt:variant>
      <vt:variant>
        <vt:i4>0</vt:i4>
      </vt:variant>
      <vt:variant>
        <vt:i4>5</vt:i4>
      </vt:variant>
      <vt:variant>
        <vt:lpwstr/>
      </vt:variant>
      <vt:variant>
        <vt:lpwstr>_Toc475264867</vt:lpwstr>
      </vt:variant>
      <vt:variant>
        <vt:i4>1048639</vt:i4>
      </vt:variant>
      <vt:variant>
        <vt:i4>152</vt:i4>
      </vt:variant>
      <vt:variant>
        <vt:i4>0</vt:i4>
      </vt:variant>
      <vt:variant>
        <vt:i4>5</vt:i4>
      </vt:variant>
      <vt:variant>
        <vt:lpwstr/>
      </vt:variant>
      <vt:variant>
        <vt:lpwstr>_Toc475264866</vt:lpwstr>
      </vt:variant>
      <vt:variant>
        <vt:i4>1048639</vt:i4>
      </vt:variant>
      <vt:variant>
        <vt:i4>146</vt:i4>
      </vt:variant>
      <vt:variant>
        <vt:i4>0</vt:i4>
      </vt:variant>
      <vt:variant>
        <vt:i4>5</vt:i4>
      </vt:variant>
      <vt:variant>
        <vt:lpwstr/>
      </vt:variant>
      <vt:variant>
        <vt:lpwstr>_Toc475264865</vt:lpwstr>
      </vt:variant>
      <vt:variant>
        <vt:i4>1048639</vt:i4>
      </vt:variant>
      <vt:variant>
        <vt:i4>140</vt:i4>
      </vt:variant>
      <vt:variant>
        <vt:i4>0</vt:i4>
      </vt:variant>
      <vt:variant>
        <vt:i4>5</vt:i4>
      </vt:variant>
      <vt:variant>
        <vt:lpwstr/>
      </vt:variant>
      <vt:variant>
        <vt:lpwstr>_Toc475264864</vt:lpwstr>
      </vt:variant>
      <vt:variant>
        <vt:i4>1048639</vt:i4>
      </vt:variant>
      <vt:variant>
        <vt:i4>134</vt:i4>
      </vt:variant>
      <vt:variant>
        <vt:i4>0</vt:i4>
      </vt:variant>
      <vt:variant>
        <vt:i4>5</vt:i4>
      </vt:variant>
      <vt:variant>
        <vt:lpwstr/>
      </vt:variant>
      <vt:variant>
        <vt:lpwstr>_Toc475264863</vt:lpwstr>
      </vt:variant>
      <vt:variant>
        <vt:i4>1048639</vt:i4>
      </vt:variant>
      <vt:variant>
        <vt:i4>128</vt:i4>
      </vt:variant>
      <vt:variant>
        <vt:i4>0</vt:i4>
      </vt:variant>
      <vt:variant>
        <vt:i4>5</vt:i4>
      </vt:variant>
      <vt:variant>
        <vt:lpwstr/>
      </vt:variant>
      <vt:variant>
        <vt:lpwstr>_Toc475264862</vt:lpwstr>
      </vt:variant>
      <vt:variant>
        <vt:i4>1048639</vt:i4>
      </vt:variant>
      <vt:variant>
        <vt:i4>122</vt:i4>
      </vt:variant>
      <vt:variant>
        <vt:i4>0</vt:i4>
      </vt:variant>
      <vt:variant>
        <vt:i4>5</vt:i4>
      </vt:variant>
      <vt:variant>
        <vt:lpwstr/>
      </vt:variant>
      <vt:variant>
        <vt:lpwstr>_Toc475264861</vt:lpwstr>
      </vt:variant>
      <vt:variant>
        <vt:i4>1048639</vt:i4>
      </vt:variant>
      <vt:variant>
        <vt:i4>116</vt:i4>
      </vt:variant>
      <vt:variant>
        <vt:i4>0</vt:i4>
      </vt:variant>
      <vt:variant>
        <vt:i4>5</vt:i4>
      </vt:variant>
      <vt:variant>
        <vt:lpwstr/>
      </vt:variant>
      <vt:variant>
        <vt:lpwstr>_Toc475264860</vt:lpwstr>
      </vt:variant>
      <vt:variant>
        <vt:i4>1245247</vt:i4>
      </vt:variant>
      <vt:variant>
        <vt:i4>110</vt:i4>
      </vt:variant>
      <vt:variant>
        <vt:i4>0</vt:i4>
      </vt:variant>
      <vt:variant>
        <vt:i4>5</vt:i4>
      </vt:variant>
      <vt:variant>
        <vt:lpwstr/>
      </vt:variant>
      <vt:variant>
        <vt:lpwstr>_Toc475264859</vt:lpwstr>
      </vt:variant>
      <vt:variant>
        <vt:i4>1245247</vt:i4>
      </vt:variant>
      <vt:variant>
        <vt:i4>104</vt:i4>
      </vt:variant>
      <vt:variant>
        <vt:i4>0</vt:i4>
      </vt:variant>
      <vt:variant>
        <vt:i4>5</vt:i4>
      </vt:variant>
      <vt:variant>
        <vt:lpwstr/>
      </vt:variant>
      <vt:variant>
        <vt:lpwstr>_Toc475264858</vt:lpwstr>
      </vt:variant>
      <vt:variant>
        <vt:i4>1245247</vt:i4>
      </vt:variant>
      <vt:variant>
        <vt:i4>98</vt:i4>
      </vt:variant>
      <vt:variant>
        <vt:i4>0</vt:i4>
      </vt:variant>
      <vt:variant>
        <vt:i4>5</vt:i4>
      </vt:variant>
      <vt:variant>
        <vt:lpwstr/>
      </vt:variant>
      <vt:variant>
        <vt:lpwstr>_Toc475264857</vt:lpwstr>
      </vt:variant>
      <vt:variant>
        <vt:i4>1245247</vt:i4>
      </vt:variant>
      <vt:variant>
        <vt:i4>92</vt:i4>
      </vt:variant>
      <vt:variant>
        <vt:i4>0</vt:i4>
      </vt:variant>
      <vt:variant>
        <vt:i4>5</vt:i4>
      </vt:variant>
      <vt:variant>
        <vt:lpwstr/>
      </vt:variant>
      <vt:variant>
        <vt:lpwstr>_Toc475264856</vt:lpwstr>
      </vt:variant>
      <vt:variant>
        <vt:i4>1245247</vt:i4>
      </vt:variant>
      <vt:variant>
        <vt:i4>86</vt:i4>
      </vt:variant>
      <vt:variant>
        <vt:i4>0</vt:i4>
      </vt:variant>
      <vt:variant>
        <vt:i4>5</vt:i4>
      </vt:variant>
      <vt:variant>
        <vt:lpwstr/>
      </vt:variant>
      <vt:variant>
        <vt:lpwstr>_Toc475264855</vt:lpwstr>
      </vt:variant>
      <vt:variant>
        <vt:i4>1245247</vt:i4>
      </vt:variant>
      <vt:variant>
        <vt:i4>80</vt:i4>
      </vt:variant>
      <vt:variant>
        <vt:i4>0</vt:i4>
      </vt:variant>
      <vt:variant>
        <vt:i4>5</vt:i4>
      </vt:variant>
      <vt:variant>
        <vt:lpwstr/>
      </vt:variant>
      <vt:variant>
        <vt:lpwstr>_Toc475264854</vt:lpwstr>
      </vt:variant>
      <vt:variant>
        <vt:i4>1245247</vt:i4>
      </vt:variant>
      <vt:variant>
        <vt:i4>74</vt:i4>
      </vt:variant>
      <vt:variant>
        <vt:i4>0</vt:i4>
      </vt:variant>
      <vt:variant>
        <vt:i4>5</vt:i4>
      </vt:variant>
      <vt:variant>
        <vt:lpwstr/>
      </vt:variant>
      <vt:variant>
        <vt:lpwstr>_Toc475264853</vt:lpwstr>
      </vt:variant>
      <vt:variant>
        <vt:i4>1245247</vt:i4>
      </vt:variant>
      <vt:variant>
        <vt:i4>68</vt:i4>
      </vt:variant>
      <vt:variant>
        <vt:i4>0</vt:i4>
      </vt:variant>
      <vt:variant>
        <vt:i4>5</vt:i4>
      </vt:variant>
      <vt:variant>
        <vt:lpwstr/>
      </vt:variant>
      <vt:variant>
        <vt:lpwstr>_Toc475264852</vt:lpwstr>
      </vt:variant>
      <vt:variant>
        <vt:i4>1245247</vt:i4>
      </vt:variant>
      <vt:variant>
        <vt:i4>62</vt:i4>
      </vt:variant>
      <vt:variant>
        <vt:i4>0</vt:i4>
      </vt:variant>
      <vt:variant>
        <vt:i4>5</vt:i4>
      </vt:variant>
      <vt:variant>
        <vt:lpwstr/>
      </vt:variant>
      <vt:variant>
        <vt:lpwstr>_Toc475264851</vt:lpwstr>
      </vt:variant>
      <vt:variant>
        <vt:i4>1245247</vt:i4>
      </vt:variant>
      <vt:variant>
        <vt:i4>56</vt:i4>
      </vt:variant>
      <vt:variant>
        <vt:i4>0</vt:i4>
      </vt:variant>
      <vt:variant>
        <vt:i4>5</vt:i4>
      </vt:variant>
      <vt:variant>
        <vt:lpwstr/>
      </vt:variant>
      <vt:variant>
        <vt:lpwstr>_Toc475264850</vt:lpwstr>
      </vt:variant>
      <vt:variant>
        <vt:i4>1179711</vt:i4>
      </vt:variant>
      <vt:variant>
        <vt:i4>50</vt:i4>
      </vt:variant>
      <vt:variant>
        <vt:i4>0</vt:i4>
      </vt:variant>
      <vt:variant>
        <vt:i4>5</vt:i4>
      </vt:variant>
      <vt:variant>
        <vt:lpwstr/>
      </vt:variant>
      <vt:variant>
        <vt:lpwstr>_Toc475264849</vt:lpwstr>
      </vt:variant>
      <vt:variant>
        <vt:i4>1179711</vt:i4>
      </vt:variant>
      <vt:variant>
        <vt:i4>44</vt:i4>
      </vt:variant>
      <vt:variant>
        <vt:i4>0</vt:i4>
      </vt:variant>
      <vt:variant>
        <vt:i4>5</vt:i4>
      </vt:variant>
      <vt:variant>
        <vt:lpwstr/>
      </vt:variant>
      <vt:variant>
        <vt:lpwstr>_Toc475264848</vt:lpwstr>
      </vt:variant>
      <vt:variant>
        <vt:i4>1179711</vt:i4>
      </vt:variant>
      <vt:variant>
        <vt:i4>38</vt:i4>
      </vt:variant>
      <vt:variant>
        <vt:i4>0</vt:i4>
      </vt:variant>
      <vt:variant>
        <vt:i4>5</vt:i4>
      </vt:variant>
      <vt:variant>
        <vt:lpwstr/>
      </vt:variant>
      <vt:variant>
        <vt:lpwstr>_Toc475264847</vt:lpwstr>
      </vt:variant>
      <vt:variant>
        <vt:i4>1179711</vt:i4>
      </vt:variant>
      <vt:variant>
        <vt:i4>32</vt:i4>
      </vt:variant>
      <vt:variant>
        <vt:i4>0</vt:i4>
      </vt:variant>
      <vt:variant>
        <vt:i4>5</vt:i4>
      </vt:variant>
      <vt:variant>
        <vt:lpwstr/>
      </vt:variant>
      <vt:variant>
        <vt:lpwstr>_Toc475264846</vt:lpwstr>
      </vt:variant>
      <vt:variant>
        <vt:i4>1179711</vt:i4>
      </vt:variant>
      <vt:variant>
        <vt:i4>26</vt:i4>
      </vt:variant>
      <vt:variant>
        <vt:i4>0</vt:i4>
      </vt:variant>
      <vt:variant>
        <vt:i4>5</vt:i4>
      </vt:variant>
      <vt:variant>
        <vt:lpwstr/>
      </vt:variant>
      <vt:variant>
        <vt:lpwstr>_Toc475264845</vt:lpwstr>
      </vt:variant>
      <vt:variant>
        <vt:i4>1179711</vt:i4>
      </vt:variant>
      <vt:variant>
        <vt:i4>20</vt:i4>
      </vt:variant>
      <vt:variant>
        <vt:i4>0</vt:i4>
      </vt:variant>
      <vt:variant>
        <vt:i4>5</vt:i4>
      </vt:variant>
      <vt:variant>
        <vt:lpwstr/>
      </vt:variant>
      <vt:variant>
        <vt:lpwstr>_Toc475264844</vt:lpwstr>
      </vt:variant>
      <vt:variant>
        <vt:i4>1179711</vt:i4>
      </vt:variant>
      <vt:variant>
        <vt:i4>14</vt:i4>
      </vt:variant>
      <vt:variant>
        <vt:i4>0</vt:i4>
      </vt:variant>
      <vt:variant>
        <vt:i4>5</vt:i4>
      </vt:variant>
      <vt:variant>
        <vt:lpwstr/>
      </vt:variant>
      <vt:variant>
        <vt:lpwstr>_Toc475264843</vt:lpwstr>
      </vt:variant>
      <vt:variant>
        <vt:i4>1179711</vt:i4>
      </vt:variant>
      <vt:variant>
        <vt:i4>8</vt:i4>
      </vt:variant>
      <vt:variant>
        <vt:i4>0</vt:i4>
      </vt:variant>
      <vt:variant>
        <vt:i4>5</vt:i4>
      </vt:variant>
      <vt:variant>
        <vt:lpwstr/>
      </vt:variant>
      <vt:variant>
        <vt:lpwstr>_Toc475264842</vt:lpwstr>
      </vt:variant>
      <vt:variant>
        <vt:i4>1179711</vt:i4>
      </vt:variant>
      <vt:variant>
        <vt:i4>2</vt:i4>
      </vt:variant>
      <vt:variant>
        <vt:i4>0</vt:i4>
      </vt:variant>
      <vt:variant>
        <vt:i4>5</vt:i4>
      </vt:variant>
      <vt:variant>
        <vt:lpwstr/>
      </vt:variant>
      <vt:variant>
        <vt:lpwstr>_Toc475264841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21 mai 2012</dc:title>
  <dc:subject>în anul 2012</dc:subject>
  <dc:creator>florin.radu</dc:creator>
  <cp:keywords/>
  <dc:description/>
  <cp:lastModifiedBy>Flori, CONSTANTIN</cp:lastModifiedBy>
  <cp:revision>43</cp:revision>
  <cp:lastPrinted>2018-01-29T08:38:00Z</cp:lastPrinted>
  <dcterms:created xsi:type="dcterms:W3CDTF">2018-03-30T11:13:00Z</dcterms:created>
  <dcterms:modified xsi:type="dcterms:W3CDTF">2018-04-25T06:34:00Z</dcterms:modified>
</cp:coreProperties>
</file>