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8F340" w14:textId="6C1E5FAC" w:rsidR="000345FF" w:rsidRDefault="000345FF" w:rsidP="00FB22DD">
      <w:pPr>
        <w:pStyle w:val="DecHTitle"/>
      </w:pPr>
      <w:r>
        <w:t>CURTEA EUROPEANĂ A DREPTURILOR OMULUI</w:t>
      </w:r>
    </w:p>
    <w:p w14:paraId="0F56D972" w14:textId="057A609C" w:rsidR="006544C4" w:rsidRPr="00FB22DD" w:rsidRDefault="00F2264A" w:rsidP="00FB22DD">
      <w:pPr>
        <w:pStyle w:val="DecHTitle"/>
        <w:rPr>
          <w:sz w:val="4"/>
          <w:szCs w:val="4"/>
        </w:rPr>
      </w:pPr>
      <w:r>
        <w:t>SECȚIA A PATRA</w:t>
      </w:r>
    </w:p>
    <w:p w14:paraId="11E09FD7" w14:textId="77777777" w:rsidR="006544C4" w:rsidRPr="00FB22DD" w:rsidRDefault="006544C4" w:rsidP="00FB22DD">
      <w:pPr>
        <w:pStyle w:val="DecHTitle"/>
        <w:rPr>
          <w:caps/>
          <w:sz w:val="32"/>
        </w:rPr>
      </w:pPr>
      <w:r>
        <w:t>DECIZIE</w:t>
      </w:r>
    </w:p>
    <w:p w14:paraId="7160C223" w14:textId="7B66B8AC" w:rsidR="006544C4" w:rsidRPr="00FB22DD" w:rsidRDefault="00F2264A" w:rsidP="00FB22DD">
      <w:pPr>
        <w:pStyle w:val="DecHCase"/>
      </w:pPr>
      <w:r>
        <w:t>Cererea nr. 61548/21</w:t>
      </w:r>
      <w:r>
        <w:br/>
        <w:t>formulată de Vincente DALVY</w:t>
      </w:r>
      <w:r>
        <w:br/>
        <w:t>împotriva celor 47 de state membre</w:t>
      </w:r>
    </w:p>
    <w:p w14:paraId="53969666" w14:textId="16FA6154" w:rsidR="00F2264A" w:rsidRPr="00FB22DD" w:rsidRDefault="00F2264A" w:rsidP="00FB22DD">
      <w:pPr>
        <w:pStyle w:val="JuPara"/>
      </w:pPr>
      <w:r>
        <w:t>Curtea Europeană a Drepturilor Omului (Secția a patra), reunită la 23 mai 2023 într-o cameră compusă din:</w:t>
      </w:r>
    </w:p>
    <w:p w14:paraId="5BE2C68A" w14:textId="387F0104" w:rsidR="00F2264A" w:rsidRPr="00FB22DD" w:rsidRDefault="008A7861" w:rsidP="00FB22DD">
      <w:pPr>
        <w:pStyle w:val="JuJudges"/>
      </w:pPr>
      <w:r>
        <w:tab/>
        <w:t>Gabriele Kucsko-Stadlmayer</w:t>
      </w:r>
      <w:r>
        <w:rPr>
          <w:i/>
        </w:rPr>
        <w:t>, președinte</w:t>
      </w:r>
      <w:r>
        <w:t>,</w:t>
      </w:r>
      <w:r>
        <w:br/>
      </w:r>
      <w:r>
        <w:tab/>
        <w:t>Tim Eicke,</w:t>
      </w:r>
      <w:r>
        <w:br/>
      </w:r>
      <w:r>
        <w:tab/>
        <w:t>Faris Vehabović,</w:t>
      </w:r>
      <w:r>
        <w:br/>
      </w:r>
      <w:r>
        <w:tab/>
        <w:t>Iulia Antoanella Motoc,</w:t>
      </w:r>
      <w:r>
        <w:br/>
      </w:r>
      <w:r>
        <w:tab/>
        <w:t>Armen Harutyunyan,</w:t>
      </w:r>
      <w:r>
        <w:br/>
      </w:r>
      <w:r>
        <w:tab/>
        <w:t>Ana Maria Guerra Martins,</w:t>
      </w:r>
      <w:r>
        <w:br/>
      </w:r>
      <w:r>
        <w:tab/>
        <w:t>Anne Louise Bormann</w:t>
      </w:r>
      <w:r>
        <w:rPr>
          <w:i/>
        </w:rPr>
        <w:t>, judecători</w:t>
      </w:r>
      <w:r>
        <w:t>,</w:t>
      </w:r>
      <w:r>
        <w:br/>
        <w:t xml:space="preserve">și Andrea Tamietti, </w:t>
      </w:r>
      <w:r>
        <w:rPr>
          <w:i/>
        </w:rPr>
        <w:t xml:space="preserve">grefier </w:t>
      </w:r>
      <w:r>
        <w:rPr>
          <w:i/>
          <w:iCs/>
        </w:rPr>
        <w:t>de secție</w:t>
      </w:r>
      <w:r>
        <w:t>,</w:t>
      </w:r>
    </w:p>
    <w:p w14:paraId="25E787BB" w14:textId="336B6E66" w:rsidR="00F2264A" w:rsidRPr="00FB22DD" w:rsidRDefault="00F2264A" w:rsidP="00FB22DD">
      <w:pPr>
        <w:pStyle w:val="JuPara"/>
      </w:pPr>
      <w:r>
        <w:t>având în vedere cererea (nr. 61548/21) îndreptată împotriva celor 47 de state semnatare ale Convenției, prin care o resortisantă cu dublă cetățenie franceză și italiană, doamna Vincente Dalvy („reclamanta”), a sesizat la 16 decembrie 2021 Curtea în temeiul art. 34 din Convenția pentru apărarea drepturilor omului și a libertăților fundamentale („Convenția”),</w:t>
      </w:r>
    </w:p>
    <w:p w14:paraId="3E4EE47B" w14:textId="77777777" w:rsidR="00F2264A" w:rsidRPr="00FB22DD" w:rsidRDefault="00F2264A" w:rsidP="00FB22DD">
      <w:pPr>
        <w:pStyle w:val="JuPara"/>
        <w:rPr>
          <w:color w:val="000000"/>
        </w:rPr>
      </w:pPr>
      <w:r>
        <w:t>după ce a deliberat în acest sens, pronunță următoarea decizie:</w:t>
      </w:r>
    </w:p>
    <w:p w14:paraId="73A00A76" w14:textId="7F805395" w:rsidR="00F2264A" w:rsidRPr="00FB22DD" w:rsidRDefault="00F2264A" w:rsidP="00FB22DD">
      <w:pPr>
        <w:pStyle w:val="JuHHead"/>
        <w:numPr>
          <w:ilvl w:val="0"/>
          <w:numId w:val="1"/>
        </w:numPr>
      </w:pPr>
      <w:r>
        <w:t>ÎN FAPT</w:t>
      </w:r>
    </w:p>
    <w:p w14:paraId="5DBE5185" w14:textId="4E46BE57" w:rsidR="00F2264A" w:rsidRPr="00FB22DD" w:rsidRDefault="000A5B75" w:rsidP="00FB22DD">
      <w:pPr>
        <w:pStyle w:val="JuPara"/>
      </w:pPr>
      <w:fldSimple w:instr=" SEQ level0 \*arabic \* MERGEFORMAT ">
        <w:r w:rsidR="00FB22DD" w:rsidRPr="00FB22DD">
          <w:t>1</w:t>
        </w:r>
      </w:fldSimple>
      <w:r>
        <w:t>.  Reclamanta s-a născut în anul 1960 și are domiciliul în Strasbourg.</w:t>
      </w:r>
    </w:p>
    <w:p w14:paraId="694A3082" w14:textId="628D002A" w:rsidR="00F2264A" w:rsidRPr="00FB22DD" w:rsidRDefault="000A5B75" w:rsidP="00FB22DD">
      <w:pPr>
        <w:pStyle w:val="JuPara"/>
      </w:pPr>
      <w:fldSimple w:instr=" SEQ level0 \*arabic \* MERGEFORMAT ">
        <w:r w:rsidR="00FB22DD" w:rsidRPr="00FB22DD">
          <w:t>2</w:t>
        </w:r>
      </w:fldSimple>
      <w:r>
        <w:t>.  Faptele cauzei, așa cum au fost prezentate de reclamantă, se pot rezuma după cum urmează.</w:t>
      </w:r>
    </w:p>
    <w:p w14:paraId="5E33D938" w14:textId="21414F15" w:rsidR="00F2264A" w:rsidRPr="00FB22DD" w:rsidRDefault="000A5B75" w:rsidP="00FB22DD">
      <w:pPr>
        <w:pStyle w:val="JuPara"/>
      </w:pPr>
      <w:fldSimple w:instr=" SEQ level0 \*arabic \* MERGEFORMAT ">
        <w:r w:rsidR="00FB22DD" w:rsidRPr="00FB22DD">
          <w:t>3</w:t>
        </w:r>
      </w:fldSimple>
      <w:r>
        <w:t>.  Reclamanta a fost angajată la Consiliul Europei începând cu anul 1994. Ca atare, a lucrat o anume perioadă în cadrul grefei Curții Europen</w:t>
      </w:r>
      <w:r w:rsidR="006509B1">
        <w:t>e a Drepturilor Omului („Curtea”</w:t>
      </w:r>
      <w:r>
        <w:t>).</w:t>
      </w:r>
    </w:p>
    <w:p w14:paraId="616923ED" w14:textId="6C058DA7" w:rsidR="00F2264A" w:rsidRPr="00FB22DD" w:rsidRDefault="000A5B75" w:rsidP="00FB22DD">
      <w:pPr>
        <w:pStyle w:val="JuPara"/>
      </w:pPr>
      <w:fldSimple w:instr=" SEQ level0 \*arabic \* MERGEFORMAT ">
        <w:r w:rsidR="00FB22DD" w:rsidRPr="00FB22DD">
          <w:t>4</w:t>
        </w:r>
      </w:fldSimple>
      <w:r>
        <w:t>.  Într-un aviz însoțit de recomandări emis la 17 octombrie 2019, Comisia pentru combaterea hărțuirii a Consiliului Europei („Comisia</w:t>
      </w:r>
      <w:r w:rsidR="006509B1">
        <w:t>”</w:t>
      </w:r>
      <w:r>
        <w:t xml:space="preserve">) a recunoscut </w:t>
      </w:r>
      <w:r>
        <w:lastRenderedPageBreak/>
        <w:t>că reclamanta a fost victima hărțuirii morale la locul de muncă. Printr-o decizie din 31 martie 2020 pronunțată în urma unei cereri administrative a reclamantei, Secretarul general al Consiliului Europei („Secretarul general</w:t>
      </w:r>
      <w:r w:rsidR="006509B1">
        <w:t>”</w:t>
      </w:r>
      <w:r>
        <w:t>), cu competența de a răspunde cererilor pe care i le adresează agenții Consiliului Europei, a considerat că Organizația și-a îndeplinit obligația de a acorda reclamantei o protecție efectivă împotriva hărțuirii. Cu toate acestea, a admis în parte cererea persoanei în cauză prin care urmărea să obțină o compensare pentru prejudiciul moral pe care pretindea că l-a suferit și i-a acordat 10 000 euro.</w:t>
      </w:r>
    </w:p>
    <w:p w14:paraId="62CB77A6" w14:textId="5997D929" w:rsidR="00F2264A" w:rsidRPr="00FB22DD" w:rsidRDefault="000A5B75" w:rsidP="00FB22DD">
      <w:pPr>
        <w:pStyle w:val="JuPara"/>
      </w:pPr>
      <w:fldSimple w:instr=" SEQ level0 \*arabic \* MERGEFORMAT ">
        <w:bookmarkStart w:id="0" w:name="paragraph00004"/>
        <w:r w:rsidR="00FB22DD" w:rsidRPr="00FB22DD">
          <w:t>5</w:t>
        </w:r>
        <w:bookmarkEnd w:id="0"/>
      </w:fldSimple>
      <w:r>
        <w:t>.  Reclamanta a formulat împotriva deciziei din 31 martie 2020 o plângere administrativă pe care Secretarul general, cu competența de a soluționa plângerile administrative introduse de agenții Consiliului Europei, a respins-o ca neîntemeiată la 20 mai 2020.</w:t>
      </w:r>
    </w:p>
    <w:p w14:paraId="4F58A37A" w14:textId="31DEFCDF" w:rsidR="00F2264A" w:rsidRPr="00FB22DD" w:rsidRDefault="000A5B75" w:rsidP="00FB22DD">
      <w:pPr>
        <w:pStyle w:val="JuPara"/>
      </w:pPr>
      <w:fldSimple w:instr=" SEQ level0 \*arabic \* MERGEFORMAT ">
        <w:r w:rsidR="00FB22DD" w:rsidRPr="00FB22DD">
          <w:t>6</w:t>
        </w:r>
      </w:fldSimple>
      <w:r>
        <w:t>.  La 16 iunie 2020, reclamanta a sesizat Tribunalul Administrativ al Consiliului Europei („TACE</w:t>
      </w:r>
      <w:r w:rsidR="006509B1">
        <w:t>”</w:t>
      </w:r>
      <w:r>
        <w:t>) cu o acțiune împotriva deciziei din 20 mai 2020 prin intermediul căreia dorea să fie recunoscute inerția și lipsa de protecție din partea conducerii în privința sa și să obțină reparația integrală a prejudiciului suferit în urma hărțuirii în legătură cu care Comisia concluzionase.</w:t>
      </w:r>
    </w:p>
    <w:bookmarkStart w:id="1" w:name="P7"/>
    <w:p w14:paraId="168456D7" w14:textId="633918EE" w:rsidR="00F2264A" w:rsidRPr="00FB22DD" w:rsidRDefault="00F2264A" w:rsidP="00FB22DD">
      <w:pPr>
        <w:pStyle w:val="JuPara"/>
      </w:pPr>
      <w:r w:rsidRPr="00FB22DD">
        <w:fldChar w:fldCharType="begin"/>
      </w:r>
      <w:r w:rsidRPr="00FB22DD">
        <w:instrText xml:space="preserve"> SEQ level0 \*arabic \* MERGEFORMAT </w:instrText>
      </w:r>
      <w:r w:rsidRPr="00FB22DD">
        <w:fldChar w:fldCharType="separate"/>
      </w:r>
      <w:r w:rsidR="00FB22DD" w:rsidRPr="00FB22DD">
        <w:t>7</w:t>
      </w:r>
      <w:r w:rsidRPr="00FB22DD">
        <w:fldChar w:fldCharType="end"/>
      </w:r>
      <w:bookmarkEnd w:id="1"/>
      <w:r>
        <w:t>.  O fostă judecătoare de la Curte și judecător la TACE, X, care era chemată să delibereze în cauză, s-a retras.</w:t>
      </w:r>
    </w:p>
    <w:p w14:paraId="6E042F93" w14:textId="6A13D619" w:rsidR="00F2264A" w:rsidRPr="00FB22DD" w:rsidRDefault="000A5B75" w:rsidP="00FB22DD">
      <w:pPr>
        <w:pStyle w:val="JuPara"/>
      </w:pPr>
      <w:fldSimple w:instr=" SEQ level0 \*arabic \* MERGEFORMAT ">
        <w:r w:rsidR="00FB22DD" w:rsidRPr="00FB22DD">
          <w:t>8</w:t>
        </w:r>
      </w:fldSimple>
      <w:r>
        <w:t xml:space="preserve">.  Doamna judecătoarea Vajić, fostă judecătoare la Curte și judecătoare a TACE, prezida completul de judecată care trebuia să examineze cauza (infra, pct. </w:t>
      </w:r>
      <w:r w:rsidR="00F2264A" w:rsidRPr="00FB22DD">
        <w:fldChar w:fldCharType="begin"/>
      </w:r>
      <w:r w:rsidR="00F2264A" w:rsidRPr="00FB22DD">
        <w:instrText xml:space="preserve"> REF paragraph00016 \h  \* CharFormat </w:instrText>
      </w:r>
      <w:r w:rsidR="00F2264A" w:rsidRPr="00FB22DD">
        <w:fldChar w:fldCharType="separate"/>
      </w:r>
      <w:r w:rsidR="00FB22DD" w:rsidRPr="00FB22DD">
        <w:t>18</w:t>
      </w:r>
      <w:r w:rsidR="00F2264A" w:rsidRPr="00FB22DD">
        <w:fldChar w:fldCharType="end"/>
      </w:r>
      <w:r>
        <w:t>).</w:t>
      </w:r>
    </w:p>
    <w:p w14:paraId="31A20075" w14:textId="27DFBDCC" w:rsidR="00F2264A" w:rsidRPr="00FB22DD" w:rsidRDefault="000A5B75" w:rsidP="00FB22DD">
      <w:pPr>
        <w:pStyle w:val="JuPara"/>
      </w:pPr>
      <w:fldSimple w:instr=" SEQ level0 \*arabic \* MERGEFORMAT ">
        <w:bookmarkStart w:id="2" w:name="paragraph00006"/>
        <w:r w:rsidR="00FB22DD" w:rsidRPr="00FB22DD">
          <w:t>9</w:t>
        </w:r>
        <w:bookmarkEnd w:id="2"/>
      </w:fldSimple>
      <w:r>
        <w:t>.  La 17 martie 2021, prin intermediul avocatului său, reclamanta a adresat TACE o scrisoare al cărui obiect era precizat ca fiind o „cerere de amânare a ședinței din 22 martie 2021</w:t>
      </w:r>
      <w:r w:rsidR="006509B1">
        <w:t>”</w:t>
      </w:r>
      <w:r>
        <w:t>. Avocata reclamantei informa tribunalul în această scrisoare că reclamanta, cu o zi înainte, i-a precizat că „de multe ori fusese în prezența doamnei Vajić în cadrul CERI (Consiliul Europei), apoi la Curtea Europeană a Drepturilor Omului în aceeași perioadă cu X, care se abținuse deja în această cauză pentru acest motiv”. Pentru a garanta administrarea corectă a justiției și pentru „ca nicio îndoială să nu existe cu privire la imparțialitatea, chiar aparentă, a tribunalului”, reclamanta a cerut ca președinția să revină în cauză M. B., președinte supleant al TACE și, pentru a-i permite acestuia din urmă să ia cunoștință de dosar, a solicitat o amânare a ședinței.</w:t>
      </w:r>
    </w:p>
    <w:p w14:paraId="2EF84B44" w14:textId="5A93DCF2" w:rsidR="00F2264A" w:rsidRPr="00FB22DD" w:rsidRDefault="000A5B75" w:rsidP="00FB22DD">
      <w:pPr>
        <w:pStyle w:val="JuPara"/>
      </w:pPr>
      <w:fldSimple w:instr=" SEQ level0 \*arabic \* MERGEFORMAT ">
        <w:bookmarkStart w:id="3" w:name="paragraph00007"/>
        <w:r w:rsidR="00FB22DD" w:rsidRPr="00FB22DD">
          <w:t>10</w:t>
        </w:r>
        <w:bookmarkEnd w:id="3"/>
      </w:fldSimple>
      <w:r>
        <w:t>.  Prin scrisoarea din 18 martie 2021, trimisă ca răspuns la o întrebare adresată de grefa TACE privind scrisoarea din 17 martie 2021, reclamanta a precizat că „corespondența sa urmărea în primul rând să informeze tribunalul despre o situație de fapt, și să solicite, prin urmare, ca doamna președinte să se abțină spontan de la a delibera în această cauză, așa cum procedase anterior doamna [X]</w:t>
      </w:r>
      <w:r w:rsidR="006509B1">
        <w:t>”</w:t>
      </w:r>
      <w:bookmarkStart w:id="4" w:name="_GoBack"/>
      <w:bookmarkEnd w:id="4"/>
      <w:r>
        <w:t>.</w:t>
      </w:r>
    </w:p>
    <w:p w14:paraId="066C437A" w14:textId="77DBDD93" w:rsidR="00F2264A" w:rsidRPr="00FB22DD" w:rsidRDefault="000A5B75" w:rsidP="00FB22DD">
      <w:pPr>
        <w:pStyle w:val="JuPara"/>
      </w:pPr>
      <w:fldSimple w:instr=" SEQ level0 \*arabic \* MERGEFORMAT ">
        <w:bookmarkStart w:id="5" w:name="paragraph00010"/>
        <w:r w:rsidR="00FB22DD" w:rsidRPr="00FB22DD">
          <w:t>11</w:t>
        </w:r>
        <w:bookmarkEnd w:id="5"/>
      </w:fldSimple>
      <w:r>
        <w:t xml:space="preserve">.  La 18 martie 2021, judecătoarea Vajić a răspuns solicitării reclamantei. Cu titlu preliminar, aceasta a observat că din lectura scrisorii din </w:t>
      </w:r>
      <w:r>
        <w:lastRenderedPageBreak/>
        <w:t xml:space="preserve">17 martie și a mesajului electronic din 18 martie (supra, pct. </w:t>
      </w:r>
      <w:r w:rsidR="00F2264A" w:rsidRPr="00FB22DD">
        <w:fldChar w:fldCharType="begin"/>
      </w:r>
      <w:r w:rsidR="00F2264A" w:rsidRPr="00FB22DD">
        <w:instrText xml:space="preserve"> REF paragraph00006 \h  \* CharFormat  \* MERGEFORMAT </w:instrText>
      </w:r>
      <w:r w:rsidR="00F2264A" w:rsidRPr="00FB22DD">
        <w:fldChar w:fldCharType="separate"/>
      </w:r>
      <w:r w:rsidR="00FB22DD" w:rsidRPr="00FB22DD">
        <w:t>9</w:t>
      </w:r>
      <w:r w:rsidR="00F2264A" w:rsidRPr="00FB22DD">
        <w:fldChar w:fldCharType="end"/>
      </w:r>
      <w:r>
        <w:t xml:space="preserve"> și </w:t>
      </w:r>
      <w:r w:rsidR="00F2264A" w:rsidRPr="00FB22DD">
        <w:fldChar w:fldCharType="begin"/>
      </w:r>
      <w:r w:rsidR="00F2264A" w:rsidRPr="00FB22DD">
        <w:instrText xml:space="preserve"> REF paragraph00007 \h  \* CharFormat  \* MERGEFORMAT </w:instrText>
      </w:r>
      <w:r w:rsidR="00F2264A" w:rsidRPr="00FB22DD">
        <w:fldChar w:fldCharType="separate"/>
      </w:r>
      <w:r w:rsidR="00FB22DD" w:rsidRPr="00FB22DD">
        <w:t>10</w:t>
      </w:r>
      <w:r w:rsidR="00F2264A" w:rsidRPr="00FB22DD">
        <w:fldChar w:fldCharType="end"/>
      </w:r>
      <w:r>
        <w:t>) reieșea că respectiva cerere a reclamantei nu avea ca obiect o recuzare, ci o abținere. Apoi, aceasta a arătat că, prin urmare, potrivit procedurii aplicabile, nu îi revenea tribunalului să soluționeze această cerere, și că decizia de a se abține de la a examina acțiunea în cauză îi aparținea în totalitate doar dnei Vajić.</w:t>
      </w:r>
    </w:p>
    <w:p w14:paraId="2520858B" w14:textId="6A58DAA0" w:rsidR="00F2264A" w:rsidRPr="00FB22DD" w:rsidRDefault="000A5B75" w:rsidP="00FB22DD">
      <w:pPr>
        <w:pStyle w:val="JuPara"/>
      </w:pPr>
      <w:fldSimple w:instr=" SEQ level0 \*arabic \* MERGEFORMAT ">
        <w:bookmarkStart w:id="6" w:name="paragraph00011"/>
        <w:r w:rsidR="00FB22DD" w:rsidRPr="00FB22DD">
          <w:t>12</w:t>
        </w:r>
        <w:bookmarkEnd w:id="6"/>
      </w:fldSimple>
      <w:r>
        <w:t>.  Judecătoarea Vajić a arătat, de asemenea, că doar faptul că a fost, ca X, judecător la Curtea Europeană a Drepturilor Omului nu făcea ca situația sa să fie comparabilă cu a celeia din urmă. În ceea ce privește pretențiile reclamantei, conform cărora aceasta „fusese în prezența sa”, a declarat că nu își amintește să fi lucrat cu persoana în cauză. A exclus orice posibilitate a unor contacte personale între ele.</w:t>
      </w:r>
    </w:p>
    <w:p w14:paraId="049368DF" w14:textId="6E093AC7" w:rsidR="00F2264A" w:rsidRPr="00FB22DD" w:rsidRDefault="000A5B75" w:rsidP="00FB22DD">
      <w:pPr>
        <w:pStyle w:val="JuPara"/>
      </w:pPr>
      <w:fldSimple w:instr=" SEQ level0 \*arabic \* MERGEFORMAT ">
        <w:r w:rsidR="00FB22DD" w:rsidRPr="00FB22DD">
          <w:t>13</w:t>
        </w:r>
      </w:fldSimple>
      <w:r>
        <w:t>.  A subliniat că cerințele de independență, imparțialitate și de disponibilitate inerente mandatului membrilor tribunalului se prezumau până la proba contrară și că sarcina probei îi revenea celui care invoca un motiv de recuzare. Or, în opinia sa, reclamanta nu a prezentat niciun element și nici un început de dovadă scrisă care să permită contestarea imparțialității sale subiective sau să concluzioneze că nu s-au respectat cerințele de imparțialitate obiectivă pe motiv că trebuia să prezideze completul tribunalului cu ocazia examinării acțiunii în litigiu.</w:t>
      </w:r>
    </w:p>
    <w:bookmarkStart w:id="7" w:name="P14"/>
    <w:p w14:paraId="577673D9" w14:textId="396C56DA" w:rsidR="00F2264A" w:rsidRPr="00FB22DD" w:rsidRDefault="00F2264A" w:rsidP="00FB22DD">
      <w:pPr>
        <w:pStyle w:val="JuPara"/>
      </w:pPr>
      <w:r w:rsidRPr="00FB22DD">
        <w:fldChar w:fldCharType="begin"/>
      </w:r>
      <w:r w:rsidRPr="00FB22DD">
        <w:instrText xml:space="preserve"> SEQ level0 \*arabic \* MERGEFORMAT </w:instrText>
      </w:r>
      <w:r w:rsidRPr="00FB22DD">
        <w:fldChar w:fldCharType="separate"/>
      </w:r>
      <w:r w:rsidR="00FB22DD" w:rsidRPr="00FB22DD">
        <w:t>14</w:t>
      </w:r>
      <w:r w:rsidRPr="00FB22DD">
        <w:fldChar w:fldCharType="end"/>
      </w:r>
      <w:bookmarkEnd w:id="7"/>
      <w:r>
        <w:t xml:space="preserve">.  Făcând referire la o decizie pronunțată de TACE la 8 ianuarie 2021 (acțiunea nr. 625/2019 – infra, pct. </w:t>
      </w:r>
      <w:r w:rsidRPr="00FB22DD">
        <w:fldChar w:fldCharType="begin"/>
      </w:r>
      <w:r w:rsidRPr="00FB22DD">
        <w:instrText xml:space="preserve"> REF paragraph00020 \h  \* CharFormat </w:instrText>
      </w:r>
      <w:r w:rsidRPr="00FB22DD">
        <w:fldChar w:fldCharType="separate"/>
      </w:r>
      <w:r w:rsidR="00FB22DD" w:rsidRPr="00FB22DD">
        <w:t>20</w:t>
      </w:r>
      <w:r w:rsidRPr="00FB22DD">
        <w:fldChar w:fldCharType="end"/>
      </w:r>
      <w:r>
        <w:t>) în urma unei acțiuni distincte de cea a reclamantei, doamna judecător Vajić a adăugat că împrejurarea că un reclamant a lucrat cu un membru al TACE nu era de natură a dovedi o părtinire a judecătorului în cauză, dar că trebuia probată existența unui conflict de interese în legătură cu obiectul litigiului. Or, în opinia sa, reclamanta nu a prezentat niciun element de fapt care să demonstreze existența unui conflict de interese în ceea ce o privește în legătură cu litigiul respectiv.</w:t>
      </w:r>
    </w:p>
    <w:p w14:paraId="564F3848" w14:textId="4FC456CC" w:rsidR="00F2264A" w:rsidRPr="00FB22DD" w:rsidRDefault="000A5B75" w:rsidP="00FB22DD">
      <w:pPr>
        <w:pStyle w:val="JuPara"/>
      </w:pPr>
      <w:fldSimple w:instr=" SEQ level0 \*arabic \* MERGEFORMAT ">
        <w:bookmarkStart w:id="8" w:name="paragraph00014"/>
        <w:r w:rsidR="00FB22DD" w:rsidRPr="00FB22DD">
          <w:t>15</w:t>
        </w:r>
        <w:bookmarkEnd w:id="8"/>
      </w:fldSimple>
      <w:r>
        <w:t>.  Doamna judecător Vajić a concluzionat arătând că a decis să nu se abțină și că, prin urmare, nu era necesară amânarea ședinței deja stabilite.</w:t>
      </w:r>
    </w:p>
    <w:p w14:paraId="382F0F97" w14:textId="3185A3A2" w:rsidR="00F2264A" w:rsidRPr="00FB22DD" w:rsidRDefault="000A5B75" w:rsidP="00FB22DD">
      <w:pPr>
        <w:pStyle w:val="JuPara"/>
      </w:pPr>
      <w:fldSimple w:instr=" SEQ level0 \*arabic \* MERGEFORMAT ">
        <w:r w:rsidR="00FB22DD" w:rsidRPr="00FB22DD">
          <w:t>16</w:t>
        </w:r>
      </w:fldSimple>
      <w:r>
        <w:t>.  La 22 martie 2021, în cauză a avut loc o ședință în cauză prin videoconferință. Conform reclamantei, la cererea avocatei sale, TACE a decis să țină ședința prin videoconferință pentru a fi accesibilă publicului.</w:t>
      </w:r>
    </w:p>
    <w:p w14:paraId="0075E588" w14:textId="2EDCEC41" w:rsidR="00F2264A" w:rsidRPr="00FB22DD" w:rsidRDefault="000A5B75" w:rsidP="00FB22DD">
      <w:pPr>
        <w:pStyle w:val="JuPara"/>
      </w:pPr>
      <w:fldSimple w:instr=" SEQ level0 \*arabic \* MERGEFORMAT ">
        <w:r w:rsidR="00FB22DD" w:rsidRPr="00FB22DD">
          <w:t>17</w:t>
        </w:r>
      </w:fldSimple>
      <w:r>
        <w:t>.  Prin decizia din 28 iunie 2021, TACE, hotărând în complet de trei judecători, prezidat de doamna judecător Vajić, a respins acțiunea reclamantei ca neîntemeiată.</w:t>
      </w:r>
    </w:p>
    <w:p w14:paraId="45F3456F" w14:textId="77777777" w:rsidR="00F2264A" w:rsidRPr="00FB22DD" w:rsidRDefault="00F2264A" w:rsidP="00FB22DD">
      <w:pPr>
        <w:pStyle w:val="JuHHead"/>
        <w:numPr>
          <w:ilvl w:val="0"/>
          <w:numId w:val="0"/>
        </w:numPr>
      </w:pPr>
      <w:r>
        <w:t>CADRUL JURIDIC RELEVANT</w:t>
      </w:r>
    </w:p>
    <w:p w14:paraId="20BB818E" w14:textId="20AB29DE" w:rsidR="00F2264A" w:rsidRPr="00FB22DD" w:rsidRDefault="000A5B75" w:rsidP="00FB22DD">
      <w:pPr>
        <w:pStyle w:val="JuPara"/>
      </w:pPr>
      <w:fldSimple w:instr=" SEQ level0 \*arabic \* MERGEFORMAT ">
        <w:bookmarkStart w:id="9" w:name="paragraph00016"/>
        <w:r w:rsidR="00FB22DD" w:rsidRPr="00FB22DD">
          <w:t>18</w:t>
        </w:r>
        <w:bookmarkEnd w:id="9"/>
      </w:fldSimple>
      <w:r>
        <w:t>.  Statutul Tribunalului Administrativ al Consiliului Europei prevede astfel, în partea sa relevantă:</w:t>
      </w:r>
    </w:p>
    <w:p w14:paraId="5465D570" w14:textId="77777777" w:rsidR="00F2264A" w:rsidRPr="00FB22DD" w:rsidRDefault="00F2264A" w:rsidP="00FB22DD">
      <w:pPr>
        <w:pStyle w:val="JuHArticle"/>
      </w:pPr>
      <w:r>
        <w:lastRenderedPageBreak/>
        <w:t>Art. 1 – Compunerea tribunalului</w:t>
      </w:r>
    </w:p>
    <w:p w14:paraId="61BA1402" w14:textId="6F16D732" w:rsidR="00F2264A" w:rsidRPr="00FB22DD" w:rsidRDefault="006509B1" w:rsidP="00FB22DD">
      <w:pPr>
        <w:pStyle w:val="JuQuot"/>
      </w:pPr>
      <w:r>
        <w:t>„</w:t>
      </w:r>
      <w:r w:rsidR="00F2264A">
        <w:t>(1)  Tribunalului Administrativ („tribunalul”) este compus din trei judecători neincluși în personalul Consiliului Europei.</w:t>
      </w:r>
    </w:p>
    <w:p w14:paraId="3A9E8744" w14:textId="361BCDEF" w:rsidR="00F2264A" w:rsidRPr="00FB22DD" w:rsidRDefault="00F2264A" w:rsidP="00FB22DD">
      <w:pPr>
        <w:pStyle w:val="JuQuot"/>
        <w:ind w:firstLine="295"/>
      </w:pPr>
      <w:r>
        <w:t>(2)  Unul dintre judecători este desemnat de Curtea Europeană a Drepturilor Omului („Curtea”) dintre personalitățile care exercită sau au exercitat o funcție judiciară într-un stat membru al Consiliului Europei sau într-o instanță internațională, cu excepția judecătorilor Curții aflați în funcție. Ceilalți judecători sunt desemnați de Comitetul de Miniștri dintre juriști sau alte persoane cu competență ridicată, cu mare experiență în materie administrativă. Judecătorii tribunalului sunt numiți pe o durată de trei ani; mandatul lor poate fi reînnoit.</w:t>
      </w:r>
    </w:p>
    <w:p w14:paraId="6EB7FCD0" w14:textId="4154CEE3" w:rsidR="00F2264A" w:rsidRPr="00FB22DD" w:rsidRDefault="00F2264A" w:rsidP="00FB22DD">
      <w:pPr>
        <w:pStyle w:val="JuQuot"/>
        <w:ind w:firstLine="295"/>
      </w:pPr>
      <w:r>
        <w:t>(3)  Trei judecători supleanți sunt desemnați în aceleași condiții de către Curte și Comitetul de Miniștri [...]. ”</w:t>
      </w:r>
    </w:p>
    <w:p w14:paraId="236AB1D9" w14:textId="77777777" w:rsidR="00F2264A" w:rsidRPr="00FB22DD" w:rsidRDefault="00F2264A" w:rsidP="00FB22DD">
      <w:pPr>
        <w:pStyle w:val="JuHArticle"/>
      </w:pPr>
      <w:r>
        <w:t>Art. 2 – Președinția</w:t>
      </w:r>
    </w:p>
    <w:p w14:paraId="4F359617" w14:textId="26FF54E4" w:rsidR="00F2264A" w:rsidRPr="00FB22DD" w:rsidRDefault="00F2264A" w:rsidP="00FB22DD">
      <w:pPr>
        <w:pStyle w:val="JuQuot"/>
      </w:pPr>
      <w:r>
        <w:t>„Judecătorul sau judecătoarea tribunalului desemnați de Curte prezidează tribunalul. [...] ”</w:t>
      </w:r>
    </w:p>
    <w:p w14:paraId="55CBDC67" w14:textId="77777777" w:rsidR="00F2264A" w:rsidRPr="00FB22DD" w:rsidRDefault="00F2264A" w:rsidP="00FB22DD">
      <w:pPr>
        <w:pStyle w:val="JuHArticle"/>
      </w:pPr>
      <w:r>
        <w:t>Art. 3 – Independența judecătorilor</w:t>
      </w:r>
    </w:p>
    <w:p w14:paraId="08D3326A" w14:textId="1BCC3A41" w:rsidR="00F2264A" w:rsidRPr="00FB22DD" w:rsidRDefault="00F2264A" w:rsidP="00FB22DD">
      <w:pPr>
        <w:pStyle w:val="JuQuot"/>
      </w:pPr>
      <w:r>
        <w:t>„Judecătorii tribunalului își exercită funcțiile în deplină independență; aceștia nu pot primi instrucțiuni. Pe durata exercitării mandatului, aceștia nu își pot asuma funcții incompatibile cu cerințele independenței, imparțialității și de disponibilitate inerente acestui mandat. ”</w:t>
      </w:r>
    </w:p>
    <w:p w14:paraId="239C7C3A" w14:textId="2C95A42E" w:rsidR="00F2264A" w:rsidRPr="00FB22DD" w:rsidRDefault="000A5B75" w:rsidP="00FB22DD">
      <w:pPr>
        <w:pStyle w:val="JuPara"/>
      </w:pPr>
      <w:fldSimple w:instr=" SEQ level0 \*arabic \* MERGEFORMAT ">
        <w:bookmarkStart w:id="10" w:name="paragraph00015"/>
        <w:r w:rsidR="00FB22DD" w:rsidRPr="00FB22DD">
          <w:t>19</w:t>
        </w:r>
        <w:bookmarkEnd w:id="10"/>
      </w:fldSimple>
      <w:r>
        <w:t>.  Regulamentul tribunalului administrativ dispunea astfel în partea sa relevantă în vigoare în speță:</w:t>
      </w:r>
    </w:p>
    <w:p w14:paraId="59C55FD9" w14:textId="76472D29" w:rsidR="00F2264A" w:rsidRPr="00FB22DD" w:rsidRDefault="00F2264A" w:rsidP="00FB22DD">
      <w:pPr>
        <w:pStyle w:val="JuHArticle"/>
      </w:pPr>
      <w:r>
        <w:t>Articolul 1</w:t>
      </w:r>
    </w:p>
    <w:p w14:paraId="03FAEE30" w14:textId="45749E2B" w:rsidR="00F2264A" w:rsidRPr="00FB22DD" w:rsidRDefault="00F2264A" w:rsidP="00FB22DD">
      <w:pPr>
        <w:pStyle w:val="JuQuot"/>
      </w:pPr>
      <w:r>
        <w:t>„Președintele tribunalului este desemnat de Curtea Europeană a Drepturilor Omului dintre personalitățile care exercită o funcție judiciară într-un stat membru al Consiliului Europei sau într-o instanță internațională, cu excepția judecătorilor Curții aflați în funcție, în conformitate cu art. 1 și art. 2 din Statut. ”</w:t>
      </w:r>
    </w:p>
    <w:p w14:paraId="4C905F8F" w14:textId="77777777" w:rsidR="00F2264A" w:rsidRPr="00FB22DD" w:rsidRDefault="00F2264A" w:rsidP="00FB22DD">
      <w:pPr>
        <w:pStyle w:val="JuHArticle"/>
      </w:pPr>
      <w:r>
        <w:t>Articolul 3</w:t>
      </w:r>
    </w:p>
    <w:p w14:paraId="59AECCA9" w14:textId="5B263F0D" w:rsidR="00F2264A" w:rsidRPr="00FB22DD" w:rsidRDefault="006509B1" w:rsidP="00FB22DD">
      <w:pPr>
        <w:pStyle w:val="JuQuot"/>
      </w:pPr>
      <w:r>
        <w:t>„</w:t>
      </w:r>
      <w:r w:rsidR="00F2264A">
        <w:t>(1)  Grefa tribunalului se compune din grefier și grefier supleant desemnați de Secretarul general, după consultarea Președintelui tribunalului. În exercitarea funcțiilor lor, aceștia nu sunt supuși decât autorității tribunalului.</w:t>
      </w:r>
    </w:p>
    <w:p w14:paraId="21EE55D3" w14:textId="6BAFC19A" w:rsidR="00F2264A" w:rsidRPr="00FB22DD" w:rsidRDefault="00F2264A" w:rsidP="00FB22DD">
      <w:pPr>
        <w:pStyle w:val="JuQuot"/>
      </w:pPr>
      <w:r>
        <w:t>(2)  Conform art. 14 alin. (1) din Statut, Secretarul general furnizează tribunalului orice alt personal necesar funcționării sale, în special serviciile de traducere și de interpretare ale Consiliului Europei. ”</w:t>
      </w:r>
    </w:p>
    <w:p w14:paraId="4F5F3EBE" w14:textId="77777777" w:rsidR="00F2264A" w:rsidRPr="00FB22DD" w:rsidRDefault="00F2264A" w:rsidP="00FB22DD">
      <w:pPr>
        <w:pStyle w:val="JuHArticle"/>
      </w:pPr>
      <w:r>
        <w:t>Articolul 4</w:t>
      </w:r>
    </w:p>
    <w:p w14:paraId="13F6D69E" w14:textId="1D2EACBF" w:rsidR="00F2264A" w:rsidRPr="00FB22DD" w:rsidRDefault="00F2264A" w:rsidP="00FB22DD">
      <w:pPr>
        <w:pStyle w:val="JuQuot"/>
      </w:pPr>
      <w:r>
        <w:t>„Grefierul tribunalului este responsabil de activitatea grefei, sub conducerea Președintelui. În special:</w:t>
      </w:r>
    </w:p>
    <w:p w14:paraId="7F942BD5" w14:textId="515EFF07" w:rsidR="00F2264A" w:rsidRPr="00FB22DD" w:rsidRDefault="00F2264A" w:rsidP="00FB22DD">
      <w:pPr>
        <w:pStyle w:val="JuQuot"/>
      </w:pPr>
      <w:r>
        <w:t>a.  asistă Tribunalul și pe membrii acestuia în exercitarea funcțiilor lor.</w:t>
      </w:r>
    </w:p>
    <w:p w14:paraId="726292AC" w14:textId="49E83AF3" w:rsidR="00F2264A" w:rsidRPr="00FB22DD" w:rsidRDefault="00F2264A" w:rsidP="00FB22DD">
      <w:pPr>
        <w:pStyle w:val="JuQuot"/>
      </w:pPr>
      <w:r>
        <w:t>b.  este intermediarul tuturor comunicărilor făcute de sau adresate tribunalului,</w:t>
      </w:r>
    </w:p>
    <w:p w14:paraId="4AA1B9E8" w14:textId="0896FE32" w:rsidR="00F2264A" w:rsidRPr="00FB22DD" w:rsidRDefault="00F2264A" w:rsidP="00FB22DD">
      <w:pPr>
        <w:pStyle w:val="JuQuot"/>
      </w:pPr>
      <w:r>
        <w:t>c.  are în grijă arhivele tribunalului. ”</w:t>
      </w:r>
    </w:p>
    <w:p w14:paraId="3965E900" w14:textId="77777777" w:rsidR="00F2264A" w:rsidRPr="00FB22DD" w:rsidRDefault="00F2264A" w:rsidP="00FB22DD">
      <w:pPr>
        <w:pStyle w:val="JuHArticle"/>
      </w:pPr>
      <w:r>
        <w:lastRenderedPageBreak/>
        <w:t>Articolul 6</w:t>
      </w:r>
    </w:p>
    <w:p w14:paraId="15A8782C" w14:textId="0C396E72" w:rsidR="00F2264A" w:rsidRPr="00FB22DD" w:rsidRDefault="00F2264A" w:rsidP="00FB22DD">
      <w:pPr>
        <w:pStyle w:val="JuQuot"/>
      </w:pPr>
      <w:r>
        <w:t>„Grefierul transmite Secretarului General hotărârile tribunalului spre publicare, în conformitate cu art. 12 alin. (4) din Statut. ”</w:t>
      </w:r>
    </w:p>
    <w:p w14:paraId="7B16FB49" w14:textId="77777777" w:rsidR="00F2264A" w:rsidRPr="00FB22DD" w:rsidRDefault="00F2264A" w:rsidP="00FB22DD">
      <w:pPr>
        <w:pStyle w:val="JuHArticle"/>
      </w:pPr>
      <w:r>
        <w:t>Articolul 9</w:t>
      </w:r>
    </w:p>
    <w:p w14:paraId="3BB30E6A" w14:textId="446A3C25" w:rsidR="00F2264A" w:rsidRPr="00FB22DD" w:rsidRDefault="00F2264A" w:rsidP="00FB22DD">
      <w:pPr>
        <w:pStyle w:val="JuQuot"/>
      </w:pPr>
      <w:r>
        <w:t>„(1)  În principiu, tribunalul este constituit din Președinte și din alți doi membrii titulari.</w:t>
      </w:r>
    </w:p>
    <w:p w14:paraId="5F3CCBC0" w14:textId="0C428218" w:rsidR="00F2264A" w:rsidRPr="00FB22DD" w:rsidRDefault="00F2264A" w:rsidP="00FB22DD">
      <w:pPr>
        <w:pStyle w:val="JuQuot"/>
      </w:pPr>
      <w:r>
        <w:t>(2)  În absența Președintelui sau a unuia dintre ceilalți membri titulari, Președintele este înlocuit de către Președintele supleant și fiecare din membrii judecători titulari de către unul dintre judecătorii supleanți desemnați de Președinte. ”</w:t>
      </w:r>
    </w:p>
    <w:p w14:paraId="3A617D63" w14:textId="05B1D1E6" w:rsidR="00F2264A" w:rsidRPr="00FB22DD" w:rsidRDefault="000A5B75" w:rsidP="00FB22DD">
      <w:pPr>
        <w:pStyle w:val="JuPara"/>
      </w:pPr>
      <w:fldSimple w:instr=" SEQ level0 \*arabic \* MERGEFORMAT ">
        <w:bookmarkStart w:id="11" w:name="paragraph00020"/>
        <w:r w:rsidR="00FB22DD" w:rsidRPr="00FB22DD">
          <w:t>20</w:t>
        </w:r>
        <w:bookmarkEnd w:id="11"/>
      </w:fldSimple>
      <w:r>
        <w:rPr>
          <w:i/>
        </w:rPr>
        <w:t>.  </w:t>
      </w:r>
      <w:r>
        <w:t xml:space="preserve">TACE a fost sesizat cu o contestație privind valabilitatea uneia dintre sentințele sale, pe motiv că membrii săi, foști judecători la CEDO, nu au fost imparțiali. Printr-o decizie din 8 ianuarie 2021, dată în cadrul acțiunii nr. 625/2019 - </w:t>
      </w:r>
      <w:r>
        <w:rPr>
          <w:i/>
        </w:rPr>
        <w:t>James BRANNAN (IV) împotriva Secretarului general al Consiliului Europei</w:t>
      </w:r>
      <w:r>
        <w:t>, TACE a considerat că reclamantul are dreptul să ceară recuzarea membrilor săi. Acesta a examinat contestația reclamantului și a declarat-o tardivă, fiind formulată după pronunțarea deciziei pe fond. TACE s-a pronunțat astfel:</w:t>
      </w:r>
    </w:p>
    <w:p w14:paraId="49140360" w14:textId="235F98CA" w:rsidR="00F2264A" w:rsidRPr="00FB22DD" w:rsidRDefault="00F2264A" w:rsidP="00FB22DD">
      <w:pPr>
        <w:pStyle w:val="JuQuot"/>
      </w:pPr>
      <w:r>
        <w:t>„(10)  În măsura în care obiecția de parțialitate ridicată de reclamant poate fi considerată ca exercitarea unui drept de recuzare, tribunalul recunoaște că existența unui asemenea drept izvorăște din principiile generale ale dreptului, chiar în absența unei dispoziții în acest sens din textele aplicabile. ”</w:t>
      </w:r>
    </w:p>
    <w:p w14:paraId="1FD24D7F" w14:textId="77777777" w:rsidR="00F2264A" w:rsidRPr="00FB22DD" w:rsidRDefault="00F2264A" w:rsidP="00FB22DD">
      <w:pPr>
        <w:pStyle w:val="JuHHead"/>
        <w:numPr>
          <w:ilvl w:val="0"/>
          <w:numId w:val="1"/>
        </w:numPr>
      </w:pPr>
      <w:r>
        <w:t>CAPĂT DE CERERE</w:t>
      </w:r>
    </w:p>
    <w:bookmarkStart w:id="12" w:name="P19"/>
    <w:p w14:paraId="21986BFB" w14:textId="0C342877" w:rsidR="00F2264A" w:rsidRPr="00FB22DD" w:rsidRDefault="00F2264A" w:rsidP="00FB22DD">
      <w:pPr>
        <w:pStyle w:val="JuPara"/>
      </w:pPr>
      <w:r w:rsidRPr="00FB22DD">
        <w:fldChar w:fldCharType="begin"/>
      </w:r>
      <w:r w:rsidRPr="00FB22DD">
        <w:instrText xml:space="preserve"> SEQ level0 \*arabic \* MERGEFORMAT </w:instrText>
      </w:r>
      <w:r w:rsidRPr="00FB22DD">
        <w:fldChar w:fldCharType="separate"/>
      </w:r>
      <w:r w:rsidR="00FB22DD" w:rsidRPr="00FB22DD">
        <w:t>21</w:t>
      </w:r>
      <w:r w:rsidRPr="00FB22DD">
        <w:fldChar w:fldCharType="end"/>
      </w:r>
      <w:bookmarkEnd w:id="12"/>
      <w:r>
        <w:t>.  Invocând art. 6 § 1 din Convenție și făcând referire la normele de desemnare a judecătorilor TACE, reclamanta pretinde că statele pârâte și-au încălcat obligația de a-i asigura o protecție echivalentă celei din Convenție, în măsura în care nu au vegheat ca mecanismul de soluționare a conflictelor existent în cadrul organizației să răspundă normelor în materie de imparțialitate a instanțelor. Argumentează că, în practică, aproape întotdeauna foști judecători de la Curte sunt desemnați la TACE. Consideră că aici există un risc mare ca un agent al grefei Curții să fie judecat de o persoană cu care a muncit, care îl cunoaște sau care a auzit de el. Curtea adaugă că nu este posibil ca părțile reclamante să solicite recuzarea judecătorilor TACE și că nu există o normă ca membrii grefei TACE să fie persoane din afara organizației.</w:t>
      </w:r>
    </w:p>
    <w:p w14:paraId="3256E84A" w14:textId="100BA1FC" w:rsidR="00F2264A" w:rsidRPr="00FB22DD" w:rsidRDefault="000A5B75" w:rsidP="00FB22DD">
      <w:pPr>
        <w:pStyle w:val="JuPara"/>
      </w:pPr>
      <w:fldSimple w:instr=" SEQ level0 \*arabic \* MERGEFORMAT ">
        <w:bookmarkStart w:id="13" w:name="paragraph00019"/>
        <w:r w:rsidR="00FB22DD" w:rsidRPr="00FB22DD">
          <w:t>22</w:t>
        </w:r>
        <w:bookmarkEnd w:id="13"/>
      </w:fldSimple>
      <w:r>
        <w:t xml:space="preserve">.  Reclamanta susține că nu a fost analizată cauza de o instanță imparțială, având în vedere prezența în componența TACE a unor foști judecători de la Curte în prezența cărora se aflase în timpul carierei sale. În formularul de cerere, reclamanta indică împrejurările concrete în care s-a aflat în prezența judecătoarei Vajić. Adaugă că faptul că ceruse ca TACE să asigure publicitatea dezbaterilor ținând o ședință prin videoconferință și mai </w:t>
      </w:r>
      <w:r>
        <w:lastRenderedPageBreak/>
        <w:t>cu seamă faptul că solicitase în zadar recuzarea președintei au creat un context ostil care a prejudiciat examinarea cauzei.</w:t>
      </w:r>
    </w:p>
    <w:p w14:paraId="48C6D558" w14:textId="3637A5E9" w:rsidR="00F2264A" w:rsidRPr="00FB22DD" w:rsidRDefault="000A5B75" w:rsidP="00FB22DD">
      <w:pPr>
        <w:pStyle w:val="JuPara"/>
      </w:pPr>
      <w:fldSimple w:instr=" SEQ level0 \*arabic \* MERGEFORMAT ">
        <w:bookmarkStart w:id="14" w:name="paragraph00018"/>
        <w:r w:rsidR="00FB22DD" w:rsidRPr="00FB22DD">
          <w:t>23</w:t>
        </w:r>
        <w:bookmarkEnd w:id="14"/>
      </w:fldSimple>
      <w:r>
        <w:t>.  Pretinde, în sfârșit, că a fost privată de dreptul la o instanță, indicând faptul că TACE nu a statuat asupra  cererii sale de a obține o reparație integrală a pretinsului prejudiciu suferit ca urmare a hărțuirii la care a fost supusă.</w:t>
      </w:r>
    </w:p>
    <w:p w14:paraId="0EF3747A" w14:textId="77777777" w:rsidR="00F2264A" w:rsidRPr="00FB22DD" w:rsidRDefault="00F2264A" w:rsidP="00FB22DD">
      <w:pPr>
        <w:pStyle w:val="JuHHead"/>
        <w:numPr>
          <w:ilvl w:val="0"/>
          <w:numId w:val="1"/>
        </w:numPr>
      </w:pPr>
      <w:r>
        <w:t>ÎN DREPT</w:t>
      </w:r>
    </w:p>
    <w:p w14:paraId="2CC82831" w14:textId="23AAA1BD" w:rsidR="00F2264A" w:rsidRPr="00FB22DD" w:rsidRDefault="000A5B75" w:rsidP="00FB22DD">
      <w:pPr>
        <w:pStyle w:val="JuPara"/>
      </w:pPr>
      <w:fldSimple w:instr=" SEQ level0 \*arabic \* MERGEFORMAT ">
        <w:r w:rsidR="00FB22DD" w:rsidRPr="00FB22DD">
          <w:t>24</w:t>
        </w:r>
      </w:fldSimple>
      <w:r>
        <w:t>.  Cu titlu preliminar, Curtea constată că unul dintre statele pârâte, și anume Federația Rusă, a încetat de a mai fi membru al Consiliului Europei din 16 martie 2022 și că, de asemenea, a încetat de a mai fi parte la Convenție din 16 septembrie 2022. Totodată, reamintește că a indicat deja că, deși Federația Rusă a încetat de a mai fi membru al Consiliului Europei, aceasta nu este dezlegată de obligațiile cuprinse în Convenție în ceea ce privește orice fapt împlinit de respectivul stat anterior datei de la care nu mai este parte la Convenție [</w:t>
      </w:r>
      <w:r>
        <w:rPr>
          <w:i/>
        </w:rPr>
        <w:t>Fedotova și alții împotriva Rusiei</w:t>
      </w:r>
      <w:r>
        <w:t>, (MC), nr. 40792/10 și alte 2 cereri, pct. 71-72, 17 ianuarie 2023]. În speță, faptele pe care se întemeiază încălcările Convenției pretinse de reclamantă s-au produs până la 16 septembrie 2022. Curtea este, prin urmare, competentă să se pronunțe și în ceea ce privește faptul că această cerere este îndreptată împotriva Federației Ruse.</w:t>
      </w:r>
    </w:p>
    <w:p w14:paraId="15BA984D" w14:textId="4D28CBDF" w:rsidR="00F2264A" w:rsidRPr="00FB22DD" w:rsidRDefault="000A5B75" w:rsidP="00FB22DD">
      <w:pPr>
        <w:pStyle w:val="JuPara"/>
      </w:pPr>
      <w:fldSimple w:instr=" SEQ level0 \*arabic \* MERGEFORMAT ">
        <w:r w:rsidR="00FB22DD" w:rsidRPr="00FB22DD">
          <w:t>25</w:t>
        </w:r>
      </w:fldSimple>
      <w:r>
        <w:t>.  Curtea constată că a avut deja ocazia să examineze o cerere în temeiul art. 6 (dreptul la o instanță independentă și imparțială) privind TACE [</w:t>
      </w:r>
      <w:r>
        <w:rPr>
          <w:i/>
        </w:rPr>
        <w:t xml:space="preserve">Beygo împotriva a 46 state membre ale Consiliului Europei </w:t>
      </w:r>
      <w:r>
        <w:t xml:space="preserve">(dec), nr. 36099/06, 16 iunie 2009]. Curtea a observat că doar organele Consiliului Europei, și anume Secretarul general și TACE, au soluționat contenciosul care îl opunea pe dl Beygo organizației. În niciun moment, unul sau altul dintre statele pârâte neintervenind, direct sau indirect, în litigiu, Curtea a  concluzionat că, în speță, dl Beygo nu se afla sub „jurisdicția” lor în sensul art. 1 din Convenție. Întrucât reclamantul nu pretindea că, transferându-și competențele către Consiliul Europei, statele membre ale organizației nu și-ar fi îndeplinit obligațiile în baza Convenției, neprevăzând un sistem de protecție a drepturilor fundamentale „echivalent” celui asigurat de Convenție, Curtea a respins plângerea dlui Beygo ca fiind incompatibilă </w:t>
      </w:r>
      <w:r>
        <w:rPr>
          <w:i/>
        </w:rPr>
        <w:t>ratione personae</w:t>
      </w:r>
      <w:r>
        <w:t xml:space="preserve"> cu dispozițiile Convenției.</w:t>
      </w:r>
    </w:p>
    <w:p w14:paraId="327173CD" w14:textId="0B56ADBA" w:rsidR="00F2264A" w:rsidRPr="00FB22DD" w:rsidRDefault="000A5B75" w:rsidP="00FB22DD">
      <w:pPr>
        <w:pStyle w:val="JuPara"/>
      </w:pPr>
      <w:fldSimple w:instr=" SEQ level0 \*arabic \* MERGEFORMAT ">
        <w:r w:rsidR="00FB22DD" w:rsidRPr="00FB22DD">
          <w:t>26</w:t>
        </w:r>
      </w:fldSimple>
      <w:r>
        <w:t xml:space="preserve">.  Curtea observă că, spre deosebire de dl Beygo, în prezenta cauză reclamanta se plânge explicit că statele membre ale Consiliului Europei nu și-au îndeplinit obligația de a-i asigura o protecție echivalentă celei din Convenție. Afirmă că aceste state nu au vegheat ca mecanismul de soluționare a conflictelor existent în cadrul organizației să răspundă normelor în materie de imparțialitate a instanțelor. Capătul principal de cerere, așa cum a fost formulat supra, pct. </w:t>
      </w:r>
      <w:r w:rsidR="00F2264A" w:rsidRPr="00FB22DD">
        <w:fldChar w:fldCharType="begin"/>
      </w:r>
      <w:r w:rsidR="00F2264A" w:rsidRPr="00FB22DD">
        <w:instrText xml:space="preserve"> REF P19 \h  \* CharFormat </w:instrText>
      </w:r>
      <w:r w:rsidR="00F2264A" w:rsidRPr="00FB22DD">
        <w:fldChar w:fldCharType="separate"/>
      </w:r>
      <w:r w:rsidR="00FB22DD" w:rsidRPr="00FB22DD">
        <w:t>21</w:t>
      </w:r>
      <w:r w:rsidR="00F2264A" w:rsidRPr="00FB22DD">
        <w:fldChar w:fldCharType="end"/>
      </w:r>
      <w:r>
        <w:t xml:space="preserve"> și </w:t>
      </w:r>
      <w:r w:rsidR="00F2264A" w:rsidRPr="00FB22DD">
        <w:fldChar w:fldCharType="begin"/>
      </w:r>
      <w:r w:rsidR="00F2264A" w:rsidRPr="00FB22DD">
        <w:instrText xml:space="preserve"> REF paragraph00019 \h  \* CharFormat </w:instrText>
      </w:r>
      <w:r w:rsidR="00F2264A" w:rsidRPr="00FB22DD">
        <w:fldChar w:fldCharType="separate"/>
      </w:r>
      <w:r w:rsidR="00FB22DD" w:rsidRPr="00FB22DD">
        <w:t>22</w:t>
      </w:r>
      <w:r w:rsidR="00F2264A" w:rsidRPr="00FB22DD">
        <w:fldChar w:fldCharType="end"/>
      </w:r>
      <w:r>
        <w:t>, se referă, prin urmare, la un neajuns de sistem, în speță o pretinsă lacună structurală a mecanismului TACE.</w:t>
      </w:r>
    </w:p>
    <w:p w14:paraId="4574514B" w14:textId="22774C53" w:rsidR="00F2264A" w:rsidRPr="00FB22DD" w:rsidRDefault="000A5B75" w:rsidP="00FB22DD">
      <w:pPr>
        <w:pStyle w:val="JuPara"/>
      </w:pPr>
      <w:fldSimple w:instr=" SEQ level0 \*arabic \* MERGEFORMAT ">
        <w:bookmarkStart w:id="15" w:name="paragraph00027"/>
        <w:r w:rsidR="00FB22DD" w:rsidRPr="00FB22DD">
          <w:t>27</w:t>
        </w:r>
        <w:bookmarkEnd w:id="15"/>
      </w:fldSimple>
      <w:r>
        <w:t>.  În aceste circumstanțe, Curtea consideră că plângerea reclamantei trebuie examinată prin prisma principiilor desprinse de aceasta în cauzele în care a avut de cercetat dacă responsabilitatea statelor părți la Convenție putea fi angajată în temeiul acesteia pe motivul acțiunilor sau a omisiunilor care țin de apartenența acestor state la o organizație internațională [</w:t>
      </w:r>
      <w:r>
        <w:rPr>
          <w:i/>
        </w:rPr>
        <w:t>Gasparini împotriva Italiei și Belgiei</w:t>
      </w:r>
      <w:r>
        <w:t xml:space="preserve"> (dec.), nr. 10750/03, 12 mai 2009, și cauzele citate; a se vedea, de asemenea, </w:t>
      </w:r>
      <w:r>
        <w:rPr>
          <w:i/>
        </w:rPr>
        <w:t>Connolly împotriva a 15 state membre ale Uniunii Europene</w:t>
      </w:r>
      <w:r>
        <w:t xml:space="preserve"> (dec.), nr. 73274/01, 9 decembrie 2008, precum și, de exemplu, </w:t>
      </w:r>
      <w:r>
        <w:rPr>
          <w:i/>
        </w:rPr>
        <w:t>Andreasen împotriva Regatului Unit și a altor 26 state membre ale Uniunii Europene</w:t>
      </w:r>
      <w:r>
        <w:t xml:space="preserve"> (dec.) (comitet), nr. 28827/11, pct. 61-72, 31 martie 2015, în care Curtea a schițat diferența dintre cauzele, precum cea prezentă, în care un reclamant identifică un act sau o omisiune specifică ale statelor pârâte care pot angaja răspunderea acestora în temeiul Convenției, și cauzele, de declarat inadmisibile </w:t>
      </w:r>
      <w:r>
        <w:rPr>
          <w:i/>
        </w:rPr>
        <w:t>ratione personae</w:t>
      </w:r>
      <w:r>
        <w:t>, în care plângerile persoanei în cauză sunt în esență îndreptate împotriva unei decizii adoptate de un organ al unei organizații internaționale, pe care reclamantul o consideră, pe fond, ca fiind contrară Convenției].</w:t>
      </w:r>
    </w:p>
    <w:p w14:paraId="1A5F9193" w14:textId="04E53BC0" w:rsidR="00F2264A" w:rsidRPr="00FB22DD" w:rsidRDefault="000A5B75" w:rsidP="00FB22DD">
      <w:pPr>
        <w:pStyle w:val="JuPara"/>
      </w:pPr>
      <w:fldSimple w:instr=" SEQ level0 \*arabic \* MERGEFORMAT ">
        <w:r w:rsidR="00FB22DD" w:rsidRPr="00FB22DD">
          <w:t>28</w:t>
        </w:r>
      </w:fldSimple>
      <w:r>
        <w:t>.  Curtea trebuie, prin urmare, să verifice dacă mecanismul de soluționare a conflictelor, contestat în speță, și anume acțiunea în fața TACE, este viciat de o „vădită insuficiență”, capabilă să răstoarne în speță prezumția de respectare, de către statele pârâte, a obligațiilor care decurg din Convenție. Trebuie să stabilească dacă, în momentul în care au transferat anumite puteri suverane către Consiliul Europei, statele pârâte au putut aprecia, de bună credință, că mecanismul de soluționare a conflictelor nu era în contradicție flagrantă cu dispozițiile Convenției (</w:t>
      </w:r>
      <w:r>
        <w:rPr>
          <w:i/>
        </w:rPr>
        <w:t>Gasparini</w:t>
      </w:r>
      <w:r>
        <w:t>, citată anterior).</w:t>
      </w:r>
    </w:p>
    <w:p w14:paraId="47526AA3" w14:textId="39927C4C" w:rsidR="00F2264A" w:rsidRPr="00FB22DD" w:rsidRDefault="000A5B75" w:rsidP="00FB22DD">
      <w:pPr>
        <w:pStyle w:val="JuPara"/>
      </w:pPr>
      <w:fldSimple w:instr=" SEQ level0 \*arabic \* MERGEFORMAT ">
        <w:r w:rsidR="00FB22DD" w:rsidRPr="00FB22DD">
          <w:t>29</w:t>
        </w:r>
      </w:fldSimple>
      <w:r>
        <w:t xml:space="preserve">.  În măsura în care reclamanta susține lipsa independenței judecătorilor, din documentele la dosar rezultă că, în fața TACE, reclamanta nu a pus în discuție independența judecătorilor care trebuiau să soluționeze cauza sa, ci că s-a limitat să conteste imparțialitatea TACE (supra, pct. </w:t>
      </w:r>
      <w:r w:rsidR="00F2264A" w:rsidRPr="00FB22DD">
        <w:fldChar w:fldCharType="begin"/>
      </w:r>
      <w:r w:rsidR="00F2264A" w:rsidRPr="00FB22DD">
        <w:instrText xml:space="preserve"> REF paragraph00006 \h  \* CharFormat  \* MERGEFORMAT </w:instrText>
      </w:r>
      <w:r w:rsidR="00F2264A" w:rsidRPr="00FB22DD">
        <w:fldChar w:fldCharType="separate"/>
      </w:r>
      <w:r w:rsidR="00FB22DD" w:rsidRPr="00FB22DD">
        <w:t>9</w:t>
      </w:r>
      <w:r w:rsidR="00F2264A" w:rsidRPr="00FB22DD">
        <w:fldChar w:fldCharType="end"/>
      </w:r>
      <w:r>
        <w:t>).</w:t>
      </w:r>
    </w:p>
    <w:p w14:paraId="7099130B" w14:textId="4C02A7CB" w:rsidR="00F2264A" w:rsidRPr="00FB22DD" w:rsidRDefault="000A5B75" w:rsidP="00FB22DD">
      <w:pPr>
        <w:pStyle w:val="JuPara"/>
      </w:pPr>
      <w:fldSimple w:instr=" SEQ level0 \*arabic \* MERGEFORMAT ">
        <w:r w:rsidR="00FB22DD" w:rsidRPr="00FB22DD">
          <w:t>30</w:t>
        </w:r>
      </w:fldSimple>
      <w:r>
        <w:t>.  În privința capătului de cerere al reclamantei care viza pretinsa părtinire a membrilor TACE, Curtea observă că, deși reclamanta susține că a lipsit protecția echivalentă dreptului la o instanță imparțială în cadrul TACE, ea își bazase argumentele pe un singur motiv, și anume faptul că judecătorii acestei instanțe au fost anterior judecători la Curte și că, astfel, au fost nevoiți să fie în prezența autorilor potențiali ai acțiunii în fața TACE.</w:t>
      </w:r>
    </w:p>
    <w:p w14:paraId="3510A5F7" w14:textId="078359C4" w:rsidR="00F2264A" w:rsidRPr="00FB22DD" w:rsidRDefault="000A5B75" w:rsidP="00FB22DD">
      <w:pPr>
        <w:pStyle w:val="JuPara"/>
      </w:pPr>
      <w:fldSimple w:instr=" SEQ level0 \*arabic \* MERGEFORMAT ">
        <w:r w:rsidR="00FB22DD" w:rsidRPr="00FB22DD">
          <w:t>31</w:t>
        </w:r>
      </w:fldSimple>
      <w:r>
        <w:t xml:space="preserve">.  În această privință, Curtea observă că art. 1 din Statutul tribunalului administrativ („Statutul”) prevede că judecătorii membri ai TACE, care sunt desemnați, unul de către Curte și doi de către Comitetul de Miniștri, pentru un mandat de trei ani, reînnoibil, nu trebuie să facă parte din personalul Consiliului Europei. Mai mult, judecătorul TACE desemnat de Curte nu poate fi judecător în funcție la Curte. Atât statutul, cât și regulamentul TACE definesc într-un mod foarte clar procedura de numire a judecătorilor și a judecătorilor supleanți și prevăd posibilitatea de a înlocui, în caz de absență, membrii titulari ai tribunalului cu judecătorii supleanți (supra, pct. </w:t>
      </w:r>
      <w:r w:rsidR="00F2264A" w:rsidRPr="00FB22DD">
        <w:fldChar w:fldCharType="begin"/>
      </w:r>
      <w:r w:rsidR="00F2264A" w:rsidRPr="00FB22DD">
        <w:instrText xml:space="preserve"> REF paragraph00016 \h  \* CharFormat </w:instrText>
      </w:r>
      <w:r w:rsidR="00F2264A" w:rsidRPr="00FB22DD">
        <w:fldChar w:fldCharType="separate"/>
      </w:r>
      <w:r w:rsidR="00FB22DD" w:rsidRPr="00FB22DD">
        <w:t>18</w:t>
      </w:r>
      <w:r w:rsidR="00F2264A" w:rsidRPr="00FB22DD">
        <w:fldChar w:fldCharType="end"/>
      </w:r>
      <w:r>
        <w:t xml:space="preserve"> și </w:t>
      </w:r>
      <w:r w:rsidR="00F2264A" w:rsidRPr="00FB22DD">
        <w:fldChar w:fldCharType="begin"/>
      </w:r>
      <w:r w:rsidR="00F2264A" w:rsidRPr="00FB22DD">
        <w:instrText xml:space="preserve"> REF paragraph00015 \h  \* CharFormat </w:instrText>
      </w:r>
      <w:r w:rsidR="00F2264A" w:rsidRPr="00FB22DD">
        <w:fldChar w:fldCharType="separate"/>
      </w:r>
      <w:r w:rsidR="00FB22DD" w:rsidRPr="00FB22DD">
        <w:t>19</w:t>
      </w:r>
      <w:r w:rsidR="00F2264A" w:rsidRPr="00FB22DD">
        <w:fldChar w:fldCharType="end"/>
      </w:r>
      <w:r>
        <w:t>).</w:t>
      </w:r>
    </w:p>
    <w:p w14:paraId="6EB1CE15" w14:textId="10F82E22" w:rsidR="00F2264A" w:rsidRPr="00FB22DD" w:rsidRDefault="000A5B75" w:rsidP="00FB22DD">
      <w:pPr>
        <w:pStyle w:val="JuPara"/>
      </w:pPr>
      <w:fldSimple w:instr=" SEQ level0 \*arabic \* MERGEFORMAT ">
        <w:bookmarkStart w:id="16" w:name="paragraph00024"/>
        <w:r w:rsidR="00FB22DD" w:rsidRPr="00FB22DD">
          <w:t>32</w:t>
        </w:r>
        <w:bookmarkEnd w:id="16"/>
      </w:fldSimple>
      <w:r>
        <w:t xml:space="preserve">.  Curtea acordă importanță faptului că art. 3 din statut, deși intitulat „Independența judecătorilor”, fără a menționa  imparțialitatea lor, impune ca pe durata exercitării mandatului, judecătorii să nu își asume funcții incompatibile cu cerințele independenței, imparțialității și de disponibilitate inerente acestui mandat. Așadar, sistemul de funcționare al TACE așa cum a fost instituit prin actele constitutive a fost conceput astfel încât garanțiile de independență și imparțialitate să fie asigurate atât prin calitățile impuse judecătorilor, cât și prin o organizare care să permită înlocuirea judecătorilor. În plus, din documentele la dosar rezultă (supra, pct. </w:t>
      </w:r>
      <w:r w:rsidR="00F2264A" w:rsidRPr="00FB22DD">
        <w:fldChar w:fldCharType="begin"/>
      </w:r>
      <w:r w:rsidR="00F2264A" w:rsidRPr="00FB22DD">
        <w:instrText xml:space="preserve"> REF P7 \h </w:instrText>
      </w:r>
      <w:r w:rsidR="00F2264A" w:rsidRPr="00FB22DD">
        <w:fldChar w:fldCharType="separate"/>
      </w:r>
      <w:r w:rsidR="00FB22DD" w:rsidRPr="00FB22DD">
        <w:t>7</w:t>
      </w:r>
      <w:r w:rsidR="00F2264A" w:rsidRPr="00FB22DD">
        <w:fldChar w:fldCharType="end"/>
      </w:r>
      <w:r>
        <w:t>) că în practică, judecătorii TACE, care sunt obligați să asigure imparțialitatea tribunalului, au posibilitatea de a se abține de la a delibera în cauza cu care sunt sesizați.</w:t>
      </w:r>
    </w:p>
    <w:p w14:paraId="3669C9DA" w14:textId="72BC342A" w:rsidR="00F2264A" w:rsidRPr="00FB22DD" w:rsidRDefault="000A5B75" w:rsidP="00FB22DD">
      <w:pPr>
        <w:pStyle w:val="JuPara"/>
      </w:pPr>
      <w:fldSimple w:instr=" SEQ level0 \*arabic \* MERGEFORMAT ">
        <w:bookmarkStart w:id="17" w:name="paragraph00025"/>
        <w:r w:rsidR="00FB22DD" w:rsidRPr="00FB22DD">
          <w:t>33</w:t>
        </w:r>
        <w:bookmarkEnd w:id="17"/>
      </w:fldSimple>
      <w:r>
        <w:t xml:space="preserve">.  Cu privire la absența din statutul și din regulamentul TACE a regulilor în materie de recuzare, Curtea reamintește că existența procedurilor naționale destinate să asigure imparțialitatea, și anume a unor norme în materie de recuzare a judecătorilor, reprezintă un factor relevant de luat în calcul pentru a aprecia dacă o instanță a fost imparțială și, în special, dacă temerile reclamantului puteau fi considerate justificate în mod obiectiv [a se vedea, </w:t>
      </w:r>
      <w:r>
        <w:rPr>
          <w:i/>
        </w:rPr>
        <w:t>mutatis mutandis</w:t>
      </w:r>
      <w:r>
        <w:t xml:space="preserve">, </w:t>
      </w:r>
      <w:r>
        <w:rPr>
          <w:i/>
        </w:rPr>
        <w:t>Micallef împotriva Maltei</w:t>
      </w:r>
      <w:r>
        <w:t xml:space="preserve"> (MC), nr. 17056/06, pct. 99, CEDO 2009]. În cauză, deși nici statutul, nici regulamentul TACE nu prevăd posibilitatea ca o parte reclamantă să formuleze o cerere de recuzare a unui judecător chemat să-i soluționeze cauza, nu e mai puțin adevărat că sistemul pus în aplicare este capabil să asigure efectiv o protecție cel puțin echivalentă dreptului de a fi judecat de o instanță independentă (supra, pct. </w:t>
      </w:r>
      <w:r w:rsidR="00F2264A" w:rsidRPr="00FB22DD">
        <w:fldChar w:fldCharType="begin"/>
      </w:r>
      <w:r w:rsidR="00F2264A" w:rsidRPr="00FB22DD">
        <w:instrText xml:space="preserve"> REF paragraph00020 \h  \* CharFormat </w:instrText>
      </w:r>
      <w:r w:rsidR="00F2264A" w:rsidRPr="00FB22DD">
        <w:fldChar w:fldCharType="separate"/>
      </w:r>
      <w:r w:rsidR="00FB22DD" w:rsidRPr="00FB22DD">
        <w:t>20</w:t>
      </w:r>
      <w:r w:rsidR="00F2264A" w:rsidRPr="00FB22DD">
        <w:fldChar w:fldCharType="end"/>
      </w:r>
      <w:r>
        <w:rPr>
          <w:i/>
        </w:rPr>
        <w:t xml:space="preserve"> </w:t>
      </w:r>
      <w:r>
        <w:t xml:space="preserve">și </w:t>
      </w:r>
      <w:r w:rsidR="00F2264A" w:rsidRPr="00FB22DD">
        <w:fldChar w:fldCharType="begin"/>
      </w:r>
      <w:r w:rsidR="00F2264A" w:rsidRPr="00FB22DD">
        <w:instrText xml:space="preserve"> REF paragraph00024 \h  \* CharFormat </w:instrText>
      </w:r>
      <w:r w:rsidR="00F2264A" w:rsidRPr="00FB22DD">
        <w:fldChar w:fldCharType="separate"/>
      </w:r>
      <w:r w:rsidR="00FB22DD" w:rsidRPr="00FB22DD">
        <w:t>32</w:t>
      </w:r>
      <w:r w:rsidR="00F2264A" w:rsidRPr="00FB22DD">
        <w:fldChar w:fldCharType="end"/>
      </w:r>
      <w:r>
        <w:t xml:space="preserve">). În plus, din răspunsul doamnei judecător Vajić adresat reclamantei reiese că TACE a examinat deja și a respins o cerere în care imparțialitatea judecătorilor săi era contestată pentru un motiv similar celui expus de persoana în cauză (supra, pct. </w:t>
      </w:r>
      <w:r w:rsidR="00F2264A" w:rsidRPr="00FB22DD">
        <w:fldChar w:fldCharType="begin"/>
      </w:r>
      <w:r w:rsidR="00F2264A" w:rsidRPr="00FB22DD">
        <w:instrText xml:space="preserve"> REF P14 \h </w:instrText>
      </w:r>
      <w:r w:rsidR="00F2264A" w:rsidRPr="00FB22DD">
        <w:fldChar w:fldCharType="separate"/>
      </w:r>
      <w:r w:rsidR="00FB22DD" w:rsidRPr="00FB22DD">
        <w:t>14</w:t>
      </w:r>
      <w:r w:rsidR="00F2264A" w:rsidRPr="00FB22DD">
        <w:fldChar w:fldCharType="end"/>
      </w:r>
      <w:r>
        <w:t>). Prin urmare, Curtea nu poate considera că respectiva acțiune în fața TACE este viciată de o „vădită insuficiență”.</w:t>
      </w:r>
    </w:p>
    <w:p w14:paraId="06B7E236" w14:textId="08B38C83" w:rsidR="00F2264A" w:rsidRPr="00FB22DD" w:rsidRDefault="000A5B75" w:rsidP="00FB22DD">
      <w:pPr>
        <w:pStyle w:val="JuPara"/>
      </w:pPr>
      <w:fldSimple w:instr=" SEQ level0 \*arabic \* MERGEFORMAT ">
        <w:bookmarkStart w:id="18" w:name="paragraph00034"/>
        <w:r w:rsidR="00FB22DD" w:rsidRPr="00FB22DD">
          <w:t>34</w:t>
        </w:r>
        <w:bookmarkEnd w:id="18"/>
      </w:fldSimple>
      <w:r>
        <w:t xml:space="preserve">.  În plus, Curtea observă că reclamanta a adus la cunoștința TACE îndoielile pe care le avea cu privire la imparțialitatea unuia dintre membrii acestuia. Totuși observă că persoana interesată, prin intermediul avocatei sale, nu formula în scrisoarea sa din 17 martie 2021 decât o afirmație foarte generală cu privire la motivul care o determina să se îndoiască de imparțialitatea doamnei judecător Vajić, anume circumstanța că aceasta ar fi fost „în prezența [persoanei în cauză] de multe ori de-a lungul carierei sale” (supra, pct. </w:t>
      </w:r>
      <w:r w:rsidR="00F2264A" w:rsidRPr="00FB22DD">
        <w:fldChar w:fldCharType="begin"/>
      </w:r>
      <w:r w:rsidR="00F2264A" w:rsidRPr="00FB22DD">
        <w:instrText xml:space="preserve"> REF paragraph00006 \h  \* CharFormat </w:instrText>
      </w:r>
      <w:r w:rsidR="00F2264A" w:rsidRPr="00FB22DD">
        <w:fldChar w:fldCharType="separate"/>
      </w:r>
      <w:r w:rsidR="00FB22DD" w:rsidRPr="00FB22DD">
        <w:t>9</w:t>
      </w:r>
      <w:r w:rsidR="00F2264A" w:rsidRPr="00FB22DD">
        <w:fldChar w:fldCharType="end"/>
      </w:r>
      <w:r>
        <w:t xml:space="preserve">). În fapt, spre deosebire de expunerea prezentată de ea la Curte (supra, pct. </w:t>
      </w:r>
      <w:r w:rsidR="00F2264A" w:rsidRPr="00FB22DD">
        <w:fldChar w:fldCharType="begin"/>
      </w:r>
      <w:r w:rsidR="00F2264A" w:rsidRPr="00FB22DD">
        <w:instrText xml:space="preserve"> REF paragraph00019 \h  \* CharFormat </w:instrText>
      </w:r>
      <w:r w:rsidR="00F2264A" w:rsidRPr="00FB22DD">
        <w:fldChar w:fldCharType="separate"/>
      </w:r>
      <w:r w:rsidR="00FB22DD" w:rsidRPr="00FB22DD">
        <w:t>22</w:t>
      </w:r>
      <w:r w:rsidR="00F2264A" w:rsidRPr="00FB22DD">
        <w:fldChar w:fldCharType="end"/>
      </w:r>
      <w:r>
        <w:t>), scrisoarea din 17 martie 2021 adresată TACE nu avea toate elementele de fapt concrete legate de cariera sa sau de relațiile sale de muncă pe care le aprecia potrivite pentru a pune în cauză imparțialitatea doamnei judecător Vajić. Astfel, reclamanta nu a oferit un minim indiciu concret, judecătoarea Vajić nu a avut la dispoziție elemente necesare pentru a constata nevoia de a se abține.</w:t>
      </w:r>
    </w:p>
    <w:p w14:paraId="2E64F69B" w14:textId="0E93723D" w:rsidR="00F2264A" w:rsidRPr="00FB22DD" w:rsidRDefault="000A5B75" w:rsidP="00FB22DD">
      <w:pPr>
        <w:pStyle w:val="JuPara"/>
      </w:pPr>
      <w:fldSimple w:instr=" SEQ level0 \*arabic \* MERGEFORMAT ">
        <w:r w:rsidR="00FB22DD" w:rsidRPr="00FB22DD">
          <w:t>35</w:t>
        </w:r>
      </w:fldSimple>
      <w:r>
        <w:t xml:space="preserve">.  În acest context, Curtea reamintește că, în examinarea unei cereri de abținere sau de recuzare, apreciază natura motivelor pe care se întemeiază o </w:t>
      </w:r>
      <w:r>
        <w:lastRenderedPageBreak/>
        <w:t xml:space="preserve">astfel de cerere. Dacă reclamantul se bazează pe motive generale abstracte, fără a evoca fapte specifice și/sau materiale care pot ridica în mod legitim îndoieli cu privire la imparțialitatea judecătorului, cererea sa poate fi calificată drept abuzivă. În astfel de cazuri, a acceptat că judecătorul în cauză s-a pronunțat asupra acestei cereri (a se vedea, în acest sens, </w:t>
      </w:r>
      <w:r>
        <w:rPr>
          <w:i/>
        </w:rPr>
        <w:t>Mikhail Mironov împotriva Rusiei</w:t>
      </w:r>
      <w:r>
        <w:t xml:space="preserve">, nr. 58138/09, pct. 35, 6 octombrie 2020, </w:t>
      </w:r>
      <w:r>
        <w:rPr>
          <w:i/>
        </w:rPr>
        <w:t>Pastörs împotriva Germaniei</w:t>
      </w:r>
      <w:r>
        <w:t xml:space="preserve">, nr. 55225/14, pct. 62-63, 3 octombrie 2019, și </w:t>
      </w:r>
      <w:r>
        <w:rPr>
          <w:i/>
        </w:rPr>
        <w:t>A.K. împotriva Liechtensteinului</w:t>
      </w:r>
      <w:r>
        <w:t xml:space="preserve">, nr. 38191/12, pct. 35, 9 iulie 2015). Or în cazul în speță, ținând seama de motivele foarte generale invocate de persoana în cauză (supra, pct. </w:t>
      </w:r>
      <w:r w:rsidR="00F2264A" w:rsidRPr="00FB22DD">
        <w:fldChar w:fldCharType="begin"/>
      </w:r>
      <w:r w:rsidR="00F2264A" w:rsidRPr="00FB22DD">
        <w:instrText xml:space="preserve"> REF paragraph00034 \h  \* CharFormat </w:instrText>
      </w:r>
      <w:r w:rsidR="00F2264A" w:rsidRPr="00FB22DD">
        <w:fldChar w:fldCharType="separate"/>
      </w:r>
      <w:r w:rsidR="00FB22DD" w:rsidRPr="00FB22DD">
        <w:t>34</w:t>
      </w:r>
      <w:r w:rsidR="00F2264A" w:rsidRPr="00FB22DD">
        <w:fldChar w:fldCharType="end"/>
      </w:r>
      <w:r>
        <w:t xml:space="preserve">) și de natura solicitării sale de a o determina pe președinta TACE să se abțină spontan de la a delibera în cauză (supra, pct. </w:t>
      </w:r>
      <w:r w:rsidR="00F2264A" w:rsidRPr="00FB22DD">
        <w:fldChar w:fldCharType="begin"/>
      </w:r>
      <w:r w:rsidR="00F2264A" w:rsidRPr="00FB22DD">
        <w:instrText xml:space="preserve"> REF paragraph00007 \h  \* CharFormat </w:instrText>
      </w:r>
      <w:r w:rsidR="00F2264A" w:rsidRPr="00FB22DD">
        <w:fldChar w:fldCharType="separate"/>
      </w:r>
      <w:r w:rsidR="00FB22DD" w:rsidRPr="00FB22DD">
        <w:t>10</w:t>
      </w:r>
      <w:r w:rsidR="00F2264A" w:rsidRPr="00FB22DD">
        <w:fldChar w:fldCharType="end"/>
      </w:r>
      <w:r>
        <w:t xml:space="preserve"> și </w:t>
      </w:r>
      <w:r w:rsidR="00F2264A" w:rsidRPr="00FB22DD">
        <w:fldChar w:fldCharType="begin"/>
      </w:r>
      <w:r w:rsidR="00F2264A" w:rsidRPr="00FB22DD">
        <w:instrText xml:space="preserve"> REF paragraph00010 \h  \* CharFormat </w:instrText>
      </w:r>
      <w:r w:rsidR="00F2264A" w:rsidRPr="00FB22DD">
        <w:fldChar w:fldCharType="separate"/>
      </w:r>
      <w:r w:rsidR="00FB22DD" w:rsidRPr="00FB22DD">
        <w:t>11</w:t>
      </w:r>
      <w:r w:rsidR="00F2264A" w:rsidRPr="00FB22DD">
        <w:fldChar w:fldCharType="end"/>
      </w:r>
      <w:r>
        <w:t xml:space="preserve">), pare legitim că însăși doamna judecător Vajić a răspuns acestei cereri a reclamantei. De altfel, Curtea observă că răspunsul dat reclamantei de doamna judecător Vajić era amplu motivat și că nu prezenta niciun aspect arbitrar (supra, pct. </w:t>
      </w:r>
      <w:r w:rsidR="00F2264A" w:rsidRPr="00FB22DD">
        <w:fldChar w:fldCharType="begin"/>
      </w:r>
      <w:r w:rsidR="00F2264A" w:rsidRPr="00FB22DD">
        <w:instrText xml:space="preserve"> REF paragraph00011 \h  \* CharFormat </w:instrText>
      </w:r>
      <w:r w:rsidR="00F2264A" w:rsidRPr="00FB22DD">
        <w:fldChar w:fldCharType="separate"/>
      </w:r>
      <w:r w:rsidR="00FB22DD" w:rsidRPr="00FB22DD">
        <w:t>12</w:t>
      </w:r>
      <w:r w:rsidR="00F2264A" w:rsidRPr="00FB22DD">
        <w:fldChar w:fldCharType="end"/>
      </w:r>
      <w:r>
        <w:t xml:space="preserve"> - </w:t>
      </w:r>
      <w:r w:rsidR="00F2264A" w:rsidRPr="00FB22DD">
        <w:fldChar w:fldCharType="begin"/>
      </w:r>
      <w:r w:rsidR="00F2264A" w:rsidRPr="00FB22DD">
        <w:instrText xml:space="preserve"> REF paragraph00014 \h  \* CharFormat </w:instrText>
      </w:r>
      <w:r w:rsidR="00F2264A" w:rsidRPr="00FB22DD">
        <w:fldChar w:fldCharType="separate"/>
      </w:r>
      <w:r w:rsidR="00FB22DD" w:rsidRPr="00FB22DD">
        <w:t>15</w:t>
      </w:r>
      <w:r w:rsidR="00F2264A" w:rsidRPr="00FB22DD">
        <w:fldChar w:fldCharType="end"/>
      </w:r>
      <w:r>
        <w:t>).</w:t>
      </w:r>
    </w:p>
    <w:p w14:paraId="531D0C92" w14:textId="1704B33F" w:rsidR="00F2264A" w:rsidRPr="00FB22DD" w:rsidRDefault="000A5B75" w:rsidP="00FB22DD">
      <w:pPr>
        <w:pStyle w:val="JuPara"/>
      </w:pPr>
      <w:fldSimple w:instr=" SEQ level0 \*arabic \* MERGEFORMAT ">
        <w:r w:rsidR="00FB22DD" w:rsidRPr="00FB22DD">
          <w:t>36</w:t>
        </w:r>
      </w:fldSimple>
      <w:r>
        <w:t xml:space="preserve">.  Cu privire la susținerile reclamantei, care le imputa membrilor grefei TACE lipsa de imparțialitate (supra, pct. </w:t>
      </w:r>
      <w:r w:rsidR="00F2264A" w:rsidRPr="00FB22DD">
        <w:fldChar w:fldCharType="begin"/>
      </w:r>
      <w:r w:rsidR="00F2264A" w:rsidRPr="00FB22DD">
        <w:instrText xml:space="preserve"> REF P19 \h </w:instrText>
      </w:r>
      <w:r w:rsidR="00F2264A" w:rsidRPr="00FB22DD">
        <w:fldChar w:fldCharType="separate"/>
      </w:r>
      <w:r w:rsidR="00FB22DD" w:rsidRPr="00FB22DD">
        <w:t>21</w:t>
      </w:r>
      <w:r w:rsidR="00F2264A" w:rsidRPr="00FB22DD">
        <w:fldChar w:fldCharType="end"/>
      </w:r>
      <w:r>
        <w:t xml:space="preserve"> </w:t>
      </w:r>
      <w:r>
        <w:rPr>
          <w:i/>
        </w:rPr>
        <w:t>in fine</w:t>
      </w:r>
      <w:r>
        <w:t>), Curtea a considerat deja că cerința de imparțialitate în sensul art. 6 § 1 se putea extinde, de asemenea, la  personalul auxiliar al instanțelor, precum grefierii sau asistenții, în funcție de rolul și de funcțiile acestora în sistemul judiciar (</w:t>
      </w:r>
      <w:r>
        <w:rPr>
          <w:i/>
        </w:rPr>
        <w:t>Bellizzi împotriva Maltei</w:t>
      </w:r>
      <w:r>
        <w:t xml:space="preserve">, nr. 46575/09, pct. 59, 21 iunie 2011). Totodată, observă că membrii grefei TACE nu fac parte din completele de judecată ale TACE (supra, pct. </w:t>
      </w:r>
      <w:r w:rsidR="00F2264A" w:rsidRPr="00FB22DD">
        <w:fldChar w:fldCharType="begin"/>
      </w:r>
      <w:r w:rsidR="00F2264A" w:rsidRPr="00FB22DD">
        <w:instrText xml:space="preserve"> REF paragraph00015 \h  \* CharFormat </w:instrText>
      </w:r>
      <w:r w:rsidR="00F2264A" w:rsidRPr="00FB22DD">
        <w:fldChar w:fldCharType="separate"/>
      </w:r>
      <w:r w:rsidR="00FB22DD" w:rsidRPr="00FB22DD">
        <w:t>19</w:t>
      </w:r>
      <w:r w:rsidR="00F2264A" w:rsidRPr="00FB22DD">
        <w:fldChar w:fldCharType="end"/>
      </w:r>
      <w:r>
        <w:t xml:space="preserve">). În plus, în lipsa unor susțineri ale reclamantei vizând fapte concrete, descrierea rolului și a funcțiilor lor (supra, pct. </w:t>
      </w:r>
      <w:r w:rsidR="00F2264A" w:rsidRPr="00FB22DD">
        <w:fldChar w:fldCharType="begin"/>
      </w:r>
      <w:r w:rsidR="00F2264A" w:rsidRPr="00FB22DD">
        <w:instrText xml:space="preserve"> REF paragraph00015 \h  \* CharFormat </w:instrText>
      </w:r>
      <w:r w:rsidR="00F2264A" w:rsidRPr="00FB22DD">
        <w:fldChar w:fldCharType="separate"/>
      </w:r>
      <w:r w:rsidR="00FB22DD" w:rsidRPr="00FB22DD">
        <w:t>19</w:t>
      </w:r>
      <w:r w:rsidR="00F2264A" w:rsidRPr="00FB22DD">
        <w:fldChar w:fldCharType="end"/>
      </w:r>
      <w:r>
        <w:t>) nu permite concluzia că ar avea o incidență asupra imparțialității tribunalului.</w:t>
      </w:r>
    </w:p>
    <w:p w14:paraId="477137A2" w14:textId="1B123E92" w:rsidR="00F2264A" w:rsidRPr="00FB22DD" w:rsidRDefault="000A5B75" w:rsidP="00FB22DD">
      <w:pPr>
        <w:pStyle w:val="JuPara"/>
      </w:pPr>
      <w:fldSimple w:instr=" SEQ level0 \*arabic \* MERGEFORMAT ">
        <w:r w:rsidR="00FB22DD" w:rsidRPr="00FB22DD">
          <w:t>37</w:t>
        </w:r>
      </w:fldSimple>
      <w:r>
        <w:t xml:space="preserve">.  Ținând seama de cele de mai sus, Curtea consideră că statele pârâte au putut considera, în mod întemeiat, în momentul când au transferat puterile lor suverane, că dispozițiile care reglementau procedura în fața TACE îndeplineau cerințele unui proces echitabil. Luând în considerare particularitățile cadrului legislativ care reglementa TACE (supra, pct. </w:t>
      </w:r>
      <w:r w:rsidR="00F2264A" w:rsidRPr="00FB22DD">
        <w:fldChar w:fldCharType="begin"/>
      </w:r>
      <w:r w:rsidR="00F2264A" w:rsidRPr="00FB22DD">
        <w:instrText xml:space="preserve"> REF paragraph00024 \h  \* CharFormat  \* MERGEFORMAT </w:instrText>
      </w:r>
      <w:r w:rsidR="00F2264A" w:rsidRPr="00FB22DD">
        <w:fldChar w:fldCharType="separate"/>
      </w:r>
      <w:r w:rsidR="00FB22DD" w:rsidRPr="00FB22DD">
        <w:t>32</w:t>
      </w:r>
      <w:r w:rsidR="00F2264A" w:rsidRPr="00FB22DD">
        <w:fldChar w:fldCharType="end"/>
      </w:r>
      <w:r>
        <w:t xml:space="preserve"> și </w:t>
      </w:r>
      <w:r w:rsidR="00F2264A" w:rsidRPr="00FB22DD">
        <w:fldChar w:fldCharType="begin"/>
      </w:r>
      <w:r w:rsidR="00F2264A" w:rsidRPr="00FB22DD">
        <w:instrText xml:space="preserve"> REF paragraph00025 \h  \* CharFormat  \* MERGEFORMAT </w:instrText>
      </w:r>
      <w:r w:rsidR="00F2264A" w:rsidRPr="00FB22DD">
        <w:fldChar w:fldCharType="separate"/>
      </w:r>
      <w:r w:rsidR="00FB22DD" w:rsidRPr="00FB22DD">
        <w:t>33</w:t>
      </w:r>
      <w:r w:rsidR="00F2264A" w:rsidRPr="00FB22DD">
        <w:fldChar w:fldCharType="end"/>
      </w:r>
      <w:r>
        <w:t>), Curtea nu găsește niciun motiv să considere, având în vedere elementele ce i-au fost prezentate de reclamantă, că, în general, protecția acordată reclamantei de mecanismul acțiunilor în fața TACE este viciat de o „vădită insuficiență”. Așadar, consideră că reclamanta nu are motive întemeiate să se plângă de statele pârâte care ar fi subscris la un sistem contrar Convenției și că prezumția de respectare a acesteia de către respectivele state nu a fost răsturnată [</w:t>
      </w:r>
      <w:r>
        <w:rPr>
          <w:i/>
        </w:rPr>
        <w:t>Gasparini</w:t>
      </w:r>
      <w:r>
        <w:t xml:space="preserve">, citată anterior; a se vedea și </w:t>
      </w:r>
      <w:r>
        <w:rPr>
          <w:i/>
        </w:rPr>
        <w:t>Klausecker împotriva Germaniei</w:t>
      </w:r>
      <w:r>
        <w:t xml:space="preserve"> (dec.), nr. 415/07, pct. 101 și urm., 6 ianuarie 2015].</w:t>
      </w:r>
    </w:p>
    <w:p w14:paraId="0F5BEEF8" w14:textId="66623849" w:rsidR="00F2264A" w:rsidRPr="00FB22DD" w:rsidRDefault="000A5B75" w:rsidP="00FB22DD">
      <w:pPr>
        <w:pStyle w:val="JuPara"/>
      </w:pPr>
      <w:fldSimple w:instr=" SEQ level0 \*arabic \* MERGEFORMAT ">
        <w:r w:rsidR="00FB22DD" w:rsidRPr="00FB22DD">
          <w:t>38</w:t>
        </w:r>
      </w:fldSimple>
      <w:r>
        <w:t xml:space="preserve">.  Rezultă că, în măsura în care reclamanta pledează că nu există un sistem jurisdicțional independent și imparțial, acest capăt de cerere </w:t>
      </w:r>
      <w:r>
        <w:rPr>
          <w:snapToGrid w:val="0"/>
        </w:rPr>
        <w:t>este în mod vădit nefondat și trebuie respins în conformitate cu art. 35 § 3 </w:t>
      </w:r>
      <w:r>
        <w:t xml:space="preserve">lit. a) </w:t>
      </w:r>
      <w:r>
        <w:rPr>
          <w:snapToGrid w:val="0"/>
        </w:rPr>
        <w:t>și art. 35 § 4 din Convenție.</w:t>
      </w:r>
    </w:p>
    <w:p w14:paraId="54EB59A3" w14:textId="5F1AE6F3" w:rsidR="00F2264A" w:rsidRPr="00FB22DD" w:rsidRDefault="000A5B75" w:rsidP="00FB22DD">
      <w:pPr>
        <w:pStyle w:val="JuPara"/>
      </w:pPr>
      <w:fldSimple w:instr=" SEQ level0 \*arabic \* MERGEFORMAT ">
        <w:r w:rsidR="00FB22DD" w:rsidRPr="00FB22DD">
          <w:t>39</w:t>
        </w:r>
      </w:fldSimple>
      <w:r>
        <w:t xml:space="preserve">.  În măsura în care reclamanta pretinde că a fost privată de accesul la o instanță care să decidă asupra cererii sale de reparație integrală a pretinsului </w:t>
      </w:r>
      <w:r>
        <w:lastRenderedPageBreak/>
        <w:t xml:space="preserve">prejudiciu suferit (supra, pct. </w:t>
      </w:r>
      <w:r w:rsidR="00F2264A" w:rsidRPr="00FB22DD">
        <w:fldChar w:fldCharType="begin"/>
      </w:r>
      <w:r w:rsidR="00F2264A" w:rsidRPr="00FB22DD">
        <w:instrText xml:space="preserve"> REF paragraph00018 \h  \* CharFormat </w:instrText>
      </w:r>
      <w:r w:rsidR="00F2264A" w:rsidRPr="00FB22DD">
        <w:fldChar w:fldCharType="separate"/>
      </w:r>
      <w:r w:rsidR="00FB22DD" w:rsidRPr="00FB22DD">
        <w:t>23</w:t>
      </w:r>
      <w:r w:rsidR="00F2264A" w:rsidRPr="00FB22DD">
        <w:fldChar w:fldCharType="end"/>
      </w:r>
      <w:r>
        <w:t xml:space="preserve">), Curtea consideră că acest capăt de cerere este îndreptat, în esență, împotriva deciziei TACE, unicul organ care trebuia să se pronunțe asupra contenciosului care opunea persoana în cauză Consiliului Europei (a se vedea distincția operată supra, pct. </w:t>
      </w:r>
      <w:r w:rsidR="00F2264A" w:rsidRPr="00FB22DD">
        <w:fldChar w:fldCharType="begin"/>
      </w:r>
      <w:r w:rsidR="00F2264A" w:rsidRPr="00FB22DD">
        <w:instrText xml:space="preserve"> REF paragraph00027 \h  \* CharFormat </w:instrText>
      </w:r>
      <w:r w:rsidR="00F2264A" w:rsidRPr="00FB22DD">
        <w:fldChar w:fldCharType="separate"/>
      </w:r>
      <w:r w:rsidR="00FB22DD" w:rsidRPr="00FB22DD">
        <w:t>27</w:t>
      </w:r>
      <w:r w:rsidR="00F2264A" w:rsidRPr="00FB22DD">
        <w:fldChar w:fldCharType="end"/>
      </w:r>
      <w:r>
        <w:t xml:space="preserve"> </w:t>
      </w:r>
      <w:r>
        <w:rPr>
          <w:i/>
        </w:rPr>
        <w:t>in fine</w:t>
      </w:r>
      <w:r>
        <w:t>). În niciun moment, unul sau altul dintre statele din cauză nu a intervenit, direct sau indirect, în litigiu, și Curtea nu identifică în prezenta cauză nicio acțiune sau omisiune a acestor state sau a autorităților lor care ar fi de natură să angajeze răspunderea lor în temeiul Convenției. Nu se poate afirma, prin urmare, că reclamanta se afla sub „jurisdicția” statelor pârâte în sensul art. 1 din Convenție [</w:t>
      </w:r>
      <w:r>
        <w:rPr>
          <w:i/>
        </w:rPr>
        <w:t>Boivin împotriva Franței și a Belgiei și a altor 32 de state membre ale Consiliului Europei</w:t>
      </w:r>
      <w:r>
        <w:t xml:space="preserve"> (dec.), nr. 73250/01, 9 septembrie 2008, și </w:t>
      </w:r>
      <w:r>
        <w:rPr>
          <w:i/>
        </w:rPr>
        <w:t>Cooperatieve Producentenorganisatie van de Nederlandse Kokkelvisserij U.A. împotriva Țărilor de Jos</w:t>
      </w:r>
      <w:r>
        <w:t xml:space="preserve"> (dec.), nr. 13645/05, CEDO 2009 ; și </w:t>
      </w:r>
      <w:r>
        <w:rPr>
          <w:i/>
        </w:rPr>
        <w:t>Beygo</w:t>
      </w:r>
      <w:r>
        <w:t xml:space="preserve">, citată anterior]. Rezultă că acest capăt de cerere este incompatibil </w:t>
      </w:r>
      <w:r>
        <w:rPr>
          <w:i/>
          <w:iCs/>
        </w:rPr>
        <w:t>ratione personae</w:t>
      </w:r>
      <w:r>
        <w:t xml:space="preserve"> cu dispozițiile Convenției, în sensul art. 35 § 3 lit. a), și că trebuie respins în conformitate cu art. 35 § 4.</w:t>
      </w:r>
    </w:p>
    <w:p w14:paraId="63DAAF3C" w14:textId="2B4293A5" w:rsidR="00F2264A" w:rsidRPr="00FB22DD" w:rsidRDefault="00F2264A" w:rsidP="00FB22DD">
      <w:pPr>
        <w:pStyle w:val="JuPara"/>
        <w:keepNext/>
        <w:keepLines/>
      </w:pPr>
      <w:r w:rsidRPr="00FB22DD">
        <w:rPr>
          <w:snapToGrid w:val="0"/>
        </w:rPr>
        <w:fldChar w:fldCharType="begin"/>
      </w:r>
      <w:r w:rsidRPr="00FB22DD">
        <w:rPr>
          <w:snapToGrid w:val="0"/>
        </w:rPr>
        <w:instrText xml:space="preserve"> SEQ level0 \*arabic \* MERGEFORMAT </w:instrText>
      </w:r>
      <w:r w:rsidRPr="00FB22DD">
        <w:rPr>
          <w:snapToGrid w:val="0"/>
        </w:rPr>
        <w:fldChar w:fldCharType="separate"/>
      </w:r>
      <w:r w:rsidR="00FB22DD" w:rsidRPr="00FB22DD">
        <w:rPr>
          <w:snapToGrid w:val="0"/>
        </w:rPr>
        <w:t>40</w:t>
      </w:r>
      <w:r w:rsidRPr="00FB22DD">
        <w:rPr>
          <w:snapToGrid w:val="0"/>
        </w:rPr>
        <w:fldChar w:fldCharType="end"/>
      </w:r>
      <w:r>
        <w:rPr>
          <w:snapToGrid w:val="0"/>
        </w:rPr>
        <w:t xml:space="preserve">.  Având în vedere cele de mai sus, Curtea concluzionează că această cerere este inadmisibilă </w:t>
      </w:r>
      <w:r w:rsidR="006509B1">
        <w:rPr>
          <w:snapToGrid w:val="0"/>
        </w:rPr>
        <w:t>și</w:t>
      </w:r>
      <w:r>
        <w:rPr>
          <w:snapToGrid w:val="0"/>
        </w:rPr>
        <w:t xml:space="preserve"> trebuie respinsă, în temeiul art. 35 § 3 </w:t>
      </w:r>
      <w:r>
        <w:t xml:space="preserve">lit. a) </w:t>
      </w:r>
      <w:r>
        <w:rPr>
          <w:snapToGrid w:val="0"/>
        </w:rPr>
        <w:t>și art. 35 § 4 din Convenție.</w:t>
      </w:r>
    </w:p>
    <w:p w14:paraId="578175A6" w14:textId="5D9E8234" w:rsidR="00F2264A" w:rsidRPr="00FB22DD" w:rsidRDefault="00F2264A" w:rsidP="00FB22DD">
      <w:pPr>
        <w:pStyle w:val="JuParaLast"/>
      </w:pPr>
      <w:r>
        <w:t>Pentru aceste motive, în unanimitate, Curtea</w:t>
      </w:r>
    </w:p>
    <w:p w14:paraId="27376BC9" w14:textId="0D15B21F" w:rsidR="00F2264A" w:rsidRPr="00FB22DD" w:rsidRDefault="00F2264A" w:rsidP="00FB22DD">
      <w:pPr>
        <w:pStyle w:val="DecList"/>
        <w:keepNext/>
        <w:keepLines/>
      </w:pPr>
      <w:r>
        <w:rPr>
          <w:i/>
          <w:iCs/>
        </w:rPr>
        <w:t>Declară</w:t>
      </w:r>
      <w:r>
        <w:t xml:space="preserve"> cererea inadmisibilă.</w:t>
      </w:r>
    </w:p>
    <w:p w14:paraId="142EB698" w14:textId="217E8439" w:rsidR="00050A32" w:rsidRPr="00FB22DD" w:rsidRDefault="00F40988" w:rsidP="00FB22DD">
      <w:pPr>
        <w:pStyle w:val="JuParaLast"/>
        <w:rPr>
          <w:sz w:val="14"/>
        </w:rPr>
      </w:pPr>
      <w:r>
        <w:t>Redactată în limba franceză, apoi comunicată în scris, la 15 iunie 2023.</w:t>
      </w:r>
    </w:p>
    <w:p w14:paraId="5F1F9E03" w14:textId="0B2BB28B" w:rsidR="00C64EBF" w:rsidRPr="00FB22DD" w:rsidRDefault="001B2A94" w:rsidP="00FB22DD">
      <w:pPr>
        <w:pStyle w:val="ECHRPlaceholder"/>
        <w:keepNext/>
        <w:keepLines/>
      </w:pPr>
      <w:r>
        <w:tab/>
      </w:r>
    </w:p>
    <w:p w14:paraId="756B5137" w14:textId="1D1E1125" w:rsidR="00A1102F" w:rsidRPr="00FB22DD" w:rsidRDefault="00050A32" w:rsidP="00FB22DD">
      <w:pPr>
        <w:pStyle w:val="JuSigned"/>
      </w:pPr>
      <w:r>
        <w:tab/>
        <w:t>Andrea Tamietti</w:t>
      </w:r>
      <w:r>
        <w:tab/>
        <w:t>Gabriele Kucsko-Stadlmayer</w:t>
      </w:r>
      <w:r>
        <w:br/>
      </w:r>
      <w:r>
        <w:tab/>
        <w:t xml:space="preserve">Grefier </w:t>
      </w:r>
      <w:r>
        <w:tab/>
        <w:t>Președinte</w:t>
      </w:r>
    </w:p>
    <w:sectPr w:rsidR="00A1102F" w:rsidRPr="00FB22DD" w:rsidSect="00AF710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C9D97" w14:textId="77777777" w:rsidR="00336038" w:rsidRPr="00F2264A" w:rsidRDefault="00336038" w:rsidP="006544C4">
      <w:r w:rsidRPr="00F2264A">
        <w:separator/>
      </w:r>
    </w:p>
  </w:endnote>
  <w:endnote w:type="continuationSeparator" w:id="0">
    <w:p w14:paraId="7B14B7FE" w14:textId="77777777" w:rsidR="00336038" w:rsidRPr="00F2264A" w:rsidRDefault="00336038" w:rsidP="006544C4">
      <w:r w:rsidRPr="00F22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DA03" w14:textId="347C0C45" w:rsidR="00AF7102" w:rsidRPr="00F2264A" w:rsidRDefault="00F2264A" w:rsidP="00FB64E0">
    <w:pPr>
      <w:pStyle w:val="JuHeader"/>
    </w:pPr>
    <w:r>
      <w:rPr>
        <w:rStyle w:val="PageNumber"/>
      </w:rPr>
      <w:fldChar w:fldCharType="begin"/>
    </w:r>
    <w:r>
      <w:rPr>
        <w:rStyle w:val="PageNumber"/>
      </w:rPr>
      <w:instrText xml:space="preserve"> PAGE </w:instrText>
    </w:r>
    <w:r>
      <w:rPr>
        <w:rStyle w:val="PageNumber"/>
      </w:rPr>
      <w:fldChar w:fldCharType="separate"/>
    </w:r>
    <w:r w:rsidR="006509B1">
      <w:rPr>
        <w:rStyle w:val="PageNumber"/>
        <w:noProof/>
      </w:rPr>
      <w:t>10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A18A3" w14:textId="2B8938B7" w:rsidR="00AF7102" w:rsidRPr="00F2264A" w:rsidRDefault="00F2264A" w:rsidP="00FB64E0">
    <w:pPr>
      <w:pStyle w:val="JuHeader"/>
    </w:pPr>
    <w:r>
      <w:rPr>
        <w:rStyle w:val="PageNumber"/>
      </w:rPr>
      <w:fldChar w:fldCharType="begin"/>
    </w:r>
    <w:r>
      <w:rPr>
        <w:rStyle w:val="PageNumber"/>
      </w:rPr>
      <w:instrText xml:space="preserve"> PAGE </w:instrText>
    </w:r>
    <w:r>
      <w:rPr>
        <w:rStyle w:val="PageNumber"/>
      </w:rPr>
      <w:fldChar w:fldCharType="separate"/>
    </w:r>
    <w:r w:rsidR="006509B1">
      <w:rPr>
        <w:rStyle w:val="PageNumber"/>
        <w:noProof/>
      </w:rPr>
      <w:t>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A8062" w14:textId="437CDFB0" w:rsidR="00112D62" w:rsidRPr="00F2264A" w:rsidRDefault="00F2264A" w:rsidP="003146E4">
    <w:pPr>
      <w:jc w:val="center"/>
      <w:rPr>
        <w:szCs w:val="18"/>
      </w:rPr>
    </w:pPr>
    <w:r>
      <w:rPr>
        <w:noProof/>
        <w:lang w:eastAsia="ro-RO"/>
      </w:rPr>
      <w:drawing>
        <wp:inline distT="0" distB="0" distL="0" distR="0" wp14:anchorId="09B1AFD7" wp14:editId="00B3888D">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F26A9" w14:textId="77777777" w:rsidR="00336038" w:rsidRPr="00F2264A" w:rsidRDefault="00336038" w:rsidP="006544C4">
      <w:r w:rsidRPr="00F2264A">
        <w:separator/>
      </w:r>
    </w:p>
  </w:footnote>
  <w:footnote w:type="continuationSeparator" w:id="0">
    <w:p w14:paraId="47499BD8" w14:textId="77777777" w:rsidR="00336038" w:rsidRPr="00F2264A" w:rsidRDefault="00336038" w:rsidP="006544C4">
      <w:r w:rsidRPr="00F22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40AE6" w14:textId="28DCC80B" w:rsidR="00112D62" w:rsidRPr="00F2264A" w:rsidRDefault="00334EC5" w:rsidP="003312A3">
    <w:pPr>
      <w:pStyle w:val="JuHeader"/>
    </w:pPr>
    <w:r>
      <w:t>DECIZIA ÎMPOTRIVA CELOR 47 DE STATE MEMBRE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AC4F" w14:textId="38F3097D" w:rsidR="00112D62" w:rsidRPr="00F2264A" w:rsidRDefault="00334EC5" w:rsidP="006544C4">
    <w:pPr>
      <w:pStyle w:val="JuHeader"/>
    </w:pPr>
    <w:r>
      <w:t>DECIZIA ÎMPOTRIVA CELOR 47 DE STATE MEMBRE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A576A" w14:textId="77777777" w:rsidR="00DD610E" w:rsidRDefault="00DD610E" w:rsidP="00DD610E">
    <w:pPr>
      <w:jc w:val="right"/>
    </w:pPr>
    <w:r>
      <w:t>Tradus și revizuit de IER (</w:t>
    </w:r>
    <w:hyperlink r:id="rId1" w:history="1">
      <w:r w:rsidRPr="00506B28">
        <w:rPr>
          <w:rStyle w:val="Hyperlink"/>
        </w:rPr>
        <w:t>http://ier.gov.ro/</w:t>
      </w:r>
    </w:hyperlink>
    <w:r>
      <w:t>)</w:t>
    </w:r>
  </w:p>
  <w:p w14:paraId="613E4078" w14:textId="623C1358" w:rsidR="00F2264A" w:rsidRPr="00A45145" w:rsidRDefault="00F2264A" w:rsidP="00A45145">
    <w:pPr>
      <w:jc w:val="center"/>
    </w:pPr>
    <w:r>
      <w:rPr>
        <w:noProof/>
        <w:lang w:eastAsia="ro-RO"/>
      </w:rPr>
      <w:drawing>
        <wp:inline distT="0" distB="0" distL="0" distR="0" wp14:anchorId="1CAF5FB7" wp14:editId="0EF7BEFC">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217B976" w14:textId="77777777" w:rsidR="00DD610E" w:rsidRPr="00F2264A" w:rsidRDefault="00DD610E"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F2264A"/>
    <w:rsid w:val="000041F8"/>
    <w:rsid w:val="000042A8"/>
    <w:rsid w:val="00004308"/>
    <w:rsid w:val="00005BF0"/>
    <w:rsid w:val="00007154"/>
    <w:rsid w:val="0001025C"/>
    <w:rsid w:val="000103AE"/>
    <w:rsid w:val="00011D69"/>
    <w:rsid w:val="00012AD3"/>
    <w:rsid w:val="00015C2D"/>
    <w:rsid w:val="00015F00"/>
    <w:rsid w:val="00022C1D"/>
    <w:rsid w:val="000279B8"/>
    <w:rsid w:val="00033DC5"/>
    <w:rsid w:val="000345FF"/>
    <w:rsid w:val="00034987"/>
    <w:rsid w:val="00050A32"/>
    <w:rsid w:val="000602DF"/>
    <w:rsid w:val="00061B05"/>
    <w:rsid w:val="000632D5"/>
    <w:rsid w:val="000644EE"/>
    <w:rsid w:val="000903A5"/>
    <w:rsid w:val="000925AD"/>
    <w:rsid w:val="000A24EB"/>
    <w:rsid w:val="000A5B75"/>
    <w:rsid w:val="000B3548"/>
    <w:rsid w:val="000B6923"/>
    <w:rsid w:val="000C578A"/>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F2145"/>
    <w:rsid w:val="001F6262"/>
    <w:rsid w:val="001F67B0"/>
    <w:rsid w:val="001F7B3D"/>
    <w:rsid w:val="00205F9F"/>
    <w:rsid w:val="002067BE"/>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32E1"/>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12A30"/>
    <w:rsid w:val="00320F72"/>
    <w:rsid w:val="0032463E"/>
    <w:rsid w:val="00326224"/>
    <w:rsid w:val="003312A3"/>
    <w:rsid w:val="00334EC5"/>
    <w:rsid w:val="00336038"/>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61DB0"/>
    <w:rsid w:val="00463926"/>
    <w:rsid w:val="00464C9A"/>
    <w:rsid w:val="00474F3D"/>
    <w:rsid w:val="00474FDF"/>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988"/>
    <w:rsid w:val="005E3085"/>
    <w:rsid w:val="005F51E1"/>
    <w:rsid w:val="005F675D"/>
    <w:rsid w:val="00611C80"/>
    <w:rsid w:val="00620692"/>
    <w:rsid w:val="006242CA"/>
    <w:rsid w:val="00627507"/>
    <w:rsid w:val="00633717"/>
    <w:rsid w:val="006344E1"/>
    <w:rsid w:val="006509B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7BB0"/>
    <w:rsid w:val="006D3237"/>
    <w:rsid w:val="006E2E37"/>
    <w:rsid w:val="006E3CF1"/>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204C7"/>
    <w:rsid w:val="00820992"/>
    <w:rsid w:val="00823602"/>
    <w:rsid w:val="008255F5"/>
    <w:rsid w:val="0083014E"/>
    <w:rsid w:val="0083214A"/>
    <w:rsid w:val="0083339B"/>
    <w:rsid w:val="00834220"/>
    <w:rsid w:val="00845723"/>
    <w:rsid w:val="00851EF9"/>
    <w:rsid w:val="008577FD"/>
    <w:rsid w:val="00860B03"/>
    <w:rsid w:val="0086497A"/>
    <w:rsid w:val="008713A1"/>
    <w:rsid w:val="008754AB"/>
    <w:rsid w:val="0088060C"/>
    <w:rsid w:val="00893576"/>
    <w:rsid w:val="00893E73"/>
    <w:rsid w:val="008A7861"/>
    <w:rsid w:val="008B02DC"/>
    <w:rsid w:val="008B0BD9"/>
    <w:rsid w:val="008B57CE"/>
    <w:rsid w:val="008C26DE"/>
    <w:rsid w:val="008C4AA6"/>
    <w:rsid w:val="008D2225"/>
    <w:rsid w:val="008D4752"/>
    <w:rsid w:val="008E271C"/>
    <w:rsid w:val="008E418E"/>
    <w:rsid w:val="008E440A"/>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1102F"/>
    <w:rsid w:val="00A1726E"/>
    <w:rsid w:val="00A204CF"/>
    <w:rsid w:val="00A23D49"/>
    <w:rsid w:val="00A27004"/>
    <w:rsid w:val="00A30C29"/>
    <w:rsid w:val="00A34DD6"/>
    <w:rsid w:val="00A36819"/>
    <w:rsid w:val="00A36989"/>
    <w:rsid w:val="00A43628"/>
    <w:rsid w:val="00A54192"/>
    <w:rsid w:val="00A55CE9"/>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F2919"/>
    <w:rsid w:val="00AF4B07"/>
    <w:rsid w:val="00AF6186"/>
    <w:rsid w:val="00AF7102"/>
    <w:rsid w:val="00AF7A3A"/>
    <w:rsid w:val="00B01FB0"/>
    <w:rsid w:val="00B160DB"/>
    <w:rsid w:val="00B20836"/>
    <w:rsid w:val="00B235BB"/>
    <w:rsid w:val="00B27A44"/>
    <w:rsid w:val="00B30BBF"/>
    <w:rsid w:val="00B33922"/>
    <w:rsid w:val="00B33C03"/>
    <w:rsid w:val="00B4438C"/>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3925"/>
    <w:rsid w:val="00B95187"/>
    <w:rsid w:val="00B97CE3"/>
    <w:rsid w:val="00BA1CA3"/>
    <w:rsid w:val="00BA2D55"/>
    <w:rsid w:val="00BA71B1"/>
    <w:rsid w:val="00BB0637"/>
    <w:rsid w:val="00BB312C"/>
    <w:rsid w:val="00BB345F"/>
    <w:rsid w:val="00BB68EA"/>
    <w:rsid w:val="00BC1C27"/>
    <w:rsid w:val="00BC6BBF"/>
    <w:rsid w:val="00BD1572"/>
    <w:rsid w:val="00BE14E3"/>
    <w:rsid w:val="00BE3774"/>
    <w:rsid w:val="00BE41E5"/>
    <w:rsid w:val="00BF4109"/>
    <w:rsid w:val="00BF4CC3"/>
    <w:rsid w:val="00C054C7"/>
    <w:rsid w:val="00C057B5"/>
    <w:rsid w:val="00C22687"/>
    <w:rsid w:val="00C32E4D"/>
    <w:rsid w:val="00C333A0"/>
    <w:rsid w:val="00C36408"/>
    <w:rsid w:val="00C36A81"/>
    <w:rsid w:val="00C41974"/>
    <w:rsid w:val="00C53F4A"/>
    <w:rsid w:val="00C54125"/>
    <w:rsid w:val="00C559CB"/>
    <w:rsid w:val="00C55B54"/>
    <w:rsid w:val="00C6098E"/>
    <w:rsid w:val="00C6152C"/>
    <w:rsid w:val="00C64EBF"/>
    <w:rsid w:val="00C74810"/>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435F"/>
    <w:rsid w:val="00D75E28"/>
    <w:rsid w:val="00D772C2"/>
    <w:rsid w:val="00D8008E"/>
    <w:rsid w:val="00D817B0"/>
    <w:rsid w:val="00D82C45"/>
    <w:rsid w:val="00D908A8"/>
    <w:rsid w:val="00D90EB3"/>
    <w:rsid w:val="00D91EA0"/>
    <w:rsid w:val="00D977B6"/>
    <w:rsid w:val="00DA4A31"/>
    <w:rsid w:val="00DA7B04"/>
    <w:rsid w:val="00DB36C2"/>
    <w:rsid w:val="00DC169B"/>
    <w:rsid w:val="00DC2AB9"/>
    <w:rsid w:val="00DC63F0"/>
    <w:rsid w:val="00DD610E"/>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264A"/>
    <w:rsid w:val="00F266A2"/>
    <w:rsid w:val="00F30C24"/>
    <w:rsid w:val="00F32269"/>
    <w:rsid w:val="00F40988"/>
    <w:rsid w:val="00F428BC"/>
    <w:rsid w:val="00F56A6F"/>
    <w:rsid w:val="00F5709C"/>
    <w:rsid w:val="00F64EF1"/>
    <w:rsid w:val="00F8765F"/>
    <w:rsid w:val="00F90767"/>
    <w:rsid w:val="00F9130D"/>
    <w:rsid w:val="00FA685B"/>
    <w:rsid w:val="00FB0C01"/>
    <w:rsid w:val="00FB22DD"/>
    <w:rsid w:val="00FB64E0"/>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AB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C578A"/>
    <w:rPr>
      <w:sz w:val="24"/>
      <w:szCs w:val="24"/>
    </w:rPr>
  </w:style>
  <w:style w:type="paragraph" w:styleId="Heading1">
    <w:name w:val="heading 1"/>
    <w:basedOn w:val="Normal"/>
    <w:next w:val="Normal"/>
    <w:link w:val="Heading1Char"/>
    <w:uiPriority w:val="98"/>
    <w:semiHidden/>
    <w:rsid w:val="000C578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C578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C578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C578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C578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C578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C578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C578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C578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C578A"/>
    <w:rPr>
      <w:rFonts w:ascii="Tahoma" w:hAnsi="Tahoma" w:cs="Tahoma"/>
      <w:sz w:val="16"/>
      <w:szCs w:val="16"/>
    </w:rPr>
  </w:style>
  <w:style w:type="character" w:customStyle="1" w:styleId="BalloonTextChar">
    <w:name w:val="Balloon Text Char"/>
    <w:basedOn w:val="DefaultParagraphFont"/>
    <w:link w:val="BalloonText"/>
    <w:uiPriority w:val="98"/>
    <w:semiHidden/>
    <w:rsid w:val="000C578A"/>
    <w:rPr>
      <w:rFonts w:ascii="Tahoma" w:hAnsi="Tahoma" w:cs="Tahoma"/>
      <w:sz w:val="16"/>
      <w:szCs w:val="16"/>
      <w:lang w:val="ro-RO"/>
    </w:rPr>
  </w:style>
  <w:style w:type="character" w:styleId="BookTitle">
    <w:name w:val="Book Title"/>
    <w:uiPriority w:val="98"/>
    <w:semiHidden/>
    <w:qFormat/>
    <w:rsid w:val="000C578A"/>
    <w:rPr>
      <w:i/>
      <w:iCs/>
      <w:smallCaps/>
      <w:spacing w:val="5"/>
    </w:rPr>
  </w:style>
  <w:style w:type="paragraph" w:customStyle="1" w:styleId="JuHeader">
    <w:name w:val="Ju_Header"/>
    <w:aliases w:val="_Header"/>
    <w:basedOn w:val="Header"/>
    <w:uiPriority w:val="29"/>
    <w:qFormat/>
    <w:rsid w:val="000C578A"/>
    <w:pPr>
      <w:tabs>
        <w:tab w:val="clear" w:pos="4536"/>
        <w:tab w:val="clear" w:pos="9072"/>
      </w:tabs>
      <w:jc w:val="center"/>
    </w:pPr>
    <w:rPr>
      <w:sz w:val="18"/>
    </w:rPr>
  </w:style>
  <w:style w:type="paragraph" w:customStyle="1" w:styleId="NormalJustified">
    <w:name w:val="Normal_Justified"/>
    <w:basedOn w:val="Normal"/>
    <w:semiHidden/>
    <w:rsid w:val="000C578A"/>
    <w:pPr>
      <w:jc w:val="both"/>
    </w:pPr>
  </w:style>
  <w:style w:type="character" w:styleId="Strong">
    <w:name w:val="Strong"/>
    <w:uiPriority w:val="98"/>
    <w:semiHidden/>
    <w:qFormat/>
    <w:rsid w:val="000C578A"/>
    <w:rPr>
      <w:b/>
      <w:bCs/>
    </w:rPr>
  </w:style>
  <w:style w:type="paragraph" w:styleId="NoSpacing">
    <w:name w:val="No Spacing"/>
    <w:basedOn w:val="Normal"/>
    <w:link w:val="NoSpacingChar"/>
    <w:uiPriority w:val="98"/>
    <w:semiHidden/>
    <w:qFormat/>
    <w:rsid w:val="000C578A"/>
  </w:style>
  <w:style w:type="character" w:customStyle="1" w:styleId="NoSpacingChar">
    <w:name w:val="No Spacing Char"/>
    <w:basedOn w:val="DefaultParagraphFont"/>
    <w:link w:val="NoSpacing"/>
    <w:uiPriority w:val="98"/>
    <w:semiHidden/>
    <w:rsid w:val="000C578A"/>
    <w:rPr>
      <w:sz w:val="24"/>
      <w:szCs w:val="24"/>
      <w:lang w:val="ro-RO"/>
    </w:rPr>
  </w:style>
  <w:style w:type="paragraph" w:customStyle="1" w:styleId="ECHRBullet1">
    <w:name w:val="ECHR_Bullet_1"/>
    <w:aliases w:val="_Bul_1"/>
    <w:basedOn w:val="NormalJustified"/>
    <w:uiPriority w:val="23"/>
    <w:semiHidden/>
    <w:qFormat/>
    <w:rsid w:val="000C578A"/>
    <w:pPr>
      <w:numPr>
        <w:numId w:val="16"/>
      </w:numPr>
      <w:spacing w:before="60" w:after="60"/>
    </w:pPr>
  </w:style>
  <w:style w:type="paragraph" w:customStyle="1" w:styleId="JuQuot">
    <w:name w:val="Ju_Quot"/>
    <w:aliases w:val="_Quote"/>
    <w:basedOn w:val="NormalJustified"/>
    <w:uiPriority w:val="20"/>
    <w:qFormat/>
    <w:rsid w:val="000C578A"/>
    <w:pPr>
      <w:spacing w:before="120" w:after="120"/>
      <w:ind w:left="425" w:firstLine="142"/>
    </w:pPr>
    <w:rPr>
      <w:sz w:val="20"/>
    </w:rPr>
  </w:style>
  <w:style w:type="paragraph" w:customStyle="1" w:styleId="JuList">
    <w:name w:val="Ju_List"/>
    <w:aliases w:val="_List_1"/>
    <w:basedOn w:val="NormalJustified"/>
    <w:uiPriority w:val="23"/>
    <w:qFormat/>
    <w:rsid w:val="000C578A"/>
    <w:pPr>
      <w:numPr>
        <w:numId w:val="17"/>
      </w:numPr>
      <w:spacing w:before="280" w:after="60"/>
    </w:pPr>
  </w:style>
  <w:style w:type="paragraph" w:customStyle="1" w:styleId="JuLista">
    <w:name w:val="Ju_List_a"/>
    <w:aliases w:val="_List_2"/>
    <w:basedOn w:val="NormalJustified"/>
    <w:uiPriority w:val="23"/>
    <w:rsid w:val="000C578A"/>
    <w:pPr>
      <w:numPr>
        <w:ilvl w:val="1"/>
        <w:numId w:val="17"/>
      </w:numPr>
    </w:pPr>
  </w:style>
  <w:style w:type="paragraph" w:customStyle="1" w:styleId="JuListi">
    <w:name w:val="Ju_List_i"/>
    <w:aliases w:val="_List_3"/>
    <w:basedOn w:val="NormalJustified"/>
    <w:uiPriority w:val="23"/>
    <w:rsid w:val="000C578A"/>
    <w:pPr>
      <w:numPr>
        <w:ilvl w:val="2"/>
        <w:numId w:val="17"/>
      </w:numPr>
    </w:pPr>
  </w:style>
  <w:style w:type="paragraph" w:customStyle="1" w:styleId="ECHRCoverTitle4">
    <w:name w:val="ECHR_Cover_Title_4"/>
    <w:aliases w:val="_Title_4"/>
    <w:basedOn w:val="JuPara"/>
    <w:next w:val="JuPara"/>
    <w:uiPriority w:val="38"/>
    <w:qFormat/>
    <w:rsid w:val="000C578A"/>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0C578A"/>
    <w:pPr>
      <w:keepNext/>
      <w:spacing w:before="100" w:beforeAutospacing="1" w:after="120"/>
      <w:contextualSpacing/>
      <w:jc w:val="center"/>
    </w:pPr>
    <w:rPr>
      <w:b/>
      <w:sz w:val="20"/>
    </w:rPr>
  </w:style>
  <w:style w:type="numbering" w:customStyle="1" w:styleId="ECHRA1StyleBulletedSquare">
    <w:name w:val="ECHR_A1_Style_Bulleted_Square"/>
    <w:basedOn w:val="NoList"/>
    <w:rsid w:val="000C578A"/>
    <w:pPr>
      <w:numPr>
        <w:numId w:val="16"/>
      </w:numPr>
    </w:pPr>
  </w:style>
  <w:style w:type="numbering" w:customStyle="1" w:styleId="ECHRA1StyleList">
    <w:name w:val="ECHR_A1_Style_List"/>
    <w:basedOn w:val="NoList"/>
    <w:uiPriority w:val="99"/>
    <w:rsid w:val="000C578A"/>
    <w:pPr>
      <w:numPr>
        <w:numId w:val="17"/>
      </w:numPr>
    </w:pPr>
  </w:style>
  <w:style w:type="paragraph" w:customStyle="1" w:styleId="JuHHead">
    <w:name w:val="Ju_H_Head"/>
    <w:aliases w:val="_Head_1"/>
    <w:basedOn w:val="Heading1"/>
    <w:next w:val="JuPara"/>
    <w:uiPriority w:val="17"/>
    <w:qFormat/>
    <w:rsid w:val="000C578A"/>
    <w:pPr>
      <w:keepNext/>
      <w:keepLines/>
      <w:numPr>
        <w:numId w:val="15"/>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0C578A"/>
    <w:pPr>
      <w:numPr>
        <w:numId w:val="18"/>
      </w:numPr>
    </w:pPr>
  </w:style>
  <w:style w:type="paragraph" w:styleId="Title">
    <w:name w:val="Title"/>
    <w:basedOn w:val="Normal"/>
    <w:next w:val="Normal"/>
    <w:link w:val="TitleChar"/>
    <w:uiPriority w:val="98"/>
    <w:semiHidden/>
    <w:qFormat/>
    <w:rsid w:val="000C578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C578A"/>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0C578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0C578A"/>
    <w:pPr>
      <w:ind w:firstLine="284"/>
    </w:pPr>
    <w:rPr>
      <w:b/>
    </w:rPr>
  </w:style>
  <w:style w:type="paragraph" w:customStyle="1" w:styleId="JuCourt">
    <w:name w:val="Ju_Court"/>
    <w:aliases w:val="_Court_Names"/>
    <w:basedOn w:val="Normal"/>
    <w:next w:val="Normal"/>
    <w:uiPriority w:val="32"/>
    <w:qFormat/>
    <w:rsid w:val="000C578A"/>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0C578A"/>
    <w:pPr>
      <w:tabs>
        <w:tab w:val="center" w:pos="6407"/>
      </w:tabs>
      <w:spacing w:before="720"/>
      <w:jc w:val="right"/>
    </w:pPr>
  </w:style>
  <w:style w:type="paragraph" w:customStyle="1" w:styleId="JuHIRoman">
    <w:name w:val="Ju_H_I_Roman"/>
    <w:aliases w:val="_Head_2"/>
    <w:basedOn w:val="Heading2"/>
    <w:next w:val="JuPara"/>
    <w:uiPriority w:val="17"/>
    <w:qFormat/>
    <w:rsid w:val="000C578A"/>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C578A"/>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C578A"/>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0C578A"/>
    <w:pPr>
      <w:tabs>
        <w:tab w:val="center" w:pos="4536"/>
        <w:tab w:val="right" w:pos="9072"/>
      </w:tabs>
    </w:pPr>
  </w:style>
  <w:style w:type="character" w:customStyle="1" w:styleId="HeaderChar">
    <w:name w:val="Header Char"/>
    <w:basedOn w:val="DefaultParagraphFont"/>
    <w:link w:val="Header"/>
    <w:uiPriority w:val="98"/>
    <w:semiHidden/>
    <w:rsid w:val="000C578A"/>
    <w:rPr>
      <w:sz w:val="24"/>
      <w:szCs w:val="24"/>
      <w:lang w:val="ro-RO"/>
    </w:rPr>
  </w:style>
  <w:style w:type="character" w:customStyle="1" w:styleId="Heading1Char">
    <w:name w:val="Heading 1 Char"/>
    <w:basedOn w:val="DefaultParagraphFont"/>
    <w:link w:val="Heading1"/>
    <w:uiPriority w:val="98"/>
    <w:semiHidden/>
    <w:rsid w:val="000C578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C578A"/>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0C578A"/>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C578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C578A"/>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C578A"/>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0C578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C578A"/>
    <w:pPr>
      <w:keepNext/>
      <w:keepLines/>
      <w:spacing w:before="240" w:after="240"/>
      <w:ind w:firstLine="284"/>
    </w:pPr>
  </w:style>
  <w:style w:type="character" w:customStyle="1" w:styleId="JuITMark">
    <w:name w:val="Ju_ITMark"/>
    <w:aliases w:val="_ITMark"/>
    <w:basedOn w:val="DefaultParagraphFont"/>
    <w:uiPriority w:val="54"/>
    <w:qFormat/>
    <w:rsid w:val="000C578A"/>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0C578A"/>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0C578A"/>
    <w:pPr>
      <w:tabs>
        <w:tab w:val="left" w:pos="567"/>
        <w:tab w:val="left" w:pos="1134"/>
      </w:tabs>
    </w:pPr>
  </w:style>
  <w:style w:type="character" w:customStyle="1" w:styleId="Heading5Char">
    <w:name w:val="Heading 5 Char"/>
    <w:basedOn w:val="DefaultParagraphFont"/>
    <w:link w:val="Heading5"/>
    <w:uiPriority w:val="98"/>
    <w:semiHidden/>
    <w:rsid w:val="000C578A"/>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0C578A"/>
    <w:rPr>
      <w:caps w:val="0"/>
      <w:smallCaps/>
    </w:rPr>
  </w:style>
  <w:style w:type="character" w:styleId="SubtleEmphasis">
    <w:name w:val="Subtle Emphasis"/>
    <w:uiPriority w:val="98"/>
    <w:semiHidden/>
    <w:qFormat/>
    <w:rsid w:val="000C578A"/>
    <w:rPr>
      <w:i/>
      <w:iCs/>
    </w:rPr>
  </w:style>
  <w:style w:type="table" w:customStyle="1" w:styleId="ECHRTable">
    <w:name w:val="ECHR_Table"/>
    <w:basedOn w:val="TableNormal"/>
    <w:rsid w:val="000C578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C578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0C578A"/>
    <w:pPr>
      <w:keepNext/>
      <w:keepLines/>
      <w:spacing w:after="280"/>
      <w:ind w:firstLine="0"/>
      <w:jc w:val="center"/>
    </w:pPr>
    <w:rPr>
      <w:rFonts w:asciiTheme="majorHAnsi" w:hAnsiTheme="majorHAnsi"/>
    </w:rPr>
  </w:style>
  <w:style w:type="character" w:styleId="Emphasis">
    <w:name w:val="Emphasis"/>
    <w:uiPriority w:val="98"/>
    <w:semiHidden/>
    <w:qFormat/>
    <w:rsid w:val="000C578A"/>
    <w:rPr>
      <w:b/>
      <w:bCs/>
      <w:i/>
      <w:iCs/>
      <w:spacing w:val="10"/>
      <w:bdr w:val="none" w:sz="0" w:space="0" w:color="auto"/>
      <w:shd w:val="clear" w:color="auto" w:fill="auto"/>
    </w:rPr>
  </w:style>
  <w:style w:type="paragraph" w:styleId="Footer0">
    <w:name w:val="footer"/>
    <w:basedOn w:val="Normal"/>
    <w:link w:val="FooterChar"/>
    <w:uiPriority w:val="98"/>
    <w:semiHidden/>
    <w:rsid w:val="000C578A"/>
    <w:pPr>
      <w:tabs>
        <w:tab w:val="center" w:pos="3686"/>
        <w:tab w:val="right" w:pos="7371"/>
      </w:tabs>
    </w:pPr>
  </w:style>
  <w:style w:type="character" w:customStyle="1" w:styleId="FooterChar">
    <w:name w:val="Footer Char"/>
    <w:basedOn w:val="DefaultParagraphFont"/>
    <w:link w:val="Footer0"/>
    <w:uiPriority w:val="98"/>
    <w:semiHidden/>
    <w:rsid w:val="000C578A"/>
    <w:rPr>
      <w:sz w:val="24"/>
      <w:szCs w:val="24"/>
      <w:lang w:val="ro-RO"/>
    </w:rPr>
  </w:style>
  <w:style w:type="character" w:styleId="FootnoteReference">
    <w:name w:val="footnote reference"/>
    <w:basedOn w:val="DefaultParagraphFont"/>
    <w:uiPriority w:val="98"/>
    <w:semiHidden/>
    <w:rsid w:val="000C578A"/>
    <w:rPr>
      <w:vertAlign w:val="superscript"/>
    </w:rPr>
  </w:style>
  <w:style w:type="paragraph" w:styleId="FootnoteText">
    <w:name w:val="footnote text"/>
    <w:basedOn w:val="NormalJustified"/>
    <w:link w:val="FootnoteTextChar"/>
    <w:uiPriority w:val="98"/>
    <w:semiHidden/>
    <w:rsid w:val="000C578A"/>
    <w:rPr>
      <w:sz w:val="20"/>
      <w:szCs w:val="20"/>
    </w:rPr>
  </w:style>
  <w:style w:type="character" w:customStyle="1" w:styleId="FootnoteTextChar">
    <w:name w:val="Footnote Text Char"/>
    <w:basedOn w:val="DefaultParagraphFont"/>
    <w:link w:val="FootnoteText"/>
    <w:uiPriority w:val="98"/>
    <w:semiHidden/>
    <w:rsid w:val="000C578A"/>
    <w:rPr>
      <w:sz w:val="20"/>
      <w:szCs w:val="20"/>
      <w:lang w:val="ro-RO"/>
    </w:rPr>
  </w:style>
  <w:style w:type="character" w:customStyle="1" w:styleId="Heading6Char">
    <w:name w:val="Heading 6 Char"/>
    <w:basedOn w:val="DefaultParagraphFont"/>
    <w:link w:val="Heading6"/>
    <w:uiPriority w:val="98"/>
    <w:semiHidden/>
    <w:rsid w:val="000C578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C578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C578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C578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C578A"/>
    <w:rPr>
      <w:color w:val="0072BC" w:themeColor="hyperlink"/>
      <w:u w:val="single"/>
    </w:rPr>
  </w:style>
  <w:style w:type="character" w:styleId="IntenseEmphasis">
    <w:name w:val="Intense Emphasis"/>
    <w:uiPriority w:val="98"/>
    <w:semiHidden/>
    <w:qFormat/>
    <w:rsid w:val="000C578A"/>
    <w:rPr>
      <w:b/>
      <w:bCs/>
    </w:rPr>
  </w:style>
  <w:style w:type="paragraph" w:styleId="IntenseQuote">
    <w:name w:val="Intense Quote"/>
    <w:basedOn w:val="Normal"/>
    <w:next w:val="Normal"/>
    <w:link w:val="IntenseQuoteChar"/>
    <w:uiPriority w:val="98"/>
    <w:semiHidden/>
    <w:qFormat/>
    <w:rsid w:val="000C578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C578A"/>
    <w:rPr>
      <w:b/>
      <w:bCs/>
      <w:i/>
      <w:iCs/>
      <w:sz w:val="24"/>
      <w:szCs w:val="24"/>
      <w:lang w:val="ro-RO" w:bidi="en-US"/>
    </w:rPr>
  </w:style>
  <w:style w:type="character" w:styleId="IntenseReference">
    <w:name w:val="Intense Reference"/>
    <w:uiPriority w:val="98"/>
    <w:semiHidden/>
    <w:qFormat/>
    <w:rsid w:val="000C578A"/>
    <w:rPr>
      <w:smallCaps/>
      <w:spacing w:val="5"/>
      <w:u w:val="single"/>
    </w:rPr>
  </w:style>
  <w:style w:type="paragraph" w:styleId="ListParagraph">
    <w:name w:val="List Paragraph"/>
    <w:basedOn w:val="Normal"/>
    <w:uiPriority w:val="98"/>
    <w:semiHidden/>
    <w:qFormat/>
    <w:rsid w:val="000C578A"/>
    <w:pPr>
      <w:ind w:left="720"/>
      <w:contextualSpacing/>
    </w:pPr>
  </w:style>
  <w:style w:type="table" w:customStyle="1" w:styleId="LtrTableAddress">
    <w:name w:val="Ltr_Table_Address"/>
    <w:aliases w:val="ECHR_Ltr_Table_Address"/>
    <w:basedOn w:val="TableNormal"/>
    <w:uiPriority w:val="99"/>
    <w:rsid w:val="000C578A"/>
    <w:rPr>
      <w:sz w:val="24"/>
      <w:szCs w:val="24"/>
    </w:rPr>
    <w:tblPr>
      <w:tblInd w:w="5103" w:type="dxa"/>
    </w:tblPr>
  </w:style>
  <w:style w:type="paragraph" w:styleId="Quote">
    <w:name w:val="Quote"/>
    <w:basedOn w:val="Normal"/>
    <w:next w:val="Normal"/>
    <w:link w:val="QuoteChar"/>
    <w:uiPriority w:val="98"/>
    <w:semiHidden/>
    <w:qFormat/>
    <w:rsid w:val="000C578A"/>
    <w:pPr>
      <w:spacing w:before="200"/>
      <w:ind w:left="360" w:right="360"/>
    </w:pPr>
    <w:rPr>
      <w:i/>
      <w:iCs/>
      <w:lang w:bidi="en-US"/>
    </w:rPr>
  </w:style>
  <w:style w:type="character" w:customStyle="1" w:styleId="QuoteChar">
    <w:name w:val="Quote Char"/>
    <w:basedOn w:val="DefaultParagraphFont"/>
    <w:link w:val="Quote"/>
    <w:uiPriority w:val="98"/>
    <w:semiHidden/>
    <w:rsid w:val="000C578A"/>
    <w:rPr>
      <w:i/>
      <w:iCs/>
      <w:sz w:val="24"/>
      <w:szCs w:val="24"/>
      <w:lang w:val="ro-RO" w:bidi="en-US"/>
    </w:rPr>
  </w:style>
  <w:style w:type="character" w:styleId="SubtleReference">
    <w:name w:val="Subtle Reference"/>
    <w:uiPriority w:val="98"/>
    <w:semiHidden/>
    <w:qFormat/>
    <w:rsid w:val="000C578A"/>
    <w:rPr>
      <w:smallCaps/>
    </w:rPr>
  </w:style>
  <w:style w:type="table" w:styleId="TableGrid">
    <w:name w:val="Table Grid"/>
    <w:basedOn w:val="TableNormal"/>
    <w:uiPriority w:val="59"/>
    <w:semiHidden/>
    <w:rsid w:val="000C578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C578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C578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C578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C578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C578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C578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C578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C578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C578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C578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C578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C578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C578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C578A"/>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0C578A"/>
    <w:pPr>
      <w:ind w:firstLine="284"/>
    </w:pPr>
  </w:style>
  <w:style w:type="character" w:customStyle="1" w:styleId="SubtitleChar">
    <w:name w:val="Subtitle Char"/>
    <w:basedOn w:val="DefaultParagraphFont"/>
    <w:link w:val="Subtitle"/>
    <w:uiPriority w:val="98"/>
    <w:semiHidden/>
    <w:rsid w:val="000C578A"/>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0C578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C578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0C578A"/>
    <w:pPr>
      <w:numPr>
        <w:numId w:val="2"/>
      </w:numPr>
    </w:pPr>
  </w:style>
  <w:style w:type="table" w:customStyle="1" w:styleId="ECHRTableForInternalUse">
    <w:name w:val="ECHR_Table_For_Internal_Use"/>
    <w:basedOn w:val="TableNormal"/>
    <w:uiPriority w:val="99"/>
    <w:rsid w:val="000C578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C578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0C578A"/>
    <w:pPr>
      <w:numPr>
        <w:numId w:val="3"/>
      </w:numPr>
    </w:pPr>
  </w:style>
  <w:style w:type="numbering" w:styleId="ArticleSection">
    <w:name w:val="Outline List 3"/>
    <w:basedOn w:val="NoList"/>
    <w:uiPriority w:val="99"/>
    <w:semiHidden/>
    <w:unhideWhenUsed/>
    <w:rsid w:val="000C578A"/>
    <w:pPr>
      <w:numPr>
        <w:numId w:val="4"/>
      </w:numPr>
    </w:pPr>
  </w:style>
  <w:style w:type="table" w:customStyle="1" w:styleId="ECHRHeaderTable">
    <w:name w:val="ECHR_Header_Table"/>
    <w:basedOn w:val="TableNormal"/>
    <w:uiPriority w:val="99"/>
    <w:rsid w:val="000C578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0C578A"/>
  </w:style>
  <w:style w:type="paragraph" w:styleId="BlockText">
    <w:name w:val="Block Text"/>
    <w:basedOn w:val="Normal"/>
    <w:uiPriority w:val="98"/>
    <w:semiHidden/>
    <w:rsid w:val="000C578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0C578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0C578A"/>
    <w:pPr>
      <w:spacing w:after="120"/>
    </w:pPr>
  </w:style>
  <w:style w:type="table" w:customStyle="1" w:styleId="ECHRHeaderTableReduced">
    <w:name w:val="ECHR_Header_Table_Reduced"/>
    <w:basedOn w:val="TableNormal"/>
    <w:uiPriority w:val="99"/>
    <w:rsid w:val="000C578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0C578A"/>
    <w:rPr>
      <w:sz w:val="18"/>
    </w:rPr>
  </w:style>
  <w:style w:type="character" w:styleId="CommentReference">
    <w:name w:val="annotation reference"/>
    <w:basedOn w:val="DefaultParagraphFont"/>
    <w:uiPriority w:val="98"/>
    <w:semiHidden/>
    <w:rsid w:val="000C578A"/>
    <w:rPr>
      <w:sz w:val="16"/>
      <w:szCs w:val="16"/>
    </w:rPr>
  </w:style>
  <w:style w:type="paragraph" w:styleId="CommentText">
    <w:name w:val="annotation text"/>
    <w:basedOn w:val="Normal"/>
    <w:link w:val="CommentTextChar"/>
    <w:uiPriority w:val="98"/>
    <w:semiHidden/>
    <w:rsid w:val="000C578A"/>
    <w:rPr>
      <w:sz w:val="20"/>
      <w:szCs w:val="20"/>
    </w:rPr>
  </w:style>
  <w:style w:type="character" w:customStyle="1" w:styleId="CommentTextChar">
    <w:name w:val="Comment Text Char"/>
    <w:basedOn w:val="DefaultParagraphFont"/>
    <w:link w:val="CommentText"/>
    <w:uiPriority w:val="98"/>
    <w:semiHidden/>
    <w:rsid w:val="000C578A"/>
    <w:rPr>
      <w:sz w:val="20"/>
      <w:szCs w:val="20"/>
      <w:lang w:val="ro-RO"/>
    </w:rPr>
  </w:style>
  <w:style w:type="paragraph" w:customStyle="1" w:styleId="JuSigned">
    <w:name w:val="Ju_Signed"/>
    <w:aliases w:val="_Signature"/>
    <w:basedOn w:val="Normal"/>
    <w:next w:val="JuPara"/>
    <w:uiPriority w:val="31"/>
    <w:qFormat/>
    <w:rsid w:val="000C578A"/>
    <w:pPr>
      <w:tabs>
        <w:tab w:val="center" w:pos="1418"/>
        <w:tab w:val="center" w:pos="5954"/>
      </w:tabs>
      <w:spacing w:before="720"/>
    </w:pPr>
  </w:style>
  <w:style w:type="paragraph" w:customStyle="1" w:styleId="JuTitle">
    <w:name w:val="Ju_Title"/>
    <w:aliases w:val="_Title_2"/>
    <w:basedOn w:val="Normal"/>
    <w:next w:val="JuPara"/>
    <w:uiPriority w:val="38"/>
    <w:qFormat/>
    <w:rsid w:val="000C578A"/>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0C578A"/>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0C578A"/>
    <w:pPr>
      <w:numPr>
        <w:numId w:val="6"/>
      </w:numPr>
      <w:contextualSpacing/>
    </w:pPr>
  </w:style>
  <w:style w:type="paragraph" w:styleId="ListBullet3">
    <w:name w:val="List Bullet 3"/>
    <w:basedOn w:val="Normal"/>
    <w:uiPriority w:val="98"/>
    <w:semiHidden/>
    <w:rsid w:val="000C578A"/>
    <w:pPr>
      <w:numPr>
        <w:numId w:val="7"/>
      </w:numPr>
      <w:contextualSpacing/>
    </w:pPr>
  </w:style>
  <w:style w:type="character" w:customStyle="1" w:styleId="BodyTextChar">
    <w:name w:val="Body Text Char"/>
    <w:basedOn w:val="DefaultParagraphFont"/>
    <w:link w:val="BodyText"/>
    <w:uiPriority w:val="98"/>
    <w:semiHidden/>
    <w:rsid w:val="000C578A"/>
    <w:rPr>
      <w:sz w:val="24"/>
      <w:szCs w:val="24"/>
      <w:lang w:val="ro-RO"/>
    </w:rPr>
  </w:style>
  <w:style w:type="paragraph" w:styleId="BodyText2">
    <w:name w:val="Body Text 2"/>
    <w:basedOn w:val="Normal"/>
    <w:link w:val="BodyText2Char"/>
    <w:uiPriority w:val="98"/>
    <w:semiHidden/>
    <w:rsid w:val="000C578A"/>
    <w:pPr>
      <w:spacing w:after="120" w:line="480" w:lineRule="auto"/>
    </w:pPr>
  </w:style>
  <w:style w:type="character" w:customStyle="1" w:styleId="BodyText2Char">
    <w:name w:val="Body Text 2 Char"/>
    <w:basedOn w:val="DefaultParagraphFont"/>
    <w:link w:val="BodyText2"/>
    <w:uiPriority w:val="98"/>
    <w:semiHidden/>
    <w:rsid w:val="000C578A"/>
    <w:rPr>
      <w:sz w:val="24"/>
      <w:szCs w:val="24"/>
      <w:lang w:val="ro-RO"/>
    </w:rPr>
  </w:style>
  <w:style w:type="paragraph" w:styleId="BodyText3">
    <w:name w:val="Body Text 3"/>
    <w:basedOn w:val="Normal"/>
    <w:link w:val="BodyText3Char"/>
    <w:uiPriority w:val="98"/>
    <w:semiHidden/>
    <w:rsid w:val="000C578A"/>
    <w:pPr>
      <w:spacing w:after="120"/>
    </w:pPr>
    <w:rPr>
      <w:sz w:val="16"/>
      <w:szCs w:val="16"/>
    </w:rPr>
  </w:style>
  <w:style w:type="character" w:customStyle="1" w:styleId="BodyText3Char">
    <w:name w:val="Body Text 3 Char"/>
    <w:basedOn w:val="DefaultParagraphFont"/>
    <w:link w:val="BodyText3"/>
    <w:uiPriority w:val="98"/>
    <w:semiHidden/>
    <w:rsid w:val="000C578A"/>
    <w:rPr>
      <w:sz w:val="16"/>
      <w:szCs w:val="16"/>
      <w:lang w:val="ro-RO"/>
    </w:rPr>
  </w:style>
  <w:style w:type="paragraph" w:styleId="BodyTextFirstIndent">
    <w:name w:val="Body Text First Indent"/>
    <w:basedOn w:val="BodyText"/>
    <w:link w:val="BodyTextFirstIndentChar"/>
    <w:uiPriority w:val="98"/>
    <w:semiHidden/>
    <w:rsid w:val="000C578A"/>
    <w:pPr>
      <w:spacing w:after="0"/>
      <w:ind w:firstLine="360"/>
    </w:pPr>
  </w:style>
  <w:style w:type="character" w:customStyle="1" w:styleId="BodyTextFirstIndentChar">
    <w:name w:val="Body Text First Indent Char"/>
    <w:basedOn w:val="BodyTextChar"/>
    <w:link w:val="BodyTextFirstIndent"/>
    <w:uiPriority w:val="98"/>
    <w:semiHidden/>
    <w:rsid w:val="000C578A"/>
    <w:rPr>
      <w:sz w:val="24"/>
      <w:szCs w:val="24"/>
      <w:lang w:val="ro-RO"/>
    </w:rPr>
  </w:style>
  <w:style w:type="paragraph" w:styleId="BodyTextIndent">
    <w:name w:val="Body Text Indent"/>
    <w:basedOn w:val="Normal"/>
    <w:link w:val="BodyTextIndentChar"/>
    <w:uiPriority w:val="98"/>
    <w:semiHidden/>
    <w:rsid w:val="000C578A"/>
    <w:pPr>
      <w:spacing w:after="120"/>
      <w:ind w:left="283"/>
    </w:pPr>
  </w:style>
  <w:style w:type="character" w:customStyle="1" w:styleId="BodyTextIndentChar">
    <w:name w:val="Body Text Indent Char"/>
    <w:basedOn w:val="DefaultParagraphFont"/>
    <w:link w:val="BodyTextIndent"/>
    <w:uiPriority w:val="98"/>
    <w:semiHidden/>
    <w:rsid w:val="000C578A"/>
    <w:rPr>
      <w:sz w:val="24"/>
      <w:szCs w:val="24"/>
      <w:lang w:val="ro-RO"/>
    </w:rPr>
  </w:style>
  <w:style w:type="paragraph" w:styleId="BodyTextFirstIndent2">
    <w:name w:val="Body Text First Indent 2"/>
    <w:basedOn w:val="BodyTextIndent"/>
    <w:link w:val="BodyTextFirstIndent2Char"/>
    <w:uiPriority w:val="98"/>
    <w:semiHidden/>
    <w:rsid w:val="000C578A"/>
    <w:pPr>
      <w:spacing w:after="0"/>
      <w:ind w:left="360" w:firstLine="360"/>
    </w:pPr>
  </w:style>
  <w:style w:type="character" w:customStyle="1" w:styleId="BodyTextFirstIndent2Char">
    <w:name w:val="Body Text First Indent 2 Char"/>
    <w:basedOn w:val="BodyTextIndentChar"/>
    <w:link w:val="BodyTextFirstIndent2"/>
    <w:uiPriority w:val="98"/>
    <w:semiHidden/>
    <w:rsid w:val="000C578A"/>
    <w:rPr>
      <w:sz w:val="24"/>
      <w:szCs w:val="24"/>
      <w:lang w:val="ro-RO"/>
    </w:rPr>
  </w:style>
  <w:style w:type="paragraph" w:styleId="BodyTextIndent2">
    <w:name w:val="Body Text Indent 2"/>
    <w:basedOn w:val="Normal"/>
    <w:link w:val="BodyTextIndent2Char"/>
    <w:uiPriority w:val="98"/>
    <w:semiHidden/>
    <w:rsid w:val="000C578A"/>
    <w:pPr>
      <w:spacing w:after="120" w:line="480" w:lineRule="auto"/>
      <w:ind w:left="283"/>
    </w:pPr>
  </w:style>
  <w:style w:type="character" w:customStyle="1" w:styleId="BodyTextIndent2Char">
    <w:name w:val="Body Text Indent 2 Char"/>
    <w:basedOn w:val="DefaultParagraphFont"/>
    <w:link w:val="BodyTextIndent2"/>
    <w:uiPriority w:val="98"/>
    <w:semiHidden/>
    <w:rsid w:val="000C578A"/>
    <w:rPr>
      <w:sz w:val="24"/>
      <w:szCs w:val="24"/>
      <w:lang w:val="ro-RO"/>
    </w:rPr>
  </w:style>
  <w:style w:type="paragraph" w:styleId="BodyTextIndent3">
    <w:name w:val="Body Text Indent 3"/>
    <w:basedOn w:val="Normal"/>
    <w:link w:val="BodyTextIndent3Char"/>
    <w:uiPriority w:val="98"/>
    <w:semiHidden/>
    <w:rsid w:val="000C578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C578A"/>
    <w:rPr>
      <w:sz w:val="16"/>
      <w:szCs w:val="16"/>
      <w:lang w:val="ro-RO"/>
    </w:rPr>
  </w:style>
  <w:style w:type="paragraph" w:styleId="Caption">
    <w:name w:val="caption"/>
    <w:basedOn w:val="Normal"/>
    <w:next w:val="Normal"/>
    <w:uiPriority w:val="98"/>
    <w:semiHidden/>
    <w:qFormat/>
    <w:rsid w:val="000C578A"/>
    <w:pPr>
      <w:spacing w:after="200"/>
    </w:pPr>
    <w:rPr>
      <w:b/>
      <w:bCs/>
      <w:color w:val="0072BC" w:themeColor="accent1"/>
      <w:sz w:val="18"/>
      <w:szCs w:val="18"/>
    </w:rPr>
  </w:style>
  <w:style w:type="paragraph" w:styleId="Closing">
    <w:name w:val="Closing"/>
    <w:basedOn w:val="Normal"/>
    <w:link w:val="ClosingChar"/>
    <w:uiPriority w:val="98"/>
    <w:semiHidden/>
    <w:rsid w:val="000C578A"/>
    <w:pPr>
      <w:ind w:left="4252"/>
    </w:pPr>
  </w:style>
  <w:style w:type="character" w:customStyle="1" w:styleId="ClosingChar">
    <w:name w:val="Closing Char"/>
    <w:basedOn w:val="DefaultParagraphFont"/>
    <w:link w:val="Closing"/>
    <w:uiPriority w:val="98"/>
    <w:semiHidden/>
    <w:rsid w:val="000C578A"/>
    <w:rPr>
      <w:sz w:val="24"/>
      <w:szCs w:val="24"/>
      <w:lang w:val="ro-RO"/>
    </w:rPr>
  </w:style>
  <w:style w:type="table" w:styleId="ColorfulGrid">
    <w:name w:val="Colorful Grid"/>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C578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C578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C578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C578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C578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C578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C578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C578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C578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C578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C578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C578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C578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C578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C578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0C578A"/>
    <w:rPr>
      <w:b/>
      <w:bCs/>
    </w:rPr>
  </w:style>
  <w:style w:type="character" w:customStyle="1" w:styleId="CommentSubjectChar">
    <w:name w:val="Comment Subject Char"/>
    <w:basedOn w:val="CommentTextChar"/>
    <w:link w:val="CommentSubject"/>
    <w:uiPriority w:val="98"/>
    <w:semiHidden/>
    <w:rsid w:val="000C578A"/>
    <w:rPr>
      <w:b/>
      <w:bCs/>
      <w:sz w:val="20"/>
      <w:szCs w:val="20"/>
      <w:lang w:val="ro-RO"/>
    </w:rPr>
  </w:style>
  <w:style w:type="table" w:styleId="DarkList">
    <w:name w:val="Dark List"/>
    <w:basedOn w:val="TableNormal"/>
    <w:uiPriority w:val="70"/>
    <w:semiHidden/>
    <w:rsid w:val="000C578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C578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C578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C578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C578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C578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C578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C578A"/>
  </w:style>
  <w:style w:type="character" w:customStyle="1" w:styleId="DateChar">
    <w:name w:val="Date Char"/>
    <w:basedOn w:val="DefaultParagraphFont"/>
    <w:link w:val="Date"/>
    <w:uiPriority w:val="98"/>
    <w:semiHidden/>
    <w:rsid w:val="000C578A"/>
    <w:rPr>
      <w:sz w:val="24"/>
      <w:szCs w:val="24"/>
      <w:lang w:val="ro-RO"/>
    </w:rPr>
  </w:style>
  <w:style w:type="paragraph" w:styleId="DocumentMap">
    <w:name w:val="Document Map"/>
    <w:basedOn w:val="Normal"/>
    <w:link w:val="DocumentMapChar"/>
    <w:uiPriority w:val="98"/>
    <w:semiHidden/>
    <w:rsid w:val="000C578A"/>
    <w:rPr>
      <w:rFonts w:ascii="Tahoma" w:hAnsi="Tahoma" w:cs="Tahoma"/>
      <w:sz w:val="16"/>
      <w:szCs w:val="16"/>
    </w:rPr>
  </w:style>
  <w:style w:type="character" w:customStyle="1" w:styleId="DocumentMapChar">
    <w:name w:val="Document Map Char"/>
    <w:basedOn w:val="DefaultParagraphFont"/>
    <w:link w:val="DocumentMap"/>
    <w:uiPriority w:val="98"/>
    <w:semiHidden/>
    <w:rsid w:val="000C578A"/>
    <w:rPr>
      <w:rFonts w:ascii="Tahoma" w:hAnsi="Tahoma" w:cs="Tahoma"/>
      <w:sz w:val="16"/>
      <w:szCs w:val="16"/>
      <w:lang w:val="ro-RO"/>
    </w:rPr>
  </w:style>
  <w:style w:type="paragraph" w:styleId="E-mailSignature">
    <w:name w:val="E-mail Signature"/>
    <w:basedOn w:val="Normal"/>
    <w:link w:val="E-mailSignatureChar"/>
    <w:uiPriority w:val="98"/>
    <w:semiHidden/>
    <w:rsid w:val="000C578A"/>
  </w:style>
  <w:style w:type="character" w:customStyle="1" w:styleId="E-mailSignatureChar">
    <w:name w:val="E-mail Signature Char"/>
    <w:basedOn w:val="DefaultParagraphFont"/>
    <w:link w:val="E-mailSignature"/>
    <w:uiPriority w:val="98"/>
    <w:semiHidden/>
    <w:rsid w:val="000C578A"/>
    <w:rPr>
      <w:sz w:val="24"/>
      <w:szCs w:val="24"/>
      <w:lang w:val="ro-RO"/>
    </w:rPr>
  </w:style>
  <w:style w:type="character" w:styleId="EndnoteReference">
    <w:name w:val="endnote reference"/>
    <w:basedOn w:val="DefaultParagraphFont"/>
    <w:uiPriority w:val="98"/>
    <w:semiHidden/>
    <w:rsid w:val="000C578A"/>
    <w:rPr>
      <w:vertAlign w:val="superscript"/>
    </w:rPr>
  </w:style>
  <w:style w:type="paragraph" w:styleId="EndnoteText">
    <w:name w:val="endnote text"/>
    <w:basedOn w:val="Normal"/>
    <w:link w:val="EndnoteTextChar"/>
    <w:uiPriority w:val="98"/>
    <w:semiHidden/>
    <w:rsid w:val="000C578A"/>
    <w:rPr>
      <w:sz w:val="20"/>
      <w:szCs w:val="20"/>
    </w:rPr>
  </w:style>
  <w:style w:type="character" w:customStyle="1" w:styleId="EndnoteTextChar">
    <w:name w:val="Endnote Text Char"/>
    <w:basedOn w:val="DefaultParagraphFont"/>
    <w:link w:val="EndnoteText"/>
    <w:uiPriority w:val="98"/>
    <w:semiHidden/>
    <w:rsid w:val="000C578A"/>
    <w:rPr>
      <w:sz w:val="20"/>
      <w:szCs w:val="20"/>
      <w:lang w:val="ro-RO"/>
    </w:rPr>
  </w:style>
  <w:style w:type="paragraph" w:styleId="EnvelopeAddress">
    <w:name w:val="envelope address"/>
    <w:basedOn w:val="Normal"/>
    <w:uiPriority w:val="98"/>
    <w:semiHidden/>
    <w:rsid w:val="000C578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C578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C578A"/>
    <w:rPr>
      <w:color w:val="7030A0" w:themeColor="followedHyperlink"/>
      <w:u w:val="single"/>
    </w:rPr>
  </w:style>
  <w:style w:type="character" w:styleId="HTMLAcronym">
    <w:name w:val="HTML Acronym"/>
    <w:basedOn w:val="DefaultParagraphFont"/>
    <w:uiPriority w:val="98"/>
    <w:semiHidden/>
    <w:rsid w:val="000C578A"/>
  </w:style>
  <w:style w:type="paragraph" w:styleId="HTMLAddress">
    <w:name w:val="HTML Address"/>
    <w:basedOn w:val="Normal"/>
    <w:link w:val="HTMLAddressChar"/>
    <w:uiPriority w:val="98"/>
    <w:semiHidden/>
    <w:rsid w:val="000C578A"/>
    <w:rPr>
      <w:i/>
      <w:iCs/>
    </w:rPr>
  </w:style>
  <w:style w:type="character" w:customStyle="1" w:styleId="HTMLAddressChar">
    <w:name w:val="HTML Address Char"/>
    <w:basedOn w:val="DefaultParagraphFont"/>
    <w:link w:val="HTMLAddress"/>
    <w:uiPriority w:val="98"/>
    <w:semiHidden/>
    <w:rsid w:val="000C578A"/>
    <w:rPr>
      <w:i/>
      <w:iCs/>
      <w:sz w:val="24"/>
      <w:szCs w:val="24"/>
      <w:lang w:val="ro-RO"/>
    </w:rPr>
  </w:style>
  <w:style w:type="character" w:styleId="HTMLCite">
    <w:name w:val="HTML Cite"/>
    <w:basedOn w:val="DefaultParagraphFont"/>
    <w:uiPriority w:val="98"/>
    <w:semiHidden/>
    <w:rsid w:val="000C578A"/>
    <w:rPr>
      <w:i/>
      <w:iCs/>
    </w:rPr>
  </w:style>
  <w:style w:type="character" w:styleId="HTMLCode">
    <w:name w:val="HTML Code"/>
    <w:basedOn w:val="DefaultParagraphFont"/>
    <w:uiPriority w:val="98"/>
    <w:semiHidden/>
    <w:rsid w:val="000C578A"/>
    <w:rPr>
      <w:rFonts w:ascii="Consolas" w:hAnsi="Consolas" w:cs="Consolas"/>
      <w:sz w:val="20"/>
      <w:szCs w:val="20"/>
    </w:rPr>
  </w:style>
  <w:style w:type="character" w:styleId="HTMLDefinition">
    <w:name w:val="HTML Definition"/>
    <w:basedOn w:val="DefaultParagraphFont"/>
    <w:uiPriority w:val="98"/>
    <w:semiHidden/>
    <w:rsid w:val="000C578A"/>
    <w:rPr>
      <w:i/>
      <w:iCs/>
    </w:rPr>
  </w:style>
  <w:style w:type="character" w:styleId="HTMLKeyboard">
    <w:name w:val="HTML Keyboard"/>
    <w:basedOn w:val="DefaultParagraphFont"/>
    <w:uiPriority w:val="98"/>
    <w:semiHidden/>
    <w:rsid w:val="000C578A"/>
    <w:rPr>
      <w:rFonts w:ascii="Consolas" w:hAnsi="Consolas" w:cs="Consolas"/>
      <w:sz w:val="20"/>
      <w:szCs w:val="20"/>
    </w:rPr>
  </w:style>
  <w:style w:type="paragraph" w:styleId="HTMLPreformatted">
    <w:name w:val="HTML Preformatted"/>
    <w:basedOn w:val="Normal"/>
    <w:link w:val="HTMLPreformattedChar"/>
    <w:uiPriority w:val="98"/>
    <w:semiHidden/>
    <w:rsid w:val="000C578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C578A"/>
    <w:rPr>
      <w:rFonts w:ascii="Consolas" w:hAnsi="Consolas" w:cs="Consolas"/>
      <w:sz w:val="20"/>
      <w:szCs w:val="20"/>
      <w:lang w:val="ro-RO"/>
    </w:rPr>
  </w:style>
  <w:style w:type="character" w:styleId="HTMLSample">
    <w:name w:val="HTML Sample"/>
    <w:basedOn w:val="DefaultParagraphFont"/>
    <w:uiPriority w:val="98"/>
    <w:semiHidden/>
    <w:rsid w:val="000C578A"/>
    <w:rPr>
      <w:rFonts w:ascii="Consolas" w:hAnsi="Consolas" w:cs="Consolas"/>
      <w:sz w:val="24"/>
      <w:szCs w:val="24"/>
    </w:rPr>
  </w:style>
  <w:style w:type="character" w:styleId="HTMLTypewriter">
    <w:name w:val="HTML Typewriter"/>
    <w:basedOn w:val="DefaultParagraphFont"/>
    <w:uiPriority w:val="98"/>
    <w:semiHidden/>
    <w:rsid w:val="000C578A"/>
    <w:rPr>
      <w:rFonts w:ascii="Consolas" w:hAnsi="Consolas" w:cs="Consolas"/>
      <w:sz w:val="20"/>
      <w:szCs w:val="20"/>
    </w:rPr>
  </w:style>
  <w:style w:type="character" w:styleId="HTMLVariable">
    <w:name w:val="HTML Variable"/>
    <w:basedOn w:val="DefaultParagraphFont"/>
    <w:uiPriority w:val="98"/>
    <w:semiHidden/>
    <w:rsid w:val="000C578A"/>
    <w:rPr>
      <w:i/>
      <w:iCs/>
    </w:rPr>
  </w:style>
  <w:style w:type="paragraph" w:styleId="Index1">
    <w:name w:val="index 1"/>
    <w:basedOn w:val="Normal"/>
    <w:next w:val="Normal"/>
    <w:autoRedefine/>
    <w:uiPriority w:val="98"/>
    <w:semiHidden/>
    <w:rsid w:val="000C578A"/>
    <w:pPr>
      <w:ind w:left="240" w:hanging="240"/>
    </w:pPr>
  </w:style>
  <w:style w:type="paragraph" w:styleId="Index2">
    <w:name w:val="index 2"/>
    <w:basedOn w:val="Normal"/>
    <w:next w:val="Normal"/>
    <w:autoRedefine/>
    <w:uiPriority w:val="98"/>
    <w:semiHidden/>
    <w:rsid w:val="000C578A"/>
    <w:pPr>
      <w:ind w:left="480" w:hanging="240"/>
    </w:pPr>
  </w:style>
  <w:style w:type="paragraph" w:styleId="Index3">
    <w:name w:val="index 3"/>
    <w:basedOn w:val="Normal"/>
    <w:next w:val="Normal"/>
    <w:autoRedefine/>
    <w:uiPriority w:val="98"/>
    <w:semiHidden/>
    <w:rsid w:val="000C578A"/>
    <w:pPr>
      <w:ind w:left="720" w:hanging="240"/>
    </w:pPr>
  </w:style>
  <w:style w:type="paragraph" w:styleId="Index4">
    <w:name w:val="index 4"/>
    <w:basedOn w:val="Normal"/>
    <w:next w:val="Normal"/>
    <w:autoRedefine/>
    <w:uiPriority w:val="98"/>
    <w:semiHidden/>
    <w:rsid w:val="000C578A"/>
    <w:pPr>
      <w:ind w:left="960" w:hanging="240"/>
    </w:pPr>
  </w:style>
  <w:style w:type="paragraph" w:styleId="Index5">
    <w:name w:val="index 5"/>
    <w:basedOn w:val="Normal"/>
    <w:next w:val="Normal"/>
    <w:autoRedefine/>
    <w:uiPriority w:val="98"/>
    <w:semiHidden/>
    <w:rsid w:val="000C578A"/>
    <w:pPr>
      <w:ind w:left="1200" w:hanging="240"/>
    </w:pPr>
  </w:style>
  <w:style w:type="paragraph" w:styleId="Index6">
    <w:name w:val="index 6"/>
    <w:basedOn w:val="Normal"/>
    <w:next w:val="Normal"/>
    <w:autoRedefine/>
    <w:uiPriority w:val="98"/>
    <w:semiHidden/>
    <w:rsid w:val="000C578A"/>
    <w:pPr>
      <w:ind w:left="1440" w:hanging="240"/>
    </w:pPr>
  </w:style>
  <w:style w:type="paragraph" w:styleId="Index7">
    <w:name w:val="index 7"/>
    <w:basedOn w:val="Normal"/>
    <w:next w:val="Normal"/>
    <w:autoRedefine/>
    <w:uiPriority w:val="98"/>
    <w:semiHidden/>
    <w:rsid w:val="000C578A"/>
    <w:pPr>
      <w:ind w:left="1680" w:hanging="240"/>
    </w:pPr>
  </w:style>
  <w:style w:type="paragraph" w:styleId="Index8">
    <w:name w:val="index 8"/>
    <w:basedOn w:val="Normal"/>
    <w:next w:val="Normal"/>
    <w:autoRedefine/>
    <w:uiPriority w:val="98"/>
    <w:semiHidden/>
    <w:rsid w:val="000C578A"/>
    <w:pPr>
      <w:ind w:left="1920" w:hanging="240"/>
    </w:pPr>
  </w:style>
  <w:style w:type="paragraph" w:styleId="Index9">
    <w:name w:val="index 9"/>
    <w:basedOn w:val="Normal"/>
    <w:next w:val="Normal"/>
    <w:autoRedefine/>
    <w:uiPriority w:val="98"/>
    <w:semiHidden/>
    <w:rsid w:val="000C578A"/>
    <w:pPr>
      <w:ind w:left="2160" w:hanging="240"/>
    </w:pPr>
  </w:style>
  <w:style w:type="paragraph" w:styleId="IndexHeading">
    <w:name w:val="index heading"/>
    <w:basedOn w:val="Normal"/>
    <w:next w:val="Index1"/>
    <w:uiPriority w:val="98"/>
    <w:semiHidden/>
    <w:rsid w:val="000C578A"/>
    <w:rPr>
      <w:rFonts w:asciiTheme="majorHAnsi" w:eastAsiaTheme="majorEastAsia" w:hAnsiTheme="majorHAnsi" w:cstheme="majorBidi"/>
      <w:b/>
      <w:bCs/>
    </w:rPr>
  </w:style>
  <w:style w:type="table" w:styleId="LightGrid">
    <w:name w:val="Light Grid"/>
    <w:basedOn w:val="TableNormal"/>
    <w:uiPriority w:val="62"/>
    <w:semiHidden/>
    <w:rsid w:val="000C578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C578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C578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C578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C578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C578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C578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C578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C578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C578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C578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C578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C578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C578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C578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C578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C578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C578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C578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C578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C578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C578A"/>
  </w:style>
  <w:style w:type="paragraph" w:styleId="List">
    <w:name w:val="List"/>
    <w:basedOn w:val="Normal"/>
    <w:uiPriority w:val="98"/>
    <w:semiHidden/>
    <w:rsid w:val="000C578A"/>
    <w:pPr>
      <w:ind w:left="283" w:hanging="283"/>
      <w:contextualSpacing/>
    </w:pPr>
  </w:style>
  <w:style w:type="paragraph" w:styleId="List2">
    <w:name w:val="List 2"/>
    <w:basedOn w:val="Normal"/>
    <w:uiPriority w:val="98"/>
    <w:semiHidden/>
    <w:rsid w:val="000C578A"/>
    <w:pPr>
      <w:ind w:left="566" w:hanging="283"/>
      <w:contextualSpacing/>
    </w:pPr>
  </w:style>
  <w:style w:type="paragraph" w:styleId="List3">
    <w:name w:val="List 3"/>
    <w:basedOn w:val="Normal"/>
    <w:uiPriority w:val="98"/>
    <w:semiHidden/>
    <w:rsid w:val="000C578A"/>
    <w:pPr>
      <w:ind w:left="849" w:hanging="283"/>
      <w:contextualSpacing/>
    </w:pPr>
  </w:style>
  <w:style w:type="paragraph" w:styleId="List4">
    <w:name w:val="List 4"/>
    <w:basedOn w:val="Normal"/>
    <w:uiPriority w:val="98"/>
    <w:semiHidden/>
    <w:rsid w:val="000C578A"/>
    <w:pPr>
      <w:ind w:left="1132" w:hanging="283"/>
      <w:contextualSpacing/>
    </w:pPr>
  </w:style>
  <w:style w:type="paragraph" w:styleId="List5">
    <w:name w:val="List 5"/>
    <w:basedOn w:val="Normal"/>
    <w:uiPriority w:val="98"/>
    <w:semiHidden/>
    <w:rsid w:val="000C578A"/>
    <w:pPr>
      <w:ind w:left="1415" w:hanging="283"/>
      <w:contextualSpacing/>
    </w:pPr>
  </w:style>
  <w:style w:type="paragraph" w:styleId="ListBullet">
    <w:name w:val="List Bullet"/>
    <w:basedOn w:val="Normal"/>
    <w:uiPriority w:val="98"/>
    <w:semiHidden/>
    <w:rsid w:val="000C578A"/>
    <w:pPr>
      <w:numPr>
        <w:numId w:val="5"/>
      </w:numPr>
    </w:pPr>
  </w:style>
  <w:style w:type="paragraph" w:styleId="ListBullet4">
    <w:name w:val="List Bullet 4"/>
    <w:basedOn w:val="Normal"/>
    <w:uiPriority w:val="98"/>
    <w:semiHidden/>
    <w:rsid w:val="000C578A"/>
    <w:pPr>
      <w:numPr>
        <w:numId w:val="8"/>
      </w:numPr>
      <w:contextualSpacing/>
    </w:pPr>
  </w:style>
  <w:style w:type="paragraph" w:styleId="ListBullet5">
    <w:name w:val="List Bullet 5"/>
    <w:basedOn w:val="Normal"/>
    <w:uiPriority w:val="98"/>
    <w:semiHidden/>
    <w:rsid w:val="000C578A"/>
    <w:pPr>
      <w:numPr>
        <w:numId w:val="9"/>
      </w:numPr>
      <w:contextualSpacing/>
    </w:pPr>
  </w:style>
  <w:style w:type="paragraph" w:styleId="ListContinue">
    <w:name w:val="List Continue"/>
    <w:basedOn w:val="Normal"/>
    <w:uiPriority w:val="98"/>
    <w:semiHidden/>
    <w:rsid w:val="000C578A"/>
    <w:pPr>
      <w:spacing w:after="120"/>
      <w:ind w:left="283"/>
      <w:contextualSpacing/>
    </w:pPr>
  </w:style>
  <w:style w:type="paragraph" w:styleId="ListContinue2">
    <w:name w:val="List Continue 2"/>
    <w:basedOn w:val="Normal"/>
    <w:uiPriority w:val="98"/>
    <w:semiHidden/>
    <w:rsid w:val="000C578A"/>
    <w:pPr>
      <w:spacing w:after="120"/>
      <w:ind w:left="566"/>
      <w:contextualSpacing/>
    </w:pPr>
  </w:style>
  <w:style w:type="paragraph" w:styleId="ListContinue3">
    <w:name w:val="List Continue 3"/>
    <w:basedOn w:val="Normal"/>
    <w:uiPriority w:val="98"/>
    <w:semiHidden/>
    <w:rsid w:val="000C578A"/>
    <w:pPr>
      <w:spacing w:after="120"/>
      <w:ind w:left="849"/>
      <w:contextualSpacing/>
    </w:pPr>
  </w:style>
  <w:style w:type="paragraph" w:styleId="ListContinue4">
    <w:name w:val="List Continue 4"/>
    <w:basedOn w:val="Normal"/>
    <w:uiPriority w:val="98"/>
    <w:semiHidden/>
    <w:rsid w:val="000C578A"/>
    <w:pPr>
      <w:spacing w:after="120"/>
      <w:ind w:left="1132"/>
      <w:contextualSpacing/>
    </w:pPr>
  </w:style>
  <w:style w:type="paragraph" w:styleId="ListContinue5">
    <w:name w:val="List Continue 5"/>
    <w:basedOn w:val="Normal"/>
    <w:uiPriority w:val="98"/>
    <w:semiHidden/>
    <w:rsid w:val="000C578A"/>
    <w:pPr>
      <w:spacing w:after="120"/>
      <w:ind w:left="1415"/>
      <w:contextualSpacing/>
    </w:pPr>
  </w:style>
  <w:style w:type="paragraph" w:styleId="ListNumber">
    <w:name w:val="List Number"/>
    <w:basedOn w:val="Normal"/>
    <w:uiPriority w:val="98"/>
    <w:semiHidden/>
    <w:rsid w:val="000C578A"/>
    <w:pPr>
      <w:numPr>
        <w:numId w:val="10"/>
      </w:numPr>
      <w:contextualSpacing/>
    </w:pPr>
  </w:style>
  <w:style w:type="paragraph" w:styleId="ListNumber2">
    <w:name w:val="List Number 2"/>
    <w:basedOn w:val="Normal"/>
    <w:uiPriority w:val="98"/>
    <w:semiHidden/>
    <w:rsid w:val="000C578A"/>
    <w:pPr>
      <w:numPr>
        <w:numId w:val="11"/>
      </w:numPr>
      <w:contextualSpacing/>
    </w:pPr>
  </w:style>
  <w:style w:type="paragraph" w:styleId="ListNumber3">
    <w:name w:val="List Number 3"/>
    <w:basedOn w:val="Normal"/>
    <w:uiPriority w:val="98"/>
    <w:semiHidden/>
    <w:rsid w:val="000C578A"/>
    <w:pPr>
      <w:numPr>
        <w:numId w:val="12"/>
      </w:numPr>
      <w:contextualSpacing/>
    </w:pPr>
  </w:style>
  <w:style w:type="paragraph" w:styleId="ListNumber4">
    <w:name w:val="List Number 4"/>
    <w:basedOn w:val="Normal"/>
    <w:uiPriority w:val="98"/>
    <w:semiHidden/>
    <w:rsid w:val="000C578A"/>
    <w:pPr>
      <w:numPr>
        <w:numId w:val="13"/>
      </w:numPr>
      <w:contextualSpacing/>
    </w:pPr>
  </w:style>
  <w:style w:type="paragraph" w:styleId="ListNumber5">
    <w:name w:val="List Number 5"/>
    <w:basedOn w:val="Normal"/>
    <w:uiPriority w:val="98"/>
    <w:semiHidden/>
    <w:rsid w:val="000C578A"/>
    <w:pPr>
      <w:numPr>
        <w:numId w:val="14"/>
      </w:numPr>
      <w:contextualSpacing/>
    </w:pPr>
  </w:style>
  <w:style w:type="paragraph" w:styleId="MacroText">
    <w:name w:val="macro"/>
    <w:link w:val="MacroTextChar"/>
    <w:uiPriority w:val="98"/>
    <w:semiHidden/>
    <w:rsid w:val="000C578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C578A"/>
    <w:rPr>
      <w:rFonts w:ascii="Consolas" w:eastAsiaTheme="minorEastAsia" w:hAnsi="Consolas" w:cs="Consolas"/>
      <w:sz w:val="20"/>
      <w:szCs w:val="20"/>
    </w:rPr>
  </w:style>
  <w:style w:type="table" w:styleId="MediumGrid1">
    <w:name w:val="Medium Grid 1"/>
    <w:basedOn w:val="TableNormal"/>
    <w:uiPriority w:val="67"/>
    <w:semiHidden/>
    <w:rsid w:val="000C578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C578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C578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C578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C578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C578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C578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C578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C578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C578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C578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C578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C578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C578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C578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C578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C578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C578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C578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C578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C578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C578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C578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C578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C578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C578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C578A"/>
    <w:rPr>
      <w:rFonts w:ascii="Times New Roman" w:hAnsi="Times New Roman" w:cs="Times New Roman"/>
    </w:rPr>
  </w:style>
  <w:style w:type="paragraph" w:styleId="NormalIndent">
    <w:name w:val="Normal Indent"/>
    <w:basedOn w:val="Normal"/>
    <w:uiPriority w:val="98"/>
    <w:semiHidden/>
    <w:rsid w:val="000C578A"/>
    <w:pPr>
      <w:ind w:left="720"/>
    </w:pPr>
  </w:style>
  <w:style w:type="paragraph" w:styleId="NoteHeading">
    <w:name w:val="Note Heading"/>
    <w:basedOn w:val="Normal"/>
    <w:next w:val="Normal"/>
    <w:link w:val="NoteHeadingChar"/>
    <w:uiPriority w:val="98"/>
    <w:semiHidden/>
    <w:rsid w:val="000C578A"/>
  </w:style>
  <w:style w:type="character" w:customStyle="1" w:styleId="NoteHeadingChar">
    <w:name w:val="Note Heading Char"/>
    <w:basedOn w:val="DefaultParagraphFont"/>
    <w:link w:val="NoteHeading"/>
    <w:uiPriority w:val="98"/>
    <w:semiHidden/>
    <w:rsid w:val="000C578A"/>
    <w:rPr>
      <w:sz w:val="24"/>
      <w:szCs w:val="24"/>
      <w:lang w:val="ro-RO"/>
    </w:rPr>
  </w:style>
  <w:style w:type="character" w:styleId="PlaceholderText">
    <w:name w:val="Placeholder Text"/>
    <w:basedOn w:val="DefaultParagraphFont"/>
    <w:uiPriority w:val="98"/>
    <w:semiHidden/>
    <w:rsid w:val="000C578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C578A"/>
    <w:rPr>
      <w:rFonts w:ascii="Consolas" w:hAnsi="Consolas" w:cs="Consolas"/>
      <w:sz w:val="21"/>
      <w:szCs w:val="21"/>
    </w:rPr>
  </w:style>
  <w:style w:type="character" w:customStyle="1" w:styleId="PlainTextChar">
    <w:name w:val="Plain Text Char"/>
    <w:basedOn w:val="DefaultParagraphFont"/>
    <w:link w:val="PlainText"/>
    <w:uiPriority w:val="98"/>
    <w:semiHidden/>
    <w:rsid w:val="000C578A"/>
    <w:rPr>
      <w:rFonts w:ascii="Consolas" w:hAnsi="Consolas" w:cs="Consolas"/>
      <w:sz w:val="21"/>
      <w:szCs w:val="21"/>
      <w:lang w:val="ro-RO"/>
    </w:rPr>
  </w:style>
  <w:style w:type="paragraph" w:styleId="Salutation">
    <w:name w:val="Salutation"/>
    <w:basedOn w:val="Normal"/>
    <w:next w:val="Normal"/>
    <w:link w:val="SalutationChar"/>
    <w:uiPriority w:val="98"/>
    <w:semiHidden/>
    <w:rsid w:val="000C578A"/>
  </w:style>
  <w:style w:type="character" w:customStyle="1" w:styleId="SalutationChar">
    <w:name w:val="Salutation Char"/>
    <w:basedOn w:val="DefaultParagraphFont"/>
    <w:link w:val="Salutation"/>
    <w:uiPriority w:val="98"/>
    <w:semiHidden/>
    <w:rsid w:val="000C578A"/>
    <w:rPr>
      <w:sz w:val="24"/>
      <w:szCs w:val="24"/>
      <w:lang w:val="ro-RO"/>
    </w:rPr>
  </w:style>
  <w:style w:type="paragraph" w:styleId="Signature">
    <w:name w:val="Signature"/>
    <w:basedOn w:val="Normal"/>
    <w:link w:val="SignatureChar"/>
    <w:uiPriority w:val="98"/>
    <w:semiHidden/>
    <w:rsid w:val="000C578A"/>
    <w:pPr>
      <w:ind w:left="4252"/>
    </w:pPr>
  </w:style>
  <w:style w:type="character" w:customStyle="1" w:styleId="SignatureChar">
    <w:name w:val="Signature Char"/>
    <w:basedOn w:val="DefaultParagraphFont"/>
    <w:link w:val="Signature"/>
    <w:uiPriority w:val="98"/>
    <w:semiHidden/>
    <w:rsid w:val="000C578A"/>
    <w:rPr>
      <w:sz w:val="24"/>
      <w:szCs w:val="24"/>
      <w:lang w:val="ro-RO"/>
    </w:rPr>
  </w:style>
  <w:style w:type="table" w:styleId="Table3Deffects1">
    <w:name w:val="Table 3D effects 1"/>
    <w:basedOn w:val="TableNormal"/>
    <w:uiPriority w:val="99"/>
    <w:semiHidden/>
    <w:unhideWhenUsed/>
    <w:rsid w:val="000C578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C578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C578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C578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C578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C578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C578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C578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C578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C578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C578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C578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C578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C578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C578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C578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C578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C578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C578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C578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C578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C578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C578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C578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C578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C578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C578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C578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C578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C578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C578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C578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C578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C578A"/>
    <w:pPr>
      <w:ind w:left="240" w:hanging="240"/>
    </w:pPr>
  </w:style>
  <w:style w:type="paragraph" w:styleId="TableofFigures">
    <w:name w:val="table of figures"/>
    <w:basedOn w:val="Normal"/>
    <w:next w:val="Normal"/>
    <w:uiPriority w:val="98"/>
    <w:semiHidden/>
    <w:rsid w:val="000C578A"/>
  </w:style>
  <w:style w:type="table" w:styleId="TableProfessional">
    <w:name w:val="Table Professional"/>
    <w:basedOn w:val="TableNormal"/>
    <w:uiPriority w:val="99"/>
    <w:semiHidden/>
    <w:unhideWhenUsed/>
    <w:rsid w:val="000C578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C578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C578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C578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C578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C578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C578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C578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C578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C578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C578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C578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C578A"/>
    <w:pPr>
      <w:spacing w:after="100"/>
      <w:ind w:left="1680"/>
    </w:pPr>
  </w:style>
  <w:style w:type="paragraph" w:styleId="TOC9">
    <w:name w:val="toc 9"/>
    <w:basedOn w:val="Normal"/>
    <w:next w:val="Normal"/>
    <w:autoRedefine/>
    <w:uiPriority w:val="98"/>
    <w:semiHidden/>
    <w:rsid w:val="000C578A"/>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0C578A"/>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0C578A"/>
    <w:pPr>
      <w:numPr>
        <w:ilvl w:val="1"/>
      </w:numPr>
    </w:pPr>
  </w:style>
  <w:style w:type="paragraph" w:customStyle="1" w:styleId="ECHRBullet3">
    <w:name w:val="ECHR_Bullet_3"/>
    <w:aliases w:val="_Bul_3"/>
    <w:basedOn w:val="ECHRBullet2"/>
    <w:uiPriority w:val="23"/>
    <w:semiHidden/>
    <w:rsid w:val="000C578A"/>
    <w:pPr>
      <w:numPr>
        <w:ilvl w:val="2"/>
      </w:numPr>
    </w:pPr>
  </w:style>
  <w:style w:type="paragraph" w:customStyle="1" w:styleId="ECHRBullet4">
    <w:name w:val="ECHR_Bullet_4"/>
    <w:aliases w:val="_Bul_4"/>
    <w:basedOn w:val="ECHRBullet3"/>
    <w:uiPriority w:val="23"/>
    <w:semiHidden/>
    <w:rsid w:val="000C578A"/>
    <w:pPr>
      <w:numPr>
        <w:ilvl w:val="3"/>
      </w:numPr>
    </w:pPr>
  </w:style>
  <w:style w:type="paragraph" w:customStyle="1" w:styleId="ECHRConfidential">
    <w:name w:val="ECHR_Confidential"/>
    <w:aliases w:val="_Confidential"/>
    <w:basedOn w:val="Normal"/>
    <w:next w:val="Normal"/>
    <w:uiPriority w:val="42"/>
    <w:semiHidden/>
    <w:qFormat/>
    <w:rsid w:val="000C578A"/>
    <w:pPr>
      <w:jc w:val="right"/>
    </w:pPr>
    <w:rPr>
      <w:color w:val="C00000"/>
      <w:sz w:val="20"/>
    </w:rPr>
  </w:style>
  <w:style w:type="paragraph" w:customStyle="1" w:styleId="ECHRDecisionBody">
    <w:name w:val="ECHR_Decision_Body"/>
    <w:aliases w:val="_Decision_Body"/>
    <w:basedOn w:val="NormalJustified"/>
    <w:uiPriority w:val="54"/>
    <w:semiHidden/>
    <w:rsid w:val="000C578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C578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C578A"/>
    <w:rPr>
      <w:rFonts w:ascii="Arial" w:hAnsi="Arial"/>
      <w:i/>
      <w:color w:val="002856"/>
      <w:sz w:val="32"/>
      <w:szCs w:val="24"/>
      <w:lang w:val="ro-RO"/>
    </w:rPr>
  </w:style>
  <w:style w:type="paragraph" w:customStyle="1" w:styleId="DummyStyle">
    <w:name w:val="Dummy_Style"/>
    <w:aliases w:val="_Dummy"/>
    <w:basedOn w:val="Normal"/>
    <w:semiHidden/>
    <w:qFormat/>
    <w:rsid w:val="000C578A"/>
    <w:rPr>
      <w:color w:val="00B050"/>
      <w:sz w:val="22"/>
    </w:rPr>
  </w:style>
  <w:style w:type="paragraph" w:customStyle="1" w:styleId="ECHRFooterLineLandscape">
    <w:name w:val="ECHR_Footer_Line_Landscape"/>
    <w:aliases w:val="_Footer_Line_Landscape"/>
    <w:basedOn w:val="Normal"/>
    <w:uiPriority w:val="29"/>
    <w:semiHidden/>
    <w:rsid w:val="000C578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0C578A"/>
    <w:pPr>
      <w:ind w:left="567" w:hanging="567"/>
    </w:pPr>
  </w:style>
  <w:style w:type="paragraph" w:customStyle="1" w:styleId="ECHRHeading9">
    <w:name w:val="ECHR_Heading_9"/>
    <w:aliases w:val="_Head_9"/>
    <w:basedOn w:val="Heading9"/>
    <w:uiPriority w:val="17"/>
    <w:semiHidden/>
    <w:rsid w:val="000C578A"/>
    <w:pPr>
      <w:keepNext/>
      <w:keepLines/>
      <w:numPr>
        <w:ilvl w:val="8"/>
        <w:numId w:val="15"/>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0C578A"/>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0C578A"/>
    <w:pPr>
      <w:spacing w:before="120" w:after="120"/>
      <w:ind w:left="567"/>
    </w:pPr>
  </w:style>
  <w:style w:type="paragraph" w:customStyle="1" w:styleId="ECHRLine">
    <w:name w:val="ECHR_Line"/>
    <w:aliases w:val="_Line"/>
    <w:basedOn w:val="NormalJustified"/>
    <w:next w:val="Normal"/>
    <w:uiPriority w:val="46"/>
    <w:semiHidden/>
    <w:rsid w:val="000C578A"/>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0C578A"/>
    <w:pPr>
      <w:numPr>
        <w:numId w:val="0"/>
      </w:numPr>
      <w:ind w:left="284"/>
    </w:pPr>
  </w:style>
  <w:style w:type="paragraph" w:customStyle="1" w:styleId="ECHRNumberedList1">
    <w:name w:val="ECHR_Numbered_List_1"/>
    <w:aliases w:val="_Num_1"/>
    <w:basedOn w:val="NormalJustified"/>
    <w:uiPriority w:val="23"/>
    <w:semiHidden/>
    <w:qFormat/>
    <w:rsid w:val="000C578A"/>
    <w:pPr>
      <w:numPr>
        <w:numId w:val="18"/>
      </w:numPr>
      <w:spacing w:before="60" w:after="60"/>
    </w:pPr>
  </w:style>
  <w:style w:type="paragraph" w:customStyle="1" w:styleId="ECHRNumberedList2">
    <w:name w:val="ECHR_Numbered_List_2"/>
    <w:aliases w:val="_Num_2"/>
    <w:basedOn w:val="ECHRNumberedList1"/>
    <w:uiPriority w:val="23"/>
    <w:semiHidden/>
    <w:rsid w:val="000C578A"/>
    <w:pPr>
      <w:numPr>
        <w:ilvl w:val="1"/>
      </w:numPr>
    </w:pPr>
  </w:style>
  <w:style w:type="paragraph" w:customStyle="1" w:styleId="ECHRNumberedList3">
    <w:name w:val="ECHR_Numbered_List_3"/>
    <w:aliases w:val="_Num_3"/>
    <w:basedOn w:val="ECHRNumberedList2"/>
    <w:uiPriority w:val="23"/>
    <w:semiHidden/>
    <w:rsid w:val="000C578A"/>
    <w:pPr>
      <w:numPr>
        <w:ilvl w:val="2"/>
      </w:numPr>
    </w:pPr>
  </w:style>
  <w:style w:type="paragraph" w:customStyle="1" w:styleId="ECHRPlaceholder">
    <w:name w:val="ECHR_Placeholder"/>
    <w:aliases w:val="_Placeholder"/>
    <w:basedOn w:val="JuSigned"/>
    <w:uiPriority w:val="31"/>
    <w:rsid w:val="000C578A"/>
    <w:rPr>
      <w:color w:val="FFFFFF"/>
    </w:rPr>
  </w:style>
  <w:style w:type="character" w:customStyle="1" w:styleId="ECHRRed">
    <w:name w:val="ECHR_Red"/>
    <w:aliases w:val="_Red"/>
    <w:basedOn w:val="DefaultParagraphFont"/>
    <w:uiPriority w:val="15"/>
    <w:semiHidden/>
    <w:qFormat/>
    <w:rsid w:val="000C578A"/>
    <w:rPr>
      <w:color w:val="C00000" w:themeColor="accent2"/>
    </w:rPr>
  </w:style>
  <w:style w:type="paragraph" w:customStyle="1" w:styleId="ECHRHeaderDate">
    <w:name w:val="ECHR_Header_Date"/>
    <w:aliases w:val="_Ref_Date"/>
    <w:basedOn w:val="Normal"/>
    <w:uiPriority w:val="44"/>
    <w:semiHidden/>
    <w:qFormat/>
    <w:rsid w:val="000C578A"/>
    <w:pPr>
      <w:jc w:val="right"/>
    </w:pPr>
    <w:rPr>
      <w:sz w:val="20"/>
    </w:rPr>
  </w:style>
  <w:style w:type="paragraph" w:customStyle="1" w:styleId="ECHRHeaderRefIt">
    <w:name w:val="ECHR_Header_Ref_It"/>
    <w:aliases w:val="_Ref_Ital"/>
    <w:basedOn w:val="Normal"/>
    <w:next w:val="ECHRHeaderDate"/>
    <w:uiPriority w:val="43"/>
    <w:semiHidden/>
    <w:qFormat/>
    <w:rsid w:val="000C578A"/>
    <w:pPr>
      <w:jc w:val="right"/>
    </w:pPr>
    <w:rPr>
      <w:i/>
      <w:sz w:val="20"/>
    </w:rPr>
  </w:style>
  <w:style w:type="paragraph" w:customStyle="1" w:styleId="ECHRSpacer">
    <w:name w:val="ECHR_Spacer"/>
    <w:aliases w:val="_Spacer"/>
    <w:basedOn w:val="Normal"/>
    <w:uiPriority w:val="45"/>
    <w:semiHidden/>
    <w:rsid w:val="000C578A"/>
    <w:rPr>
      <w:sz w:val="4"/>
    </w:rPr>
  </w:style>
  <w:style w:type="paragraph" w:customStyle="1" w:styleId="ECHRTitleCentre1">
    <w:name w:val="ECHR_Title_Centre_1"/>
    <w:aliases w:val="_Title_C_1"/>
    <w:basedOn w:val="Normal"/>
    <w:next w:val="Normal"/>
    <w:uiPriority w:val="26"/>
    <w:semiHidden/>
    <w:qFormat/>
    <w:rsid w:val="000C578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C578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C578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C578A"/>
    <w:pPr>
      <w:outlineLvl w:val="0"/>
    </w:pPr>
  </w:style>
  <w:style w:type="paragraph" w:customStyle="1" w:styleId="ECHRTitle1">
    <w:name w:val="ECHR_Title_1"/>
    <w:aliases w:val="_Title_L_1"/>
    <w:basedOn w:val="Normal"/>
    <w:next w:val="Normal"/>
    <w:uiPriority w:val="28"/>
    <w:semiHidden/>
    <w:qFormat/>
    <w:rsid w:val="000C578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C578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C578A"/>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0C578A"/>
    <w:pPr>
      <w:outlineLvl w:val="0"/>
    </w:pPr>
  </w:style>
  <w:style w:type="table" w:customStyle="1" w:styleId="ECHRTable2">
    <w:name w:val="ECHR_Table_2"/>
    <w:basedOn w:val="TableNormal"/>
    <w:uiPriority w:val="99"/>
    <w:rsid w:val="000C578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C578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0C578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F2264A"/>
    <w:rPr>
      <w:sz w:val="24"/>
      <w:szCs w:val="24"/>
      <w:lang w:val="ro-RO"/>
    </w:rPr>
  </w:style>
  <w:style w:type="table" w:styleId="GridTable1Light">
    <w:name w:val="Grid Table 1 Light"/>
    <w:basedOn w:val="TableNormal"/>
    <w:uiPriority w:val="46"/>
    <w:semiHidden/>
    <w:rsid w:val="00B3392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33922"/>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33922"/>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33922"/>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33922"/>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33922"/>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33922"/>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3392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33922"/>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33922"/>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33922"/>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B33922"/>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33922"/>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33922"/>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339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3392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3392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3392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B3392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339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3392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339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3392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3392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3392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B3392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339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3392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33922"/>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339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3392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3392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3392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B3392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3392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3392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339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33922"/>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33922"/>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33922"/>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B33922"/>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33922"/>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33922"/>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B33922"/>
    <w:rPr>
      <w:color w:val="2B579A"/>
      <w:shd w:val="clear" w:color="auto" w:fill="E1DFDD"/>
    </w:rPr>
  </w:style>
  <w:style w:type="table" w:styleId="ListTable1Light">
    <w:name w:val="List Table 1 Light"/>
    <w:basedOn w:val="TableNormal"/>
    <w:uiPriority w:val="46"/>
    <w:semiHidden/>
    <w:rsid w:val="00B3392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33922"/>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33922"/>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33922"/>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B33922"/>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33922"/>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33922"/>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3392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33922"/>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33922"/>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33922"/>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B33922"/>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33922"/>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33922"/>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3392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33922"/>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33922"/>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33922"/>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B33922"/>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33922"/>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33922"/>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339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33922"/>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33922"/>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33922"/>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B33922"/>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33922"/>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33922"/>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33922"/>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33922"/>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33922"/>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33922"/>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33922"/>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33922"/>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33922"/>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3392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33922"/>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33922"/>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33922"/>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B33922"/>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33922"/>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33922"/>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3392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33922"/>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33922"/>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33922"/>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33922"/>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33922"/>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33922"/>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B33922"/>
    <w:rPr>
      <w:color w:val="2B579A"/>
      <w:shd w:val="clear" w:color="auto" w:fill="E1DFDD"/>
    </w:rPr>
  </w:style>
  <w:style w:type="table" w:styleId="PlainTable1">
    <w:name w:val="Plain Table 1"/>
    <w:basedOn w:val="TableNormal"/>
    <w:uiPriority w:val="41"/>
    <w:semiHidden/>
    <w:rsid w:val="00B33922"/>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B3392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3392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3392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B339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B33922"/>
    <w:rPr>
      <w:u w:val="dotted"/>
    </w:rPr>
  </w:style>
  <w:style w:type="character" w:customStyle="1" w:styleId="SmartLink">
    <w:name w:val="Smart Link"/>
    <w:basedOn w:val="DefaultParagraphFont"/>
    <w:uiPriority w:val="99"/>
    <w:semiHidden/>
    <w:unhideWhenUsed/>
    <w:rsid w:val="00B33922"/>
    <w:rPr>
      <w:color w:val="0000FF"/>
      <w:u w:val="single"/>
      <w:shd w:val="clear" w:color="auto" w:fill="F3F2F1"/>
    </w:rPr>
  </w:style>
  <w:style w:type="table" w:styleId="TableGridLight">
    <w:name w:val="Grid Table Light"/>
    <w:basedOn w:val="TableNormal"/>
    <w:uiPriority w:val="40"/>
    <w:semiHidden/>
    <w:rsid w:val="00B33922"/>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
    <w:name w:val="Unresolved Mention"/>
    <w:basedOn w:val="DefaultParagraphFont"/>
    <w:uiPriority w:val="99"/>
    <w:semiHidden/>
    <w:unhideWhenUsed/>
    <w:rsid w:val="00B33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A11DE-B8A9-4767-B9A1-FAEE32046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620977-E47D-4224-A35A-DB73424B5A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5847A8-8EFB-4B98-A7F4-50CA4C04E446}">
  <ds:schemaRefs>
    <ds:schemaRef ds:uri="http://schemas.microsoft.com/sharepoint/v3/contenttype/forms"/>
  </ds:schemaRefs>
</ds:datastoreItem>
</file>

<file path=customXml/itemProps4.xml><?xml version="1.0" encoding="utf-8"?>
<ds:datastoreItem xmlns:ds="http://schemas.openxmlformats.org/officeDocument/2006/customXml" ds:itemID="{392D1B52-FB53-46B0-8180-66EA5D7B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4280</Words>
  <Characters>24825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2023-08-03T07:16:00Z</dcterms:created>
  <dcterms:modified xsi:type="dcterms:W3CDTF">2023-09-13T12:51:00Z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61548/21</vt:lpwstr>
  </property>
  <property fmtid="{D5CDD505-2E9C-101B-9397-08002B2CF9AE}" pid="4" name="CASEID">
    <vt:lpwstr>1691050</vt:lpwstr>
  </property>
  <property fmtid="{D5CDD505-2E9C-101B-9397-08002B2CF9AE}" pid="5" name="ContentTypeId">
    <vt:lpwstr>0x010100558EB02BDB9E204AB350EDD385B68E10</vt:lpwstr>
  </property>
</Properties>
</file>