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A8A1" w14:textId="5CD44B29" w:rsidR="00D72590" w:rsidRDefault="00D72590" w:rsidP="00865983">
      <w:pPr>
        <w:jc w:val="center"/>
        <w:rPr>
          <w:rFonts w:ascii="Times New Roman" w:hAnsi="Times New Roman" w:cs="Times New Roman"/>
        </w:rPr>
      </w:pPr>
    </w:p>
    <w:p w14:paraId="7CF47D0C" w14:textId="77777777" w:rsidR="006C4EE5" w:rsidRDefault="00425431" w:rsidP="006C4EE5">
      <w:pPr>
        <w:jc w:val="center"/>
        <w:rPr>
          <w:rFonts w:asciiTheme="majorHAnsi" w:hAnsiTheme="majorHAnsi"/>
          <w:sz w:val="28"/>
        </w:rPr>
      </w:pPr>
      <w:r>
        <w:rPr>
          <w:rFonts w:asciiTheme="majorHAnsi" w:hAnsiTheme="majorHAnsi"/>
          <w:sz w:val="28"/>
        </w:rPr>
        <w:t>CURTEA EUROPEANĂ A DREPTURILOR OMULUI</w:t>
      </w:r>
    </w:p>
    <w:p w14:paraId="7EBC711C" w14:textId="77777777" w:rsidR="006C4EE5" w:rsidRDefault="00D72590" w:rsidP="006C4EE5">
      <w:pPr>
        <w:jc w:val="center"/>
      </w:pPr>
      <w:r>
        <w:t>SECȚIA A PATRA</w:t>
      </w:r>
    </w:p>
    <w:p w14:paraId="05CE4E4C" w14:textId="77777777" w:rsidR="006C4EE5" w:rsidRDefault="006C4EE5" w:rsidP="006C4EE5">
      <w:pPr>
        <w:jc w:val="center"/>
      </w:pPr>
    </w:p>
    <w:p w14:paraId="3E3648E5" w14:textId="77777777" w:rsidR="006C4EE5" w:rsidRDefault="006C4EE5" w:rsidP="006C4EE5">
      <w:pPr>
        <w:jc w:val="center"/>
      </w:pPr>
      <w:bookmarkStart w:id="0" w:name="_GoBack"/>
      <w:bookmarkEnd w:id="0"/>
    </w:p>
    <w:p w14:paraId="622C5091" w14:textId="77777777" w:rsidR="006C4EE5" w:rsidRDefault="006C4EE5" w:rsidP="006C4EE5">
      <w:pPr>
        <w:jc w:val="center"/>
      </w:pPr>
    </w:p>
    <w:p w14:paraId="74A6C142" w14:textId="49F1F40C" w:rsidR="007A4070" w:rsidRPr="00865983" w:rsidRDefault="007A4070" w:rsidP="006C4EE5">
      <w:pPr>
        <w:jc w:val="center"/>
      </w:pPr>
      <w:r>
        <w:t>HOTĂRÂREA CONSTANTIN-LUCIAN SPÎNU ÎMPOTRIVA ROMÂNIEI</w:t>
      </w:r>
    </w:p>
    <w:p w14:paraId="0914A591" w14:textId="13177425" w:rsidR="007A4070" w:rsidRPr="00865983" w:rsidRDefault="007A4070" w:rsidP="00865983">
      <w:pPr>
        <w:pStyle w:val="ECHRCoverTitle4"/>
      </w:pPr>
      <w:r>
        <w:t>(Cererea nr. 29443/20)</w:t>
      </w:r>
    </w:p>
    <w:p w14:paraId="7820672A" w14:textId="77777777" w:rsidR="007A4070" w:rsidRPr="00865983" w:rsidRDefault="007A4070" w:rsidP="00865983">
      <w:pPr>
        <w:pStyle w:val="DecHCase"/>
      </w:pPr>
    </w:p>
    <w:p w14:paraId="0E22BF01" w14:textId="77777777" w:rsidR="007A4070" w:rsidRPr="00865983" w:rsidRDefault="007A4070" w:rsidP="00865983">
      <w:pPr>
        <w:pStyle w:val="DecHCase"/>
      </w:pPr>
    </w:p>
    <w:p w14:paraId="66064FDE" w14:textId="77777777" w:rsidR="007A4070" w:rsidRPr="00865983" w:rsidRDefault="007A4070" w:rsidP="00865983">
      <w:pPr>
        <w:pStyle w:val="DecHCase"/>
      </w:pPr>
    </w:p>
    <w:p w14:paraId="4ED1B58C" w14:textId="77777777" w:rsidR="00865983" w:rsidRPr="00865983" w:rsidRDefault="007A4070" w:rsidP="00865983">
      <w:pPr>
        <w:pStyle w:val="DecHCase"/>
      </w:pPr>
      <w:r>
        <w:t>HOTĂRÂRE</w:t>
      </w:r>
      <w:r>
        <w:br/>
      </w:r>
    </w:p>
    <w:p w14:paraId="5E2E92A0" w14:textId="2B3FE8C3" w:rsidR="00865983" w:rsidRPr="00865983" w:rsidRDefault="00865983" w:rsidP="00865983">
      <w:pPr>
        <w:pStyle w:val="DecHCase"/>
        <w:pBdr>
          <w:top w:val="single" w:sz="4" w:space="1" w:color="auto"/>
          <w:left w:val="single" w:sz="4" w:space="4" w:color="auto"/>
          <w:bottom w:val="single" w:sz="4" w:space="1" w:color="auto"/>
          <w:right w:val="single" w:sz="4" w:space="4" w:color="auto"/>
        </w:pBdr>
        <w:jc w:val="both"/>
      </w:pPr>
      <w:r>
        <w:t>Art. 9 • Manifestarea propriei religii • Refuz punctual, din cauza pandemiei de Covid-19, de a permite unui deținut să participe la cultul Bisericii sale în afara închisorii, căruia i s-a propus ulterior asistență religioasă online • Protecția sănătății și a integrității deținuților într-un mediu închis • Caracterul imprevizibil și fără precedent al crizei sanitare • Marjă largă de apreciere • Eforturi rezonabile ale autorităților naționale pentru a contrabalansa restricțiile • Luarea în considerare de către autoritățile penitenciare a situației particulare a reclamantului și a evoluției crizei sanitare</w:t>
      </w:r>
    </w:p>
    <w:p w14:paraId="2FDC2AF4" w14:textId="333347E7" w:rsidR="007A4070" w:rsidRPr="00865983" w:rsidRDefault="007A4070" w:rsidP="00865983">
      <w:pPr>
        <w:pStyle w:val="DecHCase"/>
      </w:pPr>
    </w:p>
    <w:p w14:paraId="2C688E49" w14:textId="77777777" w:rsidR="007A4070" w:rsidRPr="00865983" w:rsidRDefault="007A4070" w:rsidP="00865983">
      <w:pPr>
        <w:pStyle w:val="DecHCase"/>
      </w:pPr>
      <w:r>
        <w:t>STRASBOURG</w:t>
      </w:r>
    </w:p>
    <w:p w14:paraId="42275079" w14:textId="7540224F" w:rsidR="007A4070" w:rsidRPr="00865983" w:rsidRDefault="00D72590" w:rsidP="00865983">
      <w:pPr>
        <w:pStyle w:val="DecHCase"/>
      </w:pPr>
      <w:r>
        <w:t>11 octombrie 2022</w:t>
      </w:r>
    </w:p>
    <w:p w14:paraId="3737704A" w14:textId="6D68FCAF" w:rsidR="00516B59" w:rsidRPr="00865983" w:rsidRDefault="007A4070" w:rsidP="00865983">
      <w:pPr>
        <w:rPr>
          <w:rFonts w:ascii="Times New Roman" w:hAnsi="Times New Roman" w:cs="Times New Roman"/>
          <w:i/>
          <w:sz w:val="22"/>
        </w:rPr>
      </w:pPr>
      <w:r>
        <w:rPr>
          <w:i/>
          <w:sz w:val="22"/>
        </w:rPr>
        <w:t>Hotărârea va rămâne definitivă în condițiile prevăzute la art. 44 § 2 din Convenție. Poate suferi modificări de formă.</w:t>
      </w:r>
    </w:p>
    <w:p w14:paraId="64DB927C" w14:textId="77777777" w:rsidR="00516B59" w:rsidRPr="00865983" w:rsidRDefault="00516B59" w:rsidP="00865983">
      <w:pPr>
        <w:ind w:left="720"/>
        <w:rPr>
          <w:rFonts w:ascii="Times New Roman" w:hAnsi="Times New Roman" w:cs="Times New Roman"/>
          <w:sz w:val="22"/>
        </w:rPr>
        <w:sectPr w:rsidR="00516B59" w:rsidRPr="00865983"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568F8373" w14:textId="36632B99" w:rsidR="004344E6" w:rsidRPr="00865983" w:rsidRDefault="004344E6" w:rsidP="00865983">
      <w:pPr>
        <w:pStyle w:val="JuCase"/>
      </w:pPr>
      <w:r>
        <w:lastRenderedPageBreak/>
        <w:t>În cauza Constantin-Lucian Spînu împotriva României,</w:t>
      </w:r>
    </w:p>
    <w:p w14:paraId="5AB2BBE7" w14:textId="450B9CE0" w:rsidR="004344E6" w:rsidRPr="00865983" w:rsidRDefault="004344E6" w:rsidP="00865983">
      <w:pPr>
        <w:pStyle w:val="JuPara"/>
      </w:pPr>
      <w:r>
        <w:t>Curtea Europeană a Drepturilor Omului (Secția a patra), reunită într-o cameră compusă din:</w:t>
      </w:r>
    </w:p>
    <w:p w14:paraId="48AF6554" w14:textId="1A1E34FD" w:rsidR="00294B2A" w:rsidRPr="00865983" w:rsidRDefault="00DB700D" w:rsidP="00865983">
      <w:pPr>
        <w:pStyle w:val="JuJudges"/>
      </w:pPr>
      <w:r>
        <w:tab/>
        <w:t>Gabriele Kucsko-Stadlmayer,</w:t>
      </w:r>
      <w:r>
        <w:rPr>
          <w:i/>
        </w:rPr>
        <w:t xml:space="preserve"> președintă,</w:t>
      </w:r>
    </w:p>
    <w:p w14:paraId="35518C26" w14:textId="13E3A009" w:rsidR="00294B2A" w:rsidRPr="00865983" w:rsidRDefault="00DB700D" w:rsidP="00865983">
      <w:pPr>
        <w:pStyle w:val="JuJudges"/>
      </w:pPr>
      <w:r>
        <w:tab/>
        <w:t>Tim Eicke,</w:t>
      </w:r>
    </w:p>
    <w:p w14:paraId="23C2FC68" w14:textId="1E7F2FBF" w:rsidR="00294B2A" w:rsidRPr="00865983" w:rsidRDefault="00DB700D" w:rsidP="00865983">
      <w:pPr>
        <w:pStyle w:val="JuJudges"/>
      </w:pPr>
      <w:r>
        <w:tab/>
        <w:t>Faris Vehabović,</w:t>
      </w:r>
    </w:p>
    <w:p w14:paraId="5FBF4A2A" w14:textId="105767E4" w:rsidR="00294B2A" w:rsidRPr="00865983" w:rsidRDefault="00DB700D" w:rsidP="00865983">
      <w:pPr>
        <w:pStyle w:val="JuJudges"/>
      </w:pPr>
      <w:r>
        <w:tab/>
        <w:t>Iulia Antoanella Motoc,</w:t>
      </w:r>
    </w:p>
    <w:p w14:paraId="713D9621" w14:textId="04393D78" w:rsidR="00294B2A" w:rsidRPr="00865983" w:rsidRDefault="00DB700D" w:rsidP="00865983">
      <w:pPr>
        <w:pStyle w:val="JuJudges"/>
      </w:pPr>
      <w:r>
        <w:tab/>
        <w:t>Yonko Grozev,</w:t>
      </w:r>
    </w:p>
    <w:p w14:paraId="54AD9982" w14:textId="22F7DB72" w:rsidR="00294B2A" w:rsidRPr="00865983" w:rsidRDefault="00DB700D" w:rsidP="00865983">
      <w:pPr>
        <w:pStyle w:val="JuJudges"/>
      </w:pPr>
      <w:r>
        <w:tab/>
        <w:t>Armen Harutyunyan,</w:t>
      </w:r>
    </w:p>
    <w:p w14:paraId="2F80E6EE" w14:textId="19AA5665" w:rsidR="00294B2A" w:rsidRPr="00865983" w:rsidRDefault="00DB700D" w:rsidP="00865983">
      <w:pPr>
        <w:pStyle w:val="JuJudges"/>
      </w:pPr>
      <w:r>
        <w:tab/>
        <w:t xml:space="preserve">Ana Maria Guerra Martins, </w:t>
      </w:r>
      <w:r>
        <w:rPr>
          <w:i/>
        </w:rPr>
        <w:t>judecători,</w:t>
      </w:r>
    </w:p>
    <w:p w14:paraId="15DF60B1" w14:textId="4A20CEFF" w:rsidR="004344E6" w:rsidRPr="00865983" w:rsidRDefault="00DB700D" w:rsidP="00865983">
      <w:pPr>
        <w:pStyle w:val="JuJudges"/>
      </w:pPr>
      <w:r>
        <w:tab/>
        <w:t xml:space="preserve">şi Ilse Freiwirth, </w:t>
      </w:r>
      <w:r>
        <w:rPr>
          <w:i/>
          <w:iCs/>
        </w:rPr>
        <w:t>grefier adjunct de secție</w:t>
      </w:r>
      <w:r>
        <w:t>,</w:t>
      </w:r>
    </w:p>
    <w:p w14:paraId="358D1CA0" w14:textId="77777777" w:rsidR="00D72590" w:rsidRPr="00865983" w:rsidRDefault="00D72590" w:rsidP="00865983">
      <w:pPr>
        <w:pStyle w:val="JuPara"/>
      </w:pPr>
      <w:r>
        <w:t>Având în vedere:</w:t>
      </w:r>
    </w:p>
    <w:p w14:paraId="018FF40E" w14:textId="69D1DD17" w:rsidR="00D72590" w:rsidRPr="00865983" w:rsidRDefault="00D72590" w:rsidP="00865983">
      <w:pPr>
        <w:pStyle w:val="JuPara"/>
      </w:pPr>
      <w:r>
        <w:t>cererea (nr. 29443/20) îndreptată împotriva României, prin care un resortisant al acestui stat, domnul Constantin-Lucian Spînu („reclamantul”) a sesizat Curtea la 20 august 2020, în temeiul art. 34 din Convenția pentru apărarea drepturilor omului și a libertăților fundamentale („Convenția”),</w:t>
      </w:r>
    </w:p>
    <w:p w14:paraId="0A926CF8" w14:textId="797D021A" w:rsidR="00D72590" w:rsidRPr="00865983" w:rsidRDefault="00D72590" w:rsidP="00865983">
      <w:pPr>
        <w:pStyle w:val="JuPara"/>
      </w:pPr>
      <w:r>
        <w:t>decizia de a aduce la cunoștință Guvernului român („Guvernul”) plângerea privind exercitarea dreptului la libertatea de religie în penitenciar,</w:t>
      </w:r>
    </w:p>
    <w:p w14:paraId="2E6B1C32" w14:textId="77777777" w:rsidR="00D72590" w:rsidRPr="00865983" w:rsidRDefault="00D72590" w:rsidP="00865983">
      <w:pPr>
        <w:pStyle w:val="JuPara"/>
      </w:pPr>
      <w:r>
        <w:t>observațiile prezentate de Guvernul pârât și cele prezentate în replică de reclamant,</w:t>
      </w:r>
    </w:p>
    <w:p w14:paraId="5E256EAF" w14:textId="1DC216CF" w:rsidR="00D72590" w:rsidRPr="00865983" w:rsidRDefault="00D72590" w:rsidP="00865983">
      <w:pPr>
        <w:pStyle w:val="JuPara"/>
      </w:pPr>
      <w:r>
        <w:t xml:space="preserve">observațiile primite din partea organizațiilor neguvernamentale Centrul European pentru Drept și Justiție și </w:t>
      </w:r>
      <w:r>
        <w:rPr>
          <w:i/>
          <w:iCs/>
        </w:rPr>
        <w:t>Institutul de Cultură Juridică Ordo Iuris</w:t>
      </w:r>
      <w:r>
        <w:t>, pe care președintele secției le-a admis să acționeze în calitate de terți intervenienți,</w:t>
      </w:r>
    </w:p>
    <w:p w14:paraId="5D1420D4" w14:textId="6A27B96C" w:rsidR="004344E6" w:rsidRPr="00865983" w:rsidRDefault="004344E6" w:rsidP="00865983">
      <w:pPr>
        <w:pStyle w:val="JuPara"/>
      </w:pPr>
      <w:r>
        <w:t>După ce a deliberat în camera de consiliu, la 20 septembrie 2022,</w:t>
      </w:r>
    </w:p>
    <w:p w14:paraId="683C40BA" w14:textId="0D46CAFE" w:rsidR="00876F03" w:rsidRPr="00865983" w:rsidRDefault="004344E6" w:rsidP="00865983">
      <w:pPr>
        <w:pStyle w:val="JuPara"/>
      </w:pPr>
      <w:r>
        <w:t>Pronunță prezenta hotărâre, adoptată la aceeași dată:</w:t>
      </w:r>
    </w:p>
    <w:p w14:paraId="6A8C05FF" w14:textId="77777777" w:rsidR="00D72590" w:rsidRPr="00865983" w:rsidRDefault="00D72590" w:rsidP="00865983">
      <w:pPr>
        <w:pStyle w:val="JuHHead"/>
      </w:pPr>
      <w:r>
        <w:rPr>
          <w:caps w:val="0"/>
        </w:rPr>
        <w:t>INTRODUCERE</w:t>
      </w:r>
    </w:p>
    <w:p w14:paraId="18CEED18" w14:textId="0D69522B" w:rsidR="00D72590" w:rsidRPr="00865983" w:rsidRDefault="00D72590" w:rsidP="00865983">
      <w:pPr>
        <w:pStyle w:val="JuPara"/>
      </w:pPr>
      <w:fldSimple w:instr=" SEQ level0 \*arabic ">
        <w:r w:rsidR="00865983" w:rsidRPr="00865983">
          <w:t>1</w:t>
        </w:r>
      </w:fldSimple>
      <w:r>
        <w:t>.  Cererea privește refuzul autorităților naționale de a permite reclamantului, în timp ce era deținut la închisoarea Jilava, să participe la serviciul religios în afara închisorii, din cauza măsurilor instituite în timpul pandemiei de Covid-19. Reclamantul invocă art. 9 din Convenție.</w:t>
      </w:r>
    </w:p>
    <w:p w14:paraId="556A62F2" w14:textId="77777777" w:rsidR="00D72590" w:rsidRPr="00865983" w:rsidRDefault="00D72590" w:rsidP="00865983">
      <w:pPr>
        <w:pStyle w:val="JuHHead"/>
      </w:pPr>
      <w:r>
        <w:t>ÎN FAPT</w:t>
      </w:r>
    </w:p>
    <w:p w14:paraId="6D62C4B7" w14:textId="09FF6813" w:rsidR="00D72590" w:rsidRPr="00865983" w:rsidRDefault="00B04292" w:rsidP="00865983">
      <w:pPr>
        <w:pStyle w:val="JuPara"/>
      </w:pPr>
      <w:fldSimple w:instr=" SEQ level0 \*arabic \* MERGEFORMAT ">
        <w:r w:rsidR="00865983" w:rsidRPr="00865983">
          <w:t>2</w:t>
        </w:r>
      </w:fldSimple>
      <w:r>
        <w:t xml:space="preserve">.  Reclamantul s-a născut în 1973 și este deținut la Jilava. A fost reprezentat de </w:t>
      </w:r>
      <w:bookmarkStart w:id="1" w:name="_Hlk116309908"/>
      <w:r>
        <w:t>Balint</w:t>
      </w:r>
      <w:bookmarkEnd w:id="1"/>
      <w:r>
        <w:t>, avocat.</w:t>
      </w:r>
    </w:p>
    <w:p w14:paraId="2250E122" w14:textId="62CF0442" w:rsidR="00D72590" w:rsidRPr="00865983" w:rsidRDefault="00D72590" w:rsidP="00865983">
      <w:pPr>
        <w:pStyle w:val="JuPara"/>
      </w:pPr>
      <w:fldSimple w:instr=" SEQ level0 \*arabic ">
        <w:r w:rsidR="00865983" w:rsidRPr="00865983">
          <w:t>3</w:t>
        </w:r>
      </w:fldSimple>
      <w:r>
        <w:t>.  Guvernul a fost reprezentat de agentul guvernamental, doamna O. Ezer, din cadrul Ministerului Afacerilor Externe.</w:t>
      </w:r>
    </w:p>
    <w:bookmarkStart w:id="2" w:name="para04"/>
    <w:p w14:paraId="7D94DF91" w14:textId="2CC384D3" w:rsidR="00D72590" w:rsidRPr="00865983" w:rsidRDefault="00D72590" w:rsidP="00865983">
      <w:pPr>
        <w:pStyle w:val="JuPara"/>
      </w:pPr>
      <w:r w:rsidRPr="00865983">
        <w:fldChar w:fldCharType="begin"/>
      </w:r>
      <w:r w:rsidRPr="00865983">
        <w:instrText xml:space="preserve"> SEQ level0 \*arabic </w:instrText>
      </w:r>
      <w:r w:rsidRPr="00865983">
        <w:fldChar w:fldCharType="separate"/>
      </w:r>
      <w:r w:rsidR="00865983" w:rsidRPr="00865983">
        <w:t>4</w:t>
      </w:r>
      <w:r w:rsidRPr="00865983">
        <w:fldChar w:fldCharType="end"/>
      </w:r>
      <w:bookmarkEnd w:id="2"/>
      <w:r>
        <w:t xml:space="preserve">.  La momentul faptelor, reclamantul era deținut din 12 iunie 2019 la penitenciarul Jilava. Acesta indică faptul că este membru al Bisericii Adventiste de Ziua a Șaptea. Din dosar reiese că, în 2019 și până la 29 </w:t>
      </w:r>
      <w:r>
        <w:lastRenderedPageBreak/>
        <w:t>februarie 2020, i s-a permis să părăsească închisoarea și să participe la serviciul religios la Biserica Adventistă.</w:t>
      </w:r>
    </w:p>
    <w:bookmarkStart w:id="3" w:name="para05"/>
    <w:p w14:paraId="5351AD52" w14:textId="25BE688B"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5</w:t>
      </w:r>
      <w:r w:rsidRPr="00865983">
        <w:fldChar w:fldCharType="end"/>
      </w:r>
      <w:bookmarkEnd w:id="3"/>
      <w:r>
        <w:t xml:space="preserve">.  La 8 iulie 2020, persoana în cauză a solicitat în scris autorităților penitenciare permisiunea de a participa la serviciul religios. În această cerere scrisă de mână, el a explicat că dorește să participe </w:t>
      </w:r>
      <w:r>
        <w:rPr>
          <w:i/>
          <w:iCs/>
        </w:rPr>
        <w:t>în fiecare sabat (sâmbăta)</w:t>
      </w:r>
      <w:r>
        <w:t xml:space="preserve"> organizat într-o biserică adventistă din sectorul 6 din București.</w:t>
      </w:r>
    </w:p>
    <w:bookmarkStart w:id="4" w:name="para06"/>
    <w:p w14:paraId="7F72FA87" w14:textId="3ED14832"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6</w:t>
      </w:r>
      <w:r w:rsidRPr="00865983">
        <w:fldChar w:fldCharType="end"/>
      </w:r>
      <w:bookmarkEnd w:id="4"/>
      <w:r>
        <w:t xml:space="preserve">.  Directorul instituției a refuzat cererea, iar reclamantul a contestat acest refuz în fața </w:t>
      </w:r>
      <w:r>
        <w:rPr>
          <w:rStyle w:val="JuParaChar"/>
          <w:i/>
        </w:rPr>
        <w:t xml:space="preserve">judecătorului de supraveghere a </w:t>
      </w:r>
      <w:r>
        <w:rPr>
          <w:i/>
        </w:rPr>
        <w:t>privării de libertate</w:t>
      </w:r>
      <w:r>
        <w:t xml:space="preserve"> de la Jilava. La 20 iulie 2020, judecătorul l-a audiat pe reclamant.</w:t>
      </w:r>
    </w:p>
    <w:p w14:paraId="1FAFED28" w14:textId="28F068D7" w:rsidR="00D72590" w:rsidRPr="00865983" w:rsidRDefault="00B04292" w:rsidP="00865983">
      <w:pPr>
        <w:pStyle w:val="JuPara"/>
      </w:pPr>
      <w:fldSimple w:instr=" SEQ level0 \*arabic \* MERGEFORMAT ">
        <w:r w:rsidR="00865983" w:rsidRPr="00865983">
          <w:t>7</w:t>
        </w:r>
      </w:fldSimple>
      <w:r>
        <w:t xml:space="preserve">.  În fața judecătorului de supraveghere a privării de libertate, administrația închisorii din Jilava a justificat refuzul în contextul </w:t>
      </w:r>
      <w:r>
        <w:rPr>
          <w:rStyle w:val="JuParaChar"/>
        </w:rPr>
        <w:t xml:space="preserve">pandemiei de Covid-19, explicând că aceasta </w:t>
      </w:r>
      <w:r>
        <w:t>a limitat activitățile permise în afara închisorii. Aceasta a adăugat că, din cauza pandemiei, colaborarea Bisericii Adventiste cu Administrația Națională a Penitenciarelor („ANP”) a fost întreruptă și că reluarea activităților nu fusese încă decisă.</w:t>
      </w:r>
    </w:p>
    <w:bookmarkStart w:id="5" w:name="para8"/>
    <w:p w14:paraId="5D0B2F7E" w14:textId="61D38751"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8</w:t>
      </w:r>
      <w:r w:rsidRPr="00865983">
        <w:fldChar w:fldCharType="end"/>
      </w:r>
      <w:bookmarkEnd w:id="5"/>
      <w:r>
        <w:t xml:space="preserve">.  Printr-o decizie din 23 iulie 2020, judecătorul de supraveghere a privării de libertate a respins contestația reclamantului. Acesta a analizat ingerința suferită de reclamant și a observat că aceasta era prevăzută de Legea nr. 55/2020 privind unele măsuri de prevenire și combatere a efectelor pandemiei de Covid-19 („Legea nr. 55/2020”; </w:t>
      </w:r>
      <w:r>
        <w:rPr>
          <w:i/>
          <w:iCs/>
        </w:rPr>
        <w:t>infra</w:t>
      </w:r>
      <w:r>
        <w:t>, pct. </w:t>
      </w:r>
      <w:r w:rsidRPr="00865983">
        <w:fldChar w:fldCharType="begin"/>
      </w:r>
      <w:r w:rsidRPr="00865983">
        <w:instrText xml:space="preserve"> REF para15 \h </w:instrText>
      </w:r>
      <w:r w:rsidRPr="00865983">
        <w:fldChar w:fldCharType="separate"/>
      </w:r>
      <w:r w:rsidR="00865983" w:rsidRPr="00865983">
        <w:rPr>
          <w:rFonts w:cstheme="minorHAnsi"/>
          <w:color w:val="000000"/>
        </w:rPr>
        <w:t>16</w:t>
      </w:r>
      <w:r w:rsidRPr="00865983">
        <w:fldChar w:fldCharType="end"/>
      </w:r>
      <w:r>
        <w:t>-</w:t>
      </w:r>
      <w:r w:rsidRPr="00865983">
        <w:fldChar w:fldCharType="begin"/>
      </w:r>
      <w:r w:rsidRPr="00865983">
        <w:instrText xml:space="preserve"> REF para16 \h </w:instrText>
      </w:r>
      <w:r w:rsidRPr="00865983">
        <w:fldChar w:fldCharType="separate"/>
      </w:r>
      <w:r w:rsidR="00865983" w:rsidRPr="00865983">
        <w:t>17</w:t>
      </w:r>
      <w:r w:rsidRPr="00865983">
        <w:fldChar w:fldCharType="end"/>
      </w:r>
      <w:r>
        <w:t xml:space="preserve">) și că urmărea un scop legitim în conformitate cu dispozițiile acestei legi. Acesta a adăugat că restrângerea dreptului reclamantului era rezonabilă și limitată în timp și că </w:t>
      </w:r>
      <w:r>
        <w:rPr>
          <w:i/>
          <w:iCs/>
        </w:rPr>
        <w:t>nu depășește prin ea însăși un nivel suportabil.</w:t>
      </w:r>
      <w:r>
        <w:t xml:space="preserve"> În sfârșit, a remarcat că, în contextul pandemiei, instituția penitenciară a suspendat anumite activități în punctele de lucru din interior și toate activitățile în punctele de lucru din exterior, astfel încât cererea reclamantului nu a fost examinată de o manieră arbitrară.</w:t>
      </w:r>
    </w:p>
    <w:p w14:paraId="1129ECE3" w14:textId="31BF9933" w:rsidR="00D72590" w:rsidRPr="00865983" w:rsidRDefault="00B04292" w:rsidP="00865983">
      <w:pPr>
        <w:pStyle w:val="JuPara"/>
      </w:pPr>
      <w:fldSimple w:instr=" SEQ level0 \*arabic \* MERGEFORMAT ">
        <w:r w:rsidR="00865983" w:rsidRPr="00865983">
          <w:t>9</w:t>
        </w:r>
      </w:fldSimple>
      <w:r>
        <w:t>.  Reclamantul a contestat decizia judecătorului de supraveghere a privării de libertate la „instanța de prim grad” din București („judecătoria”).</w:t>
      </w:r>
    </w:p>
    <w:bookmarkStart w:id="6" w:name="para10"/>
    <w:p w14:paraId="10717A76" w14:textId="5F220037"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10</w:t>
      </w:r>
      <w:r w:rsidRPr="00865983">
        <w:fldChar w:fldCharType="end"/>
      </w:r>
      <w:bookmarkEnd w:id="6"/>
      <w:r>
        <w:t>.  Printr-o hotărâre definitivă din 11 august 2020, judecătoria a respins acțiunea reclamantului, printr-o decizie ale cărei părți relevante sunt redactate astfel:</w:t>
      </w:r>
    </w:p>
    <w:p w14:paraId="523A8566" w14:textId="0CEB78C4" w:rsidR="00D72590" w:rsidRPr="00865983" w:rsidRDefault="00D72590" w:rsidP="00865983">
      <w:pPr>
        <w:pStyle w:val="JuQuot"/>
      </w:pPr>
      <w:r>
        <w:t xml:space="preserve">„[...] [instanța] constată că urmare a situației generate de pandemia în curs s-au modificat condițiile de desfășurare a activităților de către persoanele private de libertate, modificări ce urmăresc în primul rând garantarea siguranței și sănătății persoanelor custodiate și a celor ce iau contact cu acestea. În acest sens, s-a stabilit de către directorul general al Administrației Naționale a Penitenciarelor prin deciziile generale nr. 28758/09.03.2020 și nr. 446/14.05.2020 că se vor întrerupe activitățile de reintegrare socială din exteriorul unității cât timp vor rămâne în vigoare măsurile impuse de Grupul de suport tehnico-științific privind gestionarea bolilor înalt contagioase pe teritoriul României, iar categoriile de activități desfășurate cu deținuții în exteriorul penitenciarului au fost restrânse fiind păstrate doar cele absolut necesare, respectiv prezentarea în fața organelor judiciare, prezentarea la controlul medical de specialitate, transferul între unități penitenciare și activități productive. Totodată, solicitarea petentului nu ar putea fi aprobată din considerentul că activitatea în cadrul bisericilor a fost închisă, iar acordarea asistenței moral-religioase în penitenciarele din sistem a fost </w:t>
      </w:r>
      <w:r>
        <w:lastRenderedPageBreak/>
        <w:t>întreruptă, astfel că nu este posibilă în fapt desfășurarea activităților la care petentul dorește să aibă acces Prin urmare, rezoluția negativă primită de cererea sa este justificată și nu se pune problema unei încălcări a dreptului la activități de tipul manifestărilor religioase în unități de cult din exteriorul penitenciarului, doar că acestea sunt în prezent imposibil de organizat.  ”</w:t>
      </w:r>
    </w:p>
    <w:p w14:paraId="313E7E96" w14:textId="3B29EB74" w:rsidR="00D72590" w:rsidRPr="00865983" w:rsidRDefault="00D72590" w:rsidP="00865983">
      <w:pPr>
        <w:pStyle w:val="JuHHead"/>
        <w:numPr>
          <w:ilvl w:val="0"/>
          <w:numId w:val="2"/>
        </w:numPr>
        <w:ind w:left="360" w:hanging="360"/>
      </w:pPr>
      <w:r>
        <w:rPr>
          <w:caps w:val="0"/>
        </w:rPr>
        <w:t>CADRUL JURIDIC INTERN RELEVANT</w:t>
      </w:r>
    </w:p>
    <w:p w14:paraId="458B08F3" w14:textId="77777777" w:rsidR="00D72590" w:rsidRPr="00865983" w:rsidRDefault="00D72590" w:rsidP="00865983">
      <w:pPr>
        <w:pStyle w:val="JuHIRoman"/>
      </w:pPr>
      <w:r>
        <w:t>Norme privind libertatea de religie</w:t>
      </w:r>
    </w:p>
    <w:p w14:paraId="01E31E8F" w14:textId="3F06CB8B" w:rsidR="00D72590" w:rsidRPr="00865983" w:rsidRDefault="00D72590" w:rsidP="00865983">
      <w:pPr>
        <w:pStyle w:val="JuPara"/>
      </w:pPr>
      <w:fldSimple w:instr=" SEQ level0 \*arabic ">
        <w:r w:rsidR="00865983" w:rsidRPr="00865983">
          <w:t>11</w:t>
        </w:r>
      </w:fldSimple>
      <w:r>
        <w:t xml:space="preserve">.  Normele relevante în materia dreptului la libertatea de religie sunt prevăzute în Constituția României și în Legea nr. 254/2013 privind executarea pedepselor și a măsurilor privative de libertate dispuse de organele judiciare în cursul procesului penal („Legea nr. 254/2013”) sunt rezumate în hotărârea </w:t>
      </w:r>
      <w:r>
        <w:rPr>
          <w:i/>
        </w:rPr>
        <w:t>Erlich și Kastro împotriva României</w:t>
      </w:r>
      <w:r>
        <w:t xml:space="preserve"> (nr. 23735/16 și 23740/16, pct. 9 și 11, 9 iunie 2020).</w:t>
      </w:r>
    </w:p>
    <w:p w14:paraId="011803FC" w14:textId="6A8F5739" w:rsidR="00D72590" w:rsidRPr="00865983" w:rsidRDefault="00B04292" w:rsidP="00865983">
      <w:pPr>
        <w:pStyle w:val="JuPara"/>
      </w:pPr>
      <w:fldSimple w:instr=" SEQ level0 \*arabic \* MERGEFORMAT ">
        <w:r w:rsidR="00865983" w:rsidRPr="00865983">
          <w:t>12</w:t>
        </w:r>
      </w:fldSimple>
      <w:r>
        <w:t>.  În plus, în partea sa relevantă în speță, Constituția României prevede următoarele :</w:t>
      </w:r>
    </w:p>
    <w:p w14:paraId="115D7839" w14:textId="09AD16B0" w:rsidR="00D72590" w:rsidRPr="00865983" w:rsidRDefault="00D72590" w:rsidP="00865983">
      <w:pPr>
        <w:pStyle w:val="JuHArticle"/>
      </w:pPr>
      <w:r>
        <w:t>Art. 53 – Restrângerea exercițiului unor drepturi sau al unor libertăți</w:t>
      </w:r>
    </w:p>
    <w:p w14:paraId="49D9EA7B" w14:textId="74CAE622" w:rsidR="00D72590" w:rsidRPr="00865983" w:rsidRDefault="00D72590" w:rsidP="00865983">
      <w:pPr>
        <w:pStyle w:val="JuQuot"/>
      </w:pPr>
      <w:r>
        <w:t>„(1) Exercițiul unor drepturi sau al unor libertăți poate fi restrâns numai prin lege și numai dacă se impune, după caz, pentru: apărarea securității naționale, a ordinii, a sănătății ori a moralei publice, a drepturilor și a libertăților cetățenilor; desfășurarea instrucției penale; prevenirea consecințelor unei calamități naturale, ale unui dezastru ori ale unui sinistru deosebit de grav.</w:t>
      </w:r>
    </w:p>
    <w:p w14:paraId="48055E36" w14:textId="25932DE8" w:rsidR="00D72590" w:rsidRPr="00865983" w:rsidRDefault="00D72590" w:rsidP="00865983">
      <w:pPr>
        <w:pStyle w:val="JuQuot"/>
      </w:pPr>
      <w:r>
        <w:t>(2) Restrângerea poate fi dispusă numai dacă este necesară într-o societate democratică. Măsura trebuie să fie proporțională cu situația care a determinat-o, să fie aplicată în mod nediscriminatoriu și fără a aduce atingere existenței dreptului sau a libertății. ”</w:t>
      </w:r>
    </w:p>
    <w:bookmarkStart w:id="7" w:name="para_13"/>
    <w:p w14:paraId="10FC0E65" w14:textId="43C249AC"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13</w:t>
      </w:r>
      <w:r w:rsidRPr="00865983">
        <w:fldChar w:fldCharType="end"/>
      </w:r>
      <w:bookmarkEnd w:id="7"/>
      <w:r>
        <w:t>.  În plus, partea relevantă în speță din Legea nr. 254/2013 este redactată astfel:</w:t>
      </w:r>
    </w:p>
    <w:p w14:paraId="30C0E4D3" w14:textId="77777777" w:rsidR="00D72590" w:rsidRPr="00865983" w:rsidRDefault="00D72590" w:rsidP="00865983">
      <w:pPr>
        <w:pStyle w:val="JuHArticle"/>
      </w:pPr>
      <w:r>
        <w:t>Art. 38</w:t>
      </w:r>
    </w:p>
    <w:p w14:paraId="73174BF7" w14:textId="59C98837" w:rsidR="00D72590" w:rsidRPr="00865983" w:rsidRDefault="00D72590" w:rsidP="00865983">
      <w:pPr>
        <w:pStyle w:val="JuQuot"/>
      </w:pPr>
      <w:r>
        <w:t>„(3) Persoanele condamnate care execută pedeapsa în regim semideschis sunt cazate în comun, se pot deplasa neînsoțite în zone prestabilite din interiorul penitenciarului, prestează muncă și desfășoară activități educative, culturale, terapeutice, de consiliere psihologică și asistență socială, moral-religioase, instruire școlară și formare profesională, sub supraveghere, în grupuri, în spații din interiorul penitenciarului care rămân deschise în timpul zilei, în condițiile stabilite prin regulamentul de aplicare a prezentei legi. ”</w:t>
      </w:r>
    </w:p>
    <w:p w14:paraId="5FCA3059" w14:textId="77777777" w:rsidR="00D72590" w:rsidRPr="00865983" w:rsidRDefault="00D72590" w:rsidP="00865983">
      <w:pPr>
        <w:pStyle w:val="JuHIRoman"/>
      </w:pPr>
      <w:r>
        <w:t xml:space="preserve">Normele adoptate în contextul </w:t>
      </w:r>
      <w:r>
        <w:rPr>
          <w:rStyle w:val="JuParaChar"/>
        </w:rPr>
        <w:t>pandemiei de Covid-19</w:t>
      </w:r>
    </w:p>
    <w:bookmarkStart w:id="8" w:name="para14"/>
    <w:p w14:paraId="6AADBCA4" w14:textId="1FD0E8FB"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14</w:t>
      </w:r>
      <w:r w:rsidRPr="00865983">
        <w:fldChar w:fldCharType="end"/>
      </w:r>
      <w:bookmarkEnd w:id="8"/>
      <w:r>
        <w:t xml:space="preserve">.  La 17 martie 2020, Reprezentanța permanentă a României pe lângă Consiliul Europei a informat pe Secretarul General al Consiliului Europei </w:t>
      </w:r>
      <w:r>
        <w:lastRenderedPageBreak/>
        <w:t>(„Secretarul General“) că România intenționa aplicarea derogării prevăzute la art. 15 din Convenție [a se vedea, de asemenea,</w:t>
      </w:r>
      <w:r>
        <w:rPr>
          <w:i/>
          <w:color w:val="000000"/>
        </w:rPr>
        <w:t>Terheş împotriva României</w:t>
      </w:r>
      <w:r>
        <w:rPr>
          <w:color w:val="000000"/>
        </w:rPr>
        <w:t xml:space="preserve"> (dec.), nr. 49933/20, pct. 9 și 18, 13 aprilie 2021]</w:t>
      </w:r>
      <w:r>
        <w:t>. Ulterior, autoritățile române au informat periodic pe Secretarul general cu privire la diferitele măsuri adoptate până la încetarea stării de urgență la 14 mai 2020 ora 0,00. Într-o notă transmisă la 15 mai 2020 de către autoritățile române se precizează că dispozițiile normative care ar fi putut deroga de la prevederile Convenției au încetat, de asemenea, să mai fie în vigoare la 14 mai 2020 ora 0,00.</w:t>
      </w:r>
    </w:p>
    <w:p w14:paraId="262AD884" w14:textId="00355975" w:rsidR="00D72590" w:rsidRPr="00865983" w:rsidRDefault="00B04292" w:rsidP="00865983">
      <w:pPr>
        <w:pStyle w:val="JuPara"/>
        <w:rPr>
          <w:rFonts w:cstheme="minorHAnsi"/>
          <w:color w:val="000000"/>
        </w:rPr>
      </w:pPr>
      <w:fldSimple w:instr=" SEQ level0 \*arabic \* MERGEFORMAT ">
        <w:r w:rsidR="00865983" w:rsidRPr="00865983">
          <w:t>15</w:t>
        </w:r>
      </w:fldSimple>
      <w:r>
        <w:t xml:space="preserve">.  Prevederile </w:t>
      </w:r>
      <w:r>
        <w:rPr>
          <w:rStyle w:val="JuParaChar"/>
        </w:rPr>
        <w:t xml:space="preserve">Ordonanței de urgență a Guvernului nr. 1/1999 privind regimul stării de asediu și regimul stării de urgență, precum și cele ale decretelor și ordonanțelor militare emise în România în timpul stării de urgență sunt descrise în decizia </w:t>
      </w:r>
      <w:r>
        <w:rPr>
          <w:rStyle w:val="JuParaChar"/>
          <w:i/>
          <w:iCs/>
        </w:rPr>
        <w:t>Terheș</w:t>
      </w:r>
      <w:r>
        <w:rPr>
          <w:rStyle w:val="JuParaChar"/>
        </w:rPr>
        <w:t xml:space="preserve"> (citată anterior, pct. 20-29)</w:t>
      </w:r>
      <w:r>
        <w:t>.</w:t>
      </w:r>
    </w:p>
    <w:bookmarkStart w:id="9" w:name="para15"/>
    <w:bookmarkStart w:id="10" w:name="para_16"/>
    <w:p w14:paraId="54C0F9DF" w14:textId="5F987117" w:rsidR="00D72590" w:rsidRPr="00865983" w:rsidRDefault="00D72590" w:rsidP="00865983">
      <w:pPr>
        <w:pStyle w:val="JuPara"/>
      </w:pPr>
      <w:r w:rsidRPr="00865983">
        <w:rPr>
          <w:rFonts w:cstheme="minorHAnsi"/>
          <w:color w:val="000000"/>
        </w:rPr>
        <w:fldChar w:fldCharType="begin"/>
      </w:r>
      <w:r w:rsidRPr="00865983">
        <w:rPr>
          <w:rFonts w:cstheme="minorHAnsi"/>
          <w:color w:val="000000"/>
        </w:rPr>
        <w:instrText xml:space="preserve"> SEQ level0 \*arabic \* MERGEFORMAT </w:instrText>
      </w:r>
      <w:r w:rsidRPr="00865983">
        <w:rPr>
          <w:rFonts w:cstheme="minorHAnsi"/>
          <w:color w:val="000000"/>
        </w:rPr>
        <w:fldChar w:fldCharType="separate"/>
      </w:r>
      <w:r w:rsidR="00865983" w:rsidRPr="00865983">
        <w:rPr>
          <w:rFonts w:cstheme="minorHAnsi"/>
          <w:color w:val="000000"/>
        </w:rPr>
        <w:t>16</w:t>
      </w:r>
      <w:r w:rsidRPr="00865983">
        <w:rPr>
          <w:rFonts w:cstheme="minorHAnsi"/>
          <w:color w:val="000000"/>
        </w:rPr>
        <w:fldChar w:fldCharType="end"/>
      </w:r>
      <w:bookmarkEnd w:id="9"/>
      <w:bookmarkEnd w:id="10"/>
      <w:r>
        <w:rPr>
          <w:color w:val="000000"/>
        </w:rPr>
        <w:t xml:space="preserve">.  Starea de urgență a fost înlocuită ulterior cu starea de alertă. </w:t>
      </w:r>
      <w:r>
        <w:t>Legea nr. 55/2020, care a intrat în vigoare la 18 mai 2020, conține următoarele dispoziții relevante în această privință:</w:t>
      </w:r>
    </w:p>
    <w:p w14:paraId="0A3EC984" w14:textId="77777777" w:rsidR="00D72590" w:rsidRPr="00865983" w:rsidRDefault="00D72590" w:rsidP="00865983">
      <w:pPr>
        <w:pStyle w:val="JuHArticle"/>
      </w:pPr>
      <w:r>
        <w:t>Art. 1</w:t>
      </w:r>
    </w:p>
    <w:p w14:paraId="25C576D7" w14:textId="069F29EB" w:rsidR="00D72590" w:rsidRPr="00865983" w:rsidRDefault="00D72590" w:rsidP="00865983">
      <w:pPr>
        <w:pStyle w:val="JuQuot"/>
      </w:pPr>
      <w:r>
        <w:t>„(1) Prezenta lege are ca obiect instituirea, pe durata stării de alertă declarate în condițiile legii, în vederea prevenirii și combaterii efectelor pandemiei de COVID-19, a unor măsuri temporare și, după caz, graduale, în scopul protejării drepturilor la viață, la integritate fizică și la ocrotirea sănătății, inclusiv prin restrângerea exercițiului altor drepturi și libertăți fundamentale. ”</w:t>
      </w:r>
    </w:p>
    <w:bookmarkStart w:id="11" w:name="para16"/>
    <w:bookmarkStart w:id="12" w:name="para17"/>
    <w:p w14:paraId="236CDE30" w14:textId="2E70C04D"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17</w:t>
      </w:r>
      <w:r w:rsidRPr="00865983">
        <w:fldChar w:fldCharType="end"/>
      </w:r>
      <w:bookmarkEnd w:id="11"/>
      <w:bookmarkEnd w:id="12"/>
      <w:r>
        <w:t>.  Legea nr. 55/2020 conține, între altele, următoarele dispoziții:</w:t>
      </w:r>
    </w:p>
    <w:p w14:paraId="2294A73D" w14:textId="77777777" w:rsidR="00D72590" w:rsidRPr="00865983" w:rsidRDefault="00D72590" w:rsidP="00865983">
      <w:pPr>
        <w:pStyle w:val="JuHArticle"/>
      </w:pPr>
      <w:r>
        <w:t>Art. 61</w:t>
      </w:r>
    </w:p>
    <w:p w14:paraId="3BE093CC" w14:textId="33E499CA" w:rsidR="00D72590" w:rsidRPr="00865983" w:rsidRDefault="00D72590" w:rsidP="00865983">
      <w:pPr>
        <w:pStyle w:val="JuQuot"/>
      </w:pPr>
      <w:r>
        <w:t>„(1) Cu privire la executarea pedepselor și a măsurilor privative de libertate dispuse de organele judiciare în cursul procesului penal, prin decizie a directorului general al Administrației Naționale a Penitenciarelor, pot fi dispuse următoarele măsuri excepționale:</w:t>
      </w:r>
    </w:p>
    <w:p w14:paraId="3192BB46" w14:textId="45820B95" w:rsidR="00D72590" w:rsidRPr="00865983" w:rsidRDefault="00D72590" w:rsidP="00865983">
      <w:pPr>
        <w:pStyle w:val="JuQuot"/>
      </w:pPr>
      <w:r>
        <w:t>[...]</w:t>
      </w:r>
    </w:p>
    <w:p w14:paraId="65272ED0" w14:textId="3B7B5DC4" w:rsidR="00D72590" w:rsidRPr="00865983" w:rsidRDefault="00D72590" w:rsidP="00865983">
      <w:pPr>
        <w:pStyle w:val="JuQuot"/>
      </w:pPr>
      <w:r>
        <w:t>b) organizarea activităților din programul zilnic la care participă persoanele private de libertate, precum activități și programe [...] moral-religioase [...], astfel încât să se respecte timpul minim prevăzut de dispozițiile legale și desfășurarea acestora în grupuri restrânse, cu purtarea echipamentului de protecție individuală și respectarea regulilor de distanțare socială;</w:t>
      </w:r>
    </w:p>
    <w:p w14:paraId="2B3BDF38" w14:textId="0C9B6493" w:rsidR="00D72590" w:rsidRPr="00865983" w:rsidRDefault="00D72590" w:rsidP="00865983">
      <w:pPr>
        <w:pStyle w:val="JuQuot"/>
      </w:pPr>
      <w:r>
        <w:t>[...]</w:t>
      </w:r>
    </w:p>
    <w:p w14:paraId="32EF3246" w14:textId="0D8A0AD7" w:rsidR="00D72590" w:rsidRPr="00865983" w:rsidRDefault="00D72590" w:rsidP="00865983">
      <w:pPr>
        <w:pStyle w:val="JuQuot"/>
      </w:pPr>
      <w:r>
        <w:t>g) amânarea exercițiului dreptului la vizită intimă și punerea în aplicare a recompenselor cu permisiunea de ieșire din penitenciar, dacă prin acordarea acestora sunt afectate măsurile de prevenție și siguranță medicală;</w:t>
      </w:r>
    </w:p>
    <w:p w14:paraId="1D68737C" w14:textId="5A20B531" w:rsidR="00D72590" w:rsidRPr="00865983" w:rsidRDefault="00D72590" w:rsidP="00865983">
      <w:pPr>
        <w:pStyle w:val="JuQuot"/>
      </w:pPr>
      <w:r>
        <w:t>[...]</w:t>
      </w:r>
    </w:p>
    <w:p w14:paraId="4B231D89" w14:textId="77777777" w:rsidR="00D72590" w:rsidRPr="00865983" w:rsidRDefault="00D72590" w:rsidP="00865983">
      <w:pPr>
        <w:pStyle w:val="JuQuot"/>
      </w:pPr>
      <w:r>
        <w:t xml:space="preserve">(2) Măsurile dispuse potrivit alin. (1) trebuie să fie proporționale cu situația care le-a determinat și se comunică, de îndată, ministrului justiției, împreună cu motivele care au stat la baza adoptării acestora. </w:t>
      </w:r>
    </w:p>
    <w:p w14:paraId="1D30E12C" w14:textId="706604CD" w:rsidR="00D72590" w:rsidRPr="00865983" w:rsidRDefault="00D72590" w:rsidP="00865983">
      <w:pPr>
        <w:pStyle w:val="JuQuot"/>
      </w:pPr>
      <w:r>
        <w:lastRenderedPageBreak/>
        <w:t>(3) La încetarea situației care a determinat dispunerea măsurilor potrivit alin. (1), administrația locului de deținere procedează la acordarea, eșalonată, a drepturilor al căror exercițiu a fost amânat pe durata stării de alertă, precum și la punerea în aplicare a recompenselor cu permisiunea de ieșire din penitenciar în condițiile prevăzute de legislația în vigoare. ”</w:t>
      </w:r>
    </w:p>
    <w:bookmarkStart w:id="13" w:name="DirecteurANP"/>
    <w:p w14:paraId="773B04A3" w14:textId="5C74438F" w:rsidR="00D72590" w:rsidRPr="00865983" w:rsidRDefault="00D72590" w:rsidP="00865983">
      <w:pPr>
        <w:pStyle w:val="JuPara"/>
        <w:rPr>
          <w:rStyle w:val="JuParaChar"/>
        </w:rPr>
      </w:pPr>
      <w:r w:rsidRPr="00865983">
        <w:fldChar w:fldCharType="begin"/>
      </w:r>
      <w:r w:rsidRPr="00865983">
        <w:instrText xml:space="preserve"> SEQ level0 \*arabic \* MERGEFORMAT </w:instrText>
      </w:r>
      <w:r w:rsidRPr="00865983">
        <w:fldChar w:fldCharType="separate"/>
      </w:r>
      <w:r w:rsidR="00865983" w:rsidRPr="00865983">
        <w:t>18</w:t>
      </w:r>
      <w:r w:rsidRPr="00865983">
        <w:fldChar w:fldCharType="end"/>
      </w:r>
      <w:bookmarkEnd w:id="13"/>
      <w:r>
        <w:t>.  La 14 mai 2020, directorul ANP a adoptat Decizia nr. 446 de aprobare a planului de măsuri pentru sistemul penitenciar după încetarea stării de urgență. Punctul 20 din acest plan, anexat la Decizia nr. 446, detalia măsurile care trebuiau luate atunci când deținuții se deplasau în afara închisorii pentru următoarele motive: prezentarea în fața organelor judiciare, prezentarea la controlul medical de specialitate, transferul între unități penitenciare și activități productive.  Punctul 22 prevedea reluarea activităților de reabilitare socială, în special a celor de natură morală și religioasă, în cadrul penitenciarelor cu respectarea normelor de sănătate și de distanțare socială. În mod specific, punctul 27 permitea reluarea activităților religioase, în special a serviciilor religioase, cu respectarea normelor stabilite de autoritățile naționale și de Biserica Ortodoxă. În sfârșit, conform pct. 31, cererile de activități de reintegrare socială în afara închisorii nu puteau fi examinate și aprobate decât în situații justificate corespunzător, în funcție de situația epidemiologică a localității vizate de deplasarea planificată, în urma unui aviz medical și cu respectarea normelor medicale, inclusiv a celor referitoare la purtarea de mijloace de protecție.</w:t>
      </w:r>
    </w:p>
    <w:p w14:paraId="2E2DCF23" w14:textId="77777777" w:rsidR="00D72590" w:rsidRPr="00865983" w:rsidRDefault="00D72590" w:rsidP="00865983">
      <w:pPr>
        <w:pStyle w:val="JuHIRoman"/>
      </w:pPr>
      <w:r>
        <w:t>PRACTICA CURȚII CONSTITUȚIONALE</w:t>
      </w:r>
    </w:p>
    <w:bookmarkStart w:id="14" w:name="CConstit"/>
    <w:p w14:paraId="2E70372D" w14:textId="52973C88"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19</w:t>
      </w:r>
      <w:r w:rsidRPr="00865983">
        <w:fldChar w:fldCharType="end"/>
      </w:r>
      <w:bookmarkEnd w:id="14"/>
      <w:r>
        <w:t>.  La 25 iunie 2020, Curtea Constituțională a României a pronunțat Decizia nr. 458/2020 referitoare la excepția de neconstituționalitate a dispozițiilor art. 25 alin. (2) din Legea nr. 95/2006 privind reforma în domeniul sănătății și ale art. 8 alin. (1) din Ordonanța de urgență a Guvernului nr. 11/2020 privind stocurile de urgență medicală, precum și unele măsuri aferente instituirii carantinei.</w:t>
      </w:r>
    </w:p>
    <w:bookmarkStart w:id="15" w:name="CConstit2"/>
    <w:p w14:paraId="22017B70" w14:textId="2E21D114"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20</w:t>
      </w:r>
      <w:r w:rsidRPr="00865983">
        <w:fldChar w:fldCharType="end"/>
      </w:r>
      <w:bookmarkEnd w:id="15"/>
      <w:r>
        <w:t>.  Această decizie se referea la dispozițiile legislative privind competența ministrului sănătății de a adopta măsuri referitoare la gestionarea situațiilor de urgență cauzate de epidemii, la internarea obligatorie a persoanelor cu anumite boli transmisibile și la punerea în carantină a persoanelor care intră pe teritoriul național din zonele afectate de o pandemie. Curtea Constituțională a concluzionat că internarea obligatorie și introducerea carantinei restrângeau drepturile fundamentale și că orice astfel de măsuri restrictive ar trebui să fie reglementate de legislația primară. Decizia Curții Constituționale a devenit obligatorie la 2 iulie 2020.</w:t>
      </w:r>
    </w:p>
    <w:p w14:paraId="2DE9331B" w14:textId="77777777" w:rsidR="00D72590" w:rsidRPr="00865983" w:rsidRDefault="00D72590" w:rsidP="00865983">
      <w:pPr>
        <w:pStyle w:val="JuHHead"/>
      </w:pPr>
      <w:r>
        <w:lastRenderedPageBreak/>
        <w:t>ELEMENTE DE DREPT INTERNAȚIONAL</w:t>
      </w:r>
    </w:p>
    <w:p w14:paraId="665A6E38" w14:textId="77777777" w:rsidR="00D72590" w:rsidRPr="00865983" w:rsidRDefault="00D72590" w:rsidP="00865983">
      <w:pPr>
        <w:pStyle w:val="JuHIRoman"/>
      </w:pPr>
      <w:r>
        <w:t>NAȚIUNILE UNITE</w:t>
      </w:r>
    </w:p>
    <w:bookmarkStart w:id="16" w:name="para21"/>
    <w:p w14:paraId="36434B43" w14:textId="141A88A9"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21</w:t>
      </w:r>
      <w:r w:rsidRPr="00865983">
        <w:fldChar w:fldCharType="end"/>
      </w:r>
      <w:bookmarkEnd w:id="16"/>
      <w:r>
        <w:t>.  Pactul internațional cu privire la drepturile civile și politice („PIDCP”), la care România este parte de la intrarea sa în vigoare la 23 martie 1976, prevede următoarele:</w:t>
      </w:r>
    </w:p>
    <w:p w14:paraId="4EAB18EA" w14:textId="77777777" w:rsidR="00D72590" w:rsidRPr="00865983" w:rsidRDefault="00D72590" w:rsidP="00865983">
      <w:pPr>
        <w:pStyle w:val="JuHArticle"/>
      </w:pPr>
      <w:r>
        <w:t>Art. 4</w:t>
      </w:r>
    </w:p>
    <w:p w14:paraId="14E79F1A" w14:textId="1A5E52B3" w:rsidR="00D72590" w:rsidRPr="00865983" w:rsidRDefault="00D72590" w:rsidP="00865983">
      <w:pPr>
        <w:pStyle w:val="JuQuot"/>
      </w:pPr>
      <w:r>
        <w:t>„1. În cazul în care un pericol public excepțional amenință existența națiunii și este proclamat printr-un act oficial, statele părți la prezentul pact pot ca, în limita strictă a cerințelor situației, să ia măsuri derogatorii de la obligațiile prevăzute în prezentul pact, cu condiția ca aceste măsuri să nu fie incompatibile cu celelalte obligații pe care le au potrivit dreptului internațional și ca din ele să nu rezulte o discriminare întemeiată numai pe rasă, culoare, sex, limba, religie sau origine socială.</w:t>
      </w:r>
    </w:p>
    <w:p w14:paraId="14CF76F9" w14:textId="5ADE57B3" w:rsidR="00D72590" w:rsidRPr="00865983" w:rsidRDefault="00D72590" w:rsidP="00865983">
      <w:pPr>
        <w:pStyle w:val="JuQuot"/>
      </w:pPr>
      <w:r>
        <w:t>2. Dispoziția precedentă nu autorizează nici o derogare de la prevederile art. 6, 7, 8 (paragrafele 1 și 2), 11, 15, 16 și 18. ”</w:t>
      </w:r>
    </w:p>
    <w:p w14:paraId="7613EFB7" w14:textId="77777777" w:rsidR="00D72590" w:rsidRPr="00865983" w:rsidRDefault="00D72590" w:rsidP="00865983">
      <w:pPr>
        <w:pStyle w:val="JuHArticle"/>
      </w:pPr>
      <w:r>
        <w:t>Art. 18</w:t>
      </w:r>
    </w:p>
    <w:p w14:paraId="75E047B2" w14:textId="4232DD24" w:rsidR="00D72590" w:rsidRPr="00865983" w:rsidRDefault="00D72590" w:rsidP="00865983">
      <w:pPr>
        <w:pStyle w:val="JuQuot"/>
      </w:pPr>
      <w:r>
        <w:t>„1. Orice persoană are drept la libertatea de gândire, de conștiință și de religie; acest drept implică libertatea de a avea sau de a adopta o religie sau o convingere la alegerea sa, precum și libertatea de a-și manifesta religia sau convingerea, individual sau în colectiv, atât în public cât și în particular, prin cult și îndeplinirea riturilor, prin practici și prin învățământ.</w:t>
      </w:r>
    </w:p>
    <w:p w14:paraId="382B808F" w14:textId="39545517" w:rsidR="00D72590" w:rsidRPr="00865983" w:rsidRDefault="00D72590" w:rsidP="00865983">
      <w:pPr>
        <w:pStyle w:val="JuQuot"/>
      </w:pPr>
      <w:r>
        <w:t>2. Nimeni nu va fi supus vreunei constrângeri putând aduce atingere libertății sale de a avea sau de a adopta o religie sau o convingere la alegerea sa.</w:t>
      </w:r>
    </w:p>
    <w:p w14:paraId="77EFC264" w14:textId="58157ACE" w:rsidR="00D72590" w:rsidRPr="00865983" w:rsidRDefault="00D72590" w:rsidP="00865983">
      <w:pPr>
        <w:pStyle w:val="JuQuot"/>
      </w:pPr>
      <w:r>
        <w:t xml:space="preserve">3. Libertatea manifestării religiei sau convingerilor nu poate fi supusă decât restricțiilor prevăzute de lege și necesare pentru ocrotirea securității, ordinii și sănătății publice ori a moralei sau a libertăților și drepturilor fundamentale ale altora. </w:t>
      </w:r>
    </w:p>
    <w:p w14:paraId="44016B5E" w14:textId="3CE811BC" w:rsidR="00D72590" w:rsidRPr="00865983" w:rsidRDefault="00D72590" w:rsidP="00865983">
      <w:pPr>
        <w:pStyle w:val="JuQuot"/>
      </w:pPr>
      <w:r>
        <w:t>[...] ”</w:t>
      </w:r>
    </w:p>
    <w:bookmarkStart w:id="17" w:name="para22"/>
    <w:p w14:paraId="0580C480" w14:textId="72DB3CBF"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22</w:t>
      </w:r>
      <w:r w:rsidRPr="00865983">
        <w:fldChar w:fldCharType="end"/>
      </w:r>
      <w:bookmarkEnd w:id="17"/>
      <w:r>
        <w:t xml:space="preserve">.  „Principiile de la Siracusa privind dispozițiile de restricție sau de derogare din PIDCP” („Principiile de la Siracusa”) și Comentariul general nr. 29 privind art. 4 PIDCP, adoptate de Comitetul ONU pentru drepturile omului la 24 iulie 2001, sunt prezentate în detaliu în hotărârea </w:t>
      </w:r>
      <w:r>
        <w:rPr>
          <w:i/>
          <w:iCs/>
        </w:rPr>
        <w:t>A. și alții împotriva Regatului Unit</w:t>
      </w:r>
      <w:r>
        <w:t xml:space="preserve"> [MC] (nr. 3455/05, pct. 109-110, CEDO 2009). „Principiile de la Siracusa” conțin în special următoarele precizări:</w:t>
      </w:r>
    </w:p>
    <w:p w14:paraId="37FF23B0" w14:textId="754D1CE3" w:rsidR="00D72590" w:rsidRPr="00865983" w:rsidRDefault="00D72590" w:rsidP="00865983">
      <w:pPr>
        <w:pStyle w:val="JuQuot"/>
      </w:pPr>
      <w:r>
        <w:t>„(25) Sănătatea publică poate fi invocată ca motiv de restrângere a unor drepturi, pentru a permite unui stat să ia măsuri în cazul unei amenințări grave la adresa sănătății populației sau a unor membri individuali ai populației. Aceste măsuri trebuie să vizeze în mod specific prevenirea unor boli sau accidente și să asigure îngrijirea bolnavilor și a persoanelor rănite.</w:t>
      </w:r>
    </w:p>
    <w:p w14:paraId="5208F1D3" w14:textId="61857C61" w:rsidR="00D72590" w:rsidRPr="00865983" w:rsidRDefault="00D72590" w:rsidP="00865983">
      <w:pPr>
        <w:pStyle w:val="JuQuot"/>
      </w:pPr>
      <w:r>
        <w:t>(26) Trebuie să se țină seama în mod corespunzător de Regulamentul sanitar internațional al Organizației Mondiale a Sănătății.</w:t>
      </w:r>
    </w:p>
    <w:p w14:paraId="3C321228" w14:textId="64830430" w:rsidR="00D72590" w:rsidRPr="00865983" w:rsidRDefault="00D72590" w:rsidP="00865983">
      <w:pPr>
        <w:pStyle w:val="JuQuot"/>
      </w:pPr>
      <w:r>
        <w:t>[...]</w:t>
      </w:r>
    </w:p>
    <w:p w14:paraId="67EF4E96" w14:textId="4A4BC436" w:rsidR="00D72590" w:rsidRPr="00865983" w:rsidRDefault="00D72590" w:rsidP="00865983">
      <w:pPr>
        <w:pStyle w:val="JuQuot"/>
      </w:pPr>
      <w:r>
        <w:lastRenderedPageBreak/>
        <w:t>(58) Chiar și în situații de urgență care amenință existența națiunii, niciun stat parte nu va deroga de la garanțiile prevăzute de Pact [...] cu privire la dreptul la libertatea de gândire, de conștiință și de religie. Aceste drepturi nu pot face obiectul unei derogări în nicio circumstanță, nici măcar în scopul declarat de a menține existența națiunii. ”</w:t>
      </w:r>
    </w:p>
    <w:p w14:paraId="62A6CA53" w14:textId="0D9CD798" w:rsidR="00D72590" w:rsidRPr="00865983" w:rsidRDefault="00D72590" w:rsidP="00865983">
      <w:pPr>
        <w:pStyle w:val="JuHIRoman"/>
      </w:pPr>
      <w:r>
        <w:t>CONSILIUL EUROPEI</w:t>
      </w:r>
    </w:p>
    <w:bookmarkStart w:id="18" w:name="para23"/>
    <w:p w14:paraId="33ACB954" w14:textId="20C14B6C"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23</w:t>
      </w:r>
      <w:r w:rsidRPr="00865983">
        <w:fldChar w:fldCharType="end"/>
      </w:r>
      <w:bookmarkEnd w:id="18"/>
      <w:r>
        <w:t>.  Recomandarea Rec(2006)2-rev a Comitetului de Miniștri al Consiliului Europei către statele membre privind Regulile penitenciare europene, adoptată la 11 ianuarie 2006 și revizuită și modificată la 1 iulie 2020 („Regulile penitenciare europene”), prevede următoarele:</w:t>
      </w:r>
    </w:p>
    <w:p w14:paraId="044EA9EE" w14:textId="77777777" w:rsidR="00D72590" w:rsidRPr="00865983" w:rsidRDefault="00D72590" w:rsidP="00865983">
      <w:pPr>
        <w:pStyle w:val="JuHArticle"/>
        <w:rPr>
          <w:rFonts w:eastAsia="Times New Roman"/>
        </w:rPr>
      </w:pPr>
      <w:r>
        <w:t>Contacte cu lumea exterioară</w:t>
      </w:r>
    </w:p>
    <w:p w14:paraId="58D9BDD7" w14:textId="2D2F692B" w:rsidR="00D72590" w:rsidRPr="00865983" w:rsidRDefault="00D72590" w:rsidP="00865983">
      <w:pPr>
        <w:pStyle w:val="JuQuot"/>
        <w:rPr>
          <w:rFonts w:eastAsia="Times New Roman"/>
        </w:rPr>
      </w:pPr>
      <w:r>
        <w:t>„24.1 Deținuților li se va permite să comunice, cât de des posibil, prin corespondență, telefon sau alte mijloace de comunicare cu familiile lor, terțe persoane și reprezentanții organismelor exterioare, precum și să primească vizite de la aceste persoane.</w:t>
      </w:r>
    </w:p>
    <w:p w14:paraId="3454CBA8" w14:textId="59F940FE" w:rsidR="00D72590" w:rsidRPr="00865983" w:rsidRDefault="00D72590" w:rsidP="00865983">
      <w:pPr>
        <w:pStyle w:val="JuQuot"/>
        <w:rPr>
          <w:rFonts w:eastAsia="Times New Roman"/>
        </w:rPr>
      </w:pPr>
      <w:r>
        <w:t>24.2 Orice restricție sau supraveghere a comunicărilor și vizitelor, necesară în cadrul urmăririi și anchetei penale, menținerii ordinii, securității și siguranței, precum și prevenirii infracțiunilor penale și protecției victimelor – inclusiv în urma unui ordin specific dat de o autoritate judiciară – trebuie, totuși, să permită un nivel minim acceptabil de contact.</w:t>
      </w:r>
    </w:p>
    <w:p w14:paraId="3415AABF" w14:textId="079020AC" w:rsidR="00D72590" w:rsidRPr="00865983" w:rsidRDefault="00D72590" w:rsidP="00865983">
      <w:pPr>
        <w:pStyle w:val="JuQuot"/>
        <w:rPr>
          <w:rFonts w:eastAsia="Times New Roman"/>
        </w:rPr>
      </w:pPr>
      <w:r>
        <w:t>[...]</w:t>
      </w:r>
    </w:p>
    <w:p w14:paraId="3E443C80" w14:textId="74C965FF" w:rsidR="00D72590" w:rsidRPr="00865983" w:rsidRDefault="00D72590" w:rsidP="00865983">
      <w:pPr>
        <w:pStyle w:val="JuQuot"/>
        <w:rPr>
          <w:rFonts w:eastAsia="Times New Roman"/>
        </w:rPr>
      </w:pPr>
      <w:r>
        <w:t>24.7 Ori de câte ori este posibil, deținutul trebuie să fie autorizat să părăsească penitenciarul fie sub escortă, fie liber, pentru a vizita o rudă bolnavă, pentru a participa la o înmormântare sau pentru alte motive umanitare.</w:t>
      </w:r>
    </w:p>
    <w:p w14:paraId="5AD1CF8B" w14:textId="67ED4CE3" w:rsidR="00D72590" w:rsidRPr="00865983" w:rsidRDefault="00D72590" w:rsidP="00865983">
      <w:pPr>
        <w:pStyle w:val="JuQuot"/>
        <w:rPr>
          <w:rFonts w:eastAsia="Times New Roman"/>
        </w:rPr>
      </w:pPr>
      <w:r>
        <w:t>[...] ”</w:t>
      </w:r>
    </w:p>
    <w:p w14:paraId="3E13E78E" w14:textId="77777777" w:rsidR="00D72590" w:rsidRPr="00865983" w:rsidRDefault="00D72590" w:rsidP="00865983">
      <w:pPr>
        <w:pStyle w:val="JuHArticle"/>
        <w:rPr>
          <w:rFonts w:eastAsia="Times New Roman"/>
        </w:rPr>
      </w:pPr>
      <w:r>
        <w:t>Libertatea de gândire, de conștiință și de religie</w:t>
      </w:r>
    </w:p>
    <w:p w14:paraId="1CA7072F" w14:textId="77777777" w:rsidR="00D72590" w:rsidRPr="00865983" w:rsidRDefault="00D72590" w:rsidP="00865983">
      <w:pPr>
        <w:pStyle w:val="JuQuot"/>
        <w:rPr>
          <w:rFonts w:eastAsia="Times New Roman"/>
        </w:rPr>
      </w:pPr>
      <w:r>
        <w:t>„ 29.1 Deținuților trebuie să li se respecte libertatea de gândire, de conștiință și de religie.</w:t>
      </w:r>
    </w:p>
    <w:p w14:paraId="4ECB4C52" w14:textId="5285BFF9" w:rsidR="00D72590" w:rsidRPr="00865983" w:rsidRDefault="00D72590" w:rsidP="00865983">
      <w:pPr>
        <w:pStyle w:val="JuQuot"/>
        <w:rPr>
          <w:rFonts w:eastAsia="Times New Roman"/>
        </w:rPr>
      </w:pPr>
      <w:r>
        <w:t>29.2 Regimul penitenciar trebuie să fie organizat astfel încât să permită deținuților să-și manifeste religia și convingerile, să participe la slujbe sau la întruniri, să primească vizitele reprezentanților religiei lor și să aibă cărți sau publicații cu caracter religios sau spiritual.</w:t>
      </w:r>
    </w:p>
    <w:p w14:paraId="683BD31B" w14:textId="21DFC9BC" w:rsidR="00D72590" w:rsidRPr="00865983" w:rsidRDefault="00D72590" w:rsidP="00865983">
      <w:pPr>
        <w:pStyle w:val="JuQuot"/>
        <w:rPr>
          <w:rFonts w:eastAsia="Times New Roman"/>
        </w:rPr>
      </w:pPr>
      <w:r>
        <w:t>29.3 Deținuții nu pot fi obligați să practice anumite religii sau să aibă anumite convingeri, să participe la slujbe sau reuniuni religioase, la practici cu caracter religios sau să accepte vizita unui reprezentat al unei religii. ”</w:t>
      </w:r>
    </w:p>
    <w:bookmarkStart w:id="19" w:name="para24"/>
    <w:p w14:paraId="5A1EB389" w14:textId="0EDB6287"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24</w:t>
      </w:r>
      <w:r w:rsidRPr="00865983">
        <w:fldChar w:fldCharType="end"/>
      </w:r>
      <w:bookmarkEnd w:id="19"/>
      <w:r>
        <w:t>.  Comentariul la Recomandarea Rec (2006)2-rev conține următoarele precizări:</w:t>
      </w:r>
    </w:p>
    <w:p w14:paraId="66DA6ADB" w14:textId="77777777" w:rsidR="00D72590" w:rsidRPr="00865983" w:rsidRDefault="00D72590" w:rsidP="00865983">
      <w:pPr>
        <w:pStyle w:val="JuHArticle"/>
      </w:pPr>
      <w:r>
        <w:t>Contacte cu lumea exterioară</w:t>
      </w:r>
    </w:p>
    <w:p w14:paraId="64423676" w14:textId="2BC9D32C" w:rsidR="00D72590" w:rsidRPr="00865983" w:rsidRDefault="00D72590" w:rsidP="00865983">
      <w:pPr>
        <w:pStyle w:val="JuQuot"/>
      </w:pPr>
      <w:r>
        <w:t xml:space="preserve">„Regula 24.5 impune autorităților penitenciare obligația pozitivă de a ajuta deținuții să mențină legături cu lumea exterioară. Autoritățile penitenciare trebuie în special să ia în considerare posibilitatea de a permite oricărui deținut să părăsească închisoarea din motive umanitare, astfel cum prevede Regula 24.7. Curtea Europeană a Drepturilor </w:t>
      </w:r>
      <w:r>
        <w:lastRenderedPageBreak/>
        <w:t>Omului a decis că, în cazul în care nu există riscul de a fugi, unui deținut trebuie să i se permită să părăsească închisoarea pentru a participa la înmormântarea unei rude apropiate. Motivele familiale (de exemplu, nașterea unui copil) sunt motive umanitare care justifică ieșirea unui deținut din închisoare. ”</w:t>
      </w:r>
    </w:p>
    <w:p w14:paraId="5B304414" w14:textId="77777777" w:rsidR="00D72590" w:rsidRPr="00865983" w:rsidRDefault="00D72590" w:rsidP="00865983">
      <w:pPr>
        <w:pStyle w:val="JuHArticle"/>
        <w:rPr>
          <w:rFonts w:eastAsia="Times New Roman"/>
        </w:rPr>
      </w:pPr>
      <w:r>
        <w:t>Libertatea de gândire, de conștiință și de religie</w:t>
      </w:r>
    </w:p>
    <w:p w14:paraId="65B08CBA" w14:textId="5BFF4E58" w:rsidR="00D72590" w:rsidRPr="00865983" w:rsidRDefault="00D72590" w:rsidP="00865983">
      <w:pPr>
        <w:pStyle w:val="JuQuot"/>
        <w:rPr>
          <w:rFonts w:eastAsia="Times New Roman"/>
        </w:rPr>
      </w:pPr>
      <w:r>
        <w:t>„Regulile penitenciare au considerat neproblematic până în prezent locul religiei în penitenciar și s-au limitat la recomandări pozitive despre cele mai bune moduri de organizare a vieții religioase în penitenciar.  Cu toate acestea, creșterea în anumite țări a numărului de deținuți însuflețiți de credințe religioase puternice necesită o abordare mai bine fundamentată cu privire la principii, ca și adoptarea unor exigențe pozitive.</w:t>
      </w:r>
    </w:p>
    <w:p w14:paraId="4113B721" w14:textId="3B718BD5" w:rsidR="00D72590" w:rsidRPr="00865983" w:rsidRDefault="00D72590" w:rsidP="00865983">
      <w:pPr>
        <w:pStyle w:val="JuQuot"/>
        <w:rPr>
          <w:rFonts w:eastAsia="Times New Roman"/>
        </w:rPr>
      </w:pPr>
      <w:r>
        <w:t>Regula 29.1 urmărește să asigure recunoașterea libertății de religie și a libertății de gândire și de conștiință, în conformitate cu art. 9 din Convenția europeană a drepturilor omului.</w:t>
      </w:r>
    </w:p>
    <w:p w14:paraId="2C65349F" w14:textId="21CE9B1A" w:rsidR="00D72590" w:rsidRPr="00865983" w:rsidRDefault="00D72590" w:rsidP="00865983">
      <w:pPr>
        <w:pStyle w:val="JuQuot"/>
        <w:rPr>
          <w:rFonts w:eastAsia="Times New Roman"/>
        </w:rPr>
      </w:pPr>
      <w:r>
        <w:t>Regula 29.2 adaugă obligația pozitivă a autorităților penitenciare de a facilita practica religioasă și respectarea credințelor deținuților.  S-ar putea adopta diverse măsuri în această privință. Regula 22 prevede deja ca cerințele legate de convingerile religioase să fie luate în considerare în regimul alimentar al deținuților. În măsura în care este posibil, în fiecare penitenciar trebuie să fie oferite lăcașuri de cult și de reuniune deținuților de diverse religii și confesiuni. Când într-un penitenciar se află un număr suficient de deținuți care aparțin unei singure religii, trebuie autorizat un reprezentat al acestei religii. În cazul în care numărul de deținuți o justifică și dacă permit condițiile, persoana desemnată va trebui să îndeplinească această funcție cu normă întreagă. Reprezentantul calificat trebuie autorizat să țină slujbe regulate, să organizeze activități și să aibă întâlniri private cu deținuții care aparțin religiei sale. Niciunei persoane private de libertate nu i se va refuza accesul la un reprezentant agreat al unei religii. În caz contrar, ar putea exista o încălcare a art.9 din Convenție. Principiul conform căruia libertatea de religie a deținuților ar trebui să fie protejată este, de asemenea, enunțat la pct. 2 din Liniile directoare pentru serviciile penitenciare și de probațiune privind radicalizarea și extremismul violent, adoptate de Comitetul de Miniștri la 2 martie 2016. Pct. 23 din Liniile directoare prevede că, atunci când este posibil, deținuților trebuie să li se permită să ia masa la ore care corespund cerințelor lor religioase. Pct. 24 și 25 oferă îndrumări suplimentare cu privire la reprezentanții religioși și la asigurarea unui spațiu și a unor resurse adecvate pentru ca aceștia să se întâlnească cu deținuții în privat și să organizeze servicii de grup.</w:t>
      </w:r>
    </w:p>
    <w:p w14:paraId="41A0841D" w14:textId="1FCFD603" w:rsidR="00D72590" w:rsidRPr="00865983" w:rsidRDefault="00D72590" w:rsidP="00865983">
      <w:pPr>
        <w:pStyle w:val="JuQuot"/>
      </w:pPr>
      <w:r>
        <w:t>Regula 29.3 este menită să protejeze deținuții de orice presiune nejustificată în domeniul religios. Prozelitismul ar trebui evitat. Aceste aspecte sunt abordate în secțiunea generală care subliniază că practica religioasă nu trebuie privită în principal ca un aspect al programului de detenție, ci ca o chestiune de interes general privind toate persoanele private de libertate. ”</w:t>
      </w:r>
    </w:p>
    <w:bookmarkStart w:id="20" w:name="para25"/>
    <w:p w14:paraId="45F929E5" w14:textId="46FF797A"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25</w:t>
      </w:r>
      <w:r w:rsidRPr="00865983">
        <w:fldChar w:fldCharType="end"/>
      </w:r>
      <w:bookmarkEnd w:id="20"/>
      <w:r>
        <w:t xml:space="preserve">.  La 20 martie 2020, Comitetul european pentru prevenirea torturii și a pedepselor sau tratamentelor inumane sau degradante (CPT) a emis o Declarație de principii privind tratamentul persoanelor private de libertate în contextul pandemiei de coronavirus (Covid-19). Această declarație conține în special următoarele pasaje: </w:t>
      </w:r>
    </w:p>
    <w:p w14:paraId="02C91C79" w14:textId="77777777" w:rsidR="00D72590" w:rsidRPr="00865983" w:rsidRDefault="00D72590" w:rsidP="00865983">
      <w:pPr>
        <w:pStyle w:val="JuQuot"/>
      </w:pPr>
      <w:r>
        <w:t>„1) Principiul de bază trebuie să fie acela al luării tuturor măsurilor posibile pentru a proteja sănătatea și siguranța tuturor persoanelor private de libertate.  Adoptarea unor astfel de măsuri contribuie, în egală măsură, la păstrarea sănătății și siguranței personalului.</w:t>
      </w:r>
    </w:p>
    <w:p w14:paraId="7855FF1B" w14:textId="79A8CA1A" w:rsidR="00D72590" w:rsidRPr="00865983" w:rsidRDefault="00D72590" w:rsidP="00865983">
      <w:pPr>
        <w:pStyle w:val="JuQuot"/>
      </w:pPr>
      <w:r>
        <w:lastRenderedPageBreak/>
        <w:t>2) Liniile directoare ale OMS de luptă contra pandemiei, precum și directivele medicale și clinice naționale conforme normelor internaționale, trebuie respectate și aplicate integral în toate locurile de privare de libertate.</w:t>
      </w:r>
    </w:p>
    <w:p w14:paraId="1628B503" w14:textId="49F41195" w:rsidR="00D72590" w:rsidRPr="00865983" w:rsidRDefault="00D72590" w:rsidP="00865983">
      <w:pPr>
        <w:pStyle w:val="JuQuot"/>
      </w:pPr>
      <w:r>
        <w:t>[...]</w:t>
      </w:r>
    </w:p>
    <w:p w14:paraId="32B4E46B" w14:textId="2540DFE4" w:rsidR="00D72590" w:rsidRPr="00865983" w:rsidRDefault="00D72590" w:rsidP="00865983">
      <w:pPr>
        <w:pStyle w:val="JuQuot"/>
      </w:pPr>
      <w:r>
        <w:t>7) Deși este legitimă și rațională suspendarea activităților neesențiale, trebuie respectate integral drepturile fundamentale ale persoanelor private de libertate pe timpul pandemiei.  Aceasta include în special dreptul de a menține o igienă personală adecvată (incluzând accesul la apă caldă și săpun) și dreptul de a ieși zilnic în aer liber (timp de cel puțin o oră).  Mai mult, orice restricție a contactului cu lumea exterioară, inclusiv vizitele, trebuie compensată prin acces sporit la mijloace de comunicare alternative (cum sunt telefonul sau convorbirile telefonice prin intermediul unei conexiuni internet).</w:t>
      </w:r>
    </w:p>
    <w:bookmarkStart w:id="21" w:name="para26"/>
    <w:p w14:paraId="60ABBCC7" w14:textId="3AACC169"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26</w:t>
      </w:r>
      <w:r w:rsidRPr="00865983">
        <w:fldChar w:fldCharType="end"/>
      </w:r>
      <w:bookmarkEnd w:id="21"/>
      <w:r>
        <w:t>.  La 9 iulie 2020, CPT a făcut o nouă Declarație privind situația persoanelor private de libertate în contextul pandemiei actuale de Covid-19. Noua declarație conține în special următorul pasaj:</w:t>
      </w:r>
    </w:p>
    <w:p w14:paraId="37760B51" w14:textId="0CA21DA2" w:rsidR="00D72590" w:rsidRPr="00865983" w:rsidRDefault="00D72590" w:rsidP="00865983">
      <w:pPr>
        <w:pStyle w:val="JuQuot"/>
      </w:pPr>
      <w:r>
        <w:t xml:space="preserve">„[...] În plus, multe răspunsuri se referă la măsurile luate pentru a facilita contactul persoanelor private de libertate cu lumea exterioară pentru a contrabalansa restricțiile impuse din motive de sănătate publică. Aceste măsuri includ accesul la apeluri video prin internet sau accesul mai frecvent și mai îndelungat la telefon atât timp cât vizitele rămân interzise. </w:t>
      </w:r>
    </w:p>
    <w:p w14:paraId="469CE0EA" w14:textId="479E68B7" w:rsidR="00D72590" w:rsidRPr="00865983" w:rsidRDefault="00D72590" w:rsidP="00865983">
      <w:pPr>
        <w:pStyle w:val="JuQuot"/>
        <w:ind w:firstLine="0"/>
      </w:pPr>
      <w:r>
        <w:t>Este important ca restricțiile temporare impuse pentru a împiedica răspândirea virusului să fie ridicate de îndată ce acestea nu mai sunt necesare. Printre acestea se numără restricțiile impuse persoanelor private de libertate în ceea ce privește contactul cu lumea exterioară și reducerea numărului de activități disponibile pentru acestea. ”</w:t>
      </w:r>
    </w:p>
    <w:p w14:paraId="0B6D5D95" w14:textId="77777777" w:rsidR="00D72590" w:rsidRPr="00865983" w:rsidRDefault="00D72590" w:rsidP="00865983">
      <w:pPr>
        <w:pStyle w:val="JuHHead"/>
      </w:pPr>
      <w:r>
        <w:rPr>
          <w:caps w:val="0"/>
        </w:rPr>
        <w:t>ÎN DREPT</w:t>
      </w:r>
    </w:p>
    <w:p w14:paraId="7DABD82B" w14:textId="38BF178A" w:rsidR="00D72590" w:rsidRPr="00865983" w:rsidRDefault="00D72590" w:rsidP="00865983">
      <w:pPr>
        <w:pStyle w:val="JuHIRoman"/>
      </w:pPr>
      <w:r>
        <w:t>CU PRIVIRE LA PRETINSA ÎNCĂLCARE A ART. 9 DIN CONVENȚIE</w:t>
      </w:r>
    </w:p>
    <w:p w14:paraId="4490EEEB" w14:textId="3BA4D9AC" w:rsidR="00D72590" w:rsidRPr="00865983" w:rsidRDefault="00D72590" w:rsidP="00865983">
      <w:pPr>
        <w:pStyle w:val="JuPara"/>
      </w:pPr>
      <w:fldSimple w:instr=" SEQ level0 \*arabic ">
        <w:r w:rsidR="00865983" w:rsidRPr="00865983">
          <w:t>27</w:t>
        </w:r>
      </w:fldSimple>
      <w:r>
        <w:t>.  Reclamantul pretinde o încălcare a dreptului său la libertatea de religie. Acesta invocă art. 9 din Convenție, redactat după cum urmează:</w:t>
      </w:r>
    </w:p>
    <w:p w14:paraId="072A8C9C" w14:textId="5F6FE8BF" w:rsidR="00D72590" w:rsidRPr="00865983" w:rsidRDefault="00D72590" w:rsidP="00865983">
      <w:pPr>
        <w:pStyle w:val="JuQuot"/>
      </w:pPr>
      <w:r>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0660EAFB" w14:textId="1AAABE10" w:rsidR="00D72590" w:rsidRPr="00865983" w:rsidRDefault="00D72590" w:rsidP="00865983">
      <w:pPr>
        <w:pStyle w:val="JuQuot"/>
      </w:pPr>
      <w:r>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 ”</w:t>
      </w:r>
    </w:p>
    <w:p w14:paraId="4F235C66" w14:textId="77777777" w:rsidR="00D72590" w:rsidRPr="00865983" w:rsidRDefault="00D72590" w:rsidP="00865983">
      <w:pPr>
        <w:pStyle w:val="JuHA"/>
      </w:pPr>
      <w:r>
        <w:t>Cu privire la admisibilitate</w:t>
      </w:r>
    </w:p>
    <w:p w14:paraId="1A9C9E42" w14:textId="12C09E64" w:rsidR="00D72590" w:rsidRPr="00865983" w:rsidRDefault="00D72590" w:rsidP="00865983">
      <w:pPr>
        <w:pStyle w:val="JuPara"/>
      </w:pPr>
      <w:fldSimple w:instr=" SEQ level0 \*arabic ">
        <w:r w:rsidR="00865983" w:rsidRPr="00865983">
          <w:t>28</w:t>
        </w:r>
      </w:fldSimple>
      <w:r>
        <w:t>.  Constatând că prezenta cerere nu este în mod vădit nefondată și că nu prezintă niciun alt motiv de inadmisibilitate în sensul art. 35 din Convenție, Curtea o declară admisibilă.</w:t>
      </w:r>
    </w:p>
    <w:p w14:paraId="056FFE5B" w14:textId="77777777" w:rsidR="00D72590" w:rsidRPr="00865983" w:rsidRDefault="00D72590" w:rsidP="00865983">
      <w:pPr>
        <w:pStyle w:val="JuHA"/>
      </w:pPr>
      <w:r>
        <w:lastRenderedPageBreak/>
        <w:t>Cu privire la fond</w:t>
      </w:r>
    </w:p>
    <w:p w14:paraId="347D9B43" w14:textId="77777777" w:rsidR="00D72590" w:rsidRPr="00865983" w:rsidRDefault="00D72590" w:rsidP="00865983">
      <w:pPr>
        <w:pStyle w:val="JuH1"/>
      </w:pPr>
      <w:r>
        <w:t>Argumentele părților</w:t>
      </w:r>
    </w:p>
    <w:p w14:paraId="51BA27A4" w14:textId="77777777" w:rsidR="00D72590" w:rsidRPr="00865983" w:rsidRDefault="00D72590" w:rsidP="00865983">
      <w:pPr>
        <w:pStyle w:val="JuHa0"/>
      </w:pPr>
      <w:r>
        <w:t>Reclamantul</w:t>
      </w:r>
    </w:p>
    <w:bookmarkStart w:id="22" w:name="para_29"/>
    <w:p w14:paraId="6D8F914C" w14:textId="2B6A6CCF" w:rsidR="00D72590" w:rsidRPr="00865983" w:rsidRDefault="00D72590" w:rsidP="00865983">
      <w:pPr>
        <w:pStyle w:val="JuPara"/>
      </w:pPr>
      <w:r w:rsidRPr="00865983">
        <w:fldChar w:fldCharType="begin"/>
      </w:r>
      <w:r w:rsidRPr="00865983">
        <w:instrText xml:space="preserve"> SEQ level0 \*arabic </w:instrText>
      </w:r>
      <w:r w:rsidRPr="00865983">
        <w:fldChar w:fldCharType="separate"/>
      </w:r>
      <w:r w:rsidR="00865983" w:rsidRPr="00865983">
        <w:t>29</w:t>
      </w:r>
      <w:r w:rsidRPr="00865983">
        <w:fldChar w:fldCharType="end"/>
      </w:r>
      <w:bookmarkEnd w:id="22"/>
      <w:r>
        <w:t>.  Reclamantul se plânge de faptul că i-a fost încălcat dreptul la respectarea religiei sale. Acesta consideră că această ingerință nu a fost în conformitate cu Convenția, în special pentru că nu era „prevăzută de lege”. Acesta susține că refuzul administrației penitenciarului de a-i permite să participe la serviciile religioase s-a bazat pe deciziile directorului ANP, care, în opinia lui, nu puteau fi considerate drept „o lege” în sensul Convenției. În acest sens, invocă hotărârea nr. 458 din 25 iunie 2020 a Curții Constituționale a României (supra, pct. </w:t>
      </w:r>
      <w:r w:rsidRPr="00865983">
        <w:fldChar w:fldCharType="begin"/>
      </w:r>
      <w:r w:rsidRPr="00865983">
        <w:instrText xml:space="preserve"> REF CConstit \h </w:instrText>
      </w:r>
      <w:r w:rsidRPr="00865983">
        <w:fldChar w:fldCharType="separate"/>
      </w:r>
      <w:r w:rsidR="00865983" w:rsidRPr="00865983">
        <w:t>19</w:t>
      </w:r>
      <w:r w:rsidRPr="00865983">
        <w:fldChar w:fldCharType="end"/>
      </w:r>
      <w:r>
        <w:noBreakHyphen/>
      </w:r>
      <w:r w:rsidRPr="00865983">
        <w:fldChar w:fldCharType="begin"/>
      </w:r>
      <w:r w:rsidRPr="00865983">
        <w:instrText xml:space="preserve"> REF CConstit2 \h </w:instrText>
      </w:r>
      <w:r w:rsidRPr="00865983">
        <w:fldChar w:fldCharType="separate"/>
      </w:r>
      <w:r w:rsidR="00865983" w:rsidRPr="00865983">
        <w:t>20</w:t>
      </w:r>
      <w:r w:rsidRPr="00865983">
        <w:fldChar w:fldCharType="end"/>
      </w:r>
      <w:r>
        <w:t>), din care a dedus că ingerința pe care susținea că a suferit-o era lipsită de un temei juridic, deoarece nu decurgea din legislația primară.</w:t>
      </w:r>
    </w:p>
    <w:bookmarkStart w:id="23" w:name="para30"/>
    <w:p w14:paraId="37C5FED4" w14:textId="28ACFC53"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30</w:t>
      </w:r>
      <w:r w:rsidRPr="00865983">
        <w:fldChar w:fldCharType="end"/>
      </w:r>
      <w:bookmarkEnd w:id="23"/>
      <w:r>
        <w:t xml:space="preserve">.  În opinia reclamantului, art. 38 din Legea nr. 254/2013 (supra, pct. </w:t>
      </w:r>
      <w:r w:rsidRPr="00865983">
        <w:fldChar w:fldCharType="begin"/>
      </w:r>
      <w:r w:rsidRPr="00865983">
        <w:instrText xml:space="preserve"> REF para_13 \h </w:instrText>
      </w:r>
      <w:r w:rsidRPr="00865983">
        <w:fldChar w:fldCharType="separate"/>
      </w:r>
      <w:r w:rsidR="00865983" w:rsidRPr="00865983">
        <w:t>13</w:t>
      </w:r>
      <w:r w:rsidRPr="00865983">
        <w:fldChar w:fldCharType="end"/>
      </w:r>
      <w:r>
        <w:t>) consacră un drept absolut de deplasare în interiorul și în afara penitenciarului și numai modalitățile de exercitare a acestui drept pot fi stabilite în regulamentul de aplicare a legii.</w:t>
      </w:r>
    </w:p>
    <w:bookmarkStart w:id="24" w:name="para_31"/>
    <w:p w14:paraId="41CDEC59" w14:textId="27430C08"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31</w:t>
      </w:r>
      <w:r w:rsidRPr="00865983">
        <w:fldChar w:fldCharType="end"/>
      </w:r>
      <w:bookmarkEnd w:id="24"/>
      <w:r>
        <w:t>.  În sfârșit, reclamantul susține că această ingerință nu a fost necesară, proporțională și acceptabilă într-o societate democratică. Acesta indică faptul că biserica adventistă pe care o frecventa a continuat să asigure serviciul religios cu un număr limitat de participanți care prezentau un test PCR negativ și că accesul la acest serviciu era cu atât mai important pentru el, cu cât îi permitea să-și găsească un echilibru și să traverseze mai ușor perioada de detenție. Acesta consideră că practicarea unei activități religioase contribuie la reformarea persoanelor private de libertate.</w:t>
      </w:r>
    </w:p>
    <w:p w14:paraId="13F0EA4D" w14:textId="77777777" w:rsidR="00D72590" w:rsidRPr="00865983" w:rsidRDefault="00D72590" w:rsidP="00865983">
      <w:pPr>
        <w:pStyle w:val="JuHa0"/>
      </w:pPr>
      <w:r>
        <w:t>Guvernul</w:t>
      </w:r>
    </w:p>
    <w:p w14:paraId="1C5948E4" w14:textId="336B5D4E" w:rsidR="00D72590" w:rsidRPr="00865983" w:rsidRDefault="00D72590" w:rsidP="00865983">
      <w:pPr>
        <w:pStyle w:val="JuPara"/>
      </w:pPr>
      <w:fldSimple w:instr=" SEQ level0 \*arabic ">
        <w:r w:rsidR="00865983" w:rsidRPr="00865983">
          <w:t>32</w:t>
        </w:r>
      </w:fldSimple>
      <w:r>
        <w:t>.  Guvernul declară că Legea nr. 254/2013 recunoaște dreptul persoanelor private de libertate la respectarea religiei lor. Acesta precizează că cererea reclamantului se baza pe art. 38 din lege, dar că această dispoziție prevedea doar posibilitatea – nu și dreptul – de a participa la activități religioase în afara închisorilor.</w:t>
      </w:r>
    </w:p>
    <w:bookmarkStart w:id="25" w:name="para33"/>
    <w:p w14:paraId="284E2028" w14:textId="47B07816"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33</w:t>
      </w:r>
      <w:r w:rsidRPr="00865983">
        <w:fldChar w:fldCharType="end"/>
      </w:r>
      <w:bookmarkEnd w:id="25"/>
      <w:r>
        <w:t>.  Guvernul indică faptul că administrația instituției din Jilava i-a permis reclamantului, în anul 2019 și până la 29 februarie 2020, să participe la serviciile religioase ale Bisericii Adventiste de Ziua a Șaptea, deși acesta se declarase creștin ortodox în momentul încarcerării sale, făcuse ulterior cereri specifice în legătură cu alte religii și nu făcuse dovada convertirii sale sau a apartenenței la Biserica Adventistă.</w:t>
      </w:r>
    </w:p>
    <w:bookmarkStart w:id="26" w:name="para_34"/>
    <w:p w14:paraId="58346364" w14:textId="62E9A128"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34</w:t>
      </w:r>
      <w:r w:rsidRPr="00865983">
        <w:fldChar w:fldCharType="end"/>
      </w:r>
      <w:bookmarkEnd w:id="26"/>
      <w:r>
        <w:t xml:space="preserve">.  Guvernul susține că refuzul de a-i permite reclamantului să participe la serviciile religioase în iulie 2020 nu a afectat substanța dreptului său și a reprezentat o măsură care, luată în contextul general al pandemiei, nu a avut un caracter arbitrar sau discriminatoriu. În acest sens, se referă în special la </w:t>
      </w:r>
      <w:r>
        <w:lastRenderedPageBreak/>
        <w:t xml:space="preserve">Decizia nr. 446 adoptată de directorul general al ANP la 14 mai 2020 (supra, pct. </w:t>
      </w:r>
      <w:r w:rsidRPr="00865983">
        <w:fldChar w:fldCharType="begin"/>
      </w:r>
      <w:r w:rsidRPr="00865983">
        <w:instrText xml:space="preserve"> REF DirecteurANP \h </w:instrText>
      </w:r>
      <w:r w:rsidRPr="00865983">
        <w:fldChar w:fldCharType="separate"/>
      </w:r>
      <w:r w:rsidR="00865983" w:rsidRPr="00865983">
        <w:t>18</w:t>
      </w:r>
      <w:r w:rsidRPr="00865983">
        <w:fldChar w:fldCharType="end"/>
      </w:r>
      <w:r>
        <w:t>). În opinia sa, această restricție urmărea un scop legitim, și anume protejarea sănătății și a integrității deținuților și a oricărei persoane susceptibile de a intra în contact cu aceștia și, în general, a sănătății publice. Prin urmare, refuzul autorităților penitenciare ar fi fost justificat și necesar și ar fi fost în concordanță cu alte măsuri luate pentru a preveni și a combate răspândirea virusului.</w:t>
      </w:r>
    </w:p>
    <w:bookmarkStart w:id="27" w:name="Guv_art15"/>
    <w:p w14:paraId="6CD5CA64" w14:textId="6992790D"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35</w:t>
      </w:r>
      <w:r w:rsidRPr="00865983">
        <w:fldChar w:fldCharType="end"/>
      </w:r>
      <w:bookmarkEnd w:id="27"/>
      <w:r>
        <w:t>.  Guvernul amintește faptul că România a luat decizia de a invoca dreptul de derogare prevăzut la art. 15 din Convenție și că, pe baza acestei derogări, autoritățile naționale au luat măsuri specifice după declararea stării de urgență.</w:t>
      </w:r>
    </w:p>
    <w:bookmarkStart w:id="28" w:name="Guv_art15bis"/>
    <w:bookmarkStart w:id="29" w:name="para36"/>
    <w:p w14:paraId="60C26114" w14:textId="4E8FC5D2"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36</w:t>
      </w:r>
      <w:r w:rsidRPr="00865983">
        <w:fldChar w:fldCharType="end"/>
      </w:r>
      <w:bookmarkEnd w:id="28"/>
      <w:bookmarkEnd w:id="29"/>
      <w:r>
        <w:t xml:space="preserve">.  În plus, Guvernul susține că starea de alertă a fost introdusă după încetarea stării de urgență și că anumite măsuri restrictive au fost menținute, iar autoritățile au avut în vedere o relaxare treptată a acestor măsuri în funcție de evoluția situației. Acesta declară că Decizia nr. 446 din 14 mai 2020 a directorului ANP a restrâns astfel categoriile de activități pe care deținuții le puteau desfășura în afara închisorilor (supra, pct. </w:t>
      </w:r>
      <w:r w:rsidRPr="00865983">
        <w:fldChar w:fldCharType="begin"/>
      </w:r>
      <w:r w:rsidRPr="00865983">
        <w:instrText xml:space="preserve"> REF DirecteurANP \h </w:instrText>
      </w:r>
      <w:r w:rsidRPr="00865983">
        <w:fldChar w:fldCharType="separate"/>
      </w:r>
      <w:r w:rsidR="00865983" w:rsidRPr="00865983">
        <w:t>18</w:t>
      </w:r>
      <w:r w:rsidRPr="00865983">
        <w:fldChar w:fldCharType="end"/>
      </w:r>
      <w:r>
        <w:t>). Acesta adaugă faptul că activitățile instituțiilor religioase au fost de asemenea afectate, deoarece a fost reglementat accesul la lăcașurile de cult și au fost adoptate măsuri sanitare specifice. Precizează că, potrivit informațiilor furnizate de Biserica Adventistă, serviciile religioase au fost suspendate pentru anumite perioade (de la 13 martie la 20 iunie 2020, de la 20 noiembrie la 5 decembrie 2020 și de la 17 la 24 aprilie 2021), iar reluarea activităților s-a făcut în mod treptat. Acesta afirmă că biserica adventistă pe care dorea să o frecventeze reclamantul și-a suspendat astfel activitatea pentru anumite perioade în 2020 și 2021, că numărul de persoane admise în acest lăcaș de cult a fost limitat la 60 și că participarea la slujbă putea să fie supusă unei înscrieri prealabile.</w:t>
      </w:r>
    </w:p>
    <w:bookmarkStart w:id="30" w:name="para_37"/>
    <w:p w14:paraId="1C1314C2" w14:textId="2CBD6376"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37</w:t>
      </w:r>
      <w:r w:rsidRPr="00865983">
        <w:fldChar w:fldCharType="end"/>
      </w:r>
      <w:bookmarkEnd w:id="30"/>
      <w:r>
        <w:t>.  Guvernul arată că ANP și Biserica Adventistă au convenit ca asistența religioasă să fie oferită sub alte forme și că închisoarea Jilava a fost prima închisoare care a oferit asistență religioasă online. Potrivit informațiilor furnizate de Guvern, Biserica Adventistă a început să ofere asistență religioasă online în închisoarea Jilava începând cu 17 octombrie 2020. Guvernul precizează, de asemenea, că acolo au fost organizate activități religioase online în fiecare sâmbătă, între orele 8.00 și 16.00, sub formă de videoconferințe. Acesta afirmă că reclamantul a refuzat să participe la aceste activități online și nu a făcut nicio altă cerere legată de exercitarea dreptului său la respectarea religiei.</w:t>
      </w:r>
    </w:p>
    <w:bookmarkStart w:id="31" w:name="para38"/>
    <w:p w14:paraId="23101DCF" w14:textId="3FEE4BD6"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38</w:t>
      </w:r>
      <w:r w:rsidRPr="00865983">
        <w:fldChar w:fldCharType="end"/>
      </w:r>
      <w:bookmarkEnd w:id="31"/>
      <w:r>
        <w:t>.  Guvernul susține că a fost practic imposibil să se dea curs cererii de permisiune de a ieși din penitenciar formulate de reclamant în scopul participării la serviciul religios în fiecare sâmbătă, din cauza evoluției stării de sănătate și a naturii vagi a acestei cereri, care nu avea o limită în timp.</w:t>
      </w:r>
    </w:p>
    <w:p w14:paraId="3C54650B" w14:textId="4525C1B0" w:rsidR="00D72590" w:rsidRPr="00865983" w:rsidRDefault="00B04292" w:rsidP="00865983">
      <w:pPr>
        <w:pStyle w:val="JuPara"/>
      </w:pPr>
      <w:fldSimple w:instr=" SEQ level0 \*arabic \* MERGEFORMAT ">
        <w:r w:rsidR="00865983" w:rsidRPr="00865983">
          <w:t>39</w:t>
        </w:r>
      </w:fldSimple>
      <w:r>
        <w:t>.  Guvernul a concluzionat că nu a existat nicio ingerință asupra libertății religioase a reclamantului.</w:t>
      </w:r>
    </w:p>
    <w:p w14:paraId="0CB51E7B" w14:textId="77777777" w:rsidR="00D72590" w:rsidRPr="00865983" w:rsidRDefault="00D72590" w:rsidP="00865983">
      <w:pPr>
        <w:pStyle w:val="JuH1"/>
      </w:pPr>
      <w:r>
        <w:lastRenderedPageBreak/>
        <w:t>Poziția terților intervenienți</w:t>
      </w:r>
    </w:p>
    <w:p w14:paraId="1B5F131A" w14:textId="77777777" w:rsidR="00D72590" w:rsidRPr="00865983" w:rsidRDefault="00D72590" w:rsidP="00865983">
      <w:pPr>
        <w:pStyle w:val="JuHa0"/>
      </w:pPr>
      <w:r>
        <w:rPr>
          <w:i/>
        </w:rPr>
        <w:t>Centrul european pentru drept și justiție</w:t>
      </w:r>
    </w:p>
    <w:p w14:paraId="296C8BB0" w14:textId="358AAF59" w:rsidR="00D72590" w:rsidRPr="00865983" w:rsidRDefault="00B04292" w:rsidP="00865983">
      <w:pPr>
        <w:pStyle w:val="JuPara"/>
      </w:pPr>
      <w:fldSimple w:instr=" SEQ level0 \*arabic \* MERGEFORMAT ">
        <w:r w:rsidR="00865983" w:rsidRPr="00865983">
          <w:t>40</w:t>
        </w:r>
      </w:fldSimple>
      <w:r>
        <w:t>.  Acest terț intervenient recunoaște faptul că, în general, art. 9 din Convenție nu garantează deținuților dreptul de a-și manifesta religia în afara unităților penitenciare. Acesta observă apoi, că prezenta cauză se distinge de alte cauze deja soluționate de Curte prin faptul că refuzul de a-i permite reclamantului să participe la serviciul religios în afara închisorii nu s-a bazat pe motive disciplinare, ci pe motive sanitare.</w:t>
      </w:r>
    </w:p>
    <w:p w14:paraId="44379E1A" w14:textId="5139008C" w:rsidR="00D72590" w:rsidRPr="00865983" w:rsidRDefault="00B04292" w:rsidP="00865983">
      <w:pPr>
        <w:pStyle w:val="JuPara"/>
      </w:pPr>
      <w:fldSimple w:instr=" SEQ level0 \*arabic \* MERGEFORMAT ">
        <w:r w:rsidR="00865983" w:rsidRPr="00865983">
          <w:t>41</w:t>
        </w:r>
      </w:fldSimple>
      <w:r>
        <w:t>.  Terțul intervenient consideră că măsurile sanitare luate de autorități au avut un scop legitim, și anume protecția sănătății publice. Cu toate acestea, consideră că scopul de a proteja sănătatea publică nu este un drept sau o libertate concurentă cu libertatea de religie, ci doar o limită legitimă a exercitării acestei libertăți. În opinia acestuia, în contextul penitenciar ar trebui să se facă o distincție între prezența reală sau cel puțin potențială a deținuților bolnavi și prezența generalizată a bolii în societate.</w:t>
      </w:r>
    </w:p>
    <w:bookmarkStart w:id="32" w:name="ECLJ"/>
    <w:p w14:paraId="24B92A02" w14:textId="4F320404"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42</w:t>
      </w:r>
      <w:r w:rsidRPr="00865983">
        <w:fldChar w:fldCharType="end"/>
      </w:r>
      <w:bookmarkEnd w:id="32"/>
      <w:r>
        <w:t>.  În opinia terțului intervenient, restrângerile aduse libertății de manifestare a propriei religii trebuie să fie proporționale, nu generale și absolute. Acesta consideră că atunci când măsuri de sănătate nelimitate sunt cumulate, justificarea acestora devine dificilă. Acesta adaugă că trebuie să se țină seama de particularitățile fiecărei religii, precizând că sărbătorirea cultului în anumite biserici necesită prezența colectivă a credincioșilor și că alternativele oferite pentru practicarea unei anumite religii trebuie să fie examinate în acest context. În acest sens, remarcă faptul că Biserica Adventistă nu oficiază sacramente și că această circumstanță face posibil cultul la distanță sau online. La modul general, acesta consideră că activitățile colective laice nu ar trebui aibă un tratament mai favorabil decât activitățile religioase.</w:t>
      </w:r>
    </w:p>
    <w:p w14:paraId="6E8D4B0B" w14:textId="69EF9CD2" w:rsidR="00D72590" w:rsidRPr="00865983" w:rsidRDefault="00B04292" w:rsidP="00865983">
      <w:pPr>
        <w:pStyle w:val="JuPara"/>
      </w:pPr>
      <w:fldSimple w:instr=" SEQ level0 \*arabic \* MERGEFORMAT ">
        <w:r w:rsidR="00865983" w:rsidRPr="00865983">
          <w:t>43</w:t>
        </w:r>
      </w:fldSimple>
      <w:r>
        <w:t>.  În sfârșit, terțul intervenient consideră că ar trebui să fie ridicată problema punerii în aplicare a neutralității și imparțialității statului. Acesta consideră că epidemia nu reprezintă doar o provocare biologică de limitare a infecției, ci și provocări sociale și spirituale și că politica statului nu este neutră și imparțială din punct de vedere religios.</w:t>
      </w:r>
    </w:p>
    <w:p w14:paraId="23516A70" w14:textId="77777777" w:rsidR="00D72590" w:rsidRPr="00865983" w:rsidRDefault="00D72590" w:rsidP="00865983">
      <w:pPr>
        <w:pStyle w:val="JuHa0"/>
        <w:rPr>
          <w:i/>
          <w:iCs/>
        </w:rPr>
      </w:pPr>
      <w:r>
        <w:rPr>
          <w:i/>
        </w:rPr>
        <w:t>Institutul de Cultură Juridică Ordo Iuris</w:t>
      </w:r>
    </w:p>
    <w:p w14:paraId="46758858" w14:textId="72FEDDCD" w:rsidR="00D72590" w:rsidRPr="00865983" w:rsidRDefault="00B04292" w:rsidP="00865983">
      <w:pPr>
        <w:pStyle w:val="JuPara"/>
      </w:pPr>
      <w:fldSimple w:instr=" SEQ level0 \*arabic \* MERGEFORMAT ">
        <w:r w:rsidR="00865983" w:rsidRPr="00865983">
          <w:t>44</w:t>
        </w:r>
      </w:fldSimple>
      <w:r>
        <w:t>.  Acest terț intervenient reamintește că orice limitare a dreptului la respectarea religiei trebuie să fie conformă cu restrângerile prevăzute la art. 9 § 2 din Convenție sau cu cele care decurg din art. 15 din Convenție. Acesta consideră că, dacă o măsură este adoptată pe calea reglementării atunci când dreptul intern impune adoptarea unei legi, măsura în cauză nu are un temei juridic și, prin urmare, este contrară Convenției. În mod similar, deși acceptă că protecția sănătății publice poate reprezenta un scop legitim care să justifice restrângerea libertății religioase, acesta susține că dreptul internațional nu acordă prioritate protecției sănătății în fața altor valori protejate de lege.</w:t>
      </w:r>
    </w:p>
    <w:p w14:paraId="60B11E8A" w14:textId="3B0113B3" w:rsidR="00D72590" w:rsidRPr="00865983" w:rsidRDefault="00B04292" w:rsidP="00865983">
      <w:pPr>
        <w:pStyle w:val="JuPara"/>
      </w:pPr>
      <w:fldSimple w:instr=" SEQ level0 \*arabic \* MERGEFORMAT ">
        <w:r w:rsidR="00865983" w:rsidRPr="00865983">
          <w:t>45</w:t>
        </w:r>
      </w:fldSimple>
      <w:r>
        <w:t xml:space="preserve">.  De asemenea, terțul intervenient consideră că examinarea proporționalității unei măsuri restrictive este primordială. În acest sens, susține că numai măsurile eficiente din punct de vedere științific pot fi considerate necesare. Acesta pune sub semnul întrebării eficacitatea măsurilor de izolare, care, potrivit unor opinii științifice și medicale, nu au dus la o reducere semnificativă a numărului de decese legate de </w:t>
      </w:r>
      <w:r>
        <w:rPr>
          <w:rStyle w:val="JuParaChar"/>
        </w:rPr>
        <w:t>Covid-19</w:t>
      </w:r>
      <w:r>
        <w:t>.</w:t>
      </w:r>
    </w:p>
    <w:p w14:paraId="05ED8CB2" w14:textId="77777777" w:rsidR="00D72590" w:rsidRPr="00865983" w:rsidRDefault="00D72590" w:rsidP="00865983">
      <w:pPr>
        <w:pStyle w:val="JuH1"/>
      </w:pPr>
      <w:r>
        <w:t>Comentariile Guvernului ca răspuns la observațiile prezentate de terții intervenienți</w:t>
      </w:r>
    </w:p>
    <w:p w14:paraId="053B461C" w14:textId="633DBFDF" w:rsidR="00D72590" w:rsidRPr="00865983" w:rsidRDefault="00B04292" w:rsidP="00865983">
      <w:pPr>
        <w:pStyle w:val="JuPara"/>
      </w:pPr>
      <w:fldSimple w:instr=" SEQ level0 \*arabic \* MERGEFORMAT ">
        <w:r w:rsidR="00865983" w:rsidRPr="00865983">
          <w:t>46</w:t>
        </w:r>
      </w:fldSimple>
      <w:r>
        <w:t>.  Guvernul se raliază poziției Centrului European pentru Drept și Justiție în măsura în care aceasta implică faptul că restrângerea dreptului reclamantului de a-și manifesta religia era în conformitate cu Convenția.</w:t>
      </w:r>
    </w:p>
    <w:p w14:paraId="4DFD518D" w14:textId="078D1801" w:rsidR="00D72590" w:rsidRPr="00865983" w:rsidRDefault="00B04292" w:rsidP="00865983">
      <w:pPr>
        <w:pStyle w:val="JuPara"/>
        <w:rPr>
          <w:i/>
          <w:iCs/>
        </w:rPr>
      </w:pPr>
      <w:fldSimple w:instr=" SEQ level0 \*arabic \* MERGEFORMAT ">
        <w:r w:rsidR="00865983" w:rsidRPr="00865983">
          <w:t>47</w:t>
        </w:r>
      </w:fldSimple>
      <w:r>
        <w:t>.  Guvernul contestă poziția adoptată de Institutul de Cultură Juridică Ordo Juris, în special argumentul potrivit căruia izolarea nu a limitat în mod eficient răspândirea infecției cu virusul. Acesta declară că obiectul prezentei cereri nu este reprezentat de măsurile luate de autorități pentru combaterea pandemiei în general, ci doar de restrângerea dreptului reclamantului.</w:t>
      </w:r>
    </w:p>
    <w:p w14:paraId="0A2E5C9A" w14:textId="77777777" w:rsidR="00D72590" w:rsidRPr="00865983" w:rsidRDefault="00D72590" w:rsidP="00865983">
      <w:pPr>
        <w:pStyle w:val="JuH1"/>
      </w:pPr>
      <w:r>
        <w:t>Motivarea Curții</w:t>
      </w:r>
    </w:p>
    <w:p w14:paraId="2FA33346" w14:textId="77777777" w:rsidR="00D72590" w:rsidRPr="00865983" w:rsidRDefault="00D72590" w:rsidP="00865983">
      <w:pPr>
        <w:pStyle w:val="JuHa0"/>
      </w:pPr>
      <w:r>
        <w:t>Observaţii preliminare</w:t>
      </w:r>
    </w:p>
    <w:p w14:paraId="6286EE46" w14:textId="6D234216" w:rsidR="00D72590" w:rsidRPr="00865983" w:rsidRDefault="00B04292" w:rsidP="00865983">
      <w:pPr>
        <w:pStyle w:val="JuPara"/>
      </w:pPr>
      <w:fldSimple w:instr=" SEQ level0 \*arabic \* MERGEFORMAT ">
        <w:r w:rsidR="00865983" w:rsidRPr="00865983">
          <w:t>48</w:t>
        </w:r>
      </w:fldSimple>
      <w:r>
        <w:t xml:space="preserve">.  Curtea reține că, în observațiile sale, Guvernul face trimitere la decizia autorităților române de a invoca dispozițiile art. 15 din Convenție în contextul crizei sanitare și la măsurile specifice legate de declararea stării de urgență (supra, pct. </w:t>
      </w:r>
      <w:r w:rsidR="00D72590" w:rsidRPr="00865983">
        <w:fldChar w:fldCharType="begin"/>
      </w:r>
      <w:r w:rsidR="00D72590" w:rsidRPr="00865983">
        <w:instrText xml:space="preserve"> REF Guv_art15 \h </w:instrText>
      </w:r>
      <w:r w:rsidR="00D72590" w:rsidRPr="00865983">
        <w:fldChar w:fldCharType="separate"/>
      </w:r>
      <w:r w:rsidR="00865983" w:rsidRPr="00865983">
        <w:t>35</w:t>
      </w:r>
      <w:r w:rsidR="00D72590" w:rsidRPr="00865983">
        <w:fldChar w:fldCharType="end"/>
      </w:r>
      <w:r>
        <w:t xml:space="preserve">). De asemenea, reține faptul că derogarea despre care autoritățile române l-au informat pe Secretarul General a fost aplicată de la 17 martie până la 14 mai 2020 ora 0.00 (supra, pct. </w:t>
      </w:r>
      <w:r w:rsidR="00D72590" w:rsidRPr="00865983">
        <w:fldChar w:fldCharType="begin"/>
      </w:r>
      <w:r w:rsidR="00D72590" w:rsidRPr="00865983">
        <w:instrText xml:space="preserve"> REF para14 \h </w:instrText>
      </w:r>
      <w:r w:rsidR="00D72590" w:rsidRPr="00865983">
        <w:fldChar w:fldCharType="separate"/>
      </w:r>
      <w:r w:rsidR="00865983" w:rsidRPr="00865983">
        <w:t>14</w:t>
      </w:r>
      <w:r w:rsidR="00D72590" w:rsidRPr="00865983">
        <w:fldChar w:fldCharType="end"/>
      </w:r>
      <w:r>
        <w:t xml:space="preserve">). Or, măsurile în cauză au fost luate începând cu data de 8 iulie 2020, când persoana în cauză a solicitat autorităților penitenciare permisiunea de a se deplasa la biserica adventistă pentru a participa la serviciul religios de sabat (supra, pct. </w:t>
      </w:r>
      <w:r w:rsidR="00D72590" w:rsidRPr="00865983">
        <w:fldChar w:fldCharType="begin"/>
      </w:r>
      <w:r w:rsidR="00D72590" w:rsidRPr="00865983">
        <w:instrText xml:space="preserve"> REF para05 \h </w:instrText>
      </w:r>
      <w:r w:rsidR="00D72590" w:rsidRPr="00865983">
        <w:fldChar w:fldCharType="separate"/>
      </w:r>
      <w:r w:rsidR="00865983" w:rsidRPr="00865983">
        <w:t>5</w:t>
      </w:r>
      <w:r w:rsidR="00D72590" w:rsidRPr="00865983">
        <w:fldChar w:fldCharType="end"/>
      </w:r>
      <w:r>
        <w:t>). La acea dată, derogarea prevăzută la art. 15 din Convenție nu mai era aplicabilă.</w:t>
      </w:r>
    </w:p>
    <w:p w14:paraId="56F5D4E3" w14:textId="5842BED8" w:rsidR="00D72590" w:rsidRPr="00865983" w:rsidRDefault="00B04292" w:rsidP="00865983">
      <w:pPr>
        <w:pStyle w:val="JuPara"/>
      </w:pPr>
      <w:fldSimple w:instr=" SEQ level0 \*arabic \* MERGEFORMAT ">
        <w:r w:rsidR="00865983" w:rsidRPr="00865983">
          <w:t>49</w:t>
        </w:r>
      </w:fldSimple>
      <w:r>
        <w:t>.  Prin urmare, Curtea va lua în considerare doar dispozițiile art. 9 din Convenție.</w:t>
      </w:r>
    </w:p>
    <w:p w14:paraId="2FF4FC4E" w14:textId="77777777" w:rsidR="00D72590" w:rsidRPr="00865983" w:rsidRDefault="00D72590" w:rsidP="00865983">
      <w:pPr>
        <w:pStyle w:val="JuHa0"/>
      </w:pPr>
      <w:r>
        <w:t>Principii generale</w:t>
      </w:r>
    </w:p>
    <w:p w14:paraId="64800F21" w14:textId="7B63AA0D" w:rsidR="00D72590" w:rsidRPr="00865983" w:rsidRDefault="00B04292" w:rsidP="00865983">
      <w:pPr>
        <w:pStyle w:val="JuPara"/>
      </w:pPr>
      <w:fldSimple w:instr=" SEQ level0 \*arabic \* MERGEFORMAT ">
        <w:r w:rsidR="00865983" w:rsidRPr="00865983">
          <w:t>50</w:t>
        </w:r>
      </w:fldSimple>
      <w:r>
        <w:t>.  Curtea reamintește că, astfel cum este apărată la art. 9 din Convenție, libertatea de gândire, de conștiință şi de religie reprezintă unul din fundamentele unei „societăți democratice” în sensul Convenției. Această libertate este, în dimensiunea sa religioasă, printre elementele cele mai esențiale ale identității credincioșilor și ale concepției lor despre viață, dar este și un bun prețios pentru atei, agnostici, sceptici sau indiferenți (</w:t>
      </w:r>
      <w:r>
        <w:rPr>
          <w:rFonts w:ascii="Palatino Linotype" w:hAnsi="Palatino Linotype"/>
          <w:i/>
          <w:color w:val="000000"/>
        </w:rPr>
        <w:t>Centrul societăților pentru conștiința lui Krishna în Rusia și</w:t>
      </w:r>
      <w:r>
        <w:rPr>
          <w:i/>
        </w:rPr>
        <w:t> Frolov împotriva Rusiei</w:t>
      </w:r>
      <w:r>
        <w:t xml:space="preserve">, nr. 37477/11, pct. 37, 23 noiembrie 2021). În joc se află pluralismul – obținut </w:t>
      </w:r>
      <w:r>
        <w:lastRenderedPageBreak/>
        <w:t>cu costuri mari de-a lungul secolelor – care nu poate fi disociat de o astfel de societate.  Această libertate implică, printre altele, pe cea de a adera sau nu la o religie și pe cea de a o practica sau nu [</w:t>
      </w:r>
      <w:r>
        <w:rPr>
          <w:i/>
        </w:rPr>
        <w:t>S.A.S. împotriva Franței</w:t>
      </w:r>
      <w:r>
        <w:t xml:space="preserve"> (MC)</w:t>
      </w:r>
      <w:r>
        <w:rPr>
          <w:i/>
        </w:rPr>
        <w:t>, nr.</w:t>
      </w:r>
      <w:r>
        <w:t xml:space="preserve"> 43835/11, pct. 124, CEDO 2014 (extrase) și </w:t>
      </w:r>
      <w:r>
        <w:rPr>
          <w:i/>
        </w:rPr>
        <w:t>Erlich și Kastro împotriva României</w:t>
      </w:r>
      <w:r>
        <w:t>, nr. 23735/16 și 23740/16, pct. 28, 9 iunie 2020].</w:t>
      </w:r>
    </w:p>
    <w:bookmarkStart w:id="33" w:name="para52"/>
    <w:p w14:paraId="1FD15A2E" w14:textId="59DCC8EA" w:rsidR="00D72590" w:rsidRPr="00865983" w:rsidRDefault="00D72590" w:rsidP="00865983">
      <w:pPr>
        <w:pStyle w:val="JuPara"/>
      </w:pPr>
      <w:r w:rsidRPr="00865983">
        <w:rPr>
          <w:rFonts w:eastAsia="Times New Roman"/>
        </w:rPr>
        <w:fldChar w:fldCharType="begin"/>
      </w:r>
      <w:r w:rsidRPr="00865983">
        <w:rPr>
          <w:rFonts w:eastAsia="Times New Roman"/>
        </w:rPr>
        <w:instrText xml:space="preserve"> SEQ level0 \*arabic </w:instrText>
      </w:r>
      <w:r w:rsidRPr="00865983">
        <w:rPr>
          <w:rFonts w:eastAsia="Times New Roman"/>
        </w:rPr>
        <w:fldChar w:fldCharType="separate"/>
      </w:r>
      <w:r w:rsidR="00865983" w:rsidRPr="00865983">
        <w:rPr>
          <w:rFonts w:eastAsia="Times New Roman"/>
        </w:rPr>
        <w:t>51</w:t>
      </w:r>
      <w:r w:rsidRPr="00865983">
        <w:rPr>
          <w:rFonts w:eastAsia="Times New Roman"/>
        </w:rPr>
        <w:fldChar w:fldCharType="end"/>
      </w:r>
      <w:bookmarkEnd w:id="33"/>
      <w:r>
        <w:t>.  În timp ce libertatea religioasă ține în primul rând de forul interior, aceasta implică, de asemenea, libertatea de a-și manifesta religia în mod individual și în particular, sau în mod colectiv, în public și în cercul celor care împărtășesc aceeași credință. Art. 9 din Convenție enumeră diferitele forme pe care le poate lua manifestarea unei religii sau convingeri, și anume cult, învățământ, practici și îndeplinirea ritualurilor [</w:t>
      </w:r>
      <w:r>
        <w:rPr>
          <w:i/>
          <w:iCs/>
        </w:rPr>
        <w:t>Cha’are Shalom Ve Tsedek împotriva Franței</w:t>
      </w:r>
      <w:r>
        <w:t xml:space="preserve"> (MC), nr. 27417/95, pct. 73, CEDO 2000-VII, </w:t>
      </w:r>
      <w:r>
        <w:rPr>
          <w:i/>
          <w:iCs/>
        </w:rPr>
        <w:t>Leyla Şahin împotriva Turciei</w:t>
      </w:r>
      <w:r>
        <w:t xml:space="preserve"> (MC), nr. 44774/98, pct. 105, CEDO 2005</w:t>
      </w:r>
      <w:r>
        <w:noBreakHyphen/>
        <w:t xml:space="preserve">XI și </w:t>
      </w:r>
      <w:r>
        <w:rPr>
          <w:i/>
        </w:rPr>
        <w:t>Erlich et Kastro</w:t>
      </w:r>
      <w:r>
        <w:t>, citată anterior, pct. 29].</w:t>
      </w:r>
    </w:p>
    <w:p w14:paraId="3D7D4D7C" w14:textId="4EDAB467" w:rsidR="00D72590" w:rsidRPr="00865983" w:rsidRDefault="00D72590" w:rsidP="00865983">
      <w:pPr>
        <w:pStyle w:val="JuPara"/>
      </w:pPr>
      <w:r w:rsidRPr="00865983">
        <w:rPr>
          <w:rFonts w:eastAsia="Times New Roman"/>
        </w:rPr>
        <w:fldChar w:fldCharType="begin"/>
      </w:r>
      <w:r w:rsidRPr="00865983">
        <w:rPr>
          <w:rFonts w:eastAsia="Times New Roman"/>
        </w:rPr>
        <w:instrText xml:space="preserve"> SEQ level0 \*arabic </w:instrText>
      </w:r>
      <w:r w:rsidRPr="00865983">
        <w:rPr>
          <w:rFonts w:eastAsia="Times New Roman"/>
        </w:rPr>
        <w:fldChar w:fldCharType="separate"/>
      </w:r>
      <w:r w:rsidR="00865983" w:rsidRPr="00865983">
        <w:rPr>
          <w:rFonts w:eastAsia="Times New Roman"/>
        </w:rPr>
        <w:t>52</w:t>
      </w:r>
      <w:r w:rsidRPr="00865983">
        <w:rPr>
          <w:rFonts w:eastAsia="Times New Roman"/>
        </w:rPr>
        <w:fldChar w:fldCharType="end"/>
      </w:r>
      <w:r>
        <w:t>.  Într-o societate democratică, în care mai multe religii coexistă în cadrul aceleiași populații, se poate dovedi necesar ca libertatea de a-și manifesta religia sau convingerile să fie însoțită de anumite limitări pentru a concilia interesele diferitelor grupuri și pentru a asigura respectarea convingerilor tuturor (</w:t>
      </w:r>
      <w:r>
        <w:rPr>
          <w:i/>
        </w:rPr>
        <w:t>Kokkinakis împotriva Greciei</w:t>
      </w:r>
      <w:r>
        <w:t xml:space="preserve">, 25 mai 1993, pct. 33 </w:t>
      </w:r>
      <w:r>
        <w:rPr>
          <w:i/>
        </w:rPr>
        <w:t>in fine</w:t>
      </w:r>
      <w:r>
        <w:t>, seria A nr. 260</w:t>
      </w:r>
      <w:r>
        <w:noBreakHyphen/>
        <w:t>A). Acest lucru rezultă atât din art. 9 § 2, cât și din obligațiile pozitive care revin statului în temeiul art. 1 din Convenție, de a recunoaște oricărei persoane aflate sub jurisdicția sa drepturile și libertățile definite în aceasta (</w:t>
      </w:r>
      <w:r>
        <w:rPr>
          <w:i/>
        </w:rPr>
        <w:t>Leyla Şahin</w:t>
      </w:r>
      <w:r>
        <w:t xml:space="preserve">, citată anterior, pct. 106 și </w:t>
      </w:r>
      <w:r>
        <w:rPr>
          <w:i/>
        </w:rPr>
        <w:t>Erlich și Kastro</w:t>
      </w:r>
      <w:r>
        <w:t>, citată anterior, pct. 30).</w:t>
      </w:r>
    </w:p>
    <w:bookmarkStart w:id="34" w:name="para_32"/>
    <w:bookmarkStart w:id="35" w:name="para54"/>
    <w:p w14:paraId="0B125F6C" w14:textId="2D789598" w:rsidR="00D72590" w:rsidRPr="00865983" w:rsidRDefault="00D72590" w:rsidP="00865983">
      <w:pPr>
        <w:pStyle w:val="JuPara"/>
      </w:pPr>
      <w:r w:rsidRPr="00865983">
        <w:rPr>
          <w:rFonts w:eastAsia="Times New Roman"/>
        </w:rPr>
        <w:fldChar w:fldCharType="begin"/>
      </w:r>
      <w:r w:rsidRPr="00865983">
        <w:rPr>
          <w:rFonts w:eastAsia="Times New Roman"/>
        </w:rPr>
        <w:instrText xml:space="preserve"> SEQ level0 \*arabic </w:instrText>
      </w:r>
      <w:r w:rsidRPr="00865983">
        <w:rPr>
          <w:rFonts w:eastAsia="Times New Roman"/>
        </w:rPr>
        <w:fldChar w:fldCharType="separate"/>
      </w:r>
      <w:r w:rsidR="00865983" w:rsidRPr="00865983">
        <w:rPr>
          <w:rFonts w:eastAsia="Times New Roman"/>
        </w:rPr>
        <w:t>53</w:t>
      </w:r>
      <w:r w:rsidRPr="00865983">
        <w:rPr>
          <w:rFonts w:eastAsia="Times New Roman"/>
        </w:rPr>
        <w:fldChar w:fldCharType="end"/>
      </w:r>
      <w:bookmarkEnd w:id="34"/>
      <w:bookmarkEnd w:id="35"/>
      <w:r>
        <w:t>.  Trebuie reamintit, de asemenea, rolul subsidiar fundamental al mecanismului Convenției. Autoritățile naționale se bucură de o legitimitate democratică directă și, așa cum Curtea a declarat în mod repetat, sunt în principiu mai în măsură decât instanța internațională pentru a se pronunța cu privire la necesitățile și contextele locale. Atunci când sunt în joc probleme de politică generală, asupra cărora pot exista în mod rezonabil divergențe profunde într-un stat democratic, trebuie să se acorde o importanță specială rolului decidentului național. În ceea ce privește art. 9 din Convenție, este oportun, în principiu, să se acorde statului o largă marjă de apreciere pentru a decide dacă și în ce măsură este „necesară” o restrângere a dreptului de a-și manifesta religia sau convingerea (</w:t>
      </w:r>
      <w:r>
        <w:rPr>
          <w:i/>
          <w:iCs/>
        </w:rPr>
        <w:t>S.A.S. împotriva Franței</w:t>
      </w:r>
      <w:r>
        <w:t xml:space="preserve">, citată anterior, pct. 129). Astfel, pentru a stabili dimensiunea marjei de apreciere într-o cauză dată, Curtea trebuie totodată să ia în considerare problema specifică din cauza respectivă (a se vedea, în special, </w:t>
      </w:r>
      <w:r>
        <w:rPr>
          <w:i/>
        </w:rPr>
        <w:t>Manoussakis și alții împotriva Greciei</w:t>
      </w:r>
      <w:r>
        <w:t xml:space="preserve">, 26 septembrie 1996, pct. 44, </w:t>
      </w:r>
      <w:r>
        <w:rPr>
          <w:i/>
          <w:iCs/>
        </w:rPr>
        <w:t>Culegere de hotărâri și decizii</w:t>
      </w:r>
      <w:r>
        <w:t xml:space="preserve"> 1996</w:t>
      </w:r>
      <w:r>
        <w:noBreakHyphen/>
        <w:t xml:space="preserve">IV; </w:t>
      </w:r>
      <w:r>
        <w:rPr>
          <w:i/>
        </w:rPr>
        <w:t>Leyla Şahin</w:t>
      </w:r>
      <w:r>
        <w:t xml:space="preserve">, citată anterior, pct. 110 și </w:t>
      </w:r>
      <w:r>
        <w:rPr>
          <w:i/>
        </w:rPr>
        <w:t>Erlich et Kastro</w:t>
      </w:r>
      <w:r>
        <w:t>, citată anterior, pct. 31).</w:t>
      </w:r>
    </w:p>
    <w:p w14:paraId="5AE36FC0" w14:textId="6026C42A" w:rsidR="00D72590" w:rsidRPr="00865983" w:rsidRDefault="00D72590" w:rsidP="00865983">
      <w:pPr>
        <w:pStyle w:val="JuPara"/>
      </w:pPr>
      <w:r w:rsidRPr="00865983">
        <w:rPr>
          <w:rFonts w:eastAsia="Times New Roman"/>
        </w:rPr>
        <w:fldChar w:fldCharType="begin"/>
      </w:r>
      <w:r w:rsidRPr="00865983">
        <w:rPr>
          <w:rFonts w:eastAsia="Times New Roman"/>
        </w:rPr>
        <w:instrText xml:space="preserve"> SEQ level0 \*arabic </w:instrText>
      </w:r>
      <w:r w:rsidRPr="00865983">
        <w:rPr>
          <w:rFonts w:eastAsia="Times New Roman"/>
        </w:rPr>
        <w:fldChar w:fldCharType="separate"/>
      </w:r>
      <w:r w:rsidR="00865983" w:rsidRPr="00865983">
        <w:rPr>
          <w:rFonts w:eastAsia="Times New Roman"/>
        </w:rPr>
        <w:t>54</w:t>
      </w:r>
      <w:r w:rsidRPr="00865983">
        <w:rPr>
          <w:rFonts w:eastAsia="Times New Roman"/>
        </w:rPr>
        <w:fldChar w:fldCharType="end"/>
      </w:r>
      <w:r>
        <w:t xml:space="preserve">.  Deși limita dintre obligațiile pozitive și negative ale statului în raport cu Convenția nu se pretează unei definiri precise, principiile aplicabile sunt totuși comparabile.  În special, în cele două cazuri, trebuie luat în considerare justul echilibru de menținut între interesul general și interesele individuale, </w:t>
      </w:r>
      <w:r>
        <w:lastRenderedPageBreak/>
        <w:t>statul beneficiind în orice situație de o marjă de apreciere [</w:t>
      </w:r>
      <w:r>
        <w:rPr>
          <w:i/>
          <w:iCs/>
        </w:rPr>
        <w:t>Eweida și alții împotriva Regatului Unit</w:t>
      </w:r>
      <w:r>
        <w:t xml:space="preserve">, nr. 48420/10 și alte 3 cereri, pct. 84 </w:t>
      </w:r>
      <w:r>
        <w:rPr>
          <w:i/>
          <w:iCs/>
        </w:rPr>
        <w:t xml:space="preserve">in fine , </w:t>
      </w:r>
      <w:r>
        <w:t xml:space="preserve">CEDO 2013 (extrase) și </w:t>
      </w:r>
      <w:r>
        <w:rPr>
          <w:i/>
        </w:rPr>
        <w:t>Erlich și Kastro</w:t>
      </w:r>
      <w:r>
        <w:t>, citată anterior, pct. 32].</w:t>
      </w:r>
    </w:p>
    <w:p w14:paraId="6242F775" w14:textId="51F4D380" w:rsidR="00D72590" w:rsidRPr="00865983" w:rsidRDefault="00D72590" w:rsidP="00865983">
      <w:pPr>
        <w:pStyle w:val="JuPara"/>
        <w:rPr>
          <w:rFonts w:ascii="Arial" w:hAnsi="Arial" w:cs="Arial"/>
          <w:b/>
          <w:bCs/>
          <w:color w:val="000000"/>
        </w:rPr>
      </w:pPr>
      <w:fldSimple w:instr=" SEQ level0 \*arabic ">
        <w:r w:rsidR="00865983" w:rsidRPr="00865983">
          <w:t>55</w:t>
        </w:r>
      </w:fldSimple>
      <w:r>
        <w:t>.  În cele din urmă, Curtea a clarificat recent, în contextul scutirii de serviciul militar, că, atunci când o persoană solicită o scutire specială pe baza credințelor sau convingerilor sale religioase, nu este inadecvat sau fundamental contrar libertății de conștiință să i se ceară o dovadă a seriozității convingerilor sale și, în absența unei astfel de justificări, să se ajungă la o concluzie negativă (</w:t>
      </w:r>
      <w:r>
        <w:rPr>
          <w:i/>
          <w:iCs/>
        </w:rPr>
        <w:t>Dyagilev împotriva Rusiei</w:t>
      </w:r>
      <w:r>
        <w:t>, nr. 49972/16, pct. 62, 10 martie 2020, cu trimiterile citate).</w:t>
      </w:r>
    </w:p>
    <w:p w14:paraId="756A7E81" w14:textId="3F829088" w:rsidR="00D72590" w:rsidRPr="00865983" w:rsidRDefault="00D72590" w:rsidP="00865983">
      <w:pPr>
        <w:pStyle w:val="JuHa0"/>
      </w:pPr>
      <w:r>
        <w:t>Aplicarea în speță a principiilor generale sus-menționate</w:t>
      </w:r>
    </w:p>
    <w:bookmarkStart w:id="36" w:name="para57"/>
    <w:p w14:paraId="5B086353" w14:textId="07D2D126" w:rsidR="00D72590" w:rsidRPr="00865983" w:rsidRDefault="00D72590" w:rsidP="00865983">
      <w:pPr>
        <w:pStyle w:val="JuPara"/>
      </w:pPr>
      <w:r w:rsidRPr="00865983">
        <w:fldChar w:fldCharType="begin"/>
      </w:r>
      <w:r w:rsidRPr="00865983">
        <w:instrText xml:space="preserve"> SEQ level0 \*arabic </w:instrText>
      </w:r>
      <w:r w:rsidRPr="00865983">
        <w:fldChar w:fldCharType="separate"/>
      </w:r>
      <w:r w:rsidR="00865983" w:rsidRPr="00865983">
        <w:t>56</w:t>
      </w:r>
      <w:r w:rsidRPr="00865983">
        <w:fldChar w:fldCharType="end"/>
      </w:r>
      <w:bookmarkEnd w:id="36"/>
      <w:r>
        <w:t xml:space="preserve">.  Curtea reține de la bun început că în observațiile sale, Guvernul indică faptul că reclamantul s-a declarat creștin ortodox la momentul încarcerării sale, că ulterior a formulat cereri specifice în legătură cu alte religii și că nu a furnizat dovezi ale convertirii sale sau ale apartenenței la Biserica Adventistă (supra, pct. </w:t>
      </w:r>
      <w:r w:rsidRPr="00865983">
        <w:fldChar w:fldCharType="begin"/>
      </w:r>
      <w:r w:rsidRPr="00865983">
        <w:instrText xml:space="preserve"> REF para33 \h </w:instrText>
      </w:r>
      <w:r w:rsidRPr="00865983">
        <w:fldChar w:fldCharType="separate"/>
      </w:r>
      <w:r w:rsidR="00865983" w:rsidRPr="00865983">
        <w:t>33</w:t>
      </w:r>
      <w:r w:rsidRPr="00865983">
        <w:fldChar w:fldCharType="end"/>
      </w:r>
      <w:r>
        <w:t xml:space="preserve">). Cu toate acestea, observă că autoritățile naționale nu au pus niciodată la îndoială apartenența religioasă a reclamantului (supra, pct. </w:t>
      </w:r>
      <w:r w:rsidRPr="00865983">
        <w:fldChar w:fldCharType="begin"/>
      </w:r>
      <w:r w:rsidRPr="00865983">
        <w:instrText xml:space="preserve"> REF para8 \h </w:instrText>
      </w:r>
      <w:r w:rsidRPr="00865983">
        <w:fldChar w:fldCharType="separate"/>
      </w:r>
      <w:r w:rsidR="00865983" w:rsidRPr="00865983">
        <w:t>8</w:t>
      </w:r>
      <w:r w:rsidRPr="00865983">
        <w:fldChar w:fldCharType="end"/>
      </w:r>
      <w:r>
        <w:t xml:space="preserve"> și </w:t>
      </w:r>
      <w:r w:rsidRPr="00865983">
        <w:fldChar w:fldCharType="begin"/>
      </w:r>
      <w:r w:rsidRPr="00865983">
        <w:instrText xml:space="preserve"> REF para10 \h </w:instrText>
      </w:r>
      <w:r w:rsidRPr="00865983">
        <w:fldChar w:fldCharType="separate"/>
      </w:r>
      <w:r w:rsidR="00865983" w:rsidRPr="00865983">
        <w:t>10</w:t>
      </w:r>
      <w:r w:rsidRPr="00865983">
        <w:fldChar w:fldCharType="end"/>
      </w:r>
      <w:r>
        <w:t>). În plus, aceasta nu distinge niciun element de natură să pună la îndoială autenticitatea convingerilor religioase ale persoanei în cauză [</w:t>
      </w:r>
      <w:r>
        <w:rPr>
          <w:i/>
        </w:rPr>
        <w:t>Vartic împotriva României (nr. 2)</w:t>
      </w:r>
      <w:r>
        <w:t>, nr. 14150/08</w:t>
      </w:r>
      <w:r>
        <w:rPr>
          <w:snapToGrid w:val="0"/>
        </w:rPr>
        <w:t xml:space="preserve">, pct. 46, 17 </w:t>
      </w:r>
      <w:r>
        <w:t>decembrie</w:t>
      </w:r>
      <w:r>
        <w:rPr>
          <w:snapToGrid w:val="0"/>
        </w:rPr>
        <w:t xml:space="preserve"> 2013].</w:t>
      </w:r>
    </w:p>
    <w:bookmarkStart w:id="37" w:name="para58"/>
    <w:p w14:paraId="100FDAF7" w14:textId="35F7C1AC"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57</w:t>
      </w:r>
      <w:r w:rsidRPr="00865983">
        <w:fldChar w:fldCharType="end"/>
      </w:r>
      <w:bookmarkEnd w:id="37"/>
      <w:r>
        <w:t xml:space="preserve">.  Reclamantul se plânge de faptul că i-a fost încălcat dreptul la respectarea religiei sale (supra, pct. </w:t>
      </w:r>
      <w:r w:rsidRPr="00865983">
        <w:fldChar w:fldCharType="begin"/>
      </w:r>
      <w:r w:rsidRPr="00865983">
        <w:instrText xml:space="preserve"> REF para_29 \h </w:instrText>
      </w:r>
      <w:r w:rsidRPr="00865983">
        <w:fldChar w:fldCharType="separate"/>
      </w:r>
      <w:r w:rsidR="00865983" w:rsidRPr="00865983">
        <w:t>29</w:t>
      </w:r>
      <w:r w:rsidRPr="00865983">
        <w:fldChar w:fldCharType="end"/>
      </w:r>
      <w:r>
        <w:t xml:space="preserve">). El precizează că această ingerință a rezultat din refuzul administrației penitenciarului Jilava de a-i acorda permisiunea de a merge la o biserică adventistă situată în sectorul 4 din București pentru a participa la serviciul religios de Sabat (supra, pct. </w:t>
      </w:r>
      <w:r w:rsidRPr="00865983">
        <w:fldChar w:fldCharType="begin"/>
      </w:r>
      <w:r w:rsidRPr="00865983">
        <w:instrText xml:space="preserve"> REF para05 \h </w:instrText>
      </w:r>
      <w:r w:rsidRPr="00865983">
        <w:fldChar w:fldCharType="separate"/>
      </w:r>
      <w:r w:rsidR="00865983" w:rsidRPr="00865983">
        <w:t>5</w:t>
      </w:r>
      <w:r w:rsidRPr="00865983">
        <w:fldChar w:fldCharType="end"/>
      </w:r>
      <w:r>
        <w:t xml:space="preserve">). Curtea reține că, înainte de debutul crizei sanitare, autoritățile penitenciare i-au permis reclamantului să meargă la biserică, în conformitate cu reglementările în vigoare (supra, pct. </w:t>
      </w:r>
      <w:r w:rsidRPr="00865983">
        <w:fldChar w:fldCharType="begin"/>
      </w:r>
      <w:r w:rsidRPr="00865983">
        <w:instrText xml:space="preserve"> REF para04 \h </w:instrText>
      </w:r>
      <w:r w:rsidRPr="00865983">
        <w:fldChar w:fldCharType="separate"/>
      </w:r>
      <w:r w:rsidR="00865983" w:rsidRPr="00865983">
        <w:t>4</w:t>
      </w:r>
      <w:r w:rsidRPr="00865983">
        <w:fldChar w:fldCharType="end"/>
      </w:r>
      <w:r>
        <w:t xml:space="preserve">). Prin urmare, aceasta acceptă că faptele denunțate de persoana în cauză constituie o ingerință în dreptul său protejat de art. 9 din Convenție. Aceasta notează că Guvernul nu contestă acest lucru și că argumentele sale, potrivit cărora refuzul de a da curs cererii reclamantului nu a afectat substanța dreptului acestuia, țin mai degrabă de o justificare a acestei ingerințe (supra, pct. </w:t>
      </w:r>
      <w:r w:rsidRPr="00865983">
        <w:fldChar w:fldCharType="begin"/>
      </w:r>
      <w:r w:rsidRPr="00865983">
        <w:instrText xml:space="preserve"> REF para_34 \h </w:instrText>
      </w:r>
      <w:r w:rsidRPr="00865983">
        <w:fldChar w:fldCharType="separate"/>
      </w:r>
      <w:r w:rsidR="00865983" w:rsidRPr="00865983">
        <w:t>34</w:t>
      </w:r>
      <w:r w:rsidRPr="00865983">
        <w:fldChar w:fldCharType="end"/>
      </w:r>
      <w:r>
        <w:t>).</w:t>
      </w:r>
    </w:p>
    <w:p w14:paraId="3DCDCBF6" w14:textId="7AC857A0" w:rsidR="00D72590" w:rsidRPr="00865983" w:rsidRDefault="00B04292" w:rsidP="00865983">
      <w:pPr>
        <w:pStyle w:val="JuPara"/>
      </w:pPr>
      <w:fldSimple w:instr=" SEQ level0 \*arabic \* MERGEFORMAT ">
        <w:r w:rsidR="00865983" w:rsidRPr="00865983">
          <w:t>58</w:t>
        </w:r>
      </w:fldSimple>
      <w:r>
        <w:t>.  Prin urmare, Curtea trebuie să examineze dacă această ingerință a îndeplinit condițiile prevăzute la art. 9 § 2 din Convenție, în special dacă era „prevăzută de lege”, dacă urmărea un „scop legitim” și dacă era „necesară într-o societate democratică”.</w:t>
      </w:r>
    </w:p>
    <w:p w14:paraId="1B166BB8" w14:textId="2B03A218" w:rsidR="00D72590" w:rsidRPr="00865983" w:rsidRDefault="00D72590" w:rsidP="00865983">
      <w:pPr>
        <w:pStyle w:val="JuHi"/>
      </w:pPr>
      <w:r>
        <w:t>Ingerința era prevăzută de lege?</w:t>
      </w:r>
    </w:p>
    <w:p w14:paraId="5610ECA3" w14:textId="78623D22" w:rsidR="00D72590" w:rsidRPr="00865983" w:rsidRDefault="00B04292" w:rsidP="00865983">
      <w:pPr>
        <w:pStyle w:val="JuPara"/>
      </w:pPr>
      <w:fldSimple w:instr=" SEQ level0 \*arabic \* MERGEFORMAT ">
        <w:r w:rsidR="00865983" w:rsidRPr="00865983">
          <w:t>59</w:t>
        </w:r>
      </w:fldSimple>
      <w:r>
        <w:t xml:space="preserve">.  În primul rând, Curtea observă că reclamantul invocă faptul că ingerința pe care a suferit-o nu era prevăzută de lege (supra, pct. </w:t>
      </w:r>
      <w:r w:rsidR="00D72590" w:rsidRPr="00865983">
        <w:fldChar w:fldCharType="begin"/>
      </w:r>
      <w:r w:rsidR="00D72590" w:rsidRPr="00865983">
        <w:instrText xml:space="preserve"> REF para_29 \h </w:instrText>
      </w:r>
      <w:r w:rsidR="00D72590" w:rsidRPr="00865983">
        <w:fldChar w:fldCharType="separate"/>
      </w:r>
      <w:r w:rsidR="00865983" w:rsidRPr="00865983">
        <w:t>29</w:t>
      </w:r>
      <w:r w:rsidR="00D72590" w:rsidRPr="00865983">
        <w:fldChar w:fldCharType="end"/>
      </w:r>
      <w:r>
        <w:t xml:space="preserve">). În această privință, amintește că principiile relevante în acest domeniu sunt </w:t>
      </w:r>
      <w:r>
        <w:lastRenderedPageBreak/>
        <w:t xml:space="preserve">rezumate în hotărârea </w:t>
      </w:r>
      <w:r>
        <w:rPr>
          <w:i/>
        </w:rPr>
        <w:t>Kudrevičius și alții împotriva Lituaniei</w:t>
      </w:r>
      <w:r>
        <w:t xml:space="preserve"> [(MC), nr. 37553/05, pct. 108-110, CEDO 2015]. Curtea nu împărtășește punctul de vedere al reclamantului conform căruia acesta are un drept absolut de a se deplasa în interiorul și în afara penitenciarului (supra, pct. </w:t>
      </w:r>
      <w:r w:rsidR="00D72590" w:rsidRPr="00865983">
        <w:fldChar w:fldCharType="begin"/>
      </w:r>
      <w:r w:rsidR="00D72590" w:rsidRPr="00865983">
        <w:instrText xml:space="preserve"> REF para30 \h </w:instrText>
      </w:r>
      <w:r w:rsidR="00D72590" w:rsidRPr="00865983">
        <w:fldChar w:fldCharType="separate"/>
      </w:r>
      <w:r w:rsidR="00865983" w:rsidRPr="00865983">
        <w:t>30</w:t>
      </w:r>
      <w:r w:rsidR="00D72590" w:rsidRPr="00865983">
        <w:fldChar w:fldCharType="end"/>
      </w:r>
      <w:r>
        <w:t xml:space="preserve">). Aceasta reține că art. 38 din Legea nr. 254/2013 acordă persoanelor private de libertate care își execută pedeapsa în regim deschis posibilitatea, în anumite condiții, de a desfășura activități, inclusiv activități religioase, în afara unității penitenciare (supra, pct. </w:t>
      </w:r>
      <w:r w:rsidR="00D72590" w:rsidRPr="00865983">
        <w:fldChar w:fldCharType="begin"/>
      </w:r>
      <w:r w:rsidR="00D72590" w:rsidRPr="00865983">
        <w:instrText xml:space="preserve"> REF para_13 \h </w:instrText>
      </w:r>
      <w:r w:rsidR="00D72590" w:rsidRPr="00865983">
        <w:fldChar w:fldCharType="separate"/>
      </w:r>
      <w:r w:rsidR="00865983" w:rsidRPr="00865983">
        <w:t>13</w:t>
      </w:r>
      <w:r w:rsidR="00D72590" w:rsidRPr="00865983">
        <w:fldChar w:fldCharType="end"/>
      </w:r>
      <w:r>
        <w:t xml:space="preserve">). De asemenea, observă că judecătorii interni au indicat că exercitarea drepturilor persoanelor private de libertate ar putea fi restrânsă în perioada pandemiei de Covid-19 (supra, pct. </w:t>
      </w:r>
      <w:r w:rsidR="00D72590" w:rsidRPr="00865983">
        <w:fldChar w:fldCharType="begin"/>
      </w:r>
      <w:r w:rsidR="00D72590" w:rsidRPr="00865983">
        <w:instrText xml:space="preserve"> REF para8 \h </w:instrText>
      </w:r>
      <w:r w:rsidR="00D72590" w:rsidRPr="00865983">
        <w:fldChar w:fldCharType="separate"/>
      </w:r>
      <w:r w:rsidR="00865983" w:rsidRPr="00865983">
        <w:t>8</w:t>
      </w:r>
      <w:r w:rsidR="00D72590" w:rsidRPr="00865983">
        <w:fldChar w:fldCharType="end"/>
      </w:r>
      <w:r>
        <w:t xml:space="preserve"> și </w:t>
      </w:r>
      <w:r w:rsidR="00D72590" w:rsidRPr="00865983">
        <w:fldChar w:fldCharType="begin"/>
      </w:r>
      <w:r w:rsidR="00D72590" w:rsidRPr="00865983">
        <w:instrText xml:space="preserve"> REF para10 \h </w:instrText>
      </w:r>
      <w:r w:rsidR="00D72590" w:rsidRPr="00865983">
        <w:fldChar w:fldCharType="separate"/>
      </w:r>
      <w:r w:rsidR="00865983" w:rsidRPr="00865983">
        <w:t>10</w:t>
      </w:r>
      <w:r w:rsidR="00D72590" w:rsidRPr="00865983">
        <w:fldChar w:fldCharType="end"/>
      </w:r>
      <w:r>
        <w:t xml:space="preserve">). </w:t>
      </w:r>
    </w:p>
    <w:p w14:paraId="1BC594CC" w14:textId="4AA65319" w:rsidR="00D72590" w:rsidRPr="00865983" w:rsidRDefault="00B04292" w:rsidP="00865983">
      <w:pPr>
        <w:pStyle w:val="JuPara"/>
      </w:pPr>
      <w:fldSimple w:instr=" SEQ level0 \*arabic \* MERGEFORMAT ">
        <w:r w:rsidR="00865983" w:rsidRPr="00865983">
          <w:t>60</w:t>
        </w:r>
      </w:fldSimple>
      <w:r>
        <w:t xml:space="preserve">.  De asemenea, Curtea reține că judecătorii interni au considerat că restrângerea dreptului reclamantului de a desfășura activități în afara penitenciarului decurge din Legea nr.55/2020 (supra, pct. </w:t>
      </w:r>
      <w:r w:rsidR="00D72590" w:rsidRPr="00865983">
        <w:rPr>
          <w:rFonts w:cstheme="minorHAnsi"/>
        </w:rPr>
        <w:fldChar w:fldCharType="begin"/>
      </w:r>
      <w:r w:rsidR="00D72590" w:rsidRPr="00865983">
        <w:rPr>
          <w:rFonts w:cstheme="minorHAnsi"/>
        </w:rPr>
        <w:instrText xml:space="preserve"> REF para8 \h </w:instrText>
      </w:r>
      <w:r w:rsidR="00D72590" w:rsidRPr="00865983">
        <w:rPr>
          <w:rFonts w:cstheme="minorHAnsi"/>
        </w:rPr>
      </w:r>
      <w:r w:rsidR="00D72590" w:rsidRPr="00865983">
        <w:rPr>
          <w:rFonts w:cstheme="minorHAnsi"/>
        </w:rPr>
        <w:fldChar w:fldCharType="separate"/>
      </w:r>
      <w:r w:rsidR="00865983" w:rsidRPr="00865983">
        <w:t>8</w:t>
      </w:r>
      <w:r w:rsidR="00D72590" w:rsidRPr="00865983">
        <w:rPr>
          <w:rFonts w:cstheme="minorHAnsi"/>
        </w:rPr>
        <w:fldChar w:fldCharType="end"/>
      </w:r>
      <w:r>
        <w:t xml:space="preserve"> și </w:t>
      </w:r>
      <w:r w:rsidR="00D72590" w:rsidRPr="00865983">
        <w:rPr>
          <w:rFonts w:cstheme="minorHAnsi"/>
        </w:rPr>
        <w:fldChar w:fldCharType="begin"/>
      </w:r>
      <w:r w:rsidR="00D72590" w:rsidRPr="00865983">
        <w:rPr>
          <w:rFonts w:cstheme="minorHAnsi"/>
        </w:rPr>
        <w:instrText xml:space="preserve"> REF para_16 \h </w:instrText>
      </w:r>
      <w:r w:rsidR="00D72590" w:rsidRPr="00865983">
        <w:rPr>
          <w:rFonts w:cstheme="minorHAnsi"/>
        </w:rPr>
      </w:r>
      <w:r w:rsidR="00D72590" w:rsidRPr="00865983">
        <w:rPr>
          <w:rFonts w:cstheme="minorHAnsi"/>
        </w:rPr>
        <w:fldChar w:fldCharType="separate"/>
      </w:r>
      <w:r w:rsidR="00865983" w:rsidRPr="00865983">
        <w:rPr>
          <w:rFonts w:cstheme="minorHAnsi"/>
          <w:color w:val="000000"/>
        </w:rPr>
        <w:t>16</w:t>
      </w:r>
      <w:r w:rsidR="00D72590" w:rsidRPr="00865983">
        <w:rPr>
          <w:rFonts w:cstheme="minorHAnsi"/>
        </w:rPr>
        <w:fldChar w:fldCharType="end"/>
      </w:r>
      <w:r>
        <w:t>-</w:t>
      </w:r>
      <w:r w:rsidR="00D72590" w:rsidRPr="00865983">
        <w:rPr>
          <w:rFonts w:cstheme="minorHAnsi"/>
        </w:rPr>
        <w:fldChar w:fldCharType="begin"/>
      </w:r>
      <w:r w:rsidR="00D72590" w:rsidRPr="00865983">
        <w:rPr>
          <w:rFonts w:cstheme="minorHAnsi"/>
        </w:rPr>
        <w:instrText xml:space="preserve"> REF para17 \h </w:instrText>
      </w:r>
      <w:r w:rsidR="00D72590" w:rsidRPr="00865983">
        <w:rPr>
          <w:rFonts w:cstheme="minorHAnsi"/>
        </w:rPr>
      </w:r>
      <w:r w:rsidR="00D72590" w:rsidRPr="00865983">
        <w:rPr>
          <w:rFonts w:cstheme="minorHAnsi"/>
        </w:rPr>
        <w:fldChar w:fldCharType="separate"/>
      </w:r>
      <w:r w:rsidR="00865983" w:rsidRPr="00865983">
        <w:t>17</w:t>
      </w:r>
      <w:r w:rsidR="00D72590" w:rsidRPr="00865983">
        <w:rPr>
          <w:rFonts w:cstheme="minorHAnsi"/>
        </w:rPr>
        <w:fldChar w:fldCharType="end"/>
      </w:r>
      <w:r>
        <w:t>). Argumentul reclamantului conform căruia restrângerea aplicată dreptului său nu derivă din dreptul primar trebuie, așadar, respins (</w:t>
      </w:r>
      <w:r>
        <w:rPr>
          <w:i/>
          <w:iCs/>
        </w:rPr>
        <w:t>supra</w:t>
      </w:r>
      <w:r>
        <w:t xml:space="preserve">, pct. </w:t>
      </w:r>
      <w:r w:rsidR="00D72590" w:rsidRPr="00865983">
        <w:fldChar w:fldCharType="begin"/>
      </w:r>
      <w:r w:rsidR="00D72590" w:rsidRPr="00865983">
        <w:instrText xml:space="preserve"> REF para_29 \h </w:instrText>
      </w:r>
      <w:r w:rsidR="00D72590" w:rsidRPr="00865983">
        <w:fldChar w:fldCharType="separate"/>
      </w:r>
      <w:r w:rsidR="00865983" w:rsidRPr="00865983">
        <w:t>29</w:t>
      </w:r>
      <w:r w:rsidR="00D72590" w:rsidRPr="00865983">
        <w:fldChar w:fldCharType="end"/>
      </w:r>
      <w:r>
        <w:t xml:space="preserve">). În plus, Curtea constată că argumentul reclamantului întemeiat pe jurisprudența Curții Constituționale se referă la o decizie care vizează o altă situație de fapt și că reclamantul nu a invocat-o în fața instanțelor interne (a se vedea, </w:t>
      </w:r>
      <w:r>
        <w:rPr>
          <w:i/>
        </w:rPr>
        <w:t xml:space="preserve">mutatis mutandis, </w:t>
      </w:r>
      <w:r>
        <w:rPr>
          <w:i/>
          <w:color w:val="000000"/>
        </w:rPr>
        <w:t>Neagu împotriva României</w:t>
      </w:r>
      <w:r>
        <w:rPr>
          <w:color w:val="000000"/>
        </w:rPr>
        <w:t>, nr. 21969/15, pct. 36, 10 novembre 2020</w:t>
      </w:r>
      <w:r>
        <w:t>).</w:t>
      </w:r>
      <w:r>
        <w:rPr>
          <w:color w:val="000000"/>
        </w:rPr>
        <w:t xml:space="preserve"> </w:t>
      </w:r>
      <w:r>
        <w:t>Întrucât decizia Curții Constituționale era anterioară faptelor în speță, reclamantul era liber să invoce în fața instanțelor interne argumentele sale întemeiate pe absența unui temei juridic pentru ingerința în cauză.</w:t>
      </w:r>
    </w:p>
    <w:p w14:paraId="27834C6C" w14:textId="0397F734" w:rsidR="00D72590" w:rsidRPr="00865983" w:rsidRDefault="00B04292" w:rsidP="00865983">
      <w:pPr>
        <w:pStyle w:val="JuPara"/>
      </w:pPr>
      <w:fldSimple w:instr=" SEQ level0 \*arabic \* MERGEFORMAT ">
        <w:r w:rsidR="00865983" w:rsidRPr="00865983">
          <w:t>61</w:t>
        </w:r>
      </w:fldSimple>
      <w:r>
        <w:t xml:space="preserve">.  În plus, Curtea nu identifică în prezenta cauză niciun element care ar putea pune la îndoială accesibilitatea sau previzibilitatea legii în cauză și constată, de asemenea, că partea interesată nu pune în discuție calitatea acestei legi. În acest sens, constată că art. 61 din Legea 55/2020 conține dispoziții care permit introducerea unor restricții de ieșire din penitenciare din cauza pandemiei Covid-19 (supra, pct. </w:t>
      </w:r>
      <w:r w:rsidR="00D72590" w:rsidRPr="00865983">
        <w:fldChar w:fldCharType="begin"/>
      </w:r>
      <w:r w:rsidR="00D72590" w:rsidRPr="00865983">
        <w:instrText xml:space="preserve"> REF para17 \h </w:instrText>
      </w:r>
      <w:r w:rsidR="00D72590" w:rsidRPr="00865983">
        <w:fldChar w:fldCharType="separate"/>
      </w:r>
      <w:r w:rsidR="00865983" w:rsidRPr="00865983">
        <w:t>17</w:t>
      </w:r>
      <w:r w:rsidR="00D72590" w:rsidRPr="00865983">
        <w:fldChar w:fldCharType="end"/>
      </w:r>
      <w:r>
        <w:t xml:space="preserve">). Faptul că legea deleagă directorului general al ANP posibilitatea de a pune în aplicare astfel de măsuri (supra, pct. </w:t>
      </w:r>
      <w:r w:rsidR="00D72590" w:rsidRPr="00865983">
        <w:fldChar w:fldCharType="begin"/>
      </w:r>
      <w:r w:rsidR="00D72590" w:rsidRPr="00865983">
        <w:instrText xml:space="preserve"> REF para17 \h </w:instrText>
      </w:r>
      <w:r w:rsidR="00D72590" w:rsidRPr="00865983">
        <w:fldChar w:fldCharType="separate"/>
      </w:r>
      <w:r w:rsidR="00865983" w:rsidRPr="00865983">
        <w:t>17</w:t>
      </w:r>
      <w:r w:rsidR="00D72590" w:rsidRPr="00865983">
        <w:fldChar w:fldCharType="end"/>
      </w:r>
      <w:r>
        <w:t>-</w:t>
      </w:r>
      <w:r w:rsidR="00D72590" w:rsidRPr="00865983">
        <w:fldChar w:fldCharType="begin"/>
      </w:r>
      <w:r w:rsidR="00D72590" w:rsidRPr="00865983">
        <w:instrText xml:space="preserve"> REF DirecteurANP \h </w:instrText>
      </w:r>
      <w:r w:rsidR="00D72590" w:rsidRPr="00865983">
        <w:fldChar w:fldCharType="separate"/>
      </w:r>
      <w:r w:rsidR="00865983" w:rsidRPr="00865983">
        <w:t>18</w:t>
      </w:r>
      <w:r w:rsidR="00D72590" w:rsidRPr="00865983">
        <w:fldChar w:fldCharType="end"/>
      </w:r>
      <w:r>
        <w:t xml:space="preserve">) nu schimbă această constatare ( a se vedea, </w:t>
      </w:r>
      <w:r>
        <w:rPr>
          <w:i/>
        </w:rPr>
        <w:t>mutatis mutandis</w:t>
      </w:r>
      <w:r>
        <w:t xml:space="preserve">, </w:t>
      </w:r>
      <w:r>
        <w:rPr>
          <w:i/>
        </w:rPr>
        <w:t>Barthold împotriva Germaniei</w:t>
      </w:r>
      <w:r>
        <w:t>, 25 martie 1985, pct. 45-46, seria A nr. 90).</w:t>
      </w:r>
    </w:p>
    <w:p w14:paraId="00645B50" w14:textId="492EB9D8" w:rsidR="00D72590" w:rsidRPr="00865983" w:rsidRDefault="00B04292" w:rsidP="00865983">
      <w:pPr>
        <w:pStyle w:val="JuPara"/>
      </w:pPr>
      <w:fldSimple w:instr=" SEQ level0 \*arabic \* MERGEFORMAT ">
        <w:r w:rsidR="00865983" w:rsidRPr="00865983">
          <w:t>62</w:t>
        </w:r>
      </w:fldSimple>
      <w:r>
        <w:t>.  Prin urmare, Curtea consideră că ingerința suferită de reclamant a fost prevăzută de lege.</w:t>
      </w:r>
    </w:p>
    <w:p w14:paraId="250FB92C" w14:textId="2F16DEF9" w:rsidR="00D72590" w:rsidRPr="00865983" w:rsidRDefault="00D72590" w:rsidP="00865983">
      <w:pPr>
        <w:pStyle w:val="JuHi"/>
      </w:pPr>
      <w:r>
        <w:t>Ingerința urmărea un scop legitim?</w:t>
      </w:r>
    </w:p>
    <w:p w14:paraId="673F8DCC" w14:textId="2271FF74" w:rsidR="00D72590" w:rsidRPr="00865983" w:rsidRDefault="00B04292" w:rsidP="00865983">
      <w:pPr>
        <w:pStyle w:val="JuPara"/>
        <w:rPr>
          <w:rFonts w:cstheme="minorHAnsi"/>
          <w:color w:val="000000"/>
        </w:rPr>
      </w:pPr>
      <w:fldSimple w:instr=" SEQ level0 \*arabic \* MERGEFORMAT ">
        <w:r w:rsidR="00865983" w:rsidRPr="00865983">
          <w:t>63</w:t>
        </w:r>
      </w:fldSimple>
      <w:r>
        <w:t>.  În continuare, Curtea observă că Guvernul a susținut că măsura în cauză a avut ca scop protejarea sănătății și integrității deținuților și a oricărei persoane susceptibile de a intra în contact cu aceștia și, în general, a sănătății publice (</w:t>
      </w:r>
      <w:r>
        <w:rPr>
          <w:i/>
          <w:iCs/>
        </w:rPr>
        <w:t>supra</w:t>
      </w:r>
      <w:r>
        <w:t xml:space="preserve">, pct. </w:t>
      </w:r>
      <w:r w:rsidR="00D72590" w:rsidRPr="00865983">
        <w:fldChar w:fldCharType="begin"/>
      </w:r>
      <w:r w:rsidR="00D72590" w:rsidRPr="00865983">
        <w:instrText xml:space="preserve"> REF para_34 \h  \* MERGEFORMAT </w:instrText>
      </w:r>
      <w:r w:rsidR="00D72590" w:rsidRPr="00865983">
        <w:fldChar w:fldCharType="separate"/>
      </w:r>
      <w:r w:rsidR="00865983" w:rsidRPr="00865983">
        <w:t>34</w:t>
      </w:r>
      <w:r w:rsidR="00D72590" w:rsidRPr="00865983">
        <w:fldChar w:fldCharType="end"/>
      </w:r>
      <w:r>
        <w:t xml:space="preserve">). Într-adevăr, Curtea reamintește că protecția sănătății publice este enumerată la art. 9 § 2 din Convenție ca fiind unul dintre scopurile care pot justifica o restrângere a libertății de manifestare a propriei religii. Într-o cauză similară, Curtea a impus deja autorităților penitenciare obligația de a adopta măsuri de prevenire a infecției în contextul pandemiei </w:t>
      </w:r>
      <w:r>
        <w:lastRenderedPageBreak/>
        <w:t>de Covid-19, de a limita răspândirea virusului odată ce acesta a intrat în închisoare și de a asigura un tratament medical adecvat în caz de infectare (</w:t>
      </w:r>
      <w:r>
        <w:rPr>
          <w:i/>
        </w:rPr>
        <w:t>Fenech împotriva Maltei</w:t>
      </w:r>
      <w:r>
        <w:t>, nr. 19090/20, pct. 129-130, 1 martie 2022).</w:t>
      </w:r>
      <w:r>
        <w:rPr>
          <w:color w:val="000000"/>
        </w:rPr>
        <w:t xml:space="preserve"> </w:t>
      </w:r>
      <w:r>
        <w:t xml:space="preserve">Aceasta subliniază că dreptul internațional recunoaște, de asemenea, faptul că sănătatea publică poate fi invocată ca motiv de restrângere a unor drepturi (supra, pct. </w:t>
      </w:r>
      <w:r w:rsidR="00D72590" w:rsidRPr="00865983">
        <w:rPr>
          <w:rFonts w:cstheme="minorHAnsi"/>
          <w:color w:val="000000"/>
        </w:rPr>
        <w:fldChar w:fldCharType="begin"/>
      </w:r>
      <w:r w:rsidR="00D72590" w:rsidRPr="00865983">
        <w:rPr>
          <w:rFonts w:cstheme="minorHAnsi"/>
          <w:color w:val="000000"/>
        </w:rPr>
        <w:instrText xml:space="preserve"> REF para21 \h </w:instrText>
      </w:r>
      <w:r w:rsidR="00D72590" w:rsidRPr="00865983">
        <w:rPr>
          <w:rFonts w:cstheme="minorHAnsi"/>
          <w:color w:val="000000"/>
        </w:rPr>
      </w:r>
      <w:r w:rsidR="00D72590" w:rsidRPr="00865983">
        <w:rPr>
          <w:rFonts w:cstheme="minorHAnsi"/>
          <w:color w:val="000000"/>
        </w:rPr>
        <w:fldChar w:fldCharType="separate"/>
      </w:r>
      <w:r w:rsidR="00865983" w:rsidRPr="00865983">
        <w:t>21</w:t>
      </w:r>
      <w:r w:rsidR="00D72590" w:rsidRPr="00865983">
        <w:rPr>
          <w:rFonts w:cstheme="minorHAnsi"/>
          <w:color w:val="000000"/>
        </w:rPr>
        <w:fldChar w:fldCharType="end"/>
      </w:r>
      <w:r>
        <w:rPr>
          <w:color w:val="000000"/>
        </w:rPr>
        <w:t>-</w:t>
      </w:r>
      <w:r w:rsidR="00D72590" w:rsidRPr="00865983">
        <w:rPr>
          <w:rFonts w:cstheme="minorHAnsi"/>
          <w:color w:val="000000"/>
        </w:rPr>
        <w:fldChar w:fldCharType="begin"/>
      </w:r>
      <w:r w:rsidR="00D72590" w:rsidRPr="00865983">
        <w:rPr>
          <w:rFonts w:cstheme="minorHAnsi"/>
          <w:color w:val="000000"/>
        </w:rPr>
        <w:instrText xml:space="preserve"> REF para22 \h </w:instrText>
      </w:r>
      <w:r w:rsidR="00D72590" w:rsidRPr="00865983">
        <w:rPr>
          <w:rFonts w:cstheme="minorHAnsi"/>
          <w:color w:val="000000"/>
        </w:rPr>
      </w:r>
      <w:r w:rsidR="00D72590" w:rsidRPr="00865983">
        <w:rPr>
          <w:rFonts w:cstheme="minorHAnsi"/>
          <w:color w:val="000000"/>
        </w:rPr>
        <w:fldChar w:fldCharType="separate"/>
      </w:r>
      <w:r w:rsidR="00865983" w:rsidRPr="00865983">
        <w:t>22</w:t>
      </w:r>
      <w:r w:rsidR="00D72590" w:rsidRPr="00865983">
        <w:rPr>
          <w:rFonts w:cstheme="minorHAnsi"/>
          <w:color w:val="000000"/>
        </w:rPr>
        <w:fldChar w:fldCharType="end"/>
      </w:r>
      <w:r>
        <w:t>).</w:t>
      </w:r>
    </w:p>
    <w:p w14:paraId="0C2FB7E9" w14:textId="38049407" w:rsidR="00D72590" w:rsidRPr="00865983" w:rsidRDefault="00D72590" w:rsidP="00865983">
      <w:pPr>
        <w:pStyle w:val="JuPara"/>
        <w:rPr>
          <w:rFonts w:cstheme="minorHAnsi"/>
        </w:rPr>
      </w:pPr>
      <w:r w:rsidRPr="00865983">
        <w:rPr>
          <w:rFonts w:cstheme="minorHAnsi"/>
          <w:color w:val="000000"/>
        </w:rPr>
        <w:fldChar w:fldCharType="begin"/>
      </w:r>
      <w:r w:rsidRPr="00865983">
        <w:rPr>
          <w:rFonts w:cstheme="minorHAnsi"/>
          <w:color w:val="000000"/>
        </w:rPr>
        <w:instrText xml:space="preserve"> SEQ level0 \*arabic \* MERGEFORMAT </w:instrText>
      </w:r>
      <w:r w:rsidRPr="00865983">
        <w:rPr>
          <w:rFonts w:cstheme="minorHAnsi"/>
          <w:color w:val="000000"/>
        </w:rPr>
        <w:fldChar w:fldCharType="separate"/>
      </w:r>
      <w:r w:rsidR="00865983" w:rsidRPr="00865983">
        <w:rPr>
          <w:rFonts w:cstheme="minorHAnsi"/>
          <w:color w:val="000000"/>
        </w:rPr>
        <w:t>64</w:t>
      </w:r>
      <w:r w:rsidRPr="00865983">
        <w:rPr>
          <w:rFonts w:cstheme="minorHAnsi"/>
          <w:color w:val="000000"/>
        </w:rPr>
        <w:fldChar w:fldCharType="end"/>
      </w:r>
      <w:r>
        <w:rPr>
          <w:color w:val="000000"/>
        </w:rPr>
        <w:t>.  În consecință, Curtea admite că măsura în litigiu urmărea obiectivele legitime invocate de Guvern.</w:t>
      </w:r>
    </w:p>
    <w:p w14:paraId="1DAF0F3B" w14:textId="654FD066" w:rsidR="00D72590" w:rsidRPr="00865983" w:rsidRDefault="00D72590" w:rsidP="00865983">
      <w:pPr>
        <w:pStyle w:val="JuHi"/>
      </w:pPr>
      <w:r>
        <w:t>Ingerința era necesară într-o societate democratică?</w:t>
      </w:r>
    </w:p>
    <w:bookmarkStart w:id="38" w:name="para80"/>
    <w:p w14:paraId="5FE81D01" w14:textId="737FC17E"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65</w:t>
      </w:r>
      <w:r w:rsidRPr="00865983">
        <w:fldChar w:fldCharType="end"/>
      </w:r>
      <w:bookmarkEnd w:id="38"/>
      <w:r>
        <w:t xml:space="preserve">.  În sfârșit, Curtea observă că reclamantul a cerut autorităților penitenciare permisiunea de a părăsi închisoarea pentru a merge la o biserică adventistă pentru a sărbători Sabatul (supra, pct. </w:t>
      </w:r>
      <w:r w:rsidRPr="00865983">
        <w:fldChar w:fldCharType="begin"/>
      </w:r>
      <w:r w:rsidRPr="00865983">
        <w:instrText xml:space="preserve"> REF para05 \h  \* MERGEFORMAT </w:instrText>
      </w:r>
      <w:r w:rsidRPr="00865983">
        <w:fldChar w:fldCharType="separate"/>
      </w:r>
      <w:r w:rsidR="00865983" w:rsidRPr="00865983">
        <w:t>5</w:t>
      </w:r>
      <w:r w:rsidRPr="00865983">
        <w:fldChar w:fldCharType="end"/>
      </w:r>
      <w:r>
        <w:t xml:space="preserve">). Aceasta recunoaște că participarea la serviciul religios este o componentă importantă a exercitării dreptului la libertatea de religie. Reamintește că, în conformitate cu jurisprudența sa, libertatea de religie implică, de asemenea, libertatea de a-și manifesta religia în mod individual și în particular, sau în mod colectiv, în public și în cercul celor care împărtășesc aceeași credință (a se vedea jurisprudența citată </w:t>
      </w:r>
      <w:r>
        <w:rPr>
          <w:i/>
          <w:iCs/>
        </w:rPr>
        <w:t>supra</w:t>
      </w:r>
      <w:r>
        <w:t xml:space="preserve">, pct. </w:t>
      </w:r>
      <w:r w:rsidRPr="00865983">
        <w:fldChar w:fldCharType="begin"/>
      </w:r>
      <w:r w:rsidRPr="00865983">
        <w:instrText xml:space="preserve"> REF para52 \h  \* MERGEFORMAT </w:instrText>
      </w:r>
      <w:r w:rsidRPr="00865983">
        <w:fldChar w:fldCharType="separate"/>
      </w:r>
      <w:r w:rsidR="00865983" w:rsidRPr="00865983">
        <w:rPr>
          <w:rFonts w:eastAsia="Times New Roman"/>
        </w:rPr>
        <w:t>51</w:t>
      </w:r>
      <w:r w:rsidRPr="00865983">
        <w:fldChar w:fldCharType="end"/>
      </w:r>
      <w:r>
        <w:t xml:space="preserve">). Observațiile intervenienților sunt în același sens (supra, pct. </w:t>
      </w:r>
      <w:r w:rsidRPr="00865983">
        <w:fldChar w:fldCharType="begin"/>
      </w:r>
      <w:r w:rsidRPr="00865983">
        <w:instrText xml:space="preserve"> REF ECLJ \h  \* MERGEFORMAT </w:instrText>
      </w:r>
      <w:r w:rsidRPr="00865983">
        <w:fldChar w:fldCharType="separate"/>
      </w:r>
      <w:r w:rsidR="00865983" w:rsidRPr="00865983">
        <w:t>42</w:t>
      </w:r>
      <w:r w:rsidRPr="00865983">
        <w:fldChar w:fldCharType="end"/>
      </w:r>
      <w:r>
        <w:t>).</w:t>
      </w:r>
    </w:p>
    <w:p w14:paraId="66AD8FA5" w14:textId="2A5BD4CD" w:rsidR="00D72590" w:rsidRPr="00865983" w:rsidRDefault="00B04292" w:rsidP="00865983">
      <w:pPr>
        <w:pStyle w:val="JuPara"/>
      </w:pPr>
      <w:fldSimple w:instr=" SEQ level0 \*arabic \* MERGEFORMAT ">
        <w:r w:rsidR="00865983" w:rsidRPr="00865983">
          <w:t>66</w:t>
        </w:r>
      </w:fldSimple>
      <w:r>
        <w:t xml:space="preserve">.  Curtea observă apoi că autoritățile au respins cererea reclamantului (supra, pct. </w:t>
      </w:r>
      <w:r w:rsidR="00D72590" w:rsidRPr="00865983">
        <w:fldChar w:fldCharType="begin"/>
      </w:r>
      <w:r w:rsidR="00D72590" w:rsidRPr="00865983">
        <w:instrText xml:space="preserve"> REF para06 \h  \* MERGEFORMAT </w:instrText>
      </w:r>
      <w:r w:rsidR="00D72590" w:rsidRPr="00865983">
        <w:fldChar w:fldCharType="separate"/>
      </w:r>
      <w:r w:rsidR="00865983" w:rsidRPr="00865983">
        <w:t>6</w:t>
      </w:r>
      <w:r w:rsidR="00D72590" w:rsidRPr="00865983">
        <w:fldChar w:fldCharType="end"/>
      </w:r>
      <w:r>
        <w:t>). Restrângerea dreptului reclamantului la respectarea religiei sale a vizat însă doar o componentă a exercitării dreptului său la libertatea de religie. Într-adevăr, aceasta a fost limitată la participarea reclamantului la cultul religios al Bisericii sale în afara închisorii. Reclamantul nu a susținut că ar fi fost împiedicat să își practice religia în orice alt mod în timpul detenției sau că ar fi formulat alte cereri care ar fi fost refuzate.</w:t>
      </w:r>
    </w:p>
    <w:p w14:paraId="795DCE33" w14:textId="6E64812C" w:rsidR="00D72590" w:rsidRPr="00865983" w:rsidRDefault="00B04292" w:rsidP="00865983">
      <w:pPr>
        <w:pStyle w:val="JuPara"/>
      </w:pPr>
      <w:fldSimple w:instr=" SEQ level0 \*arabic \* MERGEFORMAT ">
        <w:r w:rsidR="00865983" w:rsidRPr="00865983">
          <w:t>67</w:t>
        </w:r>
      </w:fldSimple>
      <w:r>
        <w:t xml:space="preserve">.  Curtea nu poate ignora faptul că reclamantului i s-a permis să părăsească închisoarea înainte de începerea crizei sanitare (supra, pct. </w:t>
      </w:r>
      <w:r w:rsidR="00D72590" w:rsidRPr="00865983">
        <w:fldChar w:fldCharType="begin"/>
      </w:r>
      <w:r w:rsidR="00D72590" w:rsidRPr="00865983">
        <w:instrText xml:space="preserve"> REF para04 \h  \* MERGEFORMAT </w:instrText>
      </w:r>
      <w:r w:rsidR="00D72590" w:rsidRPr="00865983">
        <w:fldChar w:fldCharType="separate"/>
      </w:r>
      <w:r w:rsidR="00865983" w:rsidRPr="00865983">
        <w:t>4</w:t>
      </w:r>
      <w:r w:rsidR="00D72590" w:rsidRPr="00865983">
        <w:fldChar w:fldCharType="end"/>
      </w:r>
      <w:r>
        <w:t>) și că nu există nimic în dosar care să indice faptul că exercitarea acestei opțiuni ar fi fost problematică pentru autoritățile penitenciare la acel moment. Cu toate acestea, consideră că restrângerea dreptului reclamantului de a participa la serviciile religioase trebuie să fie evaluată în lumina contextului aflat în continuă evoluție al crizei sanitare (</w:t>
      </w:r>
      <w:r>
        <w:rPr>
          <w:i/>
        </w:rPr>
        <w:t>Fenech</w:t>
      </w:r>
      <w:r>
        <w:t xml:space="preserve">, citată anterior, pct. 130 </w:t>
      </w:r>
      <w:r>
        <w:rPr>
          <w:i/>
        </w:rPr>
        <w:t>in fine</w:t>
      </w:r>
      <w:r>
        <w:t xml:space="preserve">). În acest sens, constată că reclamantul și-a depus cererea la 8 iulie 2020, când era în vigoare starea de alertă și când legislația care o reglementa prevedea o relaxare progresivă a condițiilor impuse anterior (supra, pct. </w:t>
      </w:r>
      <w:r>
        <w:rPr>
          <w:color w:val="000000"/>
        </w:rPr>
        <w:t> </w:t>
      </w:r>
      <w:r w:rsidR="00D72590" w:rsidRPr="00865983">
        <w:rPr>
          <w:rFonts w:cstheme="minorHAnsi"/>
          <w:color w:val="000000"/>
        </w:rPr>
        <w:fldChar w:fldCharType="begin"/>
      </w:r>
      <w:r w:rsidR="00D72590" w:rsidRPr="00865983">
        <w:rPr>
          <w:rFonts w:cstheme="minorHAnsi"/>
          <w:color w:val="000000"/>
        </w:rPr>
        <w:instrText xml:space="preserve"> REF para_16 \h  \* MERGEFORMAT </w:instrText>
      </w:r>
      <w:r w:rsidR="00D72590" w:rsidRPr="00865983">
        <w:rPr>
          <w:rFonts w:cstheme="minorHAnsi"/>
          <w:color w:val="000000"/>
        </w:rPr>
      </w:r>
      <w:r w:rsidR="00D72590" w:rsidRPr="00865983">
        <w:rPr>
          <w:rFonts w:cstheme="minorHAnsi"/>
          <w:color w:val="000000"/>
        </w:rPr>
        <w:fldChar w:fldCharType="separate"/>
      </w:r>
      <w:r w:rsidR="00865983" w:rsidRPr="00865983">
        <w:rPr>
          <w:rFonts w:cstheme="minorHAnsi"/>
          <w:color w:val="000000"/>
        </w:rPr>
        <w:t>16</w:t>
      </w:r>
      <w:r w:rsidR="00D72590" w:rsidRPr="00865983">
        <w:rPr>
          <w:rFonts w:cstheme="minorHAnsi"/>
          <w:color w:val="000000"/>
        </w:rPr>
        <w:fldChar w:fldCharType="end"/>
      </w:r>
      <w:r>
        <w:rPr>
          <w:color w:val="000000"/>
        </w:rPr>
        <w:t xml:space="preserve"> et </w:t>
      </w:r>
      <w:r w:rsidR="00D72590" w:rsidRPr="00865983">
        <w:rPr>
          <w:rFonts w:cstheme="minorHAnsi"/>
          <w:color w:val="000000"/>
        </w:rPr>
        <w:fldChar w:fldCharType="begin"/>
      </w:r>
      <w:r w:rsidR="00D72590" w:rsidRPr="00865983">
        <w:rPr>
          <w:rFonts w:cstheme="minorHAnsi"/>
          <w:color w:val="000000"/>
        </w:rPr>
        <w:instrText xml:space="preserve"> REF para17 \h  \* MERGEFORMAT </w:instrText>
      </w:r>
      <w:r w:rsidR="00D72590" w:rsidRPr="00865983">
        <w:rPr>
          <w:rFonts w:cstheme="minorHAnsi"/>
          <w:color w:val="000000"/>
        </w:rPr>
      </w:r>
      <w:r w:rsidR="00D72590" w:rsidRPr="00865983">
        <w:rPr>
          <w:rFonts w:cstheme="minorHAnsi"/>
          <w:color w:val="000000"/>
        </w:rPr>
        <w:fldChar w:fldCharType="separate"/>
      </w:r>
      <w:r w:rsidR="00865983" w:rsidRPr="00865983">
        <w:t>17</w:t>
      </w:r>
      <w:r w:rsidR="00D72590" w:rsidRPr="00865983">
        <w:rPr>
          <w:rFonts w:cstheme="minorHAnsi"/>
          <w:color w:val="000000"/>
        </w:rPr>
        <w:fldChar w:fldCharType="end"/>
      </w:r>
      <w:r>
        <w:t xml:space="preserve">). </w:t>
      </w:r>
      <w:r>
        <w:rPr>
          <w:color w:val="000000"/>
        </w:rPr>
        <w:t xml:space="preserve"> </w:t>
      </w:r>
      <w:r>
        <w:t xml:space="preserve">Curtea observă că instanța de prim grad s-a limitat, în decizia sa din 11 august 2020, să constate că activitatea bisericilor a fost suspendată (supra, pct. </w:t>
      </w:r>
      <w:r w:rsidR="00D72590" w:rsidRPr="00865983">
        <w:fldChar w:fldCharType="begin"/>
      </w:r>
      <w:r w:rsidR="00D72590" w:rsidRPr="00865983">
        <w:instrText xml:space="preserve"> REF para10 \h </w:instrText>
      </w:r>
      <w:r w:rsidR="00D72590" w:rsidRPr="00865983">
        <w:fldChar w:fldCharType="separate"/>
      </w:r>
      <w:r w:rsidR="00865983" w:rsidRPr="00865983">
        <w:t>10</w:t>
      </w:r>
      <w:r w:rsidR="00D72590" w:rsidRPr="00865983">
        <w:fldChar w:fldCharType="end"/>
      </w:r>
      <w:r>
        <w:t xml:space="preserve">) și că aceste constatări au un caracter mai degrabă general, în măsura în care instanța nu pare să fi examinat situația bisericii adventiste în cauză. </w:t>
      </w:r>
      <w:r>
        <w:rPr>
          <w:color w:val="000000"/>
        </w:rPr>
        <w:t xml:space="preserve">În acest context, reține că biserica frecventată de reclamant nu și-a reluat totuși activitățile în aceleași condiții ca înainte de criza de sănătate. </w:t>
      </w:r>
      <w:r>
        <w:t xml:space="preserve">Reclamantul mai afirmă că biserica sa a continuat să ofere servicii religioase pentru un </w:t>
      </w:r>
      <w:r>
        <w:lastRenderedPageBreak/>
        <w:t xml:space="preserve">număr limitat de participanți care au prezentat un test PCR negativ (supra, pct. </w:t>
      </w:r>
      <w:r w:rsidR="00D72590" w:rsidRPr="00865983">
        <w:fldChar w:fldCharType="begin"/>
      </w:r>
      <w:r w:rsidR="00D72590" w:rsidRPr="00865983">
        <w:instrText xml:space="preserve"> REF para_31 \h  \* MERGEFORMAT </w:instrText>
      </w:r>
      <w:r w:rsidR="00D72590" w:rsidRPr="00865983">
        <w:fldChar w:fldCharType="separate"/>
      </w:r>
      <w:r w:rsidR="00865983" w:rsidRPr="00865983">
        <w:t>31</w:t>
      </w:r>
      <w:r w:rsidR="00D72590" w:rsidRPr="00865983">
        <w:fldChar w:fldCharType="end"/>
      </w:r>
      <w:r>
        <w:t xml:space="preserve">). În plus, potrivit informațiilor furnizate de Guvern și necontestate de reclamant, serviciul religios a fost suspendat pentru anumite perioade la sfârșitul anului 2020 și începutul anului 2021 (supra, pct. </w:t>
      </w:r>
      <w:r w:rsidR="00D72590" w:rsidRPr="00865983">
        <w:fldChar w:fldCharType="begin"/>
      </w:r>
      <w:r w:rsidR="00D72590" w:rsidRPr="00865983">
        <w:instrText xml:space="preserve"> REF para36 \h  \* MERGEFORMAT </w:instrText>
      </w:r>
      <w:r w:rsidR="00D72590" w:rsidRPr="00865983">
        <w:fldChar w:fldCharType="separate"/>
      </w:r>
      <w:r w:rsidR="00865983" w:rsidRPr="00865983">
        <w:t>36</w:t>
      </w:r>
      <w:r w:rsidR="00D72590" w:rsidRPr="00865983">
        <w:fldChar w:fldCharType="end"/>
      </w:r>
      <w:r>
        <w:t>).</w:t>
      </w:r>
    </w:p>
    <w:p w14:paraId="7FD43D4C" w14:textId="531C46DE" w:rsidR="00D72590" w:rsidRPr="00865983" w:rsidRDefault="00B04292" w:rsidP="00865983">
      <w:pPr>
        <w:pStyle w:val="JuPara"/>
      </w:pPr>
      <w:fldSimple w:instr=" SEQ level0 \*arabic \* MERGEFORMAT ">
        <w:r w:rsidR="00865983" w:rsidRPr="00865983">
          <w:t>68</w:t>
        </w:r>
      </w:fldSimple>
      <w:r>
        <w:t xml:space="preserve">.  Curtea deduce din acest lucru că, în perioada în cauză, activitatea bisericii a fost afectată de criza sanitară, întrucât accesul la serviciul religios a fost condiționat, sau chiar suspendat, pentru toți coreligionarii reclamantului și reprezentații cultului. Aceasta consideră, de asemenea, că evoluția situației sanitare și imprevizibilitatea acesteia (a se vedea, </w:t>
      </w:r>
      <w:r>
        <w:rPr>
          <w:i/>
          <w:iCs/>
        </w:rPr>
        <w:t>mutatis mutandis, Fenech</w:t>
      </w:r>
      <w:r>
        <w:t xml:space="preserve">, citată anterior, pct. 130 </w:t>
      </w:r>
      <w:r>
        <w:rPr>
          <w:i/>
          <w:iCs/>
        </w:rPr>
        <w:t>in fine</w:t>
      </w:r>
      <w:r>
        <w:t>) trebuie să fi pus o serie de probleme pentru autoritățile penitenciare în organizarea sau monitorizarea activităților de natură religioasă ale deținuților. Prin urmare, este de părere că trebuie să li se acorde o marjă largă de apreciere (supra, pct.</w:t>
      </w:r>
      <w:r w:rsidR="00D72590" w:rsidRPr="00865983">
        <w:fldChar w:fldCharType="begin"/>
      </w:r>
      <w:r w:rsidR="00D72590" w:rsidRPr="00865983">
        <w:instrText xml:space="preserve"> REF para54 \h </w:instrText>
      </w:r>
      <w:r w:rsidR="00D72590" w:rsidRPr="00865983">
        <w:fldChar w:fldCharType="separate"/>
      </w:r>
      <w:r w:rsidR="00865983" w:rsidRPr="00865983">
        <w:rPr>
          <w:rFonts w:eastAsia="Times New Roman"/>
        </w:rPr>
        <w:t>53</w:t>
      </w:r>
      <w:r w:rsidR="00D72590" w:rsidRPr="00865983">
        <w:fldChar w:fldCharType="end"/>
      </w:r>
      <w:r>
        <w:t xml:space="preserve">), mai ales că, în speță, reclamantul a solicitat autorizația de a părăsi închisoarea și de a intra în contact cu persoane din afara acesteia. Într-adevăr, importanța principiului solidarității sociale [a se vedea, </w:t>
      </w:r>
      <w:r>
        <w:rPr>
          <w:i/>
        </w:rPr>
        <w:t>mutatis mutandis</w:t>
      </w:r>
      <w:r>
        <w:t xml:space="preserve">, </w:t>
      </w:r>
      <w:r>
        <w:rPr>
          <w:i/>
        </w:rPr>
        <w:t>Vavřička și alții împotriva Republicii Cehe</w:t>
      </w:r>
      <w:r>
        <w:t xml:space="preserve"> (MC), nr. 47621/13 și alte 5 , pct. 279, 8 aprilie 2021] trebuie luată în considerare în contextul specific al mediului penitenciar. Astfel, riscul de contaminare în afara închisorii și de introducere a virusului în mediul închis al acestei instituții trebuie să fi avut cu siguranță o pondere importantă în decizia autorităților penitenciare, într-un moment în care măsurile de prevenire se axau, printre altele, pe prevenirea contactelor și pe izolare sau carantină [a se vedea, </w:t>
      </w:r>
      <w:r>
        <w:rPr>
          <w:i/>
        </w:rPr>
        <w:t xml:space="preserve">mutatis mutandis, </w:t>
      </w:r>
      <w:r>
        <w:rPr>
          <w:i/>
          <w:color w:val="000000"/>
        </w:rPr>
        <w:t>Terheş</w:t>
      </w:r>
      <w:r>
        <w:rPr>
          <w:color w:val="000000"/>
        </w:rPr>
        <w:t>, (decizie citată anterior), pct. 20-29 și 39</w:t>
      </w:r>
      <w:r>
        <w:rPr>
          <w:color w:val="000000"/>
        </w:rPr>
        <w:noBreakHyphen/>
        <w:t xml:space="preserve">40 ; </w:t>
      </w:r>
      <w:r>
        <w:t xml:space="preserve">a se vedea de asemenea, </w:t>
      </w:r>
      <w:r>
        <w:rPr>
          <w:i/>
        </w:rPr>
        <w:t>Fenech</w:t>
      </w:r>
      <w:r>
        <w:t>, citată anterior, pct. 136 privind disponibilitatea vaccinurilor în mediul penitenciar). Curtea admite că a fost dificil pentru autorități să reacționeze instantaneu la această situație și, cu atât mai mult, imediat după fiecare schimbare a situației sanitare.</w:t>
      </w:r>
    </w:p>
    <w:p w14:paraId="0C407B0F" w14:textId="41230D19" w:rsidR="00D72590" w:rsidRPr="00865983" w:rsidRDefault="00B04292" w:rsidP="00865983">
      <w:pPr>
        <w:pStyle w:val="JuPara"/>
        <w:rPr>
          <w:sz w:val="22"/>
          <w:szCs w:val="22"/>
        </w:rPr>
      </w:pPr>
      <w:fldSimple w:instr=" SEQ level0 \*arabic \* MERGEFORMAT ">
        <w:r w:rsidR="00865983" w:rsidRPr="00865983">
          <w:t>69</w:t>
        </w:r>
      </w:fldSimple>
      <w:r>
        <w:t xml:space="preserve">.  Curtea ia în considerare argumentele Guvernului în ceea ce privește aplicarea unor soluții alternative și introducerea videoconferinței în penitenciarul Jilava pentru a permite practicarea cultului adventist (supra, pct. </w:t>
      </w:r>
      <w:r w:rsidR="00D72590" w:rsidRPr="00865983">
        <w:fldChar w:fldCharType="begin"/>
      </w:r>
      <w:r w:rsidR="00D72590" w:rsidRPr="00865983">
        <w:instrText xml:space="preserve"> REF para_37 \h  \* MERGEFORMAT </w:instrText>
      </w:r>
      <w:r w:rsidR="00D72590" w:rsidRPr="00865983">
        <w:fldChar w:fldCharType="separate"/>
      </w:r>
      <w:r w:rsidR="00865983" w:rsidRPr="00865983">
        <w:t>37</w:t>
      </w:r>
      <w:r w:rsidR="00D72590" w:rsidRPr="00865983">
        <w:fldChar w:fldCharType="end"/>
      </w:r>
      <w:r>
        <w:t xml:space="preserve">). Aceasta observă că, potrivit afirmațiilor Guvernului - care nu au fost contrazise de reclamant - închisoarea Jilava, unde a fost deținut reclamantul, a fost prima închisoare care a oferit asistență religioasă online. Această soluție pusă în aplicare de autoritățile penitenciare este în concordanță cu practicile care s-au dezvoltat în general în timpul crizei sanitare și cu recomandarea CPT de a compensa orice restrângere a contactelor cu lumea exterioară printr-un acces sporit la alte mijloace de comunicare (supra, pct. </w:t>
      </w:r>
      <w:r w:rsidR="00D72590" w:rsidRPr="00865983">
        <w:fldChar w:fldCharType="begin"/>
      </w:r>
      <w:r w:rsidR="00D72590" w:rsidRPr="00865983">
        <w:instrText xml:space="preserve"> REF para25 \h </w:instrText>
      </w:r>
      <w:r w:rsidR="00D72590" w:rsidRPr="00865983">
        <w:fldChar w:fldCharType="separate"/>
      </w:r>
      <w:r w:rsidR="00865983" w:rsidRPr="00865983">
        <w:t>25</w:t>
      </w:r>
      <w:r w:rsidR="00D72590" w:rsidRPr="00865983">
        <w:fldChar w:fldCharType="end"/>
      </w:r>
      <w:r>
        <w:t>). Curtea consideră că acesta este un element important de luat în considerare în analiza sa. De asemenea, aceasta observă că unul dintre intervenienți a abordat această problemă în observațiile sale și a exprimat opinia că o astfel de practică ar putea fi avută în vedere (supra, pct.</w:t>
      </w:r>
      <w:r w:rsidR="00D72590" w:rsidRPr="00865983">
        <w:fldChar w:fldCharType="begin"/>
      </w:r>
      <w:r w:rsidR="00D72590" w:rsidRPr="00865983">
        <w:instrText xml:space="preserve"> REF ECLJ \h  \* MERGEFORMAT </w:instrText>
      </w:r>
      <w:r w:rsidR="00D72590" w:rsidRPr="00865983">
        <w:fldChar w:fldCharType="separate"/>
      </w:r>
      <w:r w:rsidR="00865983" w:rsidRPr="00865983">
        <w:t>42</w:t>
      </w:r>
      <w:r w:rsidR="00D72590" w:rsidRPr="00865983">
        <w:fldChar w:fldCharType="end"/>
      </w:r>
      <w:r>
        <w:t xml:space="preserve">). Reclamantul nu a contestat afirmațiile Guvernului conform cărora el a refuzat să participe la aceste activități online și nu a explicat Curții motivele refuzului său. Or, chiar dacă astfel de măsuri nu pot înlocui pe deplin participarea directă la serviciul </w:t>
      </w:r>
      <w:r>
        <w:lastRenderedPageBreak/>
        <w:t>religios, Curtea consideră că autoritățile naționale au depus eforturi rezonabile pentru a contrabalansa restrângerile hotărâte în timpul pandemiei.</w:t>
      </w:r>
    </w:p>
    <w:p w14:paraId="20BD9809" w14:textId="272401B7" w:rsidR="00D72590" w:rsidRPr="00865983" w:rsidRDefault="00B04292" w:rsidP="00865983">
      <w:pPr>
        <w:pStyle w:val="JuPara"/>
      </w:pPr>
      <w:fldSimple w:instr=" SEQ level0 \*arabic \* MERGEFORMAT ">
        <w:r w:rsidR="00865983" w:rsidRPr="00865983">
          <w:t>70</w:t>
        </w:r>
      </w:fldSimple>
      <w:r>
        <w:t xml:space="preserve">.  De asemenea, Curtea observă că plângerea reclamantului se referă la o situație punctuală. În fața Curții, persoana în cauză nu a invocat faptul că ar fi formulat alte cereri referitoare la exercitarea dreptului la respectarea libertății sale de religie și că acestea i s-ar fi refuzat. Situația de care se plângea nu era, prin urmare, una continuă care l-ar fi scutit de obligația de a exercita căile de atac pe care le avea la dispoziție în temeiul dreptului intern (a se vedea, </w:t>
      </w:r>
      <w:r>
        <w:rPr>
          <w:i/>
          <w:iCs/>
        </w:rPr>
        <w:t>mutatis mutandis,</w:t>
      </w:r>
      <w:r>
        <w:t xml:space="preserve"> </w:t>
      </w:r>
      <w:r>
        <w:rPr>
          <w:i/>
          <w:iCs/>
        </w:rPr>
        <w:t>Saran împotriva României</w:t>
      </w:r>
      <w:r>
        <w:t>, nr. 65993/16, pct. 23-24, 10 noiembrie 2020, privind căile de atac care trebuie exercitate sau reînnoite în ceea ce privește cererile de mese specifice în conformitate cu preceptele religioase) sau, cel puțin, de a-și reînnoi cererile în funcție de evoluția pandemiei. Având în vedere caracterul imprevizibil și fără precedent al crizei sanitare, Curtea consideră că autoritățile penitenciare ar trebui să dispună de o marjă de manevră largă și că ar fi fost dificil pentru acestea să instituie din proprie inițiativă un protocol de răspuns imediat. De asemenea, constată că reclamantul nu a furnizat niciun detaliu concret cu privire la situația sa începând cu luna iulie 2020 și, în special, cu privire la modul în care și-a putut exercita libertatea de religie după această dată.</w:t>
      </w:r>
    </w:p>
    <w:bookmarkStart w:id="39" w:name="para86"/>
    <w:p w14:paraId="068C0BD1" w14:textId="5DB407ED" w:rsidR="00D72590" w:rsidRPr="00865983" w:rsidRDefault="00D72590" w:rsidP="00865983">
      <w:pPr>
        <w:pStyle w:val="JuPara"/>
      </w:pPr>
      <w:r w:rsidRPr="00865983">
        <w:fldChar w:fldCharType="begin"/>
      </w:r>
      <w:r w:rsidRPr="00865983">
        <w:instrText xml:space="preserve"> SEQ level0 \*arabic \* MERGEFORMAT </w:instrText>
      </w:r>
      <w:r w:rsidRPr="00865983">
        <w:fldChar w:fldCharType="separate"/>
      </w:r>
      <w:r w:rsidR="00865983" w:rsidRPr="00865983">
        <w:t>71</w:t>
      </w:r>
      <w:r w:rsidRPr="00865983">
        <w:fldChar w:fldCharType="end"/>
      </w:r>
      <w:bookmarkEnd w:id="39"/>
      <w:r>
        <w:t xml:space="preserve">.  În lumina celor de mai sus, Curtea consideră că decizia autorităților penitenciare de a-i refuza reclamantului permisiunea de a participa la serviciul religios al bisericii sale în afara închisorii nu a fost luată fără ca acestea să nu țină seama de circumstanțele individuale ale persoanei în cauză [a se vedea, </w:t>
      </w:r>
      <w:r>
        <w:rPr>
          <w:i/>
          <w:iCs/>
        </w:rPr>
        <w:t>a contrario, Abdullah Yalçın împotriva Turciei (</w:t>
      </w:r>
      <w:r>
        <w:t>nr. 2), nr. 34417/10, pct. 32-34, 14 iunie 2022] și evoluția crizei sanitare. Având în vedere marja de apreciere a autorităților naționale în contextul specific și fără precedent al acestei crize, Curtea concluzionează că dreptul reclamantului de a-și manifesta religia nu a fost încălcat.</w:t>
      </w:r>
    </w:p>
    <w:p w14:paraId="1FC90F64" w14:textId="3D295895" w:rsidR="005060BD" w:rsidRPr="00865983" w:rsidRDefault="00B04292" w:rsidP="00865983">
      <w:pPr>
        <w:pStyle w:val="JuPara"/>
      </w:pPr>
      <w:fldSimple w:instr=" SEQ level0 \*arabic \* MERGEFORMAT ">
        <w:r w:rsidR="00865983" w:rsidRPr="00865983">
          <w:t>72</w:t>
        </w:r>
      </w:fldSimple>
      <w:r>
        <w:t>.  În consecință, nu a fost încălcat art. 9 din Convenție.</w:t>
      </w:r>
    </w:p>
    <w:p w14:paraId="7F603276" w14:textId="64B35A24" w:rsidR="00D72590" w:rsidRPr="00865983" w:rsidRDefault="00D72590" w:rsidP="00865983">
      <w:pPr>
        <w:pStyle w:val="JuHHead"/>
        <w:numPr>
          <w:ilvl w:val="0"/>
          <w:numId w:val="2"/>
        </w:numPr>
        <w:ind w:left="360" w:hanging="360"/>
      </w:pPr>
      <w:r>
        <w:t>PENTRU ACESTE MOTIVE, CURTEA, ÎN UNANIMITATE,</w:t>
      </w:r>
    </w:p>
    <w:p w14:paraId="287CCF7B" w14:textId="4E0E97C8" w:rsidR="00D72590" w:rsidRPr="00865983" w:rsidRDefault="00D72590" w:rsidP="00865983">
      <w:pPr>
        <w:pStyle w:val="JuList"/>
        <w:keepNext/>
        <w:keepLines/>
        <w:numPr>
          <w:ilvl w:val="0"/>
          <w:numId w:val="1"/>
        </w:numPr>
      </w:pPr>
      <w:r>
        <w:rPr>
          <w:i/>
        </w:rPr>
        <w:t>Declară</w:t>
      </w:r>
      <w:r>
        <w:t xml:space="preserve"> cererea admisibilă;</w:t>
      </w:r>
    </w:p>
    <w:p w14:paraId="573069D7" w14:textId="5DE09D7D" w:rsidR="00876F03" w:rsidRPr="00865983" w:rsidRDefault="00D72590" w:rsidP="00865983">
      <w:pPr>
        <w:pStyle w:val="JuList"/>
      </w:pPr>
      <w:r>
        <w:rPr>
          <w:i/>
          <w:iCs/>
        </w:rPr>
        <w:t>Hotărăște</w:t>
      </w:r>
      <w:r>
        <w:t xml:space="preserve"> că nu a fost încălcat art. 9 din Convenție.</w:t>
      </w:r>
    </w:p>
    <w:p w14:paraId="775933DF" w14:textId="53843CD1" w:rsidR="00893F30" w:rsidRPr="00865983" w:rsidRDefault="00893F30" w:rsidP="00865983">
      <w:pPr>
        <w:pStyle w:val="JuParaLast"/>
      </w:pPr>
      <w:r>
        <w:lastRenderedPageBreak/>
        <w:t>Redactată în limba franceză, apoi comunicată în scris la 11 octombrie 2022, în temeiul art. 77 § 2 și  art. 77 § 3 din Regulament.</w:t>
      </w:r>
    </w:p>
    <w:p w14:paraId="3427D8E4" w14:textId="7F6C2F3C" w:rsidR="00F94531" w:rsidRPr="00865983" w:rsidRDefault="00510D77" w:rsidP="00865983">
      <w:pPr>
        <w:pStyle w:val="JuSigned"/>
        <w:keepNext/>
        <w:keepLines/>
        <w:rPr>
          <w:color w:val="F8F8F8" w:themeColor="background2"/>
        </w:rPr>
      </w:pPr>
      <w:r>
        <w:rPr>
          <w:color w:val="F8F8F8" w:themeColor="background2"/>
        </w:rPr>
        <w:tab/>
      </w:r>
    </w:p>
    <w:p w14:paraId="77B86570" w14:textId="1366C63C" w:rsidR="00876F03" w:rsidRPr="00865983" w:rsidRDefault="00D72590" w:rsidP="00865983">
      <w:pPr>
        <w:pStyle w:val="JuSigned"/>
      </w:pPr>
      <w:r>
        <w:tab/>
        <w:t>Ilse Freiwirth</w:t>
      </w:r>
      <w:r>
        <w:tab/>
        <w:t>Gabriele Kucsko-Stadlmayer</w:t>
      </w:r>
      <w:r>
        <w:br/>
      </w:r>
      <w:r>
        <w:tab/>
        <w:t>Grefier adjunct</w:t>
      </w:r>
      <w:r>
        <w:tab/>
        <w:t>Președinte</w:t>
      </w:r>
    </w:p>
    <w:sectPr w:rsidR="00876F03" w:rsidRPr="00865983">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19266" w14:textId="77777777" w:rsidR="00AC2E48" w:rsidRPr="00F25EFC" w:rsidRDefault="00AC2E48" w:rsidP="00516B59">
      <w:r w:rsidRPr="00F25EFC">
        <w:separator/>
      </w:r>
    </w:p>
  </w:endnote>
  <w:endnote w:type="continuationSeparator" w:id="0">
    <w:p w14:paraId="3AC82A6F" w14:textId="77777777" w:rsidR="00AC2E48" w:rsidRPr="00F25EFC" w:rsidRDefault="00AC2E48"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7B52" w14:textId="4EE316AD" w:rsidR="00954AD6" w:rsidRPr="00F25EFC" w:rsidRDefault="00D72590" w:rsidP="00954AD6">
    <w:pPr>
      <w:pStyle w:val="JuHeader"/>
    </w:pPr>
    <w:r>
      <w:fldChar w:fldCharType="begin"/>
    </w:r>
    <w:r>
      <w:instrText xml:space="preserve"> PAGE </w:instrText>
    </w:r>
    <w:r>
      <w:fldChar w:fldCharType="separate"/>
    </w:r>
    <w:r w:rsidR="006C4EE5">
      <w:rPr>
        <w:noProof/>
      </w:rPr>
      <w:t>18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841B2" w14:textId="14A88310" w:rsidR="00D72590" w:rsidRPr="00150BFA" w:rsidRDefault="00D72590" w:rsidP="0020718E">
    <w:pPr>
      <w:jc w:val="center"/>
    </w:pPr>
    <w:r>
      <w:rPr>
        <w:noProof/>
        <w:lang w:val="en-US"/>
      </w:rPr>
      <w:drawing>
        <wp:inline distT="0" distB="0" distL="0" distR="0" wp14:anchorId="6F0D3173" wp14:editId="682EF6FF">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2120236" w14:textId="6CC675F7" w:rsidR="00F22D5C" w:rsidRPr="00F25EFC" w:rsidRDefault="00AC2E48"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E67F2" w14:textId="0A92414A" w:rsidR="00D72590" w:rsidRPr="00150BFA" w:rsidRDefault="00D72590" w:rsidP="0020718E">
    <w:pPr>
      <w:jc w:val="center"/>
    </w:pPr>
    <w:r>
      <w:rPr>
        <w:noProof/>
        <w:lang w:val="en-US"/>
      </w:rPr>
      <w:drawing>
        <wp:inline distT="0" distB="0" distL="0" distR="0" wp14:anchorId="7D6CD90D" wp14:editId="53CFC7B3">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B6DD695" w14:textId="652D0128"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44F8B" w14:textId="3EBD7C7C" w:rsidR="00F22D5C" w:rsidRPr="00D01935" w:rsidRDefault="00D72590" w:rsidP="00662882">
    <w:pPr>
      <w:pStyle w:val="JuHeader"/>
    </w:pPr>
    <w:r>
      <w:fldChar w:fldCharType="begin"/>
    </w:r>
    <w:r>
      <w:instrText xml:space="preserve"> PAGE </w:instrText>
    </w:r>
    <w:r>
      <w:fldChar w:fldCharType="separate"/>
    </w:r>
    <w:r w:rsidR="006C4EE5">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96AD3" w14:textId="77777777" w:rsidR="00AC2E48" w:rsidRPr="00F25EFC" w:rsidRDefault="00AC2E48" w:rsidP="00516B59">
      <w:r w:rsidRPr="00F25EFC">
        <w:separator/>
      </w:r>
    </w:p>
  </w:footnote>
  <w:footnote w:type="continuationSeparator" w:id="0">
    <w:p w14:paraId="248096FB" w14:textId="77777777" w:rsidR="00AC2E48" w:rsidRPr="00F25EFC" w:rsidRDefault="00AC2E48"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94E0C" w14:textId="24AB2B40" w:rsidR="00D72590" w:rsidRPr="00A45145" w:rsidRDefault="00D72590" w:rsidP="00A45145">
    <w:pPr>
      <w:jc w:val="center"/>
    </w:pPr>
    <w:r>
      <w:rPr>
        <w:noProof/>
        <w:lang w:val="en-US"/>
      </w:rPr>
      <w:drawing>
        <wp:inline distT="0" distB="0" distL="0" distR="0" wp14:anchorId="6C139DAC" wp14:editId="4794B217">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814179C" w14:textId="2E80F7B2" w:rsidR="00F22D5C" w:rsidRPr="00F25EFC" w:rsidRDefault="00AC2E48"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EEFF7" w14:textId="32DF959B" w:rsidR="00D72590" w:rsidRPr="00A45145" w:rsidRDefault="00D72590" w:rsidP="00A45145">
    <w:pPr>
      <w:jc w:val="center"/>
    </w:pPr>
    <w:r>
      <w:rPr>
        <w:noProof/>
        <w:lang w:val="en-US"/>
      </w:rPr>
      <w:drawing>
        <wp:inline distT="0" distB="0" distL="0" distR="0" wp14:anchorId="0FF49C82" wp14:editId="3624D442">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903DF5F" w14:textId="5A439DD6" w:rsidR="00902601" w:rsidRPr="006C4EE5" w:rsidRDefault="006C4EE5" w:rsidP="006C4EE5">
    <w:pPr>
      <w:jc w:val="right"/>
    </w:pPr>
    <w:r w:rsidRPr="006C4EE5">
      <w:t>Tradus și revizuit de IER (</w:t>
    </w:r>
    <w:hyperlink r:id="rId2" w:history="1">
      <w:r w:rsidRPr="006C4EE5">
        <w:rPr>
          <w:rStyle w:val="Hyperlink"/>
        </w:rPr>
        <w:t>http://ier.gov.ro/</w:t>
      </w:r>
    </w:hyperlink>
    <w:r w:rsidRPr="006C4EE5">
      <w:t>)</w:t>
    </w:r>
  </w:p>
  <w:p w14:paraId="56AC3483" w14:textId="77777777" w:rsidR="006C4EE5" w:rsidRPr="00F25EFC" w:rsidRDefault="006C4EE5" w:rsidP="006C4EE5">
    <w:pPr>
      <w:jc w:val="righ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F751" w14:textId="56EEAA7F" w:rsidR="00F22D5C" w:rsidRPr="0062540A" w:rsidRDefault="00A21624" w:rsidP="00A21624">
    <w:pPr>
      <w:pStyle w:val="JuHeader"/>
    </w:pPr>
    <w:r>
      <w:t>HOTĂRÂREA CONSTANTIN-LUCIAN SPÎNU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39B0A" w14:textId="6F195DC8" w:rsidR="00F22D5C" w:rsidRPr="00662882" w:rsidRDefault="00256F45" w:rsidP="00662882">
    <w:pPr>
      <w:pStyle w:val="JuHeader"/>
    </w:pPr>
    <w:r>
      <w:t xml:space="preserve">HOTĂRÂREA </w:t>
    </w:r>
    <w:r>
      <w:t>CONSTANTIN-LUCIAN SPÎNU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2"/>
  </w:num>
  <w:num w:numId="2">
    <w:abstractNumId w:val="16"/>
  </w:num>
  <w:num w:numId="3">
    <w:abstractNumId w:val="13"/>
  </w:num>
  <w:num w:numId="4">
    <w:abstractNumId w:val="11"/>
  </w:num>
  <w:num w:numId="5">
    <w:abstractNumId w:val="10"/>
  </w:num>
  <w:num w:numId="6">
    <w:abstractNumId w:val="17"/>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14"/>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D72590"/>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370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1C3"/>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4B2A"/>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67CF8"/>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431"/>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060BD"/>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0F7A"/>
    <w:rsid w:val="00611C80"/>
    <w:rsid w:val="00613B21"/>
    <w:rsid w:val="00620692"/>
    <w:rsid w:val="006242CA"/>
    <w:rsid w:val="0062540A"/>
    <w:rsid w:val="00627507"/>
    <w:rsid w:val="00633717"/>
    <w:rsid w:val="006344E1"/>
    <w:rsid w:val="006361FD"/>
    <w:rsid w:val="006545C4"/>
    <w:rsid w:val="00654B7E"/>
    <w:rsid w:val="00661971"/>
    <w:rsid w:val="00661CE8"/>
    <w:rsid w:val="00662374"/>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4EE5"/>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0ED5"/>
    <w:rsid w:val="007D4832"/>
    <w:rsid w:val="007E21B2"/>
    <w:rsid w:val="007E2C4E"/>
    <w:rsid w:val="007F1905"/>
    <w:rsid w:val="00801300"/>
    <w:rsid w:val="00802C64"/>
    <w:rsid w:val="0080523A"/>
    <w:rsid w:val="00805E52"/>
    <w:rsid w:val="008061D0"/>
    <w:rsid w:val="00810B38"/>
    <w:rsid w:val="008204C7"/>
    <w:rsid w:val="00820992"/>
    <w:rsid w:val="00821AF0"/>
    <w:rsid w:val="00823602"/>
    <w:rsid w:val="008255F5"/>
    <w:rsid w:val="0083014E"/>
    <w:rsid w:val="0083214A"/>
    <w:rsid w:val="00834220"/>
    <w:rsid w:val="00845723"/>
    <w:rsid w:val="00851EF9"/>
    <w:rsid w:val="008577FD"/>
    <w:rsid w:val="00860B03"/>
    <w:rsid w:val="0086497A"/>
    <w:rsid w:val="00865983"/>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22E3"/>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2E48"/>
    <w:rsid w:val="00AC5872"/>
    <w:rsid w:val="00AD2473"/>
    <w:rsid w:val="00AE0A2E"/>
    <w:rsid w:val="00AE354C"/>
    <w:rsid w:val="00AF4B07"/>
    <w:rsid w:val="00AF6186"/>
    <w:rsid w:val="00AF7A3A"/>
    <w:rsid w:val="00B009F4"/>
    <w:rsid w:val="00B04292"/>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10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2590"/>
    <w:rsid w:val="00D75E28"/>
    <w:rsid w:val="00D772C2"/>
    <w:rsid w:val="00D8008E"/>
    <w:rsid w:val="00D82C45"/>
    <w:rsid w:val="00D908A8"/>
    <w:rsid w:val="00D977B6"/>
    <w:rsid w:val="00DA3634"/>
    <w:rsid w:val="00DA4A31"/>
    <w:rsid w:val="00DA7B04"/>
    <w:rsid w:val="00DB36C2"/>
    <w:rsid w:val="00DB5CBD"/>
    <w:rsid w:val="00DB700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28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65983"/>
    <w:rPr>
      <w:sz w:val="24"/>
      <w:szCs w:val="24"/>
    </w:rPr>
  </w:style>
  <w:style w:type="paragraph" w:styleId="Heading1">
    <w:name w:val="heading 1"/>
    <w:basedOn w:val="Normal"/>
    <w:next w:val="Normal"/>
    <w:link w:val="Heading1Char"/>
    <w:uiPriority w:val="98"/>
    <w:semiHidden/>
    <w:rsid w:val="0086598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6598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6598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6598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6598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6598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6598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6598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6598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65983"/>
    <w:rPr>
      <w:rFonts w:ascii="Tahoma" w:hAnsi="Tahoma" w:cs="Tahoma"/>
      <w:sz w:val="16"/>
      <w:szCs w:val="16"/>
    </w:rPr>
  </w:style>
  <w:style w:type="character" w:customStyle="1" w:styleId="BalloonTextChar">
    <w:name w:val="Balloon Text Char"/>
    <w:basedOn w:val="DefaultParagraphFont"/>
    <w:link w:val="BalloonText"/>
    <w:uiPriority w:val="98"/>
    <w:semiHidden/>
    <w:rsid w:val="00865983"/>
    <w:rPr>
      <w:rFonts w:ascii="Tahoma" w:hAnsi="Tahoma" w:cs="Tahoma"/>
      <w:sz w:val="16"/>
      <w:szCs w:val="16"/>
      <w:lang w:val="ro-RO"/>
    </w:rPr>
  </w:style>
  <w:style w:type="character" w:styleId="BookTitle">
    <w:name w:val="Book Title"/>
    <w:uiPriority w:val="98"/>
    <w:semiHidden/>
    <w:qFormat/>
    <w:rsid w:val="00865983"/>
    <w:rPr>
      <w:i/>
      <w:iCs/>
      <w:smallCaps/>
      <w:spacing w:val="5"/>
    </w:rPr>
  </w:style>
  <w:style w:type="paragraph" w:customStyle="1" w:styleId="JuHeader">
    <w:name w:val="Ju_Header"/>
    <w:aliases w:val="_Header"/>
    <w:basedOn w:val="Header"/>
    <w:uiPriority w:val="29"/>
    <w:qFormat/>
    <w:rsid w:val="00865983"/>
    <w:pPr>
      <w:tabs>
        <w:tab w:val="clear" w:pos="4536"/>
        <w:tab w:val="clear" w:pos="9072"/>
      </w:tabs>
      <w:jc w:val="center"/>
    </w:pPr>
    <w:rPr>
      <w:sz w:val="18"/>
    </w:rPr>
  </w:style>
  <w:style w:type="paragraph" w:customStyle="1" w:styleId="DummyStyle">
    <w:name w:val="Dummy_Style"/>
    <w:aliases w:val="_Dummy"/>
    <w:basedOn w:val="Normal"/>
    <w:semiHidden/>
    <w:qFormat/>
    <w:rsid w:val="00865983"/>
    <w:rPr>
      <w:color w:val="00B050"/>
      <w:sz w:val="22"/>
    </w:rPr>
  </w:style>
  <w:style w:type="character" w:styleId="Strong">
    <w:name w:val="Strong"/>
    <w:uiPriority w:val="98"/>
    <w:semiHidden/>
    <w:qFormat/>
    <w:rsid w:val="00865983"/>
    <w:rPr>
      <w:b/>
      <w:bCs/>
    </w:rPr>
  </w:style>
  <w:style w:type="paragraph" w:styleId="NoSpacing">
    <w:name w:val="No Spacing"/>
    <w:basedOn w:val="Normal"/>
    <w:link w:val="NoSpacingChar"/>
    <w:uiPriority w:val="98"/>
    <w:semiHidden/>
    <w:qFormat/>
    <w:rsid w:val="00865983"/>
  </w:style>
  <w:style w:type="character" w:customStyle="1" w:styleId="NoSpacingChar">
    <w:name w:val="No Spacing Char"/>
    <w:basedOn w:val="DefaultParagraphFont"/>
    <w:link w:val="NoSpacing"/>
    <w:uiPriority w:val="98"/>
    <w:semiHidden/>
    <w:rsid w:val="00865983"/>
    <w:rPr>
      <w:sz w:val="24"/>
      <w:szCs w:val="24"/>
      <w:lang w:val="ro-RO"/>
    </w:rPr>
  </w:style>
  <w:style w:type="paragraph" w:customStyle="1" w:styleId="JuQuot">
    <w:name w:val="Ju_Quot"/>
    <w:aliases w:val="_Quote"/>
    <w:basedOn w:val="NormalJustified"/>
    <w:uiPriority w:val="20"/>
    <w:qFormat/>
    <w:rsid w:val="00865983"/>
    <w:pPr>
      <w:spacing w:before="120" w:after="120"/>
      <w:ind w:left="425" w:firstLine="142"/>
    </w:pPr>
    <w:rPr>
      <w:sz w:val="20"/>
    </w:rPr>
  </w:style>
  <w:style w:type="paragraph" w:customStyle="1" w:styleId="JuList">
    <w:name w:val="Ju_List"/>
    <w:aliases w:val="_List_1"/>
    <w:basedOn w:val="NormalJustified"/>
    <w:uiPriority w:val="23"/>
    <w:qFormat/>
    <w:rsid w:val="00865983"/>
    <w:pPr>
      <w:numPr>
        <w:numId w:val="18"/>
      </w:numPr>
      <w:spacing w:before="280" w:after="60"/>
    </w:pPr>
  </w:style>
  <w:style w:type="paragraph" w:customStyle="1" w:styleId="JuLista">
    <w:name w:val="Ju_List_a"/>
    <w:aliases w:val="_List_2"/>
    <w:basedOn w:val="NormalJustified"/>
    <w:uiPriority w:val="23"/>
    <w:rsid w:val="00865983"/>
    <w:pPr>
      <w:numPr>
        <w:ilvl w:val="1"/>
        <w:numId w:val="18"/>
      </w:numPr>
    </w:pPr>
  </w:style>
  <w:style w:type="paragraph" w:customStyle="1" w:styleId="JuListi">
    <w:name w:val="Ju_List_i"/>
    <w:aliases w:val="_List_3"/>
    <w:basedOn w:val="NormalJustified"/>
    <w:uiPriority w:val="23"/>
    <w:rsid w:val="00865983"/>
    <w:pPr>
      <w:numPr>
        <w:ilvl w:val="2"/>
        <w:numId w:val="18"/>
      </w:numPr>
    </w:pPr>
  </w:style>
  <w:style w:type="paragraph" w:customStyle="1" w:styleId="DecHTitle">
    <w:name w:val="Dec_H_Title"/>
    <w:aliases w:val="_Title_1"/>
    <w:basedOn w:val="JuPara"/>
    <w:next w:val="JuPara"/>
    <w:uiPriority w:val="38"/>
    <w:qFormat/>
    <w:rsid w:val="00865983"/>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865983"/>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865983"/>
    <w:pPr>
      <w:keepNext/>
      <w:keepLines/>
      <w:tabs>
        <w:tab w:val="right" w:pos="7938"/>
      </w:tabs>
      <w:ind w:firstLine="0"/>
      <w:jc w:val="center"/>
    </w:pPr>
    <w:rPr>
      <w:i/>
    </w:rPr>
  </w:style>
  <w:style w:type="numbering" w:customStyle="1" w:styleId="ECHRA1StyleBulletedSquare">
    <w:name w:val="ECHR_A1_Style_Bulleted_Square"/>
    <w:basedOn w:val="NoList"/>
    <w:rsid w:val="00865983"/>
    <w:pPr>
      <w:numPr>
        <w:numId w:val="17"/>
      </w:numPr>
    </w:pPr>
  </w:style>
  <w:style w:type="paragraph" w:customStyle="1" w:styleId="JuHHead">
    <w:name w:val="Ju_H_Head"/>
    <w:aliases w:val="_Head_1"/>
    <w:basedOn w:val="Heading1"/>
    <w:next w:val="JuPara"/>
    <w:uiPriority w:val="17"/>
    <w:qFormat/>
    <w:rsid w:val="00865983"/>
    <w:pPr>
      <w:keepNext/>
      <w:keepLines/>
      <w:numPr>
        <w:numId w:val="16"/>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865983"/>
    <w:pPr>
      <w:numPr>
        <w:numId w:val="1"/>
      </w:numPr>
    </w:pPr>
  </w:style>
  <w:style w:type="paragraph" w:customStyle="1" w:styleId="JuSigned">
    <w:name w:val="Ju_Signed"/>
    <w:aliases w:val="_Signature"/>
    <w:basedOn w:val="Normal"/>
    <w:next w:val="JuPara"/>
    <w:uiPriority w:val="31"/>
    <w:qFormat/>
    <w:rsid w:val="00865983"/>
    <w:pPr>
      <w:tabs>
        <w:tab w:val="center" w:pos="1418"/>
        <w:tab w:val="center" w:pos="5954"/>
      </w:tabs>
      <w:spacing w:before="720"/>
    </w:pPr>
  </w:style>
  <w:style w:type="paragraph" w:styleId="Title">
    <w:name w:val="Title"/>
    <w:basedOn w:val="Normal"/>
    <w:next w:val="Normal"/>
    <w:link w:val="TitleChar"/>
    <w:uiPriority w:val="98"/>
    <w:semiHidden/>
    <w:qFormat/>
    <w:rsid w:val="0086598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65983"/>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865983"/>
    <w:pPr>
      <w:numPr>
        <w:numId w:val="19"/>
      </w:numPr>
    </w:pPr>
  </w:style>
  <w:style w:type="table" w:customStyle="1" w:styleId="ECHRTable2019">
    <w:name w:val="ECHR_Table_2019"/>
    <w:basedOn w:val="TableNormal"/>
    <w:uiPriority w:val="99"/>
    <w:rsid w:val="0086598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865983"/>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865983"/>
    <w:pPr>
      <w:tabs>
        <w:tab w:val="center" w:pos="6407"/>
      </w:tabs>
      <w:spacing w:before="720"/>
      <w:jc w:val="right"/>
    </w:pPr>
  </w:style>
  <w:style w:type="paragraph" w:customStyle="1" w:styleId="JuHIRoman">
    <w:name w:val="Ju_H_I_Roman"/>
    <w:aliases w:val="_Head_2"/>
    <w:basedOn w:val="Heading2"/>
    <w:next w:val="JuPara"/>
    <w:uiPriority w:val="17"/>
    <w:qFormat/>
    <w:rsid w:val="00865983"/>
    <w:pPr>
      <w:keepNext/>
      <w:keepLines/>
      <w:numPr>
        <w:ilvl w:val="1"/>
        <w:numId w:val="16"/>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65983"/>
    <w:pPr>
      <w:keepNext/>
      <w:keepLines/>
      <w:numPr>
        <w:ilvl w:val="2"/>
        <w:numId w:val="16"/>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65983"/>
    <w:pPr>
      <w:keepNext/>
      <w:keepLines/>
      <w:numPr>
        <w:ilvl w:val="3"/>
        <w:numId w:val="16"/>
      </w:numPr>
      <w:spacing w:before="100" w:beforeAutospacing="1" w:after="120"/>
      <w:jc w:val="both"/>
    </w:pPr>
    <w:rPr>
      <w:b w:val="0"/>
      <w:color w:val="auto"/>
      <w:sz w:val="24"/>
    </w:rPr>
  </w:style>
  <w:style w:type="paragraph" w:styleId="Header">
    <w:name w:val="header"/>
    <w:basedOn w:val="Normal"/>
    <w:link w:val="HeaderChar"/>
    <w:uiPriority w:val="98"/>
    <w:semiHidden/>
    <w:rsid w:val="00865983"/>
    <w:pPr>
      <w:tabs>
        <w:tab w:val="center" w:pos="4536"/>
        <w:tab w:val="right" w:pos="9072"/>
      </w:tabs>
    </w:pPr>
  </w:style>
  <w:style w:type="character" w:customStyle="1" w:styleId="HeaderChar">
    <w:name w:val="Header Char"/>
    <w:basedOn w:val="DefaultParagraphFont"/>
    <w:link w:val="Header"/>
    <w:uiPriority w:val="98"/>
    <w:semiHidden/>
    <w:rsid w:val="00865983"/>
    <w:rPr>
      <w:sz w:val="24"/>
      <w:szCs w:val="24"/>
      <w:lang w:val="ro-RO"/>
    </w:rPr>
  </w:style>
  <w:style w:type="character" w:customStyle="1" w:styleId="Heading1Char">
    <w:name w:val="Heading 1 Char"/>
    <w:basedOn w:val="DefaultParagraphFont"/>
    <w:link w:val="Heading1"/>
    <w:uiPriority w:val="98"/>
    <w:semiHidden/>
    <w:rsid w:val="0086598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865983"/>
    <w:pPr>
      <w:keepNext/>
      <w:keepLines/>
      <w:numPr>
        <w:ilvl w:val="4"/>
        <w:numId w:val="16"/>
      </w:numPr>
      <w:spacing w:before="100" w:beforeAutospacing="1" w:after="120"/>
      <w:jc w:val="both"/>
    </w:pPr>
    <w:rPr>
      <w:color w:val="auto"/>
      <w:sz w:val="20"/>
    </w:rPr>
  </w:style>
  <w:style w:type="paragraph" w:customStyle="1" w:styleId="JuHi">
    <w:name w:val="Ju_H_i"/>
    <w:aliases w:val="_Head_6"/>
    <w:basedOn w:val="Heading6"/>
    <w:next w:val="JuPara"/>
    <w:uiPriority w:val="17"/>
    <w:rsid w:val="00865983"/>
    <w:pPr>
      <w:keepNext/>
      <w:keepLines/>
      <w:numPr>
        <w:ilvl w:val="5"/>
        <w:numId w:val="16"/>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6598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865983"/>
    <w:pPr>
      <w:keepNext/>
      <w:keepLines/>
      <w:numPr>
        <w:ilvl w:val="6"/>
        <w:numId w:val="16"/>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865983"/>
    <w:pPr>
      <w:keepNext/>
      <w:keepLines/>
      <w:numPr>
        <w:ilvl w:val="7"/>
        <w:numId w:val="16"/>
      </w:numPr>
      <w:spacing w:before="100" w:beforeAutospacing="1" w:after="120"/>
      <w:jc w:val="both"/>
    </w:pPr>
    <w:rPr>
      <w:i/>
    </w:rPr>
  </w:style>
  <w:style w:type="character" w:customStyle="1" w:styleId="Heading3Char">
    <w:name w:val="Heading 3 Char"/>
    <w:basedOn w:val="DefaultParagraphFont"/>
    <w:link w:val="Heading3"/>
    <w:uiPriority w:val="98"/>
    <w:semiHidden/>
    <w:rsid w:val="0086598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65983"/>
    <w:pPr>
      <w:keepNext/>
      <w:keepLines/>
      <w:spacing w:before="240" w:after="240"/>
      <w:ind w:firstLine="284"/>
    </w:pPr>
  </w:style>
  <w:style w:type="paragraph" w:customStyle="1" w:styleId="JuJudges">
    <w:name w:val="Ju_Judges"/>
    <w:aliases w:val="_Judges"/>
    <w:basedOn w:val="Normal"/>
    <w:uiPriority w:val="32"/>
    <w:qFormat/>
    <w:rsid w:val="00865983"/>
    <w:pPr>
      <w:tabs>
        <w:tab w:val="left" w:pos="567"/>
        <w:tab w:val="left" w:pos="1134"/>
      </w:tabs>
    </w:pPr>
  </w:style>
  <w:style w:type="character" w:customStyle="1" w:styleId="Heading4Char">
    <w:name w:val="Heading 4 Char"/>
    <w:basedOn w:val="DefaultParagraphFont"/>
    <w:link w:val="Heading4"/>
    <w:uiPriority w:val="98"/>
    <w:semiHidden/>
    <w:rsid w:val="00865983"/>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865983"/>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865983"/>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865983"/>
    <w:rPr>
      <w:caps w:val="0"/>
      <w:smallCaps/>
    </w:rPr>
  </w:style>
  <w:style w:type="paragraph" w:customStyle="1" w:styleId="NormalJustified">
    <w:name w:val="Normal_Justified"/>
    <w:basedOn w:val="Normal"/>
    <w:semiHidden/>
    <w:rsid w:val="00865983"/>
    <w:pPr>
      <w:jc w:val="both"/>
    </w:pPr>
  </w:style>
  <w:style w:type="character" w:styleId="SubtleEmphasis">
    <w:name w:val="Subtle Emphasis"/>
    <w:uiPriority w:val="98"/>
    <w:semiHidden/>
    <w:qFormat/>
    <w:rsid w:val="00865983"/>
    <w:rPr>
      <w:i/>
      <w:iCs/>
    </w:rPr>
  </w:style>
  <w:style w:type="table" w:customStyle="1" w:styleId="ECHRTable">
    <w:name w:val="ECHR_Table"/>
    <w:basedOn w:val="TableNormal"/>
    <w:rsid w:val="0086598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6598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865983"/>
    <w:rPr>
      <w:b/>
      <w:bCs/>
      <w:i/>
      <w:iCs/>
      <w:spacing w:val="10"/>
      <w:bdr w:val="none" w:sz="0" w:space="0" w:color="auto"/>
      <w:shd w:val="clear" w:color="auto" w:fill="auto"/>
    </w:rPr>
  </w:style>
  <w:style w:type="paragraph" w:styleId="Footer0">
    <w:name w:val="footer"/>
    <w:basedOn w:val="Normal"/>
    <w:link w:val="FooterChar"/>
    <w:uiPriority w:val="98"/>
    <w:semiHidden/>
    <w:rsid w:val="00865983"/>
    <w:pPr>
      <w:tabs>
        <w:tab w:val="center" w:pos="3686"/>
        <w:tab w:val="right" w:pos="7371"/>
      </w:tabs>
    </w:pPr>
  </w:style>
  <w:style w:type="character" w:customStyle="1" w:styleId="FooterChar">
    <w:name w:val="Footer Char"/>
    <w:basedOn w:val="DefaultParagraphFont"/>
    <w:link w:val="Footer0"/>
    <w:uiPriority w:val="98"/>
    <w:semiHidden/>
    <w:rsid w:val="00865983"/>
    <w:rPr>
      <w:sz w:val="24"/>
      <w:szCs w:val="24"/>
      <w:lang w:val="ro-RO"/>
    </w:rPr>
  </w:style>
  <w:style w:type="character" w:styleId="FootnoteReference">
    <w:name w:val="footnote reference"/>
    <w:basedOn w:val="DefaultParagraphFont"/>
    <w:uiPriority w:val="98"/>
    <w:semiHidden/>
    <w:rsid w:val="00865983"/>
    <w:rPr>
      <w:vertAlign w:val="superscript"/>
    </w:rPr>
  </w:style>
  <w:style w:type="paragraph" w:styleId="FootnoteText">
    <w:name w:val="footnote text"/>
    <w:basedOn w:val="NormalJustified"/>
    <w:link w:val="FootnoteTextChar"/>
    <w:uiPriority w:val="98"/>
    <w:semiHidden/>
    <w:rsid w:val="00865983"/>
    <w:rPr>
      <w:sz w:val="20"/>
      <w:szCs w:val="20"/>
    </w:rPr>
  </w:style>
  <w:style w:type="character" w:customStyle="1" w:styleId="FootnoteTextChar">
    <w:name w:val="Footnote Text Char"/>
    <w:basedOn w:val="DefaultParagraphFont"/>
    <w:link w:val="FootnoteText"/>
    <w:uiPriority w:val="98"/>
    <w:semiHidden/>
    <w:rsid w:val="00865983"/>
    <w:rPr>
      <w:sz w:val="20"/>
      <w:szCs w:val="20"/>
      <w:lang w:val="ro-RO"/>
    </w:rPr>
  </w:style>
  <w:style w:type="character" w:customStyle="1" w:styleId="Heading6Char">
    <w:name w:val="Heading 6 Char"/>
    <w:basedOn w:val="DefaultParagraphFont"/>
    <w:link w:val="Heading6"/>
    <w:uiPriority w:val="98"/>
    <w:semiHidden/>
    <w:rsid w:val="0086598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6598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6598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6598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865983"/>
    <w:rPr>
      <w:color w:val="0072BC" w:themeColor="hyperlink"/>
      <w:u w:val="single"/>
    </w:rPr>
  </w:style>
  <w:style w:type="character" w:styleId="IntenseEmphasis">
    <w:name w:val="Intense Emphasis"/>
    <w:uiPriority w:val="98"/>
    <w:semiHidden/>
    <w:qFormat/>
    <w:rsid w:val="00865983"/>
    <w:rPr>
      <w:b/>
      <w:bCs/>
    </w:rPr>
  </w:style>
  <w:style w:type="paragraph" w:styleId="IntenseQuote">
    <w:name w:val="Intense Quote"/>
    <w:basedOn w:val="Normal"/>
    <w:next w:val="Normal"/>
    <w:link w:val="IntenseQuoteChar"/>
    <w:uiPriority w:val="98"/>
    <w:semiHidden/>
    <w:qFormat/>
    <w:rsid w:val="0086598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65983"/>
    <w:rPr>
      <w:b/>
      <w:bCs/>
      <w:i/>
      <w:iCs/>
      <w:sz w:val="24"/>
      <w:szCs w:val="24"/>
      <w:lang w:val="ro-RO" w:bidi="en-US"/>
    </w:rPr>
  </w:style>
  <w:style w:type="character" w:styleId="IntenseReference">
    <w:name w:val="Intense Reference"/>
    <w:uiPriority w:val="98"/>
    <w:semiHidden/>
    <w:qFormat/>
    <w:rsid w:val="00865983"/>
    <w:rPr>
      <w:smallCaps/>
      <w:spacing w:val="5"/>
      <w:u w:val="single"/>
    </w:rPr>
  </w:style>
  <w:style w:type="paragraph" w:styleId="ListParagraph">
    <w:name w:val="List Paragraph"/>
    <w:basedOn w:val="Normal"/>
    <w:uiPriority w:val="98"/>
    <w:semiHidden/>
    <w:qFormat/>
    <w:rsid w:val="00865983"/>
    <w:pPr>
      <w:ind w:left="720"/>
      <w:contextualSpacing/>
    </w:pPr>
  </w:style>
  <w:style w:type="table" w:customStyle="1" w:styleId="LtrTableAddress">
    <w:name w:val="Ltr_Table_Address"/>
    <w:aliases w:val="ECHR_Ltr_Table_Address"/>
    <w:basedOn w:val="TableNormal"/>
    <w:uiPriority w:val="99"/>
    <w:rsid w:val="00865983"/>
    <w:rPr>
      <w:sz w:val="24"/>
      <w:szCs w:val="24"/>
    </w:rPr>
    <w:tblPr>
      <w:tblInd w:w="5103" w:type="dxa"/>
    </w:tblPr>
  </w:style>
  <w:style w:type="paragraph" w:styleId="Quote">
    <w:name w:val="Quote"/>
    <w:basedOn w:val="Normal"/>
    <w:next w:val="Normal"/>
    <w:link w:val="QuoteChar"/>
    <w:uiPriority w:val="98"/>
    <w:semiHidden/>
    <w:qFormat/>
    <w:rsid w:val="00865983"/>
    <w:pPr>
      <w:spacing w:before="200"/>
      <w:ind w:left="360" w:right="360"/>
    </w:pPr>
    <w:rPr>
      <w:i/>
      <w:iCs/>
      <w:lang w:bidi="en-US"/>
    </w:rPr>
  </w:style>
  <w:style w:type="character" w:customStyle="1" w:styleId="QuoteChar">
    <w:name w:val="Quote Char"/>
    <w:basedOn w:val="DefaultParagraphFont"/>
    <w:link w:val="Quote"/>
    <w:uiPriority w:val="98"/>
    <w:semiHidden/>
    <w:rsid w:val="00865983"/>
    <w:rPr>
      <w:i/>
      <w:iCs/>
      <w:sz w:val="24"/>
      <w:szCs w:val="24"/>
      <w:lang w:val="ro-RO" w:bidi="en-US"/>
    </w:rPr>
  </w:style>
  <w:style w:type="character" w:styleId="SubtleReference">
    <w:name w:val="Subtle Reference"/>
    <w:uiPriority w:val="98"/>
    <w:semiHidden/>
    <w:qFormat/>
    <w:rsid w:val="00865983"/>
    <w:rPr>
      <w:smallCaps/>
    </w:rPr>
  </w:style>
  <w:style w:type="table" w:styleId="TableGrid">
    <w:name w:val="Table Grid"/>
    <w:basedOn w:val="TableNormal"/>
    <w:uiPriority w:val="59"/>
    <w:semiHidden/>
    <w:rsid w:val="0086598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6598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6598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6598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6598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6598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6598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86598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6598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6598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6598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86598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6598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6598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86598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6598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65983"/>
    <w:pPr>
      <w:numPr>
        <w:numId w:val="3"/>
      </w:numPr>
    </w:pPr>
  </w:style>
  <w:style w:type="paragraph" w:customStyle="1" w:styleId="JuPara">
    <w:name w:val="Ju_Para"/>
    <w:aliases w:val="_Para"/>
    <w:basedOn w:val="NormalJustified"/>
    <w:link w:val="JuParaChar"/>
    <w:uiPriority w:val="4"/>
    <w:qFormat/>
    <w:rsid w:val="00865983"/>
    <w:pPr>
      <w:ind w:firstLine="284"/>
    </w:pPr>
  </w:style>
  <w:style w:type="numbering" w:styleId="1ai">
    <w:name w:val="Outline List 1"/>
    <w:basedOn w:val="NoList"/>
    <w:uiPriority w:val="99"/>
    <w:semiHidden/>
    <w:unhideWhenUsed/>
    <w:rsid w:val="00865983"/>
    <w:pPr>
      <w:numPr>
        <w:numId w:val="4"/>
      </w:numPr>
    </w:pPr>
  </w:style>
  <w:style w:type="table" w:customStyle="1" w:styleId="ECHRTableSimpleBox">
    <w:name w:val="ECHR_Table_Simple_Box"/>
    <w:basedOn w:val="TableNormal"/>
    <w:uiPriority w:val="99"/>
    <w:rsid w:val="0086598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86598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865983"/>
    <w:pPr>
      <w:numPr>
        <w:numId w:val="5"/>
      </w:numPr>
    </w:pPr>
  </w:style>
  <w:style w:type="table" w:customStyle="1" w:styleId="ECHRTableForInternalUse">
    <w:name w:val="ECHR_Table_For_Internal_Use"/>
    <w:basedOn w:val="TableNormal"/>
    <w:uiPriority w:val="99"/>
    <w:rsid w:val="0086598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6598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65983"/>
  </w:style>
  <w:style w:type="paragraph" w:styleId="BlockText">
    <w:name w:val="Block Text"/>
    <w:basedOn w:val="Normal"/>
    <w:uiPriority w:val="98"/>
    <w:semiHidden/>
    <w:rsid w:val="0086598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6598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65983"/>
    <w:pPr>
      <w:spacing w:after="120"/>
    </w:pPr>
  </w:style>
  <w:style w:type="character" w:customStyle="1" w:styleId="BodyTextChar">
    <w:name w:val="Body Text Char"/>
    <w:basedOn w:val="DefaultParagraphFont"/>
    <w:link w:val="BodyText"/>
    <w:uiPriority w:val="98"/>
    <w:semiHidden/>
    <w:rsid w:val="00865983"/>
    <w:rPr>
      <w:sz w:val="24"/>
      <w:szCs w:val="24"/>
      <w:lang w:val="ro-RO"/>
    </w:rPr>
  </w:style>
  <w:style w:type="table" w:customStyle="1" w:styleId="ECHRTableOddBanded">
    <w:name w:val="ECHR_Table_Odd_Banded"/>
    <w:basedOn w:val="TableNormal"/>
    <w:uiPriority w:val="99"/>
    <w:rsid w:val="0086598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65983"/>
    <w:pPr>
      <w:spacing w:after="120" w:line="480" w:lineRule="auto"/>
    </w:pPr>
  </w:style>
  <w:style w:type="table" w:customStyle="1" w:styleId="ECHRHeaderTableReduced">
    <w:name w:val="ECHR_Header_Table_Reduced"/>
    <w:basedOn w:val="TableNormal"/>
    <w:uiPriority w:val="99"/>
    <w:rsid w:val="0086598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865983"/>
    <w:pPr>
      <w:ind w:firstLine="284"/>
    </w:pPr>
    <w:rPr>
      <w:b/>
    </w:rPr>
  </w:style>
  <w:style w:type="character" w:styleId="PageNumber">
    <w:name w:val="page number"/>
    <w:uiPriority w:val="98"/>
    <w:semiHidden/>
    <w:rsid w:val="00865983"/>
    <w:rPr>
      <w:sz w:val="18"/>
    </w:rPr>
  </w:style>
  <w:style w:type="paragraph" w:styleId="ListBullet2">
    <w:name w:val="List Bullet 2"/>
    <w:basedOn w:val="Normal"/>
    <w:uiPriority w:val="98"/>
    <w:semiHidden/>
    <w:rsid w:val="00865983"/>
    <w:pPr>
      <w:numPr>
        <w:numId w:val="7"/>
      </w:numPr>
      <w:contextualSpacing/>
    </w:pPr>
  </w:style>
  <w:style w:type="character" w:customStyle="1" w:styleId="BodyText2Char">
    <w:name w:val="Body Text 2 Char"/>
    <w:basedOn w:val="DefaultParagraphFont"/>
    <w:link w:val="BodyText2"/>
    <w:uiPriority w:val="98"/>
    <w:semiHidden/>
    <w:rsid w:val="00865983"/>
    <w:rPr>
      <w:sz w:val="24"/>
      <w:szCs w:val="24"/>
      <w:lang w:val="ro-RO"/>
    </w:rPr>
  </w:style>
  <w:style w:type="paragraph" w:styleId="BodyText3">
    <w:name w:val="Body Text 3"/>
    <w:basedOn w:val="Normal"/>
    <w:link w:val="BodyText3Char"/>
    <w:uiPriority w:val="98"/>
    <w:semiHidden/>
    <w:rsid w:val="00865983"/>
    <w:pPr>
      <w:spacing w:after="120"/>
    </w:pPr>
    <w:rPr>
      <w:sz w:val="16"/>
      <w:szCs w:val="16"/>
    </w:rPr>
  </w:style>
  <w:style w:type="character" w:customStyle="1" w:styleId="BodyText3Char">
    <w:name w:val="Body Text 3 Char"/>
    <w:basedOn w:val="DefaultParagraphFont"/>
    <w:link w:val="BodyText3"/>
    <w:uiPriority w:val="98"/>
    <w:semiHidden/>
    <w:rsid w:val="00865983"/>
    <w:rPr>
      <w:sz w:val="16"/>
      <w:szCs w:val="16"/>
      <w:lang w:val="ro-RO"/>
    </w:rPr>
  </w:style>
  <w:style w:type="paragraph" w:styleId="BodyTextFirstIndent">
    <w:name w:val="Body Text First Indent"/>
    <w:basedOn w:val="BodyText"/>
    <w:link w:val="BodyTextFirstIndentChar"/>
    <w:uiPriority w:val="98"/>
    <w:semiHidden/>
    <w:rsid w:val="00865983"/>
    <w:pPr>
      <w:spacing w:after="0"/>
      <w:ind w:firstLine="360"/>
    </w:pPr>
  </w:style>
  <w:style w:type="character" w:customStyle="1" w:styleId="BodyTextFirstIndentChar">
    <w:name w:val="Body Text First Indent Char"/>
    <w:basedOn w:val="BodyTextChar"/>
    <w:link w:val="BodyTextFirstIndent"/>
    <w:uiPriority w:val="98"/>
    <w:semiHidden/>
    <w:rsid w:val="00865983"/>
    <w:rPr>
      <w:sz w:val="24"/>
      <w:szCs w:val="24"/>
      <w:lang w:val="ro-RO"/>
    </w:rPr>
  </w:style>
  <w:style w:type="paragraph" w:styleId="BodyTextIndent">
    <w:name w:val="Body Text Indent"/>
    <w:basedOn w:val="Normal"/>
    <w:link w:val="BodyTextIndentChar"/>
    <w:uiPriority w:val="98"/>
    <w:semiHidden/>
    <w:rsid w:val="00865983"/>
    <w:pPr>
      <w:spacing w:after="120"/>
      <w:ind w:left="283"/>
    </w:pPr>
  </w:style>
  <w:style w:type="character" w:customStyle="1" w:styleId="BodyTextIndentChar">
    <w:name w:val="Body Text Indent Char"/>
    <w:basedOn w:val="DefaultParagraphFont"/>
    <w:link w:val="BodyTextIndent"/>
    <w:uiPriority w:val="98"/>
    <w:semiHidden/>
    <w:rsid w:val="00865983"/>
    <w:rPr>
      <w:sz w:val="24"/>
      <w:szCs w:val="24"/>
      <w:lang w:val="ro-RO"/>
    </w:rPr>
  </w:style>
  <w:style w:type="paragraph" w:styleId="BodyTextFirstIndent2">
    <w:name w:val="Body Text First Indent 2"/>
    <w:basedOn w:val="BodyTextIndent"/>
    <w:link w:val="BodyTextFirstIndent2Char"/>
    <w:uiPriority w:val="98"/>
    <w:semiHidden/>
    <w:rsid w:val="00865983"/>
    <w:pPr>
      <w:spacing w:after="0"/>
      <w:ind w:left="360" w:firstLine="360"/>
    </w:pPr>
  </w:style>
  <w:style w:type="character" w:customStyle="1" w:styleId="BodyTextFirstIndent2Char">
    <w:name w:val="Body Text First Indent 2 Char"/>
    <w:basedOn w:val="BodyTextIndentChar"/>
    <w:link w:val="BodyTextFirstIndent2"/>
    <w:uiPriority w:val="98"/>
    <w:semiHidden/>
    <w:rsid w:val="00865983"/>
    <w:rPr>
      <w:sz w:val="24"/>
      <w:szCs w:val="24"/>
      <w:lang w:val="ro-RO"/>
    </w:rPr>
  </w:style>
  <w:style w:type="paragraph" w:styleId="BodyTextIndent2">
    <w:name w:val="Body Text Indent 2"/>
    <w:basedOn w:val="Normal"/>
    <w:link w:val="BodyTextIndent2Char"/>
    <w:uiPriority w:val="98"/>
    <w:semiHidden/>
    <w:rsid w:val="00865983"/>
    <w:pPr>
      <w:spacing w:after="120" w:line="480" w:lineRule="auto"/>
      <w:ind w:left="283"/>
    </w:pPr>
  </w:style>
  <w:style w:type="character" w:customStyle="1" w:styleId="BodyTextIndent2Char">
    <w:name w:val="Body Text Indent 2 Char"/>
    <w:basedOn w:val="DefaultParagraphFont"/>
    <w:link w:val="BodyTextIndent2"/>
    <w:uiPriority w:val="98"/>
    <w:semiHidden/>
    <w:rsid w:val="00865983"/>
    <w:rPr>
      <w:sz w:val="24"/>
      <w:szCs w:val="24"/>
      <w:lang w:val="ro-RO"/>
    </w:rPr>
  </w:style>
  <w:style w:type="paragraph" w:styleId="BodyTextIndent3">
    <w:name w:val="Body Text Indent 3"/>
    <w:basedOn w:val="Normal"/>
    <w:link w:val="BodyTextIndent3Char"/>
    <w:uiPriority w:val="98"/>
    <w:semiHidden/>
    <w:rsid w:val="0086598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65983"/>
    <w:rPr>
      <w:sz w:val="16"/>
      <w:szCs w:val="16"/>
      <w:lang w:val="ro-RO"/>
    </w:rPr>
  </w:style>
  <w:style w:type="paragraph" w:styleId="Caption">
    <w:name w:val="caption"/>
    <w:basedOn w:val="Normal"/>
    <w:next w:val="Normal"/>
    <w:uiPriority w:val="98"/>
    <w:semiHidden/>
    <w:qFormat/>
    <w:rsid w:val="00865983"/>
    <w:pPr>
      <w:spacing w:after="200"/>
    </w:pPr>
    <w:rPr>
      <w:b/>
      <w:bCs/>
      <w:color w:val="0072BC" w:themeColor="accent1"/>
      <w:sz w:val="18"/>
      <w:szCs w:val="18"/>
    </w:rPr>
  </w:style>
  <w:style w:type="paragraph" w:styleId="Closing">
    <w:name w:val="Closing"/>
    <w:basedOn w:val="Normal"/>
    <w:link w:val="ClosingChar"/>
    <w:uiPriority w:val="98"/>
    <w:semiHidden/>
    <w:rsid w:val="00865983"/>
    <w:pPr>
      <w:ind w:left="4252"/>
    </w:pPr>
  </w:style>
  <w:style w:type="character" w:customStyle="1" w:styleId="ClosingChar">
    <w:name w:val="Closing Char"/>
    <w:basedOn w:val="DefaultParagraphFont"/>
    <w:link w:val="Closing"/>
    <w:uiPriority w:val="98"/>
    <w:semiHidden/>
    <w:rsid w:val="00865983"/>
    <w:rPr>
      <w:sz w:val="24"/>
      <w:szCs w:val="24"/>
      <w:lang w:val="ro-RO"/>
    </w:rPr>
  </w:style>
  <w:style w:type="table" w:styleId="ColorfulGrid">
    <w:name w:val="Colorful Grid"/>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6598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6598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6598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6598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6598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86598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6598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6598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6598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6598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6598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6598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86598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6598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6598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865983"/>
    <w:rPr>
      <w:sz w:val="16"/>
      <w:szCs w:val="16"/>
    </w:rPr>
  </w:style>
  <w:style w:type="paragraph" w:styleId="CommentText">
    <w:name w:val="annotation text"/>
    <w:basedOn w:val="Normal"/>
    <w:link w:val="CommentTextChar"/>
    <w:uiPriority w:val="98"/>
    <w:semiHidden/>
    <w:rsid w:val="00865983"/>
    <w:rPr>
      <w:sz w:val="20"/>
      <w:szCs w:val="20"/>
    </w:rPr>
  </w:style>
  <w:style w:type="character" w:customStyle="1" w:styleId="CommentTextChar">
    <w:name w:val="Comment Text Char"/>
    <w:basedOn w:val="DefaultParagraphFont"/>
    <w:link w:val="CommentText"/>
    <w:uiPriority w:val="98"/>
    <w:semiHidden/>
    <w:rsid w:val="00865983"/>
    <w:rPr>
      <w:sz w:val="20"/>
      <w:szCs w:val="20"/>
      <w:lang w:val="ro-RO"/>
    </w:rPr>
  </w:style>
  <w:style w:type="paragraph" w:styleId="CommentSubject">
    <w:name w:val="annotation subject"/>
    <w:basedOn w:val="CommentText"/>
    <w:next w:val="CommentText"/>
    <w:link w:val="CommentSubjectChar"/>
    <w:uiPriority w:val="98"/>
    <w:semiHidden/>
    <w:rsid w:val="00865983"/>
    <w:rPr>
      <w:b/>
      <w:bCs/>
    </w:rPr>
  </w:style>
  <w:style w:type="character" w:customStyle="1" w:styleId="CommentSubjectChar">
    <w:name w:val="Comment Subject Char"/>
    <w:basedOn w:val="CommentTextChar"/>
    <w:link w:val="CommentSubject"/>
    <w:uiPriority w:val="98"/>
    <w:semiHidden/>
    <w:rsid w:val="00865983"/>
    <w:rPr>
      <w:b/>
      <w:bCs/>
      <w:sz w:val="20"/>
      <w:szCs w:val="20"/>
      <w:lang w:val="ro-RO"/>
    </w:rPr>
  </w:style>
  <w:style w:type="table" w:styleId="DarkList">
    <w:name w:val="Dark List"/>
    <w:basedOn w:val="TableNormal"/>
    <w:uiPriority w:val="70"/>
    <w:semiHidden/>
    <w:rsid w:val="0086598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6598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6598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6598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86598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6598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6598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65983"/>
  </w:style>
  <w:style w:type="character" w:customStyle="1" w:styleId="DateChar">
    <w:name w:val="Date Char"/>
    <w:basedOn w:val="DefaultParagraphFont"/>
    <w:link w:val="Date"/>
    <w:uiPriority w:val="98"/>
    <w:semiHidden/>
    <w:rsid w:val="00865983"/>
    <w:rPr>
      <w:sz w:val="24"/>
      <w:szCs w:val="24"/>
      <w:lang w:val="ro-RO"/>
    </w:rPr>
  </w:style>
  <w:style w:type="paragraph" w:styleId="DocumentMap">
    <w:name w:val="Document Map"/>
    <w:basedOn w:val="Normal"/>
    <w:link w:val="DocumentMapChar"/>
    <w:uiPriority w:val="98"/>
    <w:semiHidden/>
    <w:rsid w:val="00865983"/>
    <w:rPr>
      <w:rFonts w:ascii="Tahoma" w:hAnsi="Tahoma" w:cs="Tahoma"/>
      <w:sz w:val="16"/>
      <w:szCs w:val="16"/>
    </w:rPr>
  </w:style>
  <w:style w:type="character" w:customStyle="1" w:styleId="DocumentMapChar">
    <w:name w:val="Document Map Char"/>
    <w:basedOn w:val="DefaultParagraphFont"/>
    <w:link w:val="DocumentMap"/>
    <w:uiPriority w:val="98"/>
    <w:semiHidden/>
    <w:rsid w:val="00865983"/>
    <w:rPr>
      <w:rFonts w:ascii="Tahoma" w:hAnsi="Tahoma" w:cs="Tahoma"/>
      <w:sz w:val="16"/>
      <w:szCs w:val="16"/>
      <w:lang w:val="ro-RO"/>
    </w:rPr>
  </w:style>
  <w:style w:type="paragraph" w:styleId="E-mailSignature">
    <w:name w:val="E-mail Signature"/>
    <w:basedOn w:val="Normal"/>
    <w:link w:val="E-mailSignatureChar"/>
    <w:uiPriority w:val="98"/>
    <w:semiHidden/>
    <w:rsid w:val="00865983"/>
  </w:style>
  <w:style w:type="character" w:customStyle="1" w:styleId="E-mailSignatureChar">
    <w:name w:val="E-mail Signature Char"/>
    <w:basedOn w:val="DefaultParagraphFont"/>
    <w:link w:val="E-mailSignature"/>
    <w:uiPriority w:val="98"/>
    <w:semiHidden/>
    <w:rsid w:val="00865983"/>
    <w:rPr>
      <w:sz w:val="24"/>
      <w:szCs w:val="24"/>
      <w:lang w:val="ro-RO"/>
    </w:rPr>
  </w:style>
  <w:style w:type="character" w:styleId="EndnoteReference">
    <w:name w:val="endnote reference"/>
    <w:basedOn w:val="DefaultParagraphFont"/>
    <w:uiPriority w:val="98"/>
    <w:semiHidden/>
    <w:rsid w:val="00865983"/>
    <w:rPr>
      <w:vertAlign w:val="superscript"/>
    </w:rPr>
  </w:style>
  <w:style w:type="paragraph" w:styleId="EndnoteText">
    <w:name w:val="endnote text"/>
    <w:basedOn w:val="Normal"/>
    <w:link w:val="EndnoteTextChar"/>
    <w:uiPriority w:val="98"/>
    <w:semiHidden/>
    <w:rsid w:val="00865983"/>
    <w:rPr>
      <w:sz w:val="20"/>
      <w:szCs w:val="20"/>
    </w:rPr>
  </w:style>
  <w:style w:type="character" w:customStyle="1" w:styleId="EndnoteTextChar">
    <w:name w:val="Endnote Text Char"/>
    <w:basedOn w:val="DefaultParagraphFont"/>
    <w:link w:val="EndnoteText"/>
    <w:uiPriority w:val="98"/>
    <w:semiHidden/>
    <w:rsid w:val="00865983"/>
    <w:rPr>
      <w:sz w:val="20"/>
      <w:szCs w:val="20"/>
      <w:lang w:val="ro-RO"/>
    </w:rPr>
  </w:style>
  <w:style w:type="paragraph" w:styleId="EnvelopeAddress">
    <w:name w:val="envelope address"/>
    <w:basedOn w:val="Normal"/>
    <w:uiPriority w:val="98"/>
    <w:semiHidden/>
    <w:rsid w:val="0086598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6598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65983"/>
    <w:rPr>
      <w:color w:val="7030A0" w:themeColor="followedHyperlink"/>
      <w:u w:val="single"/>
    </w:rPr>
  </w:style>
  <w:style w:type="character" w:styleId="HTMLAcronym">
    <w:name w:val="HTML Acronym"/>
    <w:basedOn w:val="DefaultParagraphFont"/>
    <w:uiPriority w:val="98"/>
    <w:semiHidden/>
    <w:rsid w:val="00865983"/>
  </w:style>
  <w:style w:type="paragraph" w:styleId="HTMLAddress">
    <w:name w:val="HTML Address"/>
    <w:basedOn w:val="Normal"/>
    <w:link w:val="HTMLAddressChar"/>
    <w:uiPriority w:val="98"/>
    <w:semiHidden/>
    <w:rsid w:val="00865983"/>
    <w:rPr>
      <w:i/>
      <w:iCs/>
    </w:rPr>
  </w:style>
  <w:style w:type="character" w:customStyle="1" w:styleId="HTMLAddressChar">
    <w:name w:val="HTML Address Char"/>
    <w:basedOn w:val="DefaultParagraphFont"/>
    <w:link w:val="HTMLAddress"/>
    <w:uiPriority w:val="98"/>
    <w:semiHidden/>
    <w:rsid w:val="00865983"/>
    <w:rPr>
      <w:i/>
      <w:iCs/>
      <w:sz w:val="24"/>
      <w:szCs w:val="24"/>
      <w:lang w:val="ro-RO"/>
    </w:rPr>
  </w:style>
  <w:style w:type="character" w:styleId="HTMLCite">
    <w:name w:val="HTML Cite"/>
    <w:basedOn w:val="DefaultParagraphFont"/>
    <w:uiPriority w:val="98"/>
    <w:semiHidden/>
    <w:rsid w:val="00865983"/>
    <w:rPr>
      <w:i/>
      <w:iCs/>
    </w:rPr>
  </w:style>
  <w:style w:type="character" w:styleId="HTMLCode">
    <w:name w:val="HTML Code"/>
    <w:basedOn w:val="DefaultParagraphFont"/>
    <w:uiPriority w:val="98"/>
    <w:semiHidden/>
    <w:rsid w:val="00865983"/>
    <w:rPr>
      <w:rFonts w:ascii="Consolas" w:hAnsi="Consolas" w:cs="Consolas"/>
      <w:sz w:val="20"/>
      <w:szCs w:val="20"/>
    </w:rPr>
  </w:style>
  <w:style w:type="character" w:styleId="HTMLDefinition">
    <w:name w:val="HTML Definition"/>
    <w:basedOn w:val="DefaultParagraphFont"/>
    <w:uiPriority w:val="98"/>
    <w:semiHidden/>
    <w:rsid w:val="00865983"/>
    <w:rPr>
      <w:i/>
      <w:iCs/>
    </w:rPr>
  </w:style>
  <w:style w:type="character" w:styleId="HTMLKeyboard">
    <w:name w:val="HTML Keyboard"/>
    <w:basedOn w:val="DefaultParagraphFont"/>
    <w:uiPriority w:val="98"/>
    <w:semiHidden/>
    <w:rsid w:val="00865983"/>
    <w:rPr>
      <w:rFonts w:ascii="Consolas" w:hAnsi="Consolas" w:cs="Consolas"/>
      <w:sz w:val="20"/>
      <w:szCs w:val="20"/>
    </w:rPr>
  </w:style>
  <w:style w:type="paragraph" w:styleId="HTMLPreformatted">
    <w:name w:val="HTML Preformatted"/>
    <w:basedOn w:val="Normal"/>
    <w:link w:val="HTMLPreformattedChar"/>
    <w:uiPriority w:val="98"/>
    <w:semiHidden/>
    <w:rsid w:val="0086598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65983"/>
    <w:rPr>
      <w:rFonts w:ascii="Consolas" w:hAnsi="Consolas" w:cs="Consolas"/>
      <w:sz w:val="20"/>
      <w:szCs w:val="20"/>
      <w:lang w:val="ro-RO"/>
    </w:rPr>
  </w:style>
  <w:style w:type="character" w:styleId="HTMLSample">
    <w:name w:val="HTML Sample"/>
    <w:basedOn w:val="DefaultParagraphFont"/>
    <w:uiPriority w:val="98"/>
    <w:semiHidden/>
    <w:rsid w:val="00865983"/>
    <w:rPr>
      <w:rFonts w:ascii="Consolas" w:hAnsi="Consolas" w:cs="Consolas"/>
      <w:sz w:val="24"/>
      <w:szCs w:val="24"/>
    </w:rPr>
  </w:style>
  <w:style w:type="character" w:styleId="HTMLTypewriter">
    <w:name w:val="HTML Typewriter"/>
    <w:basedOn w:val="DefaultParagraphFont"/>
    <w:uiPriority w:val="98"/>
    <w:semiHidden/>
    <w:rsid w:val="00865983"/>
    <w:rPr>
      <w:rFonts w:ascii="Consolas" w:hAnsi="Consolas" w:cs="Consolas"/>
      <w:sz w:val="20"/>
      <w:szCs w:val="20"/>
    </w:rPr>
  </w:style>
  <w:style w:type="character" w:styleId="HTMLVariable">
    <w:name w:val="HTML Variable"/>
    <w:basedOn w:val="DefaultParagraphFont"/>
    <w:uiPriority w:val="98"/>
    <w:semiHidden/>
    <w:rsid w:val="00865983"/>
    <w:rPr>
      <w:i/>
      <w:iCs/>
    </w:rPr>
  </w:style>
  <w:style w:type="paragraph" w:styleId="Index1">
    <w:name w:val="index 1"/>
    <w:basedOn w:val="Normal"/>
    <w:next w:val="Normal"/>
    <w:autoRedefine/>
    <w:uiPriority w:val="98"/>
    <w:semiHidden/>
    <w:rsid w:val="00865983"/>
    <w:pPr>
      <w:ind w:left="240" w:hanging="240"/>
    </w:pPr>
  </w:style>
  <w:style w:type="paragraph" w:styleId="Index2">
    <w:name w:val="index 2"/>
    <w:basedOn w:val="Normal"/>
    <w:next w:val="Normal"/>
    <w:autoRedefine/>
    <w:uiPriority w:val="98"/>
    <w:semiHidden/>
    <w:rsid w:val="00865983"/>
    <w:pPr>
      <w:ind w:left="480" w:hanging="240"/>
    </w:pPr>
  </w:style>
  <w:style w:type="paragraph" w:styleId="Index3">
    <w:name w:val="index 3"/>
    <w:basedOn w:val="Normal"/>
    <w:next w:val="Normal"/>
    <w:autoRedefine/>
    <w:uiPriority w:val="98"/>
    <w:semiHidden/>
    <w:rsid w:val="00865983"/>
    <w:pPr>
      <w:ind w:left="720" w:hanging="240"/>
    </w:pPr>
  </w:style>
  <w:style w:type="paragraph" w:styleId="Index4">
    <w:name w:val="index 4"/>
    <w:basedOn w:val="Normal"/>
    <w:next w:val="Normal"/>
    <w:autoRedefine/>
    <w:uiPriority w:val="98"/>
    <w:semiHidden/>
    <w:rsid w:val="00865983"/>
    <w:pPr>
      <w:ind w:left="960" w:hanging="240"/>
    </w:pPr>
  </w:style>
  <w:style w:type="paragraph" w:styleId="Index5">
    <w:name w:val="index 5"/>
    <w:basedOn w:val="Normal"/>
    <w:next w:val="Normal"/>
    <w:autoRedefine/>
    <w:uiPriority w:val="98"/>
    <w:semiHidden/>
    <w:rsid w:val="00865983"/>
    <w:pPr>
      <w:ind w:left="1200" w:hanging="240"/>
    </w:pPr>
  </w:style>
  <w:style w:type="paragraph" w:styleId="Index6">
    <w:name w:val="index 6"/>
    <w:basedOn w:val="Normal"/>
    <w:next w:val="Normal"/>
    <w:autoRedefine/>
    <w:uiPriority w:val="98"/>
    <w:semiHidden/>
    <w:rsid w:val="00865983"/>
    <w:pPr>
      <w:ind w:left="1440" w:hanging="240"/>
    </w:pPr>
  </w:style>
  <w:style w:type="paragraph" w:styleId="Index7">
    <w:name w:val="index 7"/>
    <w:basedOn w:val="Normal"/>
    <w:next w:val="Normal"/>
    <w:autoRedefine/>
    <w:uiPriority w:val="98"/>
    <w:semiHidden/>
    <w:rsid w:val="00865983"/>
    <w:pPr>
      <w:ind w:left="1680" w:hanging="240"/>
    </w:pPr>
  </w:style>
  <w:style w:type="paragraph" w:styleId="Index8">
    <w:name w:val="index 8"/>
    <w:basedOn w:val="Normal"/>
    <w:next w:val="Normal"/>
    <w:autoRedefine/>
    <w:uiPriority w:val="98"/>
    <w:semiHidden/>
    <w:rsid w:val="00865983"/>
    <w:pPr>
      <w:ind w:left="1920" w:hanging="240"/>
    </w:pPr>
  </w:style>
  <w:style w:type="paragraph" w:styleId="Index9">
    <w:name w:val="index 9"/>
    <w:basedOn w:val="Normal"/>
    <w:next w:val="Normal"/>
    <w:autoRedefine/>
    <w:uiPriority w:val="98"/>
    <w:semiHidden/>
    <w:rsid w:val="00865983"/>
    <w:pPr>
      <w:ind w:left="2160" w:hanging="240"/>
    </w:pPr>
  </w:style>
  <w:style w:type="paragraph" w:styleId="IndexHeading">
    <w:name w:val="index heading"/>
    <w:basedOn w:val="Normal"/>
    <w:next w:val="Index1"/>
    <w:uiPriority w:val="98"/>
    <w:semiHidden/>
    <w:rsid w:val="00865983"/>
    <w:rPr>
      <w:rFonts w:asciiTheme="majorHAnsi" w:eastAsiaTheme="majorEastAsia" w:hAnsiTheme="majorHAnsi" w:cstheme="majorBidi"/>
      <w:b/>
      <w:bCs/>
    </w:rPr>
  </w:style>
  <w:style w:type="table" w:styleId="LightGrid">
    <w:name w:val="Light Grid"/>
    <w:basedOn w:val="TableNormal"/>
    <w:uiPriority w:val="62"/>
    <w:semiHidden/>
    <w:rsid w:val="0086598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6598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6598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6598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86598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6598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6598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6598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6598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6598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6598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86598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6598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6598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6598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6598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6598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6598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86598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6598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6598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65983"/>
  </w:style>
  <w:style w:type="paragraph" w:styleId="List">
    <w:name w:val="List"/>
    <w:basedOn w:val="Normal"/>
    <w:uiPriority w:val="98"/>
    <w:semiHidden/>
    <w:rsid w:val="00865983"/>
    <w:pPr>
      <w:ind w:left="283" w:hanging="283"/>
      <w:contextualSpacing/>
    </w:pPr>
  </w:style>
  <w:style w:type="paragraph" w:styleId="List2">
    <w:name w:val="List 2"/>
    <w:basedOn w:val="Normal"/>
    <w:uiPriority w:val="98"/>
    <w:semiHidden/>
    <w:rsid w:val="00865983"/>
    <w:pPr>
      <w:ind w:left="566" w:hanging="283"/>
      <w:contextualSpacing/>
    </w:pPr>
  </w:style>
  <w:style w:type="paragraph" w:styleId="List3">
    <w:name w:val="List 3"/>
    <w:basedOn w:val="Normal"/>
    <w:uiPriority w:val="98"/>
    <w:semiHidden/>
    <w:rsid w:val="00865983"/>
    <w:pPr>
      <w:ind w:left="849" w:hanging="283"/>
      <w:contextualSpacing/>
    </w:pPr>
  </w:style>
  <w:style w:type="paragraph" w:styleId="List4">
    <w:name w:val="List 4"/>
    <w:basedOn w:val="Normal"/>
    <w:uiPriority w:val="98"/>
    <w:semiHidden/>
    <w:rsid w:val="00865983"/>
    <w:pPr>
      <w:ind w:left="1132" w:hanging="283"/>
      <w:contextualSpacing/>
    </w:pPr>
  </w:style>
  <w:style w:type="paragraph" w:styleId="List5">
    <w:name w:val="List 5"/>
    <w:basedOn w:val="Normal"/>
    <w:uiPriority w:val="98"/>
    <w:semiHidden/>
    <w:rsid w:val="00865983"/>
    <w:pPr>
      <w:ind w:left="1415" w:hanging="283"/>
      <w:contextualSpacing/>
    </w:pPr>
  </w:style>
  <w:style w:type="paragraph" w:styleId="ListBullet">
    <w:name w:val="List Bullet"/>
    <w:basedOn w:val="Normal"/>
    <w:uiPriority w:val="98"/>
    <w:semiHidden/>
    <w:rsid w:val="00865983"/>
    <w:pPr>
      <w:numPr>
        <w:numId w:val="6"/>
      </w:numPr>
    </w:pPr>
  </w:style>
  <w:style w:type="paragraph" w:styleId="ListBullet3">
    <w:name w:val="List Bullet 3"/>
    <w:basedOn w:val="Normal"/>
    <w:uiPriority w:val="98"/>
    <w:semiHidden/>
    <w:rsid w:val="00865983"/>
    <w:pPr>
      <w:numPr>
        <w:numId w:val="8"/>
      </w:numPr>
      <w:contextualSpacing/>
    </w:pPr>
  </w:style>
  <w:style w:type="paragraph" w:styleId="ListBullet4">
    <w:name w:val="List Bullet 4"/>
    <w:basedOn w:val="Normal"/>
    <w:uiPriority w:val="98"/>
    <w:semiHidden/>
    <w:rsid w:val="00865983"/>
    <w:pPr>
      <w:numPr>
        <w:numId w:val="9"/>
      </w:numPr>
      <w:contextualSpacing/>
    </w:pPr>
  </w:style>
  <w:style w:type="paragraph" w:styleId="ListBullet5">
    <w:name w:val="List Bullet 5"/>
    <w:basedOn w:val="Normal"/>
    <w:uiPriority w:val="98"/>
    <w:semiHidden/>
    <w:rsid w:val="00865983"/>
    <w:pPr>
      <w:numPr>
        <w:numId w:val="10"/>
      </w:numPr>
      <w:contextualSpacing/>
    </w:pPr>
  </w:style>
  <w:style w:type="paragraph" w:styleId="ListContinue">
    <w:name w:val="List Continue"/>
    <w:basedOn w:val="Normal"/>
    <w:uiPriority w:val="98"/>
    <w:semiHidden/>
    <w:rsid w:val="00865983"/>
    <w:pPr>
      <w:spacing w:after="120"/>
      <w:ind w:left="283"/>
      <w:contextualSpacing/>
    </w:pPr>
  </w:style>
  <w:style w:type="paragraph" w:styleId="ListContinue2">
    <w:name w:val="List Continue 2"/>
    <w:basedOn w:val="Normal"/>
    <w:uiPriority w:val="98"/>
    <w:semiHidden/>
    <w:rsid w:val="00865983"/>
    <w:pPr>
      <w:spacing w:after="120"/>
      <w:ind w:left="566"/>
      <w:contextualSpacing/>
    </w:pPr>
  </w:style>
  <w:style w:type="paragraph" w:styleId="ListContinue3">
    <w:name w:val="List Continue 3"/>
    <w:basedOn w:val="Normal"/>
    <w:uiPriority w:val="98"/>
    <w:semiHidden/>
    <w:rsid w:val="00865983"/>
    <w:pPr>
      <w:spacing w:after="120"/>
      <w:ind w:left="849"/>
      <w:contextualSpacing/>
    </w:pPr>
  </w:style>
  <w:style w:type="paragraph" w:styleId="ListContinue4">
    <w:name w:val="List Continue 4"/>
    <w:basedOn w:val="Normal"/>
    <w:uiPriority w:val="98"/>
    <w:semiHidden/>
    <w:rsid w:val="00865983"/>
    <w:pPr>
      <w:spacing w:after="120"/>
      <w:ind w:left="1132"/>
      <w:contextualSpacing/>
    </w:pPr>
  </w:style>
  <w:style w:type="paragraph" w:styleId="ListContinue5">
    <w:name w:val="List Continue 5"/>
    <w:basedOn w:val="Normal"/>
    <w:uiPriority w:val="98"/>
    <w:semiHidden/>
    <w:rsid w:val="00865983"/>
    <w:pPr>
      <w:spacing w:after="120"/>
      <w:ind w:left="1415"/>
      <w:contextualSpacing/>
    </w:pPr>
  </w:style>
  <w:style w:type="paragraph" w:styleId="ListNumber">
    <w:name w:val="List Number"/>
    <w:basedOn w:val="Normal"/>
    <w:uiPriority w:val="98"/>
    <w:semiHidden/>
    <w:rsid w:val="00865983"/>
    <w:pPr>
      <w:numPr>
        <w:numId w:val="11"/>
      </w:numPr>
      <w:contextualSpacing/>
    </w:pPr>
  </w:style>
  <w:style w:type="paragraph" w:styleId="ListNumber2">
    <w:name w:val="List Number 2"/>
    <w:basedOn w:val="Normal"/>
    <w:uiPriority w:val="98"/>
    <w:semiHidden/>
    <w:rsid w:val="00865983"/>
    <w:pPr>
      <w:numPr>
        <w:numId w:val="12"/>
      </w:numPr>
      <w:contextualSpacing/>
    </w:pPr>
  </w:style>
  <w:style w:type="paragraph" w:styleId="ListNumber3">
    <w:name w:val="List Number 3"/>
    <w:basedOn w:val="Normal"/>
    <w:uiPriority w:val="98"/>
    <w:semiHidden/>
    <w:rsid w:val="00865983"/>
    <w:pPr>
      <w:numPr>
        <w:numId w:val="13"/>
      </w:numPr>
      <w:contextualSpacing/>
    </w:pPr>
  </w:style>
  <w:style w:type="paragraph" w:styleId="ListNumber4">
    <w:name w:val="List Number 4"/>
    <w:basedOn w:val="Normal"/>
    <w:uiPriority w:val="98"/>
    <w:semiHidden/>
    <w:rsid w:val="00865983"/>
    <w:pPr>
      <w:numPr>
        <w:numId w:val="14"/>
      </w:numPr>
      <w:contextualSpacing/>
    </w:pPr>
  </w:style>
  <w:style w:type="paragraph" w:styleId="ListNumber5">
    <w:name w:val="List Number 5"/>
    <w:basedOn w:val="Normal"/>
    <w:uiPriority w:val="98"/>
    <w:semiHidden/>
    <w:rsid w:val="00865983"/>
    <w:pPr>
      <w:numPr>
        <w:numId w:val="15"/>
      </w:numPr>
      <w:contextualSpacing/>
    </w:pPr>
  </w:style>
  <w:style w:type="paragraph" w:styleId="MacroText">
    <w:name w:val="macro"/>
    <w:link w:val="MacroTextChar"/>
    <w:uiPriority w:val="98"/>
    <w:semiHidden/>
    <w:rsid w:val="0086598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65983"/>
    <w:rPr>
      <w:rFonts w:ascii="Consolas" w:eastAsiaTheme="minorEastAsia" w:hAnsi="Consolas" w:cs="Consolas"/>
      <w:sz w:val="20"/>
      <w:szCs w:val="20"/>
    </w:rPr>
  </w:style>
  <w:style w:type="table" w:styleId="MediumGrid1">
    <w:name w:val="Medium Grid 1"/>
    <w:basedOn w:val="TableNormal"/>
    <w:uiPriority w:val="67"/>
    <w:semiHidden/>
    <w:rsid w:val="0086598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6598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6598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6598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86598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6598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6598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6598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86598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6598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6598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6598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86598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6598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6598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6598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86598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6598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6598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6598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6598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6598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6598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6598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6598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6598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65983"/>
    <w:rPr>
      <w:rFonts w:ascii="Times New Roman" w:hAnsi="Times New Roman" w:cs="Times New Roman"/>
    </w:rPr>
  </w:style>
  <w:style w:type="paragraph" w:styleId="NormalIndent">
    <w:name w:val="Normal Indent"/>
    <w:basedOn w:val="Normal"/>
    <w:uiPriority w:val="98"/>
    <w:semiHidden/>
    <w:rsid w:val="00865983"/>
    <w:pPr>
      <w:ind w:left="720"/>
    </w:pPr>
  </w:style>
  <w:style w:type="paragraph" w:styleId="NoteHeading">
    <w:name w:val="Note Heading"/>
    <w:basedOn w:val="Normal"/>
    <w:next w:val="Normal"/>
    <w:link w:val="NoteHeadingChar"/>
    <w:uiPriority w:val="98"/>
    <w:semiHidden/>
    <w:rsid w:val="00865983"/>
  </w:style>
  <w:style w:type="character" w:customStyle="1" w:styleId="NoteHeadingChar">
    <w:name w:val="Note Heading Char"/>
    <w:basedOn w:val="DefaultParagraphFont"/>
    <w:link w:val="NoteHeading"/>
    <w:uiPriority w:val="98"/>
    <w:semiHidden/>
    <w:rsid w:val="00865983"/>
    <w:rPr>
      <w:sz w:val="24"/>
      <w:szCs w:val="24"/>
      <w:lang w:val="ro-RO"/>
    </w:rPr>
  </w:style>
  <w:style w:type="character" w:styleId="PlaceholderText">
    <w:name w:val="Placeholder Text"/>
    <w:basedOn w:val="DefaultParagraphFont"/>
    <w:uiPriority w:val="98"/>
    <w:semiHidden/>
    <w:rsid w:val="0086598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65983"/>
    <w:rPr>
      <w:rFonts w:ascii="Consolas" w:hAnsi="Consolas" w:cs="Consolas"/>
      <w:sz w:val="21"/>
      <w:szCs w:val="21"/>
    </w:rPr>
  </w:style>
  <w:style w:type="character" w:customStyle="1" w:styleId="PlainTextChar">
    <w:name w:val="Plain Text Char"/>
    <w:basedOn w:val="DefaultParagraphFont"/>
    <w:link w:val="PlainText"/>
    <w:uiPriority w:val="98"/>
    <w:semiHidden/>
    <w:rsid w:val="00865983"/>
    <w:rPr>
      <w:rFonts w:ascii="Consolas" w:hAnsi="Consolas" w:cs="Consolas"/>
      <w:sz w:val="21"/>
      <w:szCs w:val="21"/>
      <w:lang w:val="ro-RO"/>
    </w:rPr>
  </w:style>
  <w:style w:type="paragraph" w:styleId="Salutation">
    <w:name w:val="Salutation"/>
    <w:basedOn w:val="Normal"/>
    <w:next w:val="Normal"/>
    <w:link w:val="SalutationChar"/>
    <w:uiPriority w:val="98"/>
    <w:semiHidden/>
    <w:rsid w:val="00865983"/>
  </w:style>
  <w:style w:type="character" w:customStyle="1" w:styleId="SalutationChar">
    <w:name w:val="Salutation Char"/>
    <w:basedOn w:val="DefaultParagraphFont"/>
    <w:link w:val="Salutation"/>
    <w:uiPriority w:val="98"/>
    <w:semiHidden/>
    <w:rsid w:val="00865983"/>
    <w:rPr>
      <w:sz w:val="24"/>
      <w:szCs w:val="24"/>
      <w:lang w:val="ro-RO"/>
    </w:rPr>
  </w:style>
  <w:style w:type="paragraph" w:styleId="Signature">
    <w:name w:val="Signature"/>
    <w:basedOn w:val="Normal"/>
    <w:link w:val="SignatureChar"/>
    <w:uiPriority w:val="98"/>
    <w:semiHidden/>
    <w:rsid w:val="00865983"/>
    <w:pPr>
      <w:ind w:left="4252"/>
    </w:pPr>
  </w:style>
  <w:style w:type="character" w:customStyle="1" w:styleId="SignatureChar">
    <w:name w:val="Signature Char"/>
    <w:basedOn w:val="DefaultParagraphFont"/>
    <w:link w:val="Signature"/>
    <w:uiPriority w:val="98"/>
    <w:semiHidden/>
    <w:rsid w:val="00865983"/>
    <w:rPr>
      <w:sz w:val="24"/>
      <w:szCs w:val="24"/>
      <w:lang w:val="ro-RO"/>
    </w:rPr>
  </w:style>
  <w:style w:type="table" w:styleId="Table3Deffects1">
    <w:name w:val="Table 3D effects 1"/>
    <w:basedOn w:val="TableNormal"/>
    <w:uiPriority w:val="99"/>
    <w:semiHidden/>
    <w:unhideWhenUsed/>
    <w:rsid w:val="0086598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6598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6598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6598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6598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6598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6598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6598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6598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6598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6598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6598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6598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6598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6598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6598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6598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6598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6598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6598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6598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6598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6598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6598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6598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6598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6598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6598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6598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6598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6598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6598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6598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65983"/>
    <w:pPr>
      <w:ind w:left="240" w:hanging="240"/>
    </w:pPr>
  </w:style>
  <w:style w:type="paragraph" w:styleId="TableofFigures">
    <w:name w:val="table of figures"/>
    <w:basedOn w:val="Normal"/>
    <w:next w:val="Normal"/>
    <w:uiPriority w:val="98"/>
    <w:semiHidden/>
    <w:rsid w:val="00865983"/>
  </w:style>
  <w:style w:type="table" w:styleId="TableProfessional">
    <w:name w:val="Table Professional"/>
    <w:basedOn w:val="TableNormal"/>
    <w:uiPriority w:val="99"/>
    <w:semiHidden/>
    <w:unhideWhenUsed/>
    <w:rsid w:val="0086598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6598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6598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6598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6598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6598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6598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6598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6598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6598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6598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6598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65983"/>
    <w:pPr>
      <w:spacing w:after="100"/>
      <w:ind w:left="1680"/>
    </w:pPr>
  </w:style>
  <w:style w:type="paragraph" w:styleId="TOC9">
    <w:name w:val="toc 9"/>
    <w:basedOn w:val="Normal"/>
    <w:next w:val="Normal"/>
    <w:autoRedefine/>
    <w:uiPriority w:val="98"/>
    <w:semiHidden/>
    <w:rsid w:val="00865983"/>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86598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86598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86598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86598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865983"/>
    <w:pPr>
      <w:numPr>
        <w:numId w:val="17"/>
      </w:numPr>
      <w:spacing w:before="60" w:after="60"/>
    </w:pPr>
  </w:style>
  <w:style w:type="paragraph" w:customStyle="1" w:styleId="ECHRBullet2">
    <w:name w:val="ECHR_Bullet_2"/>
    <w:aliases w:val="_Bul_2"/>
    <w:basedOn w:val="ECHRBullet1"/>
    <w:uiPriority w:val="23"/>
    <w:semiHidden/>
    <w:rsid w:val="00865983"/>
    <w:pPr>
      <w:numPr>
        <w:ilvl w:val="1"/>
      </w:numPr>
    </w:pPr>
  </w:style>
  <w:style w:type="paragraph" w:customStyle="1" w:styleId="ECHRBullet3">
    <w:name w:val="ECHR_Bullet_3"/>
    <w:aliases w:val="_Bul_3"/>
    <w:basedOn w:val="ECHRBullet2"/>
    <w:uiPriority w:val="23"/>
    <w:semiHidden/>
    <w:rsid w:val="00865983"/>
    <w:pPr>
      <w:numPr>
        <w:ilvl w:val="2"/>
      </w:numPr>
    </w:pPr>
  </w:style>
  <w:style w:type="paragraph" w:customStyle="1" w:styleId="ECHRBullet4">
    <w:name w:val="ECHR_Bullet_4"/>
    <w:aliases w:val="_Bul_4"/>
    <w:basedOn w:val="ECHRBullet3"/>
    <w:uiPriority w:val="23"/>
    <w:semiHidden/>
    <w:rsid w:val="00865983"/>
    <w:pPr>
      <w:numPr>
        <w:ilvl w:val="3"/>
      </w:numPr>
    </w:pPr>
  </w:style>
  <w:style w:type="paragraph" w:customStyle="1" w:styleId="ECHRConfidential">
    <w:name w:val="ECHR_Confidential"/>
    <w:aliases w:val="_Confidential"/>
    <w:basedOn w:val="Normal"/>
    <w:next w:val="Normal"/>
    <w:uiPriority w:val="42"/>
    <w:semiHidden/>
    <w:qFormat/>
    <w:rsid w:val="00865983"/>
    <w:pPr>
      <w:jc w:val="right"/>
    </w:pPr>
    <w:rPr>
      <w:color w:val="C00000"/>
      <w:sz w:val="20"/>
    </w:rPr>
  </w:style>
  <w:style w:type="paragraph" w:customStyle="1" w:styleId="ECHRDecisionBody">
    <w:name w:val="ECHR_Decision_Body"/>
    <w:aliases w:val="_Decision_Body"/>
    <w:basedOn w:val="NormalJustified"/>
    <w:uiPriority w:val="54"/>
    <w:semiHidden/>
    <w:rsid w:val="0086598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6598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6598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86598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865983"/>
    <w:pPr>
      <w:jc w:val="right"/>
    </w:pPr>
    <w:rPr>
      <w:sz w:val="20"/>
    </w:rPr>
  </w:style>
  <w:style w:type="paragraph" w:customStyle="1" w:styleId="ECHRHeaderRefIt">
    <w:name w:val="ECHR_Header_Ref_It"/>
    <w:aliases w:val="_Ref_Ital"/>
    <w:basedOn w:val="Normal"/>
    <w:next w:val="ECHRHeaderDate"/>
    <w:uiPriority w:val="43"/>
    <w:qFormat/>
    <w:rsid w:val="00865983"/>
    <w:pPr>
      <w:jc w:val="right"/>
    </w:pPr>
    <w:rPr>
      <w:i/>
      <w:sz w:val="20"/>
    </w:rPr>
  </w:style>
  <w:style w:type="paragraph" w:customStyle="1" w:styleId="ECHRHeading9">
    <w:name w:val="ECHR_Heading_9"/>
    <w:aliases w:val="_Head_9"/>
    <w:basedOn w:val="Heading9"/>
    <w:uiPriority w:val="17"/>
    <w:semiHidden/>
    <w:rsid w:val="00865983"/>
    <w:pPr>
      <w:keepNext/>
      <w:keepLines/>
      <w:numPr>
        <w:ilvl w:val="8"/>
        <w:numId w:val="16"/>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86598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865983"/>
    <w:pPr>
      <w:numPr>
        <w:numId w:val="19"/>
      </w:numPr>
      <w:spacing w:before="60" w:after="60"/>
    </w:pPr>
  </w:style>
  <w:style w:type="paragraph" w:customStyle="1" w:styleId="ECHRNumberedList2">
    <w:name w:val="ECHR_Numbered_List_2"/>
    <w:aliases w:val="_Num_2"/>
    <w:basedOn w:val="ECHRNumberedList1"/>
    <w:uiPriority w:val="23"/>
    <w:semiHidden/>
    <w:rsid w:val="00865983"/>
    <w:pPr>
      <w:numPr>
        <w:ilvl w:val="1"/>
      </w:numPr>
    </w:pPr>
  </w:style>
  <w:style w:type="paragraph" w:customStyle="1" w:styleId="ECHRNumberedList3">
    <w:name w:val="ECHR_Numbered_List_3"/>
    <w:aliases w:val="_Num_3"/>
    <w:basedOn w:val="ECHRNumberedList2"/>
    <w:uiPriority w:val="23"/>
    <w:semiHidden/>
    <w:rsid w:val="00865983"/>
    <w:pPr>
      <w:numPr>
        <w:ilvl w:val="2"/>
      </w:numPr>
    </w:pPr>
  </w:style>
  <w:style w:type="paragraph" w:customStyle="1" w:styleId="ECHRParaHanging">
    <w:name w:val="ECHR_Para_Hanging"/>
    <w:aliases w:val="_Hanging"/>
    <w:basedOn w:val="NormalJustified"/>
    <w:uiPriority w:val="8"/>
    <w:semiHidden/>
    <w:qFormat/>
    <w:rsid w:val="00865983"/>
    <w:pPr>
      <w:ind w:left="567" w:hanging="567"/>
    </w:pPr>
  </w:style>
  <w:style w:type="paragraph" w:customStyle="1" w:styleId="ECHRParaIndent">
    <w:name w:val="ECHR_Para_Indent"/>
    <w:aliases w:val="_Indent"/>
    <w:basedOn w:val="NormalJustified"/>
    <w:uiPriority w:val="7"/>
    <w:semiHidden/>
    <w:qFormat/>
    <w:rsid w:val="00865983"/>
    <w:pPr>
      <w:spacing w:before="120" w:after="120"/>
      <w:ind w:left="567"/>
    </w:pPr>
  </w:style>
  <w:style w:type="character" w:customStyle="1" w:styleId="ECHRRed">
    <w:name w:val="ECHR_Red"/>
    <w:aliases w:val="_Red"/>
    <w:basedOn w:val="DefaultParagraphFont"/>
    <w:uiPriority w:val="15"/>
    <w:semiHidden/>
    <w:qFormat/>
    <w:rsid w:val="00865983"/>
    <w:rPr>
      <w:color w:val="C00000" w:themeColor="accent2"/>
    </w:rPr>
  </w:style>
  <w:style w:type="paragraph" w:customStyle="1" w:styleId="DecList">
    <w:name w:val="Dec_List"/>
    <w:aliases w:val="_List"/>
    <w:basedOn w:val="JuList"/>
    <w:uiPriority w:val="22"/>
    <w:rsid w:val="00865983"/>
    <w:pPr>
      <w:numPr>
        <w:numId w:val="0"/>
      </w:numPr>
      <w:ind w:left="284"/>
    </w:pPr>
  </w:style>
  <w:style w:type="table" w:customStyle="1" w:styleId="ECHRTable2">
    <w:name w:val="ECHR_Table_2"/>
    <w:basedOn w:val="TableNormal"/>
    <w:uiPriority w:val="99"/>
    <w:rsid w:val="0086598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6598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86598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86598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86598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86598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86598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86598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865983"/>
    <w:pPr>
      <w:outlineLvl w:val="0"/>
    </w:pPr>
  </w:style>
  <w:style w:type="paragraph" w:customStyle="1" w:styleId="ECHRTitleTOC1">
    <w:name w:val="ECHR_Title_TOC_1"/>
    <w:aliases w:val="_Title_L_TOC"/>
    <w:basedOn w:val="ECHRTitle1"/>
    <w:next w:val="Normal"/>
    <w:uiPriority w:val="27"/>
    <w:semiHidden/>
    <w:qFormat/>
    <w:rsid w:val="00865983"/>
    <w:pPr>
      <w:outlineLvl w:val="0"/>
    </w:pPr>
  </w:style>
  <w:style w:type="paragraph" w:customStyle="1" w:styleId="ECHRPlaceholder">
    <w:name w:val="ECHR_Placeholder"/>
    <w:aliases w:val="_Placeholder"/>
    <w:basedOn w:val="JuSigned"/>
    <w:uiPriority w:val="31"/>
    <w:rsid w:val="00865983"/>
    <w:rPr>
      <w:color w:val="FFFFFF"/>
    </w:rPr>
  </w:style>
  <w:style w:type="paragraph" w:customStyle="1" w:styleId="ECHRSpacer">
    <w:name w:val="ECHR_Spacer"/>
    <w:aliases w:val="_Spacer"/>
    <w:basedOn w:val="Normal"/>
    <w:uiPriority w:val="45"/>
    <w:semiHidden/>
    <w:rsid w:val="00865983"/>
    <w:rPr>
      <w:sz w:val="4"/>
    </w:rPr>
  </w:style>
  <w:style w:type="table" w:customStyle="1" w:styleId="ECHRTableGrey">
    <w:name w:val="ECHR_Table_Grey"/>
    <w:basedOn w:val="TableNormal"/>
    <w:uiPriority w:val="99"/>
    <w:rsid w:val="0086598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locked/>
    <w:rsid w:val="00D72590"/>
    <w:rPr>
      <w:sz w:val="24"/>
      <w:szCs w:val="24"/>
      <w:lang w:val="ro-RO"/>
    </w:rPr>
  </w:style>
  <w:style w:type="character" w:customStyle="1" w:styleId="JuNames0">
    <w:name w:val="Ju_Names"/>
    <w:rsid w:val="00D72590"/>
    <w:rPr>
      <w:smallCaps/>
    </w:rPr>
  </w:style>
  <w:style w:type="paragraph" w:customStyle="1" w:styleId="JuList4">
    <w:name w:val="Ju_List_4"/>
    <w:aliases w:val="N_Bul_4"/>
    <w:basedOn w:val="JuListi"/>
    <w:uiPriority w:val="19"/>
    <w:rsid w:val="00D72590"/>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D725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7259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7259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7259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7259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7259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7259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7259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7259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7259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7259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D7259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7259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7259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725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7259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7259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7259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7259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7259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7259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725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7259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7259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7259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7259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7259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7259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7259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7259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7259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7259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7259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7259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7259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7259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7259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7259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7259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7259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7259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7259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7259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D72590"/>
    <w:rPr>
      <w:color w:val="2B579A"/>
      <w:shd w:val="clear" w:color="auto" w:fill="E1DFDD"/>
    </w:rPr>
  </w:style>
  <w:style w:type="table" w:styleId="ListTable1Light">
    <w:name w:val="List Table 1 Light"/>
    <w:basedOn w:val="TableNormal"/>
    <w:uiPriority w:val="46"/>
    <w:semiHidden/>
    <w:rsid w:val="00D7259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7259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7259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7259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7259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7259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7259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7259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7259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7259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7259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7259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7259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7259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7259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7259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7259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7259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7259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7259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7259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7259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7259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7259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7259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7259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7259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7259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7259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7259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7259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7259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7259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7259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7259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7259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7259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7259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7259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7259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7259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7259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7259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7259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7259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7259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7259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7259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7259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D72590"/>
    <w:rPr>
      <w:color w:val="2B579A"/>
      <w:shd w:val="clear" w:color="auto" w:fill="E1DFDD"/>
    </w:rPr>
  </w:style>
  <w:style w:type="table" w:styleId="PlainTable1">
    <w:name w:val="Plain Table 1"/>
    <w:basedOn w:val="TableNormal"/>
    <w:uiPriority w:val="41"/>
    <w:semiHidden/>
    <w:rsid w:val="00D7259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7259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7259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725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7259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D72590"/>
    <w:rPr>
      <w:u w:val="dotted"/>
    </w:rPr>
  </w:style>
  <w:style w:type="character" w:customStyle="1" w:styleId="SmartLink1">
    <w:name w:val="SmartLink1"/>
    <w:basedOn w:val="DefaultParagraphFont"/>
    <w:uiPriority w:val="99"/>
    <w:semiHidden/>
    <w:unhideWhenUsed/>
    <w:rsid w:val="00D72590"/>
    <w:rPr>
      <w:color w:val="0000FF"/>
      <w:u w:val="single"/>
      <w:shd w:val="clear" w:color="auto" w:fill="F3F2F1"/>
    </w:rPr>
  </w:style>
  <w:style w:type="table" w:styleId="TableGridLight">
    <w:name w:val="Grid Table Light"/>
    <w:basedOn w:val="TableNormal"/>
    <w:uiPriority w:val="40"/>
    <w:semiHidden/>
    <w:rsid w:val="00D7259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ier.gov.ro/" TargetMode="External"/><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44B4-666E-4B51-9937-77617545B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3B333B-CA2E-4AB0-B330-190D8D5C2E67}">
  <ds:schemaRefs>
    <ds:schemaRef ds:uri="http://schemas.microsoft.com/sharepoint/v3/contenttype/forms"/>
  </ds:schemaRefs>
</ds:datastoreItem>
</file>

<file path=customXml/itemProps3.xml><?xml version="1.0" encoding="utf-8"?>
<ds:datastoreItem xmlns:ds="http://schemas.openxmlformats.org/officeDocument/2006/customXml" ds:itemID="{FAB79191-7610-4B8B-871C-52D57E580F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DA20EA-0953-4B55-992D-1EE3DED3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8939</Words>
  <Characters>50956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2022-12-15T13:26:00Z</dcterms:created>
  <dcterms:modified xsi:type="dcterms:W3CDTF">2023-04-03T11:27:00Z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29443/20</vt:lpwstr>
  </property>
  <property fmtid="{D5CDD505-2E9C-101B-9397-08002B2CF9AE}" pid="4" name="CASEID">
    <vt:lpwstr>1552946</vt:lpwstr>
  </property>
  <property fmtid="{D5CDD505-2E9C-101B-9397-08002B2CF9AE}" pid="5" name="ContentTypeId">
    <vt:lpwstr>0x010100558EB02BDB9E204AB350EDD385B68E10</vt:lpwstr>
  </property>
</Properties>
</file>