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58BDD" w14:textId="77777777" w:rsidR="00AA3E61" w:rsidRPr="000E1751" w:rsidRDefault="00AA3E61" w:rsidP="00AA3E61">
      <w:pPr>
        <w:jc w:val="center"/>
        <w:rPr>
          <w:rFonts w:cstheme="minorHAnsi"/>
          <w:b/>
          <w:color w:val="1F497D" w:themeColor="text2"/>
        </w:rPr>
      </w:pPr>
      <w:r w:rsidRPr="000E1751">
        <w:rPr>
          <w:rFonts w:cstheme="minorHAnsi"/>
          <w:b/>
          <w:color w:val="1F497D" w:themeColor="text2"/>
        </w:rPr>
        <w:t>Analiza situației devoalate de decizia 7/2022 a ÎCCJ în procedura RILL</w:t>
      </w:r>
    </w:p>
    <w:p w14:paraId="5673703B" w14:textId="77777777" w:rsidR="00AA3E61" w:rsidRPr="000E1751" w:rsidRDefault="00AA3E61" w:rsidP="00AA3E61">
      <w:pPr>
        <w:rPr>
          <w:rFonts w:cstheme="minorHAnsi"/>
        </w:rPr>
      </w:pPr>
    </w:p>
    <w:p w14:paraId="25A56432" w14:textId="77777777" w:rsidR="00AA3E61" w:rsidRPr="00E52C10" w:rsidRDefault="00AA3E61" w:rsidP="00AA3E61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color w:val="000000" w:themeColor="text1"/>
          <w:lang w:val="en-US"/>
        </w:rPr>
      </w:pPr>
      <w:r w:rsidRPr="00E52C10">
        <w:rPr>
          <w:rFonts w:cstheme="minorHAnsi"/>
          <w:b/>
          <w:bCs/>
          <w:color w:val="000000" w:themeColor="text1"/>
          <w:lang w:val="en-US"/>
        </w:rPr>
        <w:t>DECIZIA Nr. 7</w:t>
      </w:r>
    </w:p>
    <w:p w14:paraId="5501A70F" w14:textId="77777777" w:rsidR="00AA3E61" w:rsidRPr="00E52C10" w:rsidRDefault="00AA3E61" w:rsidP="00AA3E61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color w:val="000000" w:themeColor="text1"/>
          <w:lang w:val="en-US"/>
        </w:rPr>
      </w:pPr>
      <w:r w:rsidRPr="00E52C10">
        <w:rPr>
          <w:rFonts w:cstheme="minorHAnsi"/>
          <w:b/>
          <w:bCs/>
          <w:color w:val="000000" w:themeColor="text1"/>
          <w:lang w:val="en-US"/>
        </w:rPr>
        <w:t xml:space="preserve">din 7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martie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 2022</w:t>
      </w:r>
    </w:p>
    <w:p w14:paraId="3B72BC92" w14:textId="24D19912" w:rsidR="00AA3E61" w:rsidRPr="00E52C10" w:rsidRDefault="00AA3E61" w:rsidP="0080558E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  <w:color w:val="000000" w:themeColor="text1"/>
        </w:rPr>
      </w:pP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privind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interpretarea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şi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aplicarea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unitară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 a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dispoziţiilor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 art. 488</w:t>
      </w:r>
      <w:r w:rsidRPr="00E52C10">
        <w:rPr>
          <w:rFonts w:cstheme="minorHAnsi"/>
          <w:b/>
          <w:bCs/>
          <w:color w:val="000000" w:themeColor="text1"/>
          <w:vertAlign w:val="superscript"/>
          <w:lang w:val="en-US"/>
        </w:rPr>
        <w:t>6</w:t>
      </w:r>
      <w:r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alin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. (1) din C. proc. pen.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raportat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 la art. 285 din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acelaşi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 cod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şi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 art. 154 din C. pen.,</w:t>
      </w:r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stabilind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că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în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cauzele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având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r w:rsidRPr="00E52C10">
        <w:rPr>
          <w:rFonts w:cstheme="minorHAnsi"/>
          <w:b/>
          <w:bCs/>
          <w:color w:val="000000" w:themeColor="text1"/>
          <w:lang w:val="en-US"/>
        </w:rPr>
        <w:t>ca</w:t>
      </w:r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obiect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contestaţii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privind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durata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procesului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în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cazul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faptelor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r w:rsidRPr="00E52C10">
        <w:rPr>
          <w:rFonts w:cstheme="minorHAnsi"/>
          <w:b/>
          <w:bCs/>
          <w:color w:val="000000" w:themeColor="text1"/>
          <w:lang w:val="en-US"/>
        </w:rPr>
        <w:t>ai</w:t>
      </w:r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căror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autori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 nu au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fost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identificaţi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 (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sau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identificabili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), </w:t>
      </w:r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desi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organele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 de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urmărire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penală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 au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depus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diligenţele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necesare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în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acest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r w:rsidRPr="00E52C10">
        <w:rPr>
          <w:rFonts w:cstheme="minorHAnsi"/>
          <w:b/>
          <w:bCs/>
          <w:color w:val="000000" w:themeColor="text1"/>
          <w:lang w:val="en-US"/>
        </w:rPr>
        <w:t xml:space="preserve">scop, se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stabilesc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termene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în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vederea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finalizării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urmăririi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penale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 (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ce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implică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şi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identificarea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făptuitorilor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)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şi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,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respectiv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,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în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 care o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nouă</w:t>
      </w:r>
      <w:proofErr w:type="spellEnd"/>
      <w:r w:rsidR="000E1751" w:rsidRPr="00E52C10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contestaţie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 nu </w:t>
      </w:r>
      <w:proofErr w:type="spellStart"/>
      <w:r w:rsidRPr="00E52C10">
        <w:rPr>
          <w:rFonts w:cstheme="minorHAnsi"/>
          <w:b/>
          <w:bCs/>
          <w:color w:val="000000" w:themeColor="text1"/>
          <w:lang w:val="en-US"/>
        </w:rPr>
        <w:t>poate</w:t>
      </w:r>
      <w:proofErr w:type="spellEnd"/>
      <w:r w:rsidRPr="00E52C10">
        <w:rPr>
          <w:rFonts w:cstheme="minorHAnsi"/>
          <w:b/>
          <w:bCs/>
          <w:color w:val="000000" w:themeColor="text1"/>
          <w:lang w:val="en-US"/>
        </w:rPr>
        <w:t xml:space="preserve"> fi </w:t>
      </w:r>
      <w:r w:rsidRPr="00E52C10">
        <w:rPr>
          <w:rFonts w:cstheme="minorHAnsi"/>
          <w:b/>
          <w:bCs/>
          <w:color w:val="000000" w:themeColor="text1"/>
        </w:rPr>
        <w:t>formulată*)</w:t>
      </w:r>
    </w:p>
    <w:p w14:paraId="3BB909E0" w14:textId="77777777" w:rsidR="00AA3E61" w:rsidRPr="00E52C10" w:rsidRDefault="00AA3E61" w:rsidP="00AA3E61">
      <w:pPr>
        <w:rPr>
          <w:rFonts w:cstheme="minorHAnsi"/>
          <w:b/>
          <w:bCs/>
        </w:rPr>
      </w:pPr>
    </w:p>
    <w:p w14:paraId="44BCB23D" w14:textId="77777777" w:rsidR="00AA3E61" w:rsidRPr="000E1751" w:rsidRDefault="00AA3E61" w:rsidP="00AA3E61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160E9C2A" w14:textId="26B3FC9E" w:rsidR="00AA3E61" w:rsidRPr="000E1751" w:rsidRDefault="00AA3E61" w:rsidP="00AA3E61">
      <w:pPr>
        <w:widowControl w:val="0"/>
        <w:autoSpaceDE w:val="0"/>
        <w:autoSpaceDN w:val="0"/>
        <w:adjustRightInd w:val="0"/>
        <w:ind w:firstLine="720"/>
        <w:jc w:val="both"/>
        <w:rPr>
          <w:rFonts w:cstheme="minorHAnsi"/>
        </w:rPr>
      </w:pPr>
      <w:r w:rsidRPr="000E1751">
        <w:rPr>
          <w:rFonts w:cstheme="minorHAnsi"/>
        </w:rPr>
        <w:t>În analiza de mai</w:t>
      </w:r>
      <w:r w:rsidR="00F149D2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jos</w:t>
      </w:r>
      <w:r w:rsidR="00F149D2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vom</w:t>
      </w:r>
      <w:r w:rsidR="00F149D2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pleca de la cel</w:t>
      </w:r>
      <w:r w:rsidR="00F149D2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mai</w:t>
      </w:r>
      <w:r w:rsidR="00F149D2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cutremurător</w:t>
      </w:r>
      <w:r w:rsidR="00F149D2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 xml:space="preserve">adevăr relevant de Decizia 7/2022 a </w:t>
      </w:r>
      <w:r w:rsidR="0080558E">
        <w:rPr>
          <w:rFonts w:cstheme="minorHAnsi"/>
        </w:rPr>
        <w:t>Î</w:t>
      </w:r>
      <w:r w:rsidRPr="000E1751">
        <w:rPr>
          <w:rFonts w:cstheme="minorHAnsi"/>
        </w:rPr>
        <w:t>CCJ care este de maxim</w:t>
      </w:r>
      <w:r w:rsidR="0080558E">
        <w:rPr>
          <w:rFonts w:cstheme="minorHAnsi"/>
        </w:rPr>
        <w:t>ă</w:t>
      </w:r>
      <w:r w:rsidRPr="000E1751">
        <w:rPr>
          <w:rFonts w:cstheme="minorHAnsi"/>
        </w:rPr>
        <w:t xml:space="preserve"> importanță</w:t>
      </w:r>
      <w:r w:rsidR="00F149D2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pentru</w:t>
      </w:r>
      <w:r w:rsidR="00F149D2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justițiabili</w:t>
      </w:r>
      <w:r w:rsidR="00F149D2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și</w:t>
      </w:r>
      <w:r w:rsidR="00F149D2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pentru</w:t>
      </w:r>
      <w:r w:rsidR="00F149D2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societate</w:t>
      </w:r>
      <w:r w:rsidR="00F149D2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în</w:t>
      </w:r>
      <w:r w:rsidR="00F149D2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ansamblu.</w:t>
      </w:r>
    </w:p>
    <w:p w14:paraId="4989AE1B" w14:textId="77777777" w:rsidR="00AA3E61" w:rsidRPr="000E1751" w:rsidRDefault="00AA3E61" w:rsidP="00AA3E61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41E91A26" w14:textId="0C973235" w:rsidR="00AA3E61" w:rsidRPr="000E1751" w:rsidRDefault="00FF1931" w:rsidP="00FF1931">
      <w:pPr>
        <w:widowControl w:val="0"/>
        <w:autoSpaceDE w:val="0"/>
        <w:autoSpaceDN w:val="0"/>
        <w:adjustRightInd w:val="0"/>
        <w:ind w:left="720" w:firstLine="720"/>
        <w:jc w:val="both"/>
        <w:rPr>
          <w:rFonts w:cstheme="minorHAnsi"/>
        </w:rPr>
      </w:pPr>
      <w:r>
        <w:rPr>
          <w:rFonts w:cstheme="minorHAnsi"/>
        </w:rPr>
        <w:t xml:space="preserve">Pct. </w:t>
      </w:r>
      <w:r w:rsidR="00AA3E61" w:rsidRPr="000E1751">
        <w:rPr>
          <w:rFonts w:cstheme="minorHAnsi"/>
        </w:rPr>
        <w:t xml:space="preserve">36. </w:t>
      </w:r>
      <w:r>
        <w:rPr>
          <w:rFonts w:cstheme="minorHAnsi"/>
        </w:rPr>
        <w:t>”</w:t>
      </w:r>
      <w:r w:rsidR="00AA3E61" w:rsidRPr="00FF1931">
        <w:rPr>
          <w:rFonts w:cstheme="minorHAnsi"/>
          <w:i/>
          <w:iCs/>
        </w:rPr>
        <w:t>De asemenea, prin Adresa nr. 1.797/C/2.258/III-5/2021 din 21 ianuarie 2022, ca</w:t>
      </w:r>
      <w:r w:rsidR="0080558E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urmare a solicitării formulate de judecătorul-raportor, procurorul general al Parchetului de pe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lângă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Înalta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Curte de Casaţie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şi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Justiţie a comunicat</w:t>
      </w:r>
      <w:r w:rsidR="0080558E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că, potrivit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datelor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statistice, în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evidenţa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dosarelor cu autori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neidentificaţi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sunt 212.176 de cauze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înregistrate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în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baza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Ordinului nr. 56/12/C din 10 aprilie 2014 al Parchetului de pe</w:t>
      </w:r>
      <w:r w:rsidR="0080558E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lângă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Înalta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Curte de Casaţie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şi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Justiţie</w:t>
      </w:r>
      <w:r w:rsidR="0080558E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şi al Ministerului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Afacerilor Interne, iar</w:t>
      </w:r>
      <w:r w:rsidR="0080558E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în</w:t>
      </w:r>
      <w:r w:rsidR="0080558E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evidenţa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Ministerului Public, la sfârşitul</w:t>
      </w:r>
      <w:r w:rsidR="00F149D2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anului 2021, erau</w:t>
      </w:r>
      <w:r w:rsidR="0080558E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înregistrate 522.407 de cauze</w:t>
      </w:r>
      <w:r w:rsidR="0080558E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nesoluţionate cu autori</w:t>
      </w:r>
      <w:r w:rsidR="00F010FD" w:rsidRPr="00FF1931">
        <w:rPr>
          <w:rFonts w:cstheme="minorHAnsi"/>
          <w:i/>
          <w:iCs/>
        </w:rPr>
        <w:t xml:space="preserve"> </w:t>
      </w:r>
      <w:r w:rsidR="00AA3E61" w:rsidRPr="00FF1931">
        <w:rPr>
          <w:rFonts w:cstheme="minorHAnsi"/>
          <w:i/>
          <w:iCs/>
        </w:rPr>
        <w:t>necunoscuţi</w:t>
      </w:r>
      <w:r w:rsidR="00AA3E61" w:rsidRPr="000E1751">
        <w:rPr>
          <w:rFonts w:cstheme="minorHAnsi"/>
        </w:rPr>
        <w:t>.</w:t>
      </w:r>
      <w:r>
        <w:rPr>
          <w:rFonts w:cstheme="minorHAnsi"/>
        </w:rPr>
        <w:t>”</w:t>
      </w:r>
    </w:p>
    <w:p w14:paraId="269D0391" w14:textId="77777777" w:rsidR="00AA3E61" w:rsidRPr="000E1751" w:rsidRDefault="00AA3E61" w:rsidP="00AA3E61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709E8A65" w14:textId="61E6B073" w:rsidR="00AA3E61" w:rsidRPr="000E1751" w:rsidRDefault="00AA3E61" w:rsidP="00AA3E61">
      <w:pPr>
        <w:widowControl w:val="0"/>
        <w:autoSpaceDE w:val="0"/>
        <w:autoSpaceDN w:val="0"/>
        <w:adjustRightInd w:val="0"/>
        <w:ind w:firstLine="720"/>
        <w:jc w:val="both"/>
        <w:rPr>
          <w:rStyle w:val="rvts8"/>
          <w:rFonts w:cstheme="minorHAnsi"/>
          <w:color w:val="000000"/>
          <w:bdr w:val="none" w:sz="0" w:space="0" w:color="auto" w:frame="1"/>
        </w:rPr>
      </w:pPr>
      <w:r w:rsidRPr="000E1751">
        <w:rPr>
          <w:rFonts w:cstheme="minorHAnsi"/>
        </w:rPr>
        <w:t xml:space="preserve">Se evidențiază, astfel, faptul că, în realitate, accesul efectiv la justiție din perspectiva ducerii la îndeplinire a procesului penal </w:t>
      </w:r>
      <w:r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nu se realizează în peste jumatate de milion de cauze. Art. </w:t>
      </w:r>
      <w:r w:rsidRPr="000E1751">
        <w:rPr>
          <w:rFonts w:cstheme="minorHAnsi"/>
        </w:rPr>
        <w:t>285 Cod proc.pen., prevede c</w:t>
      </w:r>
      <w:r w:rsidR="00F013E6">
        <w:rPr>
          <w:rFonts w:cstheme="minorHAnsi"/>
        </w:rPr>
        <w:t>ă</w:t>
      </w:r>
      <w:r w:rsidRPr="000E1751">
        <w:rPr>
          <w:rFonts w:cstheme="minorHAnsi"/>
          <w:i/>
        </w:rPr>
        <w:t xml:space="preserve"> u</w:t>
      </w:r>
      <w:r w:rsidRPr="000E1751">
        <w:rPr>
          <w:rStyle w:val="rvts8"/>
          <w:rFonts w:cstheme="minorHAnsi"/>
          <w:i/>
          <w:color w:val="000000"/>
          <w:bdr w:val="none" w:sz="0" w:space="0" w:color="auto" w:frame="1"/>
        </w:rPr>
        <w:t>rmărirea penală are ca obiect strângerea probelor necesare cu privire la existenţa infracţiunilor, la identificarea persoanelor care au săvârşit o infracţiune şi la stabilirea răspunderii penale a acestora, pentru a se constata dacă este sau nu cazul să se dispună trimiterea în judecată</w:t>
      </w:r>
      <w:r w:rsidR="00A13B2F" w:rsidRPr="000E1751">
        <w:rPr>
          <w:rStyle w:val="rvts8"/>
          <w:rFonts w:cstheme="minorHAnsi"/>
          <w:color w:val="000000"/>
          <w:bdr w:val="none" w:sz="0" w:space="0" w:color="auto" w:frame="1"/>
        </w:rPr>
        <w:t>.</w:t>
      </w:r>
    </w:p>
    <w:p w14:paraId="0D3031CA" w14:textId="77777777" w:rsidR="00AA3E61" w:rsidRPr="000E1751" w:rsidRDefault="00AA3E61" w:rsidP="00AA3E61">
      <w:pPr>
        <w:widowControl w:val="0"/>
        <w:autoSpaceDE w:val="0"/>
        <w:autoSpaceDN w:val="0"/>
        <w:adjustRightInd w:val="0"/>
        <w:ind w:firstLine="720"/>
        <w:jc w:val="both"/>
        <w:rPr>
          <w:rStyle w:val="rvts8"/>
          <w:rFonts w:cstheme="minorHAnsi"/>
          <w:color w:val="000000"/>
          <w:bdr w:val="none" w:sz="0" w:space="0" w:color="auto" w:frame="1"/>
        </w:rPr>
      </w:pPr>
      <w:r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Din analiza datelor </w:t>
      </w:r>
      <w:r w:rsidRPr="000E1751">
        <w:rPr>
          <w:rStyle w:val="rvts8"/>
          <w:rFonts w:cstheme="minorHAnsi"/>
          <w:bdr w:val="none" w:sz="0" w:space="0" w:color="auto" w:frame="1"/>
        </w:rPr>
        <w:t xml:space="preserve">comunicate </w:t>
      </w:r>
      <w:r w:rsidR="00A13B2F" w:rsidRPr="000E1751">
        <w:rPr>
          <w:rStyle w:val="rvts8"/>
          <w:rFonts w:cstheme="minorHAnsi"/>
          <w:bdr w:val="none" w:sz="0" w:space="0" w:color="auto" w:frame="1"/>
        </w:rPr>
        <w:t xml:space="preserve">instanței supreme </w:t>
      </w:r>
      <w:r w:rsidRPr="000E1751">
        <w:rPr>
          <w:rStyle w:val="rvts8"/>
          <w:rFonts w:cstheme="minorHAnsi"/>
          <w:bdr w:val="none" w:sz="0" w:space="0" w:color="auto" w:frame="1"/>
        </w:rPr>
        <w:t>reiese</w:t>
      </w:r>
      <w:r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 faptul că un număr de peste jumătate de milion de ca</w:t>
      </w:r>
      <w:r w:rsidR="00A13B2F" w:rsidRPr="000E1751">
        <w:rPr>
          <w:rStyle w:val="rvts8"/>
          <w:rFonts w:cstheme="minorHAnsi"/>
          <w:color w:val="000000"/>
          <w:bdr w:val="none" w:sz="0" w:space="0" w:color="auto" w:frame="1"/>
        </w:rPr>
        <w:t>uze așteaptă</w:t>
      </w:r>
      <w:r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 termenul de prescripție</w:t>
      </w:r>
      <w:r w:rsidR="00A13B2F" w:rsidRPr="000E1751">
        <w:rPr>
          <w:rStyle w:val="rvts8"/>
          <w:rFonts w:cstheme="minorHAnsi"/>
          <w:color w:val="000000"/>
          <w:bdr w:val="none" w:sz="0" w:space="0" w:color="auto" w:frame="1"/>
        </w:rPr>
        <w:t>,</w:t>
      </w:r>
      <w:r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 parte semnificativă a acestora fiind scoase din evidenț</w:t>
      </w:r>
      <w:r w:rsidR="00A13B2F" w:rsidRPr="000E1751">
        <w:rPr>
          <w:rStyle w:val="rvts8"/>
          <w:rFonts w:cstheme="minorHAnsi"/>
          <w:color w:val="000000"/>
          <w:bdr w:val="none" w:sz="0" w:space="0" w:color="auto" w:frame="1"/>
        </w:rPr>
        <w:t>ele operative, ceea ce înseamnă</w:t>
      </w:r>
      <w:r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 că nu se mai efectuează lucrări</w:t>
      </w:r>
      <w:r w:rsidR="00A13B2F"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 efective,</w:t>
      </w:r>
      <w:r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 asteptând</w:t>
      </w:r>
      <w:r w:rsidR="00A13B2F" w:rsidRPr="000E1751">
        <w:rPr>
          <w:rStyle w:val="rvts8"/>
          <w:rFonts w:cstheme="minorHAnsi"/>
          <w:color w:val="000000"/>
          <w:bdr w:val="none" w:sz="0" w:space="0" w:color="auto" w:frame="1"/>
        </w:rPr>
        <w:t>u-se</w:t>
      </w:r>
      <w:r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 ca dosarele să se finalizeze prin ordonanță de clasare pe acest temei. Este o evidentă derobare a Minis</w:t>
      </w:r>
      <w:r w:rsidR="00A13B2F" w:rsidRPr="000E1751">
        <w:rPr>
          <w:rStyle w:val="rvts8"/>
          <w:rFonts w:cstheme="minorHAnsi"/>
          <w:color w:val="000000"/>
          <w:bdr w:val="none" w:sz="0" w:space="0" w:color="auto" w:frame="1"/>
        </w:rPr>
        <w:t>terului Public de la misiunea s</w:t>
      </w:r>
      <w:r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a trasată de lege. </w:t>
      </w:r>
    </w:p>
    <w:p w14:paraId="0CF2D7D8" w14:textId="77777777" w:rsidR="00AA3E61" w:rsidRPr="000E1751" w:rsidRDefault="00AA3E61" w:rsidP="00AA3E61">
      <w:pPr>
        <w:widowControl w:val="0"/>
        <w:autoSpaceDE w:val="0"/>
        <w:autoSpaceDN w:val="0"/>
        <w:adjustRightInd w:val="0"/>
        <w:ind w:firstLine="720"/>
        <w:jc w:val="both"/>
        <w:rPr>
          <w:rStyle w:val="rvts8"/>
          <w:rFonts w:cstheme="minorHAnsi"/>
          <w:color w:val="000000"/>
          <w:bdr w:val="none" w:sz="0" w:space="0" w:color="auto" w:frame="1"/>
        </w:rPr>
      </w:pPr>
      <w:r w:rsidRPr="000E1751">
        <w:rPr>
          <w:rStyle w:val="rvts8"/>
          <w:rFonts w:cstheme="minorHAnsi"/>
          <w:color w:val="000000"/>
          <w:bdr w:val="none" w:sz="0" w:space="0" w:color="auto" w:frame="1"/>
        </w:rPr>
        <w:t>În foarte multe din aceste cauze se dovedește inutil</w:t>
      </w:r>
      <w:r w:rsidR="00A13B2F" w:rsidRPr="000E1751">
        <w:rPr>
          <w:rStyle w:val="rvts8"/>
          <w:rFonts w:cstheme="minorHAnsi"/>
          <w:color w:val="000000"/>
          <w:bdr w:val="none" w:sz="0" w:space="0" w:color="auto" w:frame="1"/>
        </w:rPr>
        <w:t>ă</w:t>
      </w:r>
      <w:r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 stabi</w:t>
      </w:r>
      <w:r w:rsidR="00A13B2F"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lirea unui nou termen de către judecătorul de drepturi și libertăți </w:t>
      </w:r>
      <w:r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ca urmare a admiterii unei contestații durată proces. </w:t>
      </w:r>
    </w:p>
    <w:p w14:paraId="5B4F3B8E" w14:textId="77777777" w:rsidR="00AA3E61" w:rsidRPr="000E1751" w:rsidRDefault="00AA3E61" w:rsidP="00A13B2F">
      <w:pPr>
        <w:widowControl w:val="0"/>
        <w:autoSpaceDE w:val="0"/>
        <w:autoSpaceDN w:val="0"/>
        <w:adjustRightInd w:val="0"/>
        <w:ind w:firstLine="720"/>
        <w:jc w:val="both"/>
        <w:rPr>
          <w:rStyle w:val="rvts8"/>
          <w:rFonts w:cstheme="minorHAnsi"/>
          <w:bdr w:val="none" w:sz="0" w:space="0" w:color="auto" w:frame="1"/>
        </w:rPr>
      </w:pPr>
      <w:r w:rsidRPr="000E1751">
        <w:rPr>
          <w:rStyle w:val="rvts8"/>
          <w:rFonts w:cstheme="minorHAnsi"/>
          <w:color w:val="000000"/>
          <w:bdr w:val="none" w:sz="0" w:space="0" w:color="auto" w:frame="1"/>
        </w:rPr>
        <w:t>Pe soluțiile date in baza art 488</w:t>
      </w:r>
      <w:r w:rsidRPr="000E1751">
        <w:rPr>
          <w:rStyle w:val="rvts8"/>
          <w:rFonts w:cstheme="minorHAnsi"/>
          <w:color w:val="000000"/>
          <w:bdr w:val="none" w:sz="0" w:space="0" w:color="auto" w:frame="1"/>
          <w:vertAlign w:val="superscript"/>
        </w:rPr>
        <w:t>6</w:t>
      </w:r>
      <w:r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 </w:t>
      </w:r>
      <w:r w:rsidR="00A13B2F"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CPP, </w:t>
      </w:r>
      <w:r w:rsidRPr="000E1751">
        <w:rPr>
          <w:rStyle w:val="rvts8"/>
          <w:rFonts w:cstheme="minorHAnsi"/>
          <w:color w:val="000000"/>
          <w:bdr w:val="none" w:sz="0" w:space="0" w:color="auto" w:frame="1"/>
        </w:rPr>
        <w:t>partea este obligată să respecte termenul până la care o altă contestație nu ar mai putea să fie formulată. Pe de altă parte</w:t>
      </w:r>
      <w:r w:rsidR="00A13B2F" w:rsidRPr="000E1751">
        <w:rPr>
          <w:rStyle w:val="rvts8"/>
          <w:rFonts w:cstheme="minorHAnsi"/>
          <w:color w:val="000000"/>
          <w:bdr w:val="none" w:sz="0" w:space="0" w:color="auto" w:frame="1"/>
        </w:rPr>
        <w:t>,</w:t>
      </w:r>
      <w:r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 </w:t>
      </w:r>
      <w:r w:rsidR="00A13B2F" w:rsidRPr="000E1751">
        <w:rPr>
          <w:rStyle w:val="rvts8"/>
          <w:rFonts w:cstheme="minorHAnsi"/>
          <w:color w:val="000000"/>
          <w:bdr w:val="none" w:sz="0" w:space="0" w:color="auto" w:frame="1"/>
        </w:rPr>
        <w:t>Ministerul Public,</w:t>
      </w:r>
      <w:r w:rsidRPr="000E1751">
        <w:rPr>
          <w:rStyle w:val="rvts8"/>
          <w:rFonts w:cstheme="minorHAnsi"/>
          <w:color w:val="000000"/>
          <w:bdr w:val="none" w:sz="0" w:space="0" w:color="auto" w:frame="1"/>
        </w:rPr>
        <w:t xml:space="preserve"> prin </w:t>
      </w:r>
      <w:r w:rsidRPr="000E1751">
        <w:rPr>
          <w:rStyle w:val="rvts8"/>
          <w:rFonts w:cstheme="minorHAnsi"/>
          <w:bdr w:val="none" w:sz="0" w:space="0" w:color="auto" w:frame="1"/>
        </w:rPr>
        <w:t>procuror</w:t>
      </w:r>
      <w:r w:rsidR="00A13B2F" w:rsidRPr="000E1751">
        <w:rPr>
          <w:rStyle w:val="rvts8"/>
          <w:rFonts w:cstheme="minorHAnsi"/>
          <w:bdr w:val="none" w:sz="0" w:space="0" w:color="auto" w:frame="1"/>
        </w:rPr>
        <w:t xml:space="preserve">, de cele mai multe ori, în cauzele cu autori necunoscuți, se limitează la o verificare formală a existenței de noi date sau indicii în </w:t>
      </w:r>
      <w:r w:rsidR="00A13B2F" w:rsidRPr="000E1751">
        <w:rPr>
          <w:rStyle w:val="rvts8"/>
          <w:rFonts w:cstheme="minorHAnsi"/>
          <w:bdr w:val="none" w:sz="0" w:space="0" w:color="auto" w:frame="1"/>
        </w:rPr>
        <w:lastRenderedPageBreak/>
        <w:t>cauză.</w:t>
      </w:r>
    </w:p>
    <w:p w14:paraId="09AC985F" w14:textId="63997E9C" w:rsidR="00AA3E61" w:rsidRPr="000E1751" w:rsidRDefault="00FF1931" w:rsidP="009821BF">
      <w:pPr>
        <w:widowControl w:val="0"/>
        <w:autoSpaceDE w:val="0"/>
        <w:autoSpaceDN w:val="0"/>
        <w:adjustRightInd w:val="0"/>
        <w:ind w:left="720" w:firstLine="720"/>
        <w:jc w:val="both"/>
        <w:rPr>
          <w:rStyle w:val="rvts8"/>
          <w:rFonts w:cstheme="minorHAnsi"/>
          <w:i/>
        </w:rPr>
      </w:pPr>
      <w:r>
        <w:rPr>
          <w:rFonts w:cstheme="minorHAnsi"/>
          <w:i/>
        </w:rPr>
        <w:t xml:space="preserve">Pct. </w:t>
      </w:r>
      <w:r w:rsidR="00AA3E61" w:rsidRPr="000E1751">
        <w:rPr>
          <w:rFonts w:cstheme="minorHAnsi"/>
          <w:i/>
        </w:rPr>
        <w:t xml:space="preserve">35. </w:t>
      </w:r>
      <w:r>
        <w:rPr>
          <w:rFonts w:cstheme="minorHAnsi"/>
          <w:i/>
        </w:rPr>
        <w:t>”</w:t>
      </w:r>
      <w:r w:rsidR="00AA3E61" w:rsidRPr="000E1751">
        <w:rPr>
          <w:rFonts w:cstheme="minorHAnsi"/>
          <w:i/>
        </w:rPr>
        <w:t>Prin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sesizarea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formulată, procurorul general a opinat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în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sensu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lcă prima orientare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jurisprudenţială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reprezintă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soluţia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legală, considerând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că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judecătorul de drepturi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şi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libertăţi, fiind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învestit cu o contestaţie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privind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durata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procesului penal, într-o cauză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în care cercetările se efectuează cu privire la autori</w:t>
      </w:r>
      <w:r w:rsidR="00E52C10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necunoscuţi, evaluează</w:t>
      </w:r>
      <w:r w:rsidR="003233ED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caracterul</w:t>
      </w:r>
      <w:r w:rsidR="003233ED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rezonabil al duratei</w:t>
      </w:r>
      <w:r w:rsidR="003233ED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proceduri</w:t>
      </w:r>
      <w:r w:rsidR="003233ED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ijudiciare</w:t>
      </w:r>
      <w:r w:rsidR="003233ED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în</w:t>
      </w:r>
      <w:r w:rsidR="003233ED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raport cu criteriile</w:t>
      </w:r>
      <w:r w:rsidR="00350AE2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prevăzute de art. 488</w:t>
      </w:r>
      <w:r w:rsidR="00AA3E61" w:rsidRPr="000E1751">
        <w:rPr>
          <w:rFonts w:cstheme="minorHAnsi"/>
          <w:i/>
          <w:vertAlign w:val="superscript"/>
        </w:rPr>
        <w:t>5</w:t>
      </w:r>
      <w:r w:rsidR="00AA3E61" w:rsidRPr="000E1751">
        <w:rPr>
          <w:rFonts w:cstheme="minorHAnsi"/>
          <w:i/>
        </w:rPr>
        <w:t>alin.</w:t>
      </w:r>
      <w:r w:rsidR="00350AE2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(2) din Codul de procedură</w:t>
      </w:r>
      <w:r w:rsidR="00350AE2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penală, pe care le adaptează la particularitatea</w:t>
      </w:r>
      <w:r w:rsidR="00350AE2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cauzelor cu autori</w:t>
      </w:r>
      <w:r w:rsidR="00350AE2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necunoscuţi, făcând o analiză in concreto a consecinţelor</w:t>
      </w:r>
      <w:r w:rsidR="00350AE2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pe care desfăşurarea</w:t>
      </w:r>
      <w:r w:rsidR="00350AE2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urmăririi</w:t>
      </w:r>
      <w:r w:rsidR="00350AE2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penale in rem le produce asupra</w:t>
      </w:r>
      <w:r w:rsidR="00350AE2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ritmicităţii</w:t>
      </w:r>
      <w:r w:rsidR="00350AE2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şi</w:t>
      </w:r>
      <w:r w:rsidR="00350AE2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celerităţii</w:t>
      </w:r>
      <w:r w:rsidR="00350AE2">
        <w:rPr>
          <w:rFonts w:cstheme="minorHAnsi"/>
          <w:i/>
        </w:rPr>
        <w:t xml:space="preserve"> </w:t>
      </w:r>
      <w:r w:rsidR="00AA3E61" w:rsidRPr="000E1751">
        <w:rPr>
          <w:rFonts w:cstheme="minorHAnsi"/>
          <w:i/>
        </w:rPr>
        <w:t>procedurii judiciare.</w:t>
      </w:r>
      <w:r>
        <w:rPr>
          <w:rFonts w:cstheme="minorHAnsi"/>
          <w:i/>
        </w:rPr>
        <w:t>”</w:t>
      </w:r>
    </w:p>
    <w:p w14:paraId="3D5E2990" w14:textId="77777777" w:rsidR="00AA3E61" w:rsidRPr="000E1751" w:rsidRDefault="00AA3E61" w:rsidP="00AA3E61">
      <w:pPr>
        <w:widowControl w:val="0"/>
        <w:autoSpaceDE w:val="0"/>
        <w:autoSpaceDN w:val="0"/>
        <w:adjustRightInd w:val="0"/>
        <w:jc w:val="both"/>
        <w:rPr>
          <w:rStyle w:val="rvts8"/>
          <w:rFonts w:cstheme="minorHAnsi"/>
          <w:color w:val="000000"/>
          <w:bdr w:val="none" w:sz="0" w:space="0" w:color="auto" w:frame="1"/>
        </w:rPr>
      </w:pPr>
    </w:p>
    <w:p w14:paraId="606D43DD" w14:textId="77777777" w:rsidR="00AA3E61" w:rsidRPr="000E1751" w:rsidRDefault="00AA3E61" w:rsidP="00AA3E61">
      <w:pPr>
        <w:ind w:firstLine="720"/>
        <w:jc w:val="both"/>
        <w:rPr>
          <w:rFonts w:cstheme="minorHAnsi"/>
        </w:rPr>
      </w:pPr>
      <w:r w:rsidRPr="000E1751">
        <w:rPr>
          <w:rFonts w:cstheme="minorHAnsi"/>
        </w:rPr>
        <w:t>Practica ins</w:t>
      </w:r>
      <w:r w:rsidR="00A13B2F" w:rsidRPr="000E1751">
        <w:rPr>
          <w:rFonts w:cstheme="minorHAnsi"/>
        </w:rPr>
        <w:t>tituită este anacronică și ilogi</w:t>
      </w:r>
      <w:r w:rsidRPr="000E1751">
        <w:rPr>
          <w:rFonts w:cstheme="minorHAnsi"/>
        </w:rPr>
        <w:t>că</w:t>
      </w:r>
      <w:r w:rsidR="00ED40BF" w:rsidRPr="000E1751">
        <w:rPr>
          <w:rFonts w:cstheme="minorHAnsi"/>
        </w:rPr>
        <w:t>,</w:t>
      </w:r>
      <w:r w:rsidRPr="000E1751">
        <w:rPr>
          <w:rFonts w:cstheme="minorHAnsi"/>
        </w:rPr>
        <w:t xml:space="preserve"> dat fiind că pentru a se relua lucrările în cauzele care sunt scoase din evidența operativă</w:t>
      </w:r>
      <w:r w:rsidR="00ED40BF" w:rsidRPr="000E1751">
        <w:rPr>
          <w:rFonts w:cstheme="minorHAnsi"/>
        </w:rPr>
        <w:t>,</w:t>
      </w:r>
      <w:r w:rsidRPr="000E1751">
        <w:rPr>
          <w:rFonts w:cstheme="minorHAnsi"/>
        </w:rPr>
        <w:t xml:space="preserve"> se cer verificări periodice pentru a se vedea dacă au apărut indicii și informații noi privind </w:t>
      </w:r>
      <w:r w:rsidR="00ED40BF" w:rsidRPr="000E1751">
        <w:rPr>
          <w:rFonts w:cstheme="minorHAnsi"/>
        </w:rPr>
        <w:t>identificarea făptuitorilor. Or,</w:t>
      </w:r>
      <w:r w:rsidRPr="000E1751">
        <w:rPr>
          <w:rFonts w:cstheme="minorHAnsi"/>
        </w:rPr>
        <w:t xml:space="preserve"> culegerea acestora</w:t>
      </w:r>
      <w:r w:rsidR="00F35AFD" w:rsidRPr="000E1751">
        <w:rPr>
          <w:rFonts w:cstheme="minorHAnsi"/>
        </w:rPr>
        <w:t xml:space="preserve"> nu</w:t>
      </w:r>
      <w:r w:rsidRPr="000E1751">
        <w:rPr>
          <w:rFonts w:cstheme="minorHAnsi"/>
        </w:rPr>
        <w:t xml:space="preserve"> se poate realiza dacă dosarele sunt scoase din evidența operativă. </w:t>
      </w:r>
    </w:p>
    <w:p w14:paraId="5AD16B39" w14:textId="77777777" w:rsidR="00AA3E61" w:rsidRPr="000E1751" w:rsidRDefault="00AA3E61" w:rsidP="00AA3E61">
      <w:pPr>
        <w:spacing w:after="160" w:line="259" w:lineRule="auto"/>
        <w:ind w:firstLine="720"/>
        <w:jc w:val="both"/>
        <w:rPr>
          <w:rFonts w:cstheme="minorHAnsi"/>
        </w:rPr>
      </w:pPr>
      <w:r w:rsidRPr="000E1751">
        <w:rPr>
          <w:rFonts w:cstheme="minorHAnsi"/>
        </w:rPr>
        <w:t>În procedura de soluționare a contestației</w:t>
      </w:r>
      <w:r w:rsidR="00CF4E75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privind durată proces,</w:t>
      </w:r>
      <w:r w:rsidR="00CF4E75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judecătorul de drepturi și libertăți poate doar să stabilească un termen de finalizare, utilizând criteriile stabilite la art. 488</w:t>
      </w:r>
      <w:r w:rsidRPr="000E1751">
        <w:rPr>
          <w:rFonts w:cstheme="minorHAnsi"/>
          <w:vertAlign w:val="superscript"/>
        </w:rPr>
        <w:t>5</w:t>
      </w:r>
      <w:r w:rsidRPr="000E1751">
        <w:rPr>
          <w:rFonts w:cstheme="minorHAnsi"/>
        </w:rPr>
        <w:t xml:space="preserve"> alin (2). Astfel</w:t>
      </w:r>
      <w:r w:rsidR="00CF4E75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 xml:space="preserve"> cadrul normativ nu prevede vreun instrument de circumstanțiere a practicii de scoatere din evidența operativă a cauzelor care sunt înregistrate și nu au ajuns la</w:t>
      </w:r>
      <w:r w:rsidR="00CF4E75" w:rsidRPr="000E1751">
        <w:rPr>
          <w:rFonts w:cstheme="minorHAnsi"/>
        </w:rPr>
        <w:t xml:space="preserve"> împlinirea termenului de prescripție</w:t>
      </w:r>
      <w:r w:rsidRPr="000E1751">
        <w:rPr>
          <w:rFonts w:cstheme="minorHAnsi"/>
        </w:rPr>
        <w:t>.</w:t>
      </w:r>
    </w:p>
    <w:p w14:paraId="2F0B3FCD" w14:textId="6795EABE" w:rsidR="00AA3E61" w:rsidRPr="000E1751" w:rsidRDefault="00AA3E61" w:rsidP="00AA3E61">
      <w:pPr>
        <w:spacing w:after="160" w:line="259" w:lineRule="auto"/>
        <w:ind w:firstLine="720"/>
        <w:jc w:val="both"/>
        <w:rPr>
          <w:rFonts w:cstheme="minorHAnsi"/>
        </w:rPr>
      </w:pPr>
      <w:r w:rsidRPr="000E1751">
        <w:rPr>
          <w:rFonts w:cstheme="minorHAnsi"/>
        </w:rPr>
        <w:t>Din raportul Inspecției judiciare nr. 21-2710/21-2712</w:t>
      </w:r>
      <w:r w:rsidR="0012160F" w:rsidRPr="000E1751">
        <w:rPr>
          <w:rFonts w:cstheme="minorHAnsi"/>
        </w:rPr>
        <w:t>,</w:t>
      </w:r>
      <w:r w:rsidRPr="000E1751">
        <w:rPr>
          <w:rFonts w:cstheme="minorHAnsi"/>
        </w:rPr>
        <w:t xml:space="preserve"> înregistrat la CSM sub nr. 5887/2022</w:t>
      </w:r>
      <w:r w:rsidR="0012160F" w:rsidRPr="000E1751">
        <w:rPr>
          <w:rFonts w:cstheme="minorHAnsi"/>
        </w:rPr>
        <w:t>,</w:t>
      </w:r>
      <w:r w:rsidRPr="000E1751">
        <w:rPr>
          <w:rFonts w:cstheme="minorHAnsi"/>
        </w:rPr>
        <w:t xml:space="preserve"> analizat în ședința Comisiei 2 comună a Consiliului</w:t>
      </w:r>
      <w:r w:rsidR="0012160F" w:rsidRPr="000E1751">
        <w:rPr>
          <w:rFonts w:cstheme="minorHAnsi"/>
        </w:rPr>
        <w:t>,</w:t>
      </w:r>
      <w:r w:rsidRPr="000E1751">
        <w:rPr>
          <w:rFonts w:cstheme="minorHAnsi"/>
        </w:rPr>
        <w:t xml:space="preserve"> reiese o diferență între numărul de dosare care au făcut obiectul contestațiilor durată proces și numărul ma</w:t>
      </w:r>
      <w:r w:rsidR="0012160F" w:rsidRPr="000E1751">
        <w:rPr>
          <w:rFonts w:cstheme="minorHAnsi"/>
        </w:rPr>
        <w:t>i mare de cereri, ceea ce relevă</w:t>
      </w:r>
      <w:r w:rsidRPr="000E1751">
        <w:rPr>
          <w:rFonts w:cstheme="minorHAnsi"/>
        </w:rPr>
        <w:t xml:space="preserve"> că </w:t>
      </w:r>
      <w:r w:rsidR="0012160F" w:rsidRPr="000E1751">
        <w:rPr>
          <w:rFonts w:cstheme="minorHAnsi"/>
        </w:rPr>
        <w:t>au fost</w:t>
      </w:r>
      <w:r w:rsidRPr="000E1751">
        <w:rPr>
          <w:rFonts w:cstheme="minorHAnsi"/>
        </w:rPr>
        <w:t xml:space="preserve"> depus</w:t>
      </w:r>
      <w:r w:rsidR="0012160F" w:rsidRPr="000E1751">
        <w:rPr>
          <w:rFonts w:cstheme="minorHAnsi"/>
        </w:rPr>
        <w:t>e</w:t>
      </w:r>
      <w:r w:rsidRPr="000E1751">
        <w:rPr>
          <w:rFonts w:cstheme="minorHAnsi"/>
        </w:rPr>
        <w:t xml:space="preserve"> mai multe contestații în ace</w:t>
      </w:r>
      <w:r w:rsidR="0012160F" w:rsidRPr="000E1751">
        <w:rPr>
          <w:rFonts w:cstheme="minorHAnsi"/>
        </w:rPr>
        <w:t>eași cauză</w:t>
      </w:r>
      <w:r w:rsidRPr="000E1751">
        <w:rPr>
          <w:rFonts w:cstheme="minorHAnsi"/>
        </w:rPr>
        <w:t xml:space="preserve">, după ce fuseseră deja admise contestații anterioare. </w:t>
      </w:r>
    </w:p>
    <w:p w14:paraId="5D9B69FF" w14:textId="77777777" w:rsidR="00AA3E61" w:rsidRPr="000E1751" w:rsidRDefault="00AA3E61" w:rsidP="00AA3E61">
      <w:pPr>
        <w:spacing w:after="160" w:line="259" w:lineRule="auto"/>
        <w:ind w:firstLine="720"/>
        <w:jc w:val="both"/>
        <w:rPr>
          <w:rFonts w:cstheme="minorHAnsi"/>
        </w:rPr>
      </w:pPr>
      <w:r w:rsidRPr="000E1751">
        <w:rPr>
          <w:rFonts w:cstheme="minorHAnsi"/>
        </w:rPr>
        <w:t>Pe de altă parte, numărul mare de dosare cu autori necunoscuți presupun efort din partea părților de</w:t>
      </w:r>
      <w:r w:rsidR="00DC03E7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a atinge obiectivele</w:t>
      </w:r>
      <w:r w:rsidR="00DC03E7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trasate de art. 285 CPP,</w:t>
      </w:r>
      <w:r w:rsidR="00DC03E7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prin contestații adresate Judecătorului de drepturi și libertăți, de multe ori mai multe contestații în același dosar. Astfel</w:t>
      </w:r>
      <w:r w:rsidR="00DC03E7" w:rsidRPr="000E1751">
        <w:rPr>
          <w:rFonts w:cstheme="minorHAnsi"/>
        </w:rPr>
        <w:t>,</w:t>
      </w:r>
      <w:r w:rsidRPr="000E1751">
        <w:rPr>
          <w:rFonts w:cstheme="minorHAnsi"/>
        </w:rPr>
        <w:t xml:space="preserve"> se pune pe umerii părților </w:t>
      </w:r>
      <w:r w:rsidR="00DC03E7" w:rsidRPr="000E1751">
        <w:rPr>
          <w:rFonts w:cstheme="minorHAnsi"/>
        </w:rPr>
        <w:t xml:space="preserve">(și nu ai Ministerului Public) </w:t>
      </w:r>
      <w:r w:rsidRPr="000E1751">
        <w:rPr>
          <w:rFonts w:cstheme="minorHAnsi"/>
        </w:rPr>
        <w:t>sarcina ca urmărirea să fie realizată prin sol</w:t>
      </w:r>
      <w:r w:rsidR="00DC03E7" w:rsidRPr="000E1751">
        <w:rPr>
          <w:rFonts w:cstheme="minorHAnsi"/>
        </w:rPr>
        <w:t>icitarea unei anchete efective și prin intervenția judecătorului de drepturi și libertăți.</w:t>
      </w:r>
    </w:p>
    <w:p w14:paraId="2E3E4344" w14:textId="77777777" w:rsidR="00AA3E61" w:rsidRPr="000E1751" w:rsidRDefault="00DC03E7" w:rsidP="00AA3E61">
      <w:pPr>
        <w:shd w:val="clear" w:color="auto" w:fill="FFFFFF"/>
        <w:ind w:firstLine="720"/>
        <w:jc w:val="both"/>
        <w:rPr>
          <w:rFonts w:cstheme="minorHAnsi"/>
        </w:rPr>
      </w:pPr>
      <w:r w:rsidRPr="000E1751">
        <w:rPr>
          <w:rFonts w:cstheme="minorHAnsi"/>
        </w:rPr>
        <w:t>Din analiza opiniei Procurorului General, transmisă și consemnată</w:t>
      </w:r>
      <w:r w:rsidR="00AA3E61" w:rsidRPr="000E1751">
        <w:rPr>
          <w:rFonts w:cstheme="minorHAnsi"/>
        </w:rPr>
        <w:t xml:space="preserve"> în paragraful 35 al deciziei 7/2022,</w:t>
      </w:r>
      <w:r w:rsidRPr="000E1751">
        <w:rPr>
          <w:rFonts w:cstheme="minorHAnsi"/>
        </w:rPr>
        <w:t xml:space="preserve"> rezultă că,</w:t>
      </w:r>
      <w:r w:rsidR="00AA3E61" w:rsidRPr="000E1751">
        <w:rPr>
          <w:rFonts w:cstheme="minorHAnsi"/>
        </w:rPr>
        <w:t xml:space="preserve"> în fapt, </w:t>
      </w:r>
      <w:r w:rsidRPr="000E1751">
        <w:rPr>
          <w:rFonts w:cstheme="minorHAnsi"/>
        </w:rPr>
        <w:t>acesta</w:t>
      </w:r>
      <w:r w:rsidR="00AA3E61" w:rsidRPr="000E1751">
        <w:rPr>
          <w:rFonts w:cstheme="minorHAnsi"/>
        </w:rPr>
        <w:t xml:space="preserve"> a urmărit să valideze ideea conform căreia Judecătorul de drepturi și libertăți să nu stabilească termen în cauzele cu autor necunoscut în care contestațiile sunt admise, făcând o pledoarie pentru încălcarea flagrantă a dreptului la un proces echitabil</w:t>
      </w:r>
      <w:r w:rsidRPr="000E1751">
        <w:rPr>
          <w:rFonts w:cstheme="minorHAnsi"/>
        </w:rPr>
        <w:t>,</w:t>
      </w:r>
      <w:r w:rsidR="00AA3E61" w:rsidRPr="000E1751">
        <w:rPr>
          <w:rFonts w:cstheme="minorHAnsi"/>
        </w:rPr>
        <w:t xml:space="preserve"> astfel cum este definit de jurisprudența CEDO, atât sub aspectul accesului la justiție</w:t>
      </w:r>
      <w:r w:rsidRPr="000E1751">
        <w:rPr>
          <w:rFonts w:cstheme="minorHAnsi"/>
        </w:rPr>
        <w:t>,</w:t>
      </w:r>
      <w:r w:rsidR="00AA3E61" w:rsidRPr="000E1751">
        <w:rPr>
          <w:rFonts w:cstheme="minorHAnsi"/>
        </w:rPr>
        <w:t xml:space="preserve"> cât și sub aspectul stabilirii unei durate rezonabile, prin fixarea un</w:t>
      </w:r>
      <w:r w:rsidRPr="000E1751">
        <w:rPr>
          <w:rFonts w:cstheme="minorHAnsi"/>
        </w:rPr>
        <w:t>ui</w:t>
      </w:r>
      <w:r w:rsidR="00AA3E61" w:rsidRPr="000E1751">
        <w:rPr>
          <w:rFonts w:cstheme="minorHAnsi"/>
        </w:rPr>
        <w:t xml:space="preserve"> termen de finalizare a urmăririi penale. </w:t>
      </w:r>
    </w:p>
    <w:p w14:paraId="25A74333" w14:textId="77777777" w:rsidR="00AA3E61" w:rsidRPr="000E1751" w:rsidRDefault="00AA3E61" w:rsidP="00AA3E61">
      <w:pPr>
        <w:shd w:val="clear" w:color="auto" w:fill="FFFFFF"/>
        <w:ind w:firstLine="720"/>
        <w:jc w:val="both"/>
        <w:rPr>
          <w:rFonts w:eastAsia="Times New Roman" w:cstheme="minorHAnsi"/>
          <w:color w:val="000000"/>
          <w:bdr w:val="none" w:sz="0" w:space="0" w:color="auto" w:frame="1"/>
        </w:rPr>
      </w:pPr>
      <w:r w:rsidRPr="000E1751">
        <w:rPr>
          <w:rFonts w:cstheme="minorHAnsi"/>
        </w:rPr>
        <w:t>Astfel,</w:t>
      </w:r>
      <w:r w:rsidR="009D7350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doamna Procuror general consideră că s</w:t>
      </w:r>
      <w:r w:rsidR="009D7350" w:rsidRPr="000E1751">
        <w:rPr>
          <w:rFonts w:cstheme="minorHAnsi"/>
        </w:rPr>
        <w:t xml:space="preserve">coaterea dosarului din operativ, </w:t>
      </w:r>
      <w:r w:rsidRPr="000E1751">
        <w:rPr>
          <w:rFonts w:cstheme="minorHAnsi"/>
        </w:rPr>
        <w:t>în baza art. 12 din Ordin</w:t>
      </w:r>
      <w:r w:rsidR="009D7350" w:rsidRPr="000E1751">
        <w:rPr>
          <w:rFonts w:cstheme="minorHAnsi"/>
        </w:rPr>
        <w:t>,</w:t>
      </w:r>
      <w:r w:rsidRPr="000E1751">
        <w:rPr>
          <w:rFonts w:cstheme="minorHAnsi"/>
        </w:rPr>
        <w:t xml:space="preserve"> se</w:t>
      </w:r>
      <w:r w:rsidR="009D7350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circumscrie prevederilor art. 488</w:t>
      </w:r>
      <w:r w:rsidRPr="000E1751">
        <w:rPr>
          <w:rFonts w:cstheme="minorHAnsi"/>
          <w:vertAlign w:val="superscript"/>
        </w:rPr>
        <w:t xml:space="preserve">5 </w:t>
      </w:r>
      <w:r w:rsidR="009D7350" w:rsidRPr="000E1751">
        <w:rPr>
          <w:rFonts w:cstheme="minorHAnsi"/>
        </w:rPr>
        <w:t>(2) lit.</w:t>
      </w:r>
      <w:r w:rsidRPr="000E1751">
        <w:rPr>
          <w:rFonts w:eastAsia="Times New Roman" w:cstheme="minorHAnsi"/>
          <w:color w:val="000000"/>
          <w:bdr w:val="none" w:sz="0" w:space="0" w:color="auto" w:frame="1"/>
        </w:rPr>
        <w:t xml:space="preserve">  h) </w:t>
      </w:r>
      <w:r w:rsidRPr="000E1751">
        <w:rPr>
          <w:rFonts w:eastAsia="Times New Roman" w:cstheme="minorHAnsi"/>
          <w:color w:val="000000"/>
          <w:bdr w:val="none" w:sz="0" w:space="0" w:color="auto" w:frame="1"/>
        </w:rPr>
        <w:lastRenderedPageBreak/>
        <w:t>”</w:t>
      </w:r>
      <w:r w:rsidRPr="000E1751">
        <w:rPr>
          <w:rFonts w:eastAsia="Times New Roman" w:cstheme="minorHAnsi"/>
          <w:i/>
          <w:color w:val="000000"/>
          <w:bdr w:val="none" w:sz="0" w:space="0" w:color="auto" w:frame="1"/>
        </w:rPr>
        <w:t>alte elemente de natură să influenţeze durata procedurii</w:t>
      </w:r>
      <w:r w:rsidRPr="000E1751">
        <w:rPr>
          <w:rFonts w:eastAsia="Times New Roman" w:cstheme="minorHAnsi"/>
          <w:color w:val="000000"/>
          <w:bdr w:val="none" w:sz="0" w:space="0" w:color="auto" w:frame="1"/>
        </w:rPr>
        <w:t>”</w:t>
      </w:r>
      <w:r w:rsidR="009D7350" w:rsidRPr="000E1751">
        <w:rPr>
          <w:rFonts w:eastAsia="Times New Roman" w:cstheme="minorHAnsi"/>
          <w:color w:val="000000"/>
          <w:bdr w:val="none" w:sz="0" w:space="0" w:color="auto" w:frame="1"/>
        </w:rPr>
        <w:t>,</w:t>
      </w:r>
      <w:r w:rsidRPr="000E1751">
        <w:rPr>
          <w:rFonts w:eastAsia="Times New Roman" w:cstheme="minorHAnsi"/>
          <w:color w:val="000000"/>
          <w:bdr w:val="none" w:sz="0" w:space="0" w:color="auto" w:frame="1"/>
        </w:rPr>
        <w:t xml:space="preserve"> în vădită contradicție cu teza de reglementare urmărită de </w:t>
      </w:r>
      <w:r w:rsidR="009D7350" w:rsidRPr="000E1751">
        <w:rPr>
          <w:rFonts w:eastAsia="Times New Roman" w:cstheme="minorHAnsi"/>
          <w:color w:val="000000"/>
          <w:bdr w:val="none" w:sz="0" w:space="0" w:color="auto" w:frame="1"/>
        </w:rPr>
        <w:t>legiuitor</w:t>
      </w:r>
      <w:r w:rsidRPr="000E1751">
        <w:rPr>
          <w:rFonts w:eastAsia="Times New Roman" w:cstheme="minorHAnsi"/>
          <w:color w:val="000000"/>
          <w:bdr w:val="none" w:sz="0" w:space="0" w:color="auto" w:frame="1"/>
        </w:rPr>
        <w:t>.</w:t>
      </w:r>
    </w:p>
    <w:p w14:paraId="1CC9B78C" w14:textId="4B34069A" w:rsidR="00AA3E61" w:rsidRPr="000E1751" w:rsidRDefault="00AA3E61" w:rsidP="00AA3E61">
      <w:pPr>
        <w:shd w:val="clear" w:color="auto" w:fill="FFFFFF"/>
        <w:ind w:firstLine="720"/>
        <w:jc w:val="both"/>
        <w:rPr>
          <w:rFonts w:cstheme="minorHAnsi"/>
        </w:rPr>
      </w:pPr>
      <w:r w:rsidRPr="000E1751">
        <w:rPr>
          <w:rFonts w:eastAsia="Times New Roman" w:cstheme="minorHAnsi"/>
          <w:color w:val="000000"/>
          <w:bdr w:val="none" w:sz="0" w:space="0" w:color="auto" w:frame="1"/>
        </w:rPr>
        <w:t xml:space="preserve">Transpare </w:t>
      </w:r>
      <w:r w:rsidRPr="000E1751">
        <w:rPr>
          <w:rFonts w:eastAsia="Times New Roman" w:cstheme="minorHAnsi"/>
          <w:bdr w:val="none" w:sz="0" w:space="0" w:color="auto" w:frame="1"/>
        </w:rPr>
        <w:t>voința de derobare de cauze prin emiterea unui Ordin</w:t>
      </w:r>
      <w:r w:rsidR="009D7350" w:rsidRPr="000E1751">
        <w:rPr>
          <w:rFonts w:eastAsia="Times New Roman" w:cstheme="minorHAnsi"/>
          <w:bdr w:val="none" w:sz="0" w:space="0" w:color="auto" w:frame="1"/>
        </w:rPr>
        <w:t xml:space="preserve"> </w:t>
      </w:r>
      <w:r w:rsidRPr="000E1751">
        <w:rPr>
          <w:rFonts w:eastAsia="Times New Roman" w:cstheme="minorHAnsi"/>
          <w:bdr w:val="none" w:sz="0" w:space="0" w:color="auto" w:frame="1"/>
        </w:rPr>
        <w:t>privind</w:t>
      </w:r>
      <w:r w:rsidR="009D7350" w:rsidRPr="000E1751">
        <w:rPr>
          <w:rFonts w:eastAsia="Times New Roman" w:cstheme="minorHAnsi"/>
          <w:bdr w:val="none" w:sz="0" w:space="0" w:color="auto" w:frame="1"/>
        </w:rPr>
        <w:t xml:space="preserve"> </w:t>
      </w:r>
      <w:r w:rsidRPr="000E1751">
        <w:rPr>
          <w:rFonts w:eastAsia="Times New Roman" w:cstheme="minorHAnsi"/>
          <w:bdr w:val="none" w:sz="0" w:space="0" w:color="auto" w:frame="1"/>
        </w:rPr>
        <w:t>trecerea în evidențele pasive</w:t>
      </w:r>
      <w:r w:rsidR="009D7350" w:rsidRPr="000E1751">
        <w:rPr>
          <w:rFonts w:eastAsia="Times New Roman" w:cstheme="minorHAnsi"/>
          <w:bdr w:val="none" w:sz="0" w:space="0" w:color="auto" w:frame="1"/>
        </w:rPr>
        <w:t xml:space="preserve"> a cauzelor cu autori necunoscuți, iar aceasta, în opinia Procurorului general</w:t>
      </w:r>
      <w:r w:rsidR="00BE2883">
        <w:rPr>
          <w:rFonts w:eastAsia="Times New Roman" w:cstheme="minorHAnsi"/>
          <w:bdr w:val="none" w:sz="0" w:space="0" w:color="auto" w:frame="1"/>
        </w:rPr>
        <w:t>,</w:t>
      </w:r>
      <w:r w:rsidRPr="000E1751">
        <w:rPr>
          <w:rFonts w:eastAsia="Times New Roman" w:cstheme="minorHAnsi"/>
          <w:bdr w:val="none" w:sz="0" w:space="0" w:color="auto" w:frame="1"/>
        </w:rPr>
        <w:t xml:space="preserve"> ar fi un element obiecti</w:t>
      </w:r>
      <w:r w:rsidRPr="000E1751">
        <w:rPr>
          <w:rFonts w:eastAsia="Times New Roman" w:cstheme="minorHAnsi"/>
          <w:color w:val="000000"/>
          <w:bdr w:val="none" w:sz="0" w:space="0" w:color="auto" w:frame="1"/>
        </w:rPr>
        <w:t xml:space="preserve">v pentru care </w:t>
      </w:r>
      <w:r w:rsidRPr="000E1751">
        <w:rPr>
          <w:rFonts w:cstheme="minorHAnsi"/>
        </w:rPr>
        <w:t>Judecătorul de drepturi și libertăți să nu mai</w:t>
      </w:r>
      <w:r w:rsidR="007F15AB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stabilească un termen de finalizare a urmăririi penale. O asemenea abordare încalcă principiul aflării adevărului</w:t>
      </w:r>
      <w:r w:rsidR="007F15AB" w:rsidRPr="000E1751">
        <w:rPr>
          <w:rFonts w:cstheme="minorHAnsi"/>
        </w:rPr>
        <w:t>,</w:t>
      </w:r>
      <w:r w:rsidRPr="000E1751">
        <w:rPr>
          <w:rFonts w:cstheme="minorHAnsi"/>
        </w:rPr>
        <w:t xml:space="preserve"> prin lipsa unei anchete efective și constante.</w:t>
      </w:r>
    </w:p>
    <w:p w14:paraId="01933C4C" w14:textId="38C415AD" w:rsidR="00AA3E61" w:rsidRPr="000E1751" w:rsidRDefault="00AA3E61" w:rsidP="00AA3E61">
      <w:pPr>
        <w:shd w:val="clear" w:color="auto" w:fill="FFFFFF"/>
        <w:ind w:firstLine="720"/>
        <w:jc w:val="both"/>
        <w:rPr>
          <w:rFonts w:eastAsia="Times New Roman" w:cstheme="minorHAnsi"/>
          <w:color w:val="000000"/>
        </w:rPr>
      </w:pPr>
      <w:r w:rsidRPr="000E1751">
        <w:rPr>
          <w:rFonts w:eastAsia="Times New Roman" w:cstheme="minorHAnsi"/>
          <w:color w:val="000000"/>
        </w:rPr>
        <w:t>Remediul acceleratoriu statuat de legislați</w:t>
      </w:r>
      <w:r w:rsidR="00BE2883">
        <w:rPr>
          <w:rFonts w:eastAsia="Times New Roman" w:cstheme="minorHAnsi"/>
          <w:color w:val="000000"/>
        </w:rPr>
        <w:t>a</w:t>
      </w:r>
      <w:r w:rsidRPr="000E1751">
        <w:rPr>
          <w:rFonts w:eastAsia="Times New Roman" w:cstheme="minorHAnsi"/>
          <w:color w:val="000000"/>
        </w:rPr>
        <w:t xml:space="preserve"> națională, </w:t>
      </w:r>
      <w:r w:rsidR="007F15AB" w:rsidRPr="000E1751">
        <w:rPr>
          <w:rFonts w:eastAsia="Times New Roman" w:cstheme="minorHAnsi"/>
          <w:color w:val="000000"/>
        </w:rPr>
        <w:t>astfel cum a observat și CCR în</w:t>
      </w:r>
      <w:r w:rsidRPr="000E1751">
        <w:rPr>
          <w:rFonts w:eastAsia="Times New Roman" w:cstheme="minorHAnsi"/>
          <w:color w:val="000000"/>
        </w:rPr>
        <w:t xml:space="preserve"> decizia nr. 423/2015, și-a pierdut eficiența prin practica Ministerului Public, </w:t>
      </w:r>
      <w:r w:rsidRPr="000E1751">
        <w:rPr>
          <w:rFonts w:eastAsia="Times New Roman" w:cstheme="minorHAnsi"/>
        </w:rPr>
        <w:t xml:space="preserve">susținută </w:t>
      </w:r>
      <w:r w:rsidR="007F15AB" w:rsidRPr="000E1751">
        <w:rPr>
          <w:rFonts w:eastAsia="Times New Roman" w:cstheme="minorHAnsi"/>
          <w:color w:val="000000"/>
        </w:rPr>
        <w:t>de Procurorul g</w:t>
      </w:r>
      <w:r w:rsidRPr="000E1751">
        <w:rPr>
          <w:rFonts w:eastAsia="Times New Roman" w:cstheme="minorHAnsi"/>
          <w:color w:val="000000"/>
        </w:rPr>
        <w:t>eneral</w:t>
      </w:r>
      <w:r w:rsidR="0021281E" w:rsidRPr="000E1751">
        <w:rPr>
          <w:rFonts w:eastAsia="Times New Roman" w:cstheme="minorHAnsi"/>
          <w:color w:val="000000"/>
        </w:rPr>
        <w:t xml:space="preserve">, </w:t>
      </w:r>
      <w:r w:rsidRPr="000E1751">
        <w:rPr>
          <w:rFonts w:eastAsia="Times New Roman" w:cstheme="minorHAnsi"/>
          <w:color w:val="000000"/>
        </w:rPr>
        <w:t>Gabriela Scutea</w:t>
      </w:r>
      <w:r w:rsidR="007F15AB" w:rsidRPr="000E1751">
        <w:rPr>
          <w:rFonts w:eastAsia="Times New Roman" w:cstheme="minorHAnsi"/>
          <w:color w:val="000000"/>
        </w:rPr>
        <w:t>, a</w:t>
      </w:r>
      <w:r w:rsidRPr="000E1751">
        <w:rPr>
          <w:rFonts w:eastAsia="Times New Roman" w:cstheme="minorHAnsi"/>
          <w:color w:val="000000"/>
        </w:rPr>
        <w:t>spect reliefat și de ICCJ în paragrafele 50 și 51 ale deciziei 7/2022.</w:t>
      </w:r>
    </w:p>
    <w:p w14:paraId="087CD933" w14:textId="77777777" w:rsidR="00AA3E61" w:rsidRPr="000E1751" w:rsidRDefault="0021281E" w:rsidP="00AA3E61">
      <w:pPr>
        <w:shd w:val="clear" w:color="auto" w:fill="FFFFFF"/>
        <w:ind w:firstLine="720"/>
        <w:jc w:val="both"/>
        <w:rPr>
          <w:rFonts w:eastAsia="Times New Roman" w:cstheme="minorHAnsi"/>
          <w:color w:val="000000"/>
        </w:rPr>
      </w:pPr>
      <w:r w:rsidRPr="000E1751">
        <w:rPr>
          <w:rFonts w:eastAsia="Times New Roman" w:cstheme="minorHAnsi"/>
          <w:color w:val="000000"/>
        </w:rPr>
        <w:t>Or,</w:t>
      </w:r>
      <w:r w:rsidR="00AA3E61" w:rsidRPr="000E1751">
        <w:rPr>
          <w:rFonts w:eastAsia="Times New Roman" w:cstheme="minorHAnsi"/>
          <w:color w:val="000000"/>
        </w:rPr>
        <w:t xml:space="preserve"> tocmai practica instituită prin Ordinul 56/12/C/2014 elimină obligația de a </w:t>
      </w:r>
      <w:r w:rsidRPr="000E1751">
        <w:rPr>
          <w:rFonts w:eastAsia="Times New Roman" w:cstheme="minorHAnsi"/>
          <w:color w:val="000000"/>
        </w:rPr>
        <w:t>identifica</w:t>
      </w:r>
      <w:r w:rsidR="00AA3E61" w:rsidRPr="000E1751">
        <w:rPr>
          <w:rFonts w:eastAsia="Times New Roman" w:cstheme="minorHAnsi"/>
          <w:color w:val="000000"/>
        </w:rPr>
        <w:t xml:space="preserve"> făptuitorul, astfel cum legea și interpretarea ÎCCJ consacră.</w:t>
      </w:r>
      <w:r w:rsidRPr="000E1751">
        <w:rPr>
          <w:rFonts w:eastAsia="Times New Roman" w:cstheme="minorHAnsi"/>
          <w:color w:val="000000"/>
        </w:rPr>
        <w:t xml:space="preserve"> </w:t>
      </w:r>
      <w:r w:rsidR="00AA3E61" w:rsidRPr="000E1751">
        <w:rPr>
          <w:rFonts w:eastAsia="Times New Roman" w:cstheme="minorHAnsi"/>
          <w:color w:val="000000"/>
        </w:rPr>
        <w:t>Lăsarea în nelucrare a dosarelor trecute în eviden</w:t>
      </w:r>
      <w:r w:rsidRPr="000E1751">
        <w:rPr>
          <w:rFonts w:eastAsia="Times New Roman" w:cstheme="minorHAnsi"/>
          <w:color w:val="000000"/>
        </w:rPr>
        <w:t>ță pasivă după un număr de zile</w:t>
      </w:r>
      <w:r w:rsidR="00AA3E61" w:rsidRPr="000E1751">
        <w:rPr>
          <w:rFonts w:eastAsia="Times New Roman" w:cstheme="minorHAnsi"/>
          <w:color w:val="000000"/>
        </w:rPr>
        <w:t xml:space="preserve"> conduce automat la intervenția prescripției</w:t>
      </w:r>
      <w:r w:rsidRPr="000E1751">
        <w:rPr>
          <w:rFonts w:eastAsia="Times New Roman" w:cstheme="minorHAnsi"/>
          <w:color w:val="000000"/>
        </w:rPr>
        <w:t xml:space="preserve"> </w:t>
      </w:r>
      <w:r w:rsidR="00AA3E61" w:rsidRPr="000E1751">
        <w:rPr>
          <w:rFonts w:eastAsia="Times New Roman" w:cstheme="minorHAnsi"/>
        </w:rPr>
        <w:t>răspunderii penale,</w:t>
      </w:r>
      <w:r w:rsidRPr="000E1751">
        <w:rPr>
          <w:rFonts w:eastAsia="Times New Roman" w:cstheme="minorHAnsi"/>
        </w:rPr>
        <w:t xml:space="preserve"> </w:t>
      </w:r>
      <w:r w:rsidR="00AA3E61" w:rsidRPr="000E1751">
        <w:rPr>
          <w:rFonts w:eastAsia="Times New Roman" w:cstheme="minorHAnsi"/>
          <w:color w:val="000000"/>
        </w:rPr>
        <w:t>inacceptabilă</w:t>
      </w:r>
      <w:r w:rsidRPr="000E1751">
        <w:rPr>
          <w:rFonts w:eastAsia="Times New Roman" w:cstheme="minorHAnsi"/>
          <w:color w:val="000000"/>
        </w:rPr>
        <w:t xml:space="preserve"> </w:t>
      </w:r>
      <w:r w:rsidR="00AA3E61" w:rsidRPr="000E1751">
        <w:rPr>
          <w:rFonts w:eastAsia="Times New Roman" w:cstheme="minorHAnsi"/>
          <w:color w:val="000000"/>
        </w:rPr>
        <w:t>raportat la principiile procesului penal</w:t>
      </w:r>
      <w:r w:rsidRPr="000E1751">
        <w:rPr>
          <w:rFonts w:eastAsia="Times New Roman" w:cstheme="minorHAnsi"/>
          <w:color w:val="000000"/>
        </w:rPr>
        <w:t>,</w:t>
      </w:r>
      <w:r w:rsidR="00AA3E61" w:rsidRPr="000E1751">
        <w:rPr>
          <w:rFonts w:eastAsia="Times New Roman" w:cstheme="minorHAnsi"/>
          <w:color w:val="000000"/>
        </w:rPr>
        <w:t xml:space="preserve"> statuate de art. 5 și art.8 CPP.</w:t>
      </w:r>
    </w:p>
    <w:p w14:paraId="38A525BD" w14:textId="77777777" w:rsidR="00AA3E61" w:rsidRPr="000E1751" w:rsidRDefault="0021281E" w:rsidP="00AA3E61">
      <w:pPr>
        <w:shd w:val="clear" w:color="auto" w:fill="FFFFFF"/>
        <w:ind w:firstLine="720"/>
        <w:jc w:val="both"/>
        <w:rPr>
          <w:rFonts w:eastAsia="Times New Roman" w:cstheme="minorHAnsi"/>
        </w:rPr>
      </w:pPr>
      <w:r w:rsidRPr="000E1751">
        <w:rPr>
          <w:rFonts w:eastAsia="Times New Roman" w:cstheme="minorHAnsi"/>
          <w:color w:val="000000"/>
        </w:rPr>
        <w:t>Condiționarea</w:t>
      </w:r>
      <w:r w:rsidR="00AA3E61" w:rsidRPr="000E1751">
        <w:rPr>
          <w:rFonts w:eastAsia="Times New Roman" w:cstheme="minorHAnsi"/>
          <w:color w:val="000000"/>
        </w:rPr>
        <w:t xml:space="preserve"> reactiv</w:t>
      </w:r>
      <w:r w:rsidRPr="000E1751">
        <w:rPr>
          <w:rFonts w:eastAsia="Times New Roman" w:cstheme="minorHAnsi"/>
          <w:color w:val="000000"/>
        </w:rPr>
        <w:t>ării</w:t>
      </w:r>
      <w:r w:rsidR="00AA3E61" w:rsidRPr="000E1751">
        <w:rPr>
          <w:rFonts w:eastAsia="Times New Roman" w:cstheme="minorHAnsi"/>
          <w:color w:val="000000"/>
        </w:rPr>
        <w:t xml:space="preserve"> dosarelor din eviden</w:t>
      </w:r>
      <w:r w:rsidRPr="000E1751">
        <w:rPr>
          <w:rFonts w:eastAsia="Times New Roman" w:cstheme="minorHAnsi"/>
          <w:color w:val="000000"/>
        </w:rPr>
        <w:t>ța pasivă în evidența operativă</w:t>
      </w:r>
      <w:r w:rsidR="00AA3E61" w:rsidRPr="000E1751">
        <w:rPr>
          <w:rFonts w:eastAsia="Times New Roman" w:cstheme="minorHAnsi"/>
          <w:color w:val="000000"/>
        </w:rPr>
        <w:t xml:space="preserve"> de primirea de </w:t>
      </w:r>
      <w:r w:rsidR="00AA3E61" w:rsidRPr="000E1751">
        <w:rPr>
          <w:rFonts w:eastAsia="Times New Roman" w:cstheme="minorHAnsi"/>
        </w:rPr>
        <w:t>date și indicii noi este un nonsens fără realizarea</w:t>
      </w:r>
      <w:r w:rsidRPr="000E1751">
        <w:rPr>
          <w:rFonts w:eastAsia="Times New Roman" w:cstheme="minorHAnsi"/>
        </w:rPr>
        <w:t>,</w:t>
      </w:r>
      <w:r w:rsidR="00AA3E61" w:rsidRPr="000E1751">
        <w:rPr>
          <w:rFonts w:eastAsia="Times New Roman" w:cstheme="minorHAnsi"/>
        </w:rPr>
        <w:t xml:space="preserve"> în prealabil</w:t>
      </w:r>
      <w:r w:rsidRPr="000E1751">
        <w:rPr>
          <w:rFonts w:eastAsia="Times New Roman" w:cstheme="minorHAnsi"/>
        </w:rPr>
        <w:t>, a</w:t>
      </w:r>
      <w:r w:rsidR="00AA3E61" w:rsidRPr="000E1751">
        <w:rPr>
          <w:rFonts w:eastAsia="Times New Roman" w:cstheme="minorHAnsi"/>
        </w:rPr>
        <w:t xml:space="preserve"> unui act procedural care să releve respectivele noi informații și indicii. </w:t>
      </w:r>
      <w:r w:rsidRPr="000E1751">
        <w:rPr>
          <w:rFonts w:eastAsia="Times New Roman" w:cstheme="minorHAnsi"/>
        </w:rPr>
        <w:t>Practic, se așteaptă apariția de</w:t>
      </w:r>
      <w:r w:rsidR="00AA3E61" w:rsidRPr="000E1751">
        <w:rPr>
          <w:rFonts w:eastAsia="Times New Roman" w:cstheme="minorHAnsi"/>
        </w:rPr>
        <w:t xml:space="preserve"> informații și indicii noi din neant. (Curată logică juridică</w:t>
      </w:r>
      <w:r w:rsidRPr="000E1751">
        <w:rPr>
          <w:rFonts w:eastAsia="Times New Roman" w:cstheme="minorHAnsi"/>
        </w:rPr>
        <w:t>!</w:t>
      </w:r>
      <w:r w:rsidR="00AA3E61" w:rsidRPr="000E1751">
        <w:rPr>
          <w:rFonts w:eastAsia="Times New Roman" w:cstheme="minorHAnsi"/>
        </w:rPr>
        <w:t>)</w:t>
      </w:r>
    </w:p>
    <w:p w14:paraId="32A58915" w14:textId="73FD12EB" w:rsidR="00AA3E61" w:rsidRPr="000E1751" w:rsidRDefault="00AA3E61" w:rsidP="00AA3E61">
      <w:pPr>
        <w:shd w:val="clear" w:color="auto" w:fill="FFFFFF"/>
        <w:ind w:firstLine="720"/>
        <w:jc w:val="both"/>
        <w:rPr>
          <w:rFonts w:eastAsia="Times New Roman" w:cstheme="minorHAnsi"/>
        </w:rPr>
      </w:pPr>
      <w:r w:rsidRPr="000E1751">
        <w:rPr>
          <w:rFonts w:eastAsia="Times New Roman" w:cstheme="minorHAnsi"/>
        </w:rPr>
        <w:t>Prin decizia sa</w:t>
      </w:r>
      <w:r w:rsidRPr="000E1751">
        <w:rPr>
          <w:rFonts w:eastAsia="Times New Roman" w:cstheme="minorHAnsi"/>
          <w:color w:val="000000"/>
        </w:rPr>
        <w:t xml:space="preserve">, ICCJ în paragraful 55, aduce la cunoștința Procurorului general un postulat predat în primele cursuri de drept procesual penal în anul 3 de facultate: scopul urmăririi penale </w:t>
      </w:r>
      <w:r w:rsidRPr="000E1751">
        <w:rPr>
          <w:rFonts w:eastAsia="Times New Roman" w:cstheme="minorHAnsi"/>
          <w:i/>
          <w:iCs/>
          <w:color w:val="000000"/>
        </w:rPr>
        <w:t>in rem</w:t>
      </w:r>
      <w:r w:rsidR="002F7E67" w:rsidRPr="000E1751">
        <w:rPr>
          <w:rFonts w:eastAsia="Times New Roman" w:cstheme="minorHAnsi"/>
          <w:i/>
          <w:iCs/>
          <w:color w:val="000000"/>
        </w:rPr>
        <w:t xml:space="preserve"> </w:t>
      </w:r>
      <w:r w:rsidRPr="000E1751">
        <w:rPr>
          <w:rFonts w:eastAsia="Times New Roman" w:cstheme="minorHAnsi"/>
        </w:rPr>
        <w:t xml:space="preserve">în </w:t>
      </w:r>
      <w:r w:rsidR="00B72EE8">
        <w:rPr>
          <w:rFonts w:eastAsia="Times New Roman" w:cstheme="minorHAnsi"/>
        </w:rPr>
        <w:t>înfăptuirea</w:t>
      </w:r>
      <w:r w:rsidRPr="000E1751">
        <w:rPr>
          <w:rFonts w:eastAsia="Times New Roman" w:cstheme="minorHAnsi"/>
        </w:rPr>
        <w:t xml:space="preserve"> art</w:t>
      </w:r>
      <w:r w:rsidRPr="000E1751">
        <w:rPr>
          <w:rFonts w:eastAsia="Times New Roman" w:cstheme="minorHAnsi"/>
          <w:color w:val="000000"/>
        </w:rPr>
        <w:t xml:space="preserve">. 285 C.p.p. se </w:t>
      </w:r>
      <w:r w:rsidR="002F7E67" w:rsidRPr="000E1751">
        <w:rPr>
          <w:rFonts w:eastAsia="Times New Roman" w:cstheme="minorHAnsi"/>
          <w:color w:val="000000"/>
        </w:rPr>
        <w:t>a</w:t>
      </w:r>
      <w:r w:rsidRPr="000E1751">
        <w:rPr>
          <w:rFonts w:eastAsia="Times New Roman" w:cstheme="minorHAnsi"/>
          <w:color w:val="000000"/>
        </w:rPr>
        <w:t>duce la îndeplinire prin realizarea operativă și efectivă a urmăririi penale și nu prin lăsarea în nelucrare și ”arhivare” a dosarelor, în asteptarea prescripției. Chiar dacă unii ar spune că arhivarea efect</w:t>
      </w:r>
      <w:r w:rsidR="002F7E67" w:rsidRPr="000E1751">
        <w:rPr>
          <w:rFonts w:eastAsia="Times New Roman" w:cstheme="minorHAnsi"/>
          <w:color w:val="000000"/>
        </w:rPr>
        <w:t>ivă</w:t>
      </w:r>
      <w:r w:rsidRPr="000E1751">
        <w:rPr>
          <w:rFonts w:eastAsia="Times New Roman" w:cstheme="minorHAnsi"/>
          <w:color w:val="000000"/>
        </w:rPr>
        <w:t xml:space="preserve"> se realizează după emiterea ordonanței de clasare previzionată chiar prin Referatul de trecere în evidența pasivă, termen </w:t>
      </w:r>
      <w:r w:rsidRPr="000E1751">
        <w:rPr>
          <w:rFonts w:eastAsia="Times New Roman" w:cstheme="minorHAnsi"/>
        </w:rPr>
        <w:t>antamat</w:t>
      </w:r>
      <w:r w:rsidR="002F7E67" w:rsidRPr="000E1751">
        <w:rPr>
          <w:rFonts w:eastAsia="Times New Roman" w:cstheme="minorHAnsi"/>
        </w:rPr>
        <w:t xml:space="preserve"> </w:t>
      </w:r>
      <w:r w:rsidRPr="000E1751">
        <w:rPr>
          <w:rFonts w:eastAsia="Times New Roman" w:cstheme="minorHAnsi"/>
          <w:color w:val="000000"/>
        </w:rPr>
        <w:t>chi</w:t>
      </w:r>
      <w:r w:rsidR="002F7E67" w:rsidRPr="000E1751">
        <w:rPr>
          <w:rFonts w:eastAsia="Times New Roman" w:cstheme="minorHAnsi"/>
          <w:color w:val="000000"/>
        </w:rPr>
        <w:t>ar prin conținutul art. 13 din O</w:t>
      </w:r>
      <w:r w:rsidRPr="000E1751">
        <w:rPr>
          <w:rFonts w:eastAsia="Times New Roman" w:cstheme="minorHAnsi"/>
          <w:color w:val="000000"/>
        </w:rPr>
        <w:t>rdin, în fapt</w:t>
      </w:r>
      <w:r w:rsidR="002F7E67" w:rsidRPr="000E1751">
        <w:rPr>
          <w:rFonts w:eastAsia="Times New Roman" w:cstheme="minorHAnsi"/>
          <w:color w:val="000000"/>
        </w:rPr>
        <w:t>,</w:t>
      </w:r>
      <w:r w:rsidRPr="000E1751">
        <w:rPr>
          <w:rFonts w:eastAsia="Times New Roman" w:cstheme="minorHAnsi"/>
          <w:color w:val="000000"/>
        </w:rPr>
        <w:t xml:space="preserve"> </w:t>
      </w:r>
      <w:r w:rsidRPr="000E1751">
        <w:rPr>
          <w:rFonts w:eastAsia="Times New Roman" w:cstheme="minorHAnsi"/>
        </w:rPr>
        <w:t>cauzele sunt puse “la dospit” pănă la intervenția prescripției.</w:t>
      </w:r>
    </w:p>
    <w:p w14:paraId="1388BC74" w14:textId="0F0966E2" w:rsidR="001B1847" w:rsidRPr="000E1751" w:rsidRDefault="00AA3E61" w:rsidP="00AA3E6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</w:rPr>
      </w:pPr>
      <w:r w:rsidRPr="000E1751">
        <w:rPr>
          <w:rFonts w:eastAsia="Times New Roman" w:cstheme="minorHAnsi"/>
        </w:rPr>
        <w:tab/>
        <w:t>Un alt aspect de o gravitate deosebită este acela că</w:t>
      </w:r>
      <w:r w:rsidR="00B4610F" w:rsidRPr="000E1751">
        <w:rPr>
          <w:rFonts w:eastAsia="Times New Roman" w:cstheme="minorHAnsi"/>
        </w:rPr>
        <w:t>,</w:t>
      </w:r>
      <w:r w:rsidRPr="000E1751">
        <w:rPr>
          <w:rFonts w:eastAsia="Times New Roman" w:cstheme="minorHAnsi"/>
        </w:rPr>
        <w:t xml:space="preserve"> la nivelul conducerii PICCJ </w:t>
      </w:r>
      <w:r w:rsidR="001B1847" w:rsidRPr="000E1751">
        <w:rPr>
          <w:rFonts w:eastAsia="Times New Roman" w:cstheme="minorHAnsi"/>
        </w:rPr>
        <w:t>se apreciază ca fiind facultativă și fără a necesit</w:t>
      </w:r>
      <w:r w:rsidR="00203D54">
        <w:rPr>
          <w:rFonts w:eastAsia="Times New Roman" w:cstheme="minorHAnsi"/>
        </w:rPr>
        <w:t>a</w:t>
      </w:r>
      <w:r w:rsidR="001B1847" w:rsidRPr="000E1751">
        <w:rPr>
          <w:rFonts w:eastAsia="Times New Roman" w:cstheme="minorHAnsi"/>
        </w:rPr>
        <w:t xml:space="preserve"> subordonarea la rigorile sale jurisprudența</w:t>
      </w:r>
      <w:r w:rsidRPr="000E1751">
        <w:rPr>
          <w:rFonts w:eastAsia="Times New Roman" w:cstheme="minorHAnsi"/>
        </w:rPr>
        <w:t xml:space="preserve"> constantă a Curții Constituționale, care a statuat cu caracter obligatoriu că</w:t>
      </w:r>
      <w:r w:rsidR="001B1847" w:rsidRPr="000E1751">
        <w:rPr>
          <w:rFonts w:eastAsia="Times New Roman" w:cstheme="minorHAnsi"/>
        </w:rPr>
        <w:t>,</w:t>
      </w:r>
      <w:r w:rsidRPr="000E1751">
        <w:rPr>
          <w:rFonts w:eastAsia="Times New Roman" w:cstheme="minorHAnsi"/>
        </w:rPr>
        <w:t xml:space="preserve"> în materia drepturilor și libertăților sau în materia accesului la justiție</w:t>
      </w:r>
      <w:r w:rsidR="001B1847" w:rsidRPr="000E1751">
        <w:rPr>
          <w:rFonts w:eastAsia="Times New Roman" w:cstheme="minorHAnsi"/>
        </w:rPr>
        <w:t>,</w:t>
      </w:r>
      <w:r w:rsidRPr="000E1751">
        <w:rPr>
          <w:rFonts w:eastAsia="Times New Roman" w:cstheme="minorHAnsi"/>
        </w:rPr>
        <w:t xml:space="preserve"> nu se poate reglementa decât prin lege organică</w:t>
      </w:r>
      <w:r w:rsidR="00B4610F" w:rsidRPr="000E1751">
        <w:rPr>
          <w:rFonts w:eastAsia="Times New Roman" w:cstheme="minorHAnsi"/>
        </w:rPr>
        <w:t>,</w:t>
      </w:r>
      <w:r w:rsidR="001B1847" w:rsidRPr="000E1751">
        <w:rPr>
          <w:rFonts w:eastAsia="Times New Roman" w:cstheme="minorHAnsi"/>
        </w:rPr>
        <w:t xml:space="preserve"> ca act al Parlamentului.</w:t>
      </w:r>
    </w:p>
    <w:p w14:paraId="7FB26F1A" w14:textId="326742ED" w:rsidR="00AA3E61" w:rsidRPr="000E1751" w:rsidRDefault="00AA3E61" w:rsidP="001B1847">
      <w:pPr>
        <w:widowControl w:val="0"/>
        <w:autoSpaceDE w:val="0"/>
        <w:autoSpaceDN w:val="0"/>
        <w:adjustRightInd w:val="0"/>
        <w:ind w:firstLine="720"/>
        <w:jc w:val="both"/>
        <w:rPr>
          <w:rFonts w:cstheme="minorHAnsi"/>
        </w:rPr>
      </w:pPr>
      <w:r w:rsidRPr="000E1751">
        <w:rPr>
          <w:rFonts w:eastAsia="Times New Roman" w:cstheme="minorHAnsi"/>
        </w:rPr>
        <w:t>Astfel</w:t>
      </w:r>
      <w:r w:rsidR="001B1847" w:rsidRPr="000E1751">
        <w:rPr>
          <w:rFonts w:eastAsia="Times New Roman" w:cstheme="minorHAnsi"/>
        </w:rPr>
        <w:t>,</w:t>
      </w:r>
      <w:r w:rsidRPr="000E1751">
        <w:rPr>
          <w:rFonts w:eastAsia="Times New Roman" w:cstheme="minorHAnsi"/>
        </w:rPr>
        <w:t xml:space="preserve"> </w:t>
      </w:r>
      <w:r w:rsidR="00203D54">
        <w:rPr>
          <w:rFonts w:eastAsia="Times New Roman" w:cstheme="minorHAnsi"/>
        </w:rPr>
        <w:t>Î</w:t>
      </w:r>
      <w:r w:rsidRPr="000E1751">
        <w:rPr>
          <w:rFonts w:eastAsia="Times New Roman" w:cstheme="minorHAnsi"/>
        </w:rPr>
        <w:t>CCJ reamintește</w:t>
      </w:r>
      <w:r w:rsidRPr="000E1751">
        <w:rPr>
          <w:rFonts w:eastAsia="Times New Roman" w:cstheme="minorHAnsi"/>
          <w:color w:val="000000"/>
        </w:rPr>
        <w:t xml:space="preserve"> Procurorului general în paragraful 56 </w:t>
      </w:r>
      <w:r w:rsidRPr="000E1751">
        <w:rPr>
          <w:rFonts w:eastAsia="Times New Roman" w:cstheme="minorHAnsi"/>
          <w:i/>
          <w:color w:val="000000"/>
        </w:rPr>
        <w:t>“</w:t>
      </w:r>
      <w:r w:rsidRPr="000E1751">
        <w:rPr>
          <w:rFonts w:cstheme="minorHAnsi"/>
          <w:i/>
        </w:rPr>
        <w:t>Rolul</w:t>
      </w:r>
      <w:r w:rsidR="001B1847" w:rsidRPr="000E1751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judecătorului de drepturi</w:t>
      </w:r>
      <w:r w:rsidR="001B1847" w:rsidRPr="000E1751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şi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libertăţi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în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cadru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lfazei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urmăririi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penale, reglementat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prin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normele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procesual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penale, nu poate fi limitat de acte cu forţă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juridică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inferioară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legii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organice, cum sunt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ordinele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şi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normele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metodologice, ori de o interpretare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restrictivă a textului</w:t>
      </w:r>
      <w:r w:rsidR="00203D54">
        <w:rPr>
          <w:rFonts w:cstheme="minorHAnsi"/>
          <w:i/>
        </w:rPr>
        <w:t xml:space="preserve"> </w:t>
      </w:r>
      <w:r w:rsidRPr="000E1751">
        <w:rPr>
          <w:rFonts w:cstheme="minorHAnsi"/>
          <w:i/>
        </w:rPr>
        <w:t>analizat.”</w:t>
      </w:r>
    </w:p>
    <w:p w14:paraId="7B5D24CA" w14:textId="77777777" w:rsidR="00AA3E61" w:rsidRPr="000E1751" w:rsidRDefault="00AA3E61" w:rsidP="00AA3E61">
      <w:pPr>
        <w:shd w:val="clear" w:color="auto" w:fill="FFFFFF"/>
        <w:ind w:firstLine="720"/>
        <w:jc w:val="both"/>
        <w:rPr>
          <w:rFonts w:cstheme="minorHAnsi"/>
        </w:rPr>
      </w:pPr>
      <w:r w:rsidRPr="000E1751">
        <w:rPr>
          <w:rFonts w:eastAsia="Times New Roman" w:cstheme="minorHAnsi"/>
          <w:color w:val="000000"/>
        </w:rPr>
        <w:t>În ceea ce privește transparența, previzibilitatea și predictibilitatea aplicării normelor de procedură pentru societate</w:t>
      </w:r>
      <w:r w:rsidR="00D75F8F" w:rsidRPr="000E1751">
        <w:rPr>
          <w:rFonts w:eastAsia="Times New Roman" w:cstheme="minorHAnsi"/>
          <w:color w:val="000000"/>
        </w:rPr>
        <w:t>,</w:t>
      </w:r>
      <w:r w:rsidRPr="000E1751">
        <w:rPr>
          <w:rFonts w:eastAsia="Times New Roman" w:cstheme="minorHAnsi"/>
          <w:color w:val="000000"/>
        </w:rPr>
        <w:t xml:space="preserve"> este de remarcat f</w:t>
      </w:r>
      <w:r w:rsidR="00D75F8F" w:rsidRPr="000E1751">
        <w:rPr>
          <w:rFonts w:eastAsia="Times New Roman" w:cstheme="minorHAnsi"/>
          <w:color w:val="000000"/>
        </w:rPr>
        <w:t>aptul că practica Ministerului P</w:t>
      </w:r>
      <w:r w:rsidRPr="000E1751">
        <w:rPr>
          <w:rFonts w:eastAsia="Times New Roman" w:cstheme="minorHAnsi"/>
          <w:color w:val="000000"/>
        </w:rPr>
        <w:t>ublic, reglementată pe calea unui ordin</w:t>
      </w:r>
      <w:r w:rsidR="00D75F8F" w:rsidRPr="000E1751">
        <w:rPr>
          <w:rFonts w:eastAsia="Times New Roman" w:cstheme="minorHAnsi"/>
          <w:color w:val="000000"/>
        </w:rPr>
        <w:t>,</w:t>
      </w:r>
      <w:r w:rsidRPr="000E1751">
        <w:rPr>
          <w:rFonts w:eastAsia="Times New Roman" w:cstheme="minorHAnsi"/>
          <w:color w:val="000000"/>
        </w:rPr>
        <w:t xml:space="preserve"> care nu respectă rigorile forței normative, nu asigură nici un fel de informație privind efectivitatea verificărilor periodice. Acestea</w:t>
      </w:r>
      <w:r w:rsidR="00D75F8F" w:rsidRPr="000E1751">
        <w:rPr>
          <w:rFonts w:eastAsia="Times New Roman" w:cstheme="minorHAnsi"/>
          <w:color w:val="000000"/>
        </w:rPr>
        <w:t>,</w:t>
      </w:r>
      <w:r w:rsidRPr="000E1751">
        <w:rPr>
          <w:rFonts w:eastAsia="Times New Roman" w:cstheme="minorHAnsi"/>
          <w:color w:val="000000"/>
        </w:rPr>
        <w:t xml:space="preserve"> în fapt</w:t>
      </w:r>
      <w:r w:rsidR="00D75F8F" w:rsidRPr="000E1751">
        <w:rPr>
          <w:rFonts w:eastAsia="Times New Roman" w:cstheme="minorHAnsi"/>
          <w:color w:val="000000"/>
        </w:rPr>
        <w:t>,</w:t>
      </w:r>
      <w:r w:rsidRPr="000E1751">
        <w:rPr>
          <w:rFonts w:eastAsia="Times New Roman" w:cstheme="minorHAnsi"/>
          <w:color w:val="000000"/>
        </w:rPr>
        <w:t xml:space="preserve"> sunt </w:t>
      </w:r>
      <w:r w:rsidRPr="000E1751">
        <w:rPr>
          <w:rFonts w:cstheme="minorHAnsi"/>
        </w:rPr>
        <w:t xml:space="preserve">pur formale și constau în transmiterea de adrese la poliție pentru a vedea dacă au apărut informații sau indicii noi privind identificarea </w:t>
      </w:r>
      <w:r w:rsidR="00D75F8F" w:rsidRPr="000E1751">
        <w:rPr>
          <w:rFonts w:cstheme="minorHAnsi"/>
        </w:rPr>
        <w:t>autorului</w:t>
      </w:r>
      <w:r w:rsidRPr="000E1751">
        <w:rPr>
          <w:rFonts w:cstheme="minorHAnsi"/>
        </w:rPr>
        <w:t xml:space="preserve"> (</w:t>
      </w:r>
      <w:r w:rsidRPr="000E1751">
        <w:rPr>
          <w:rFonts w:cstheme="minorHAnsi"/>
          <w:i/>
        </w:rPr>
        <w:t>eventual depuse la registratură de persoane de bună credință</w:t>
      </w:r>
      <w:r w:rsidRPr="000E1751">
        <w:rPr>
          <w:rFonts w:cstheme="minorHAnsi"/>
        </w:rPr>
        <w:t>).</w:t>
      </w:r>
      <w:r w:rsidR="00D75F8F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 xml:space="preserve">Opacitatea </w:t>
      </w:r>
      <w:r w:rsidRPr="000E1751">
        <w:rPr>
          <w:rFonts w:cstheme="minorHAnsi"/>
        </w:rPr>
        <w:lastRenderedPageBreak/>
        <w:t>cu privire la norma de procedură internă cu aplicabilitate penală este inadmisibilă intr-un stat de drept, pentru că încalcă garanția părții la o anchetă efectivă și o procedură echitabilă.</w:t>
      </w:r>
    </w:p>
    <w:p w14:paraId="3F594C66" w14:textId="77777777" w:rsidR="00AA3E61" w:rsidRPr="000E1751" w:rsidRDefault="00AA3E61" w:rsidP="00AA3E61">
      <w:pPr>
        <w:shd w:val="clear" w:color="auto" w:fill="FFFFFF"/>
        <w:ind w:firstLine="720"/>
        <w:jc w:val="both"/>
        <w:rPr>
          <w:rFonts w:cstheme="minorHAnsi"/>
        </w:rPr>
      </w:pPr>
      <w:r w:rsidRPr="000E1751">
        <w:rPr>
          <w:rFonts w:cstheme="minorHAnsi"/>
        </w:rPr>
        <w:t>Conchidem că verificările periodice (la 6 luni) nu sunt nici stabilite prin lege ca acte ale Parlamentului și nici măcar cunoscute opiniei publice</w:t>
      </w:r>
      <w:r w:rsidR="00FD074B" w:rsidRPr="000E1751">
        <w:rPr>
          <w:rFonts w:cstheme="minorHAnsi"/>
        </w:rPr>
        <w:t>,</w:t>
      </w:r>
      <w:r w:rsidRPr="000E1751">
        <w:rPr>
          <w:rFonts w:cstheme="minorHAnsi"/>
        </w:rPr>
        <w:t xml:space="preserve"> dacă ele au fost statuate infralegal. (Ordin intern privind circuitul informațional, respectiv Ordinul 815/C/2013). Partea nu cunoaște faptul că </w:t>
      </w:r>
      <w:r w:rsidRPr="000E1751">
        <w:rPr>
          <w:rFonts w:eastAsia="Times New Roman" w:cstheme="minorHAnsi"/>
          <w:color w:val="000000"/>
        </w:rPr>
        <w:t>se fac verificări, în ce constau</w:t>
      </w:r>
      <w:r w:rsidR="00FD074B" w:rsidRPr="000E1751">
        <w:rPr>
          <w:rFonts w:eastAsia="Times New Roman" w:cstheme="minorHAnsi"/>
          <w:color w:val="000000"/>
        </w:rPr>
        <w:t xml:space="preserve"> acestea</w:t>
      </w:r>
      <w:r w:rsidRPr="000E1751">
        <w:rPr>
          <w:rFonts w:eastAsia="Times New Roman" w:cstheme="minorHAnsi"/>
          <w:color w:val="000000"/>
        </w:rPr>
        <w:t>, care este periodicitatea</w:t>
      </w:r>
      <w:r w:rsidR="00FD074B" w:rsidRPr="000E1751">
        <w:rPr>
          <w:rFonts w:eastAsia="Times New Roman" w:cstheme="minorHAnsi"/>
          <w:color w:val="000000"/>
        </w:rPr>
        <w:t xml:space="preserve"> lor</w:t>
      </w:r>
      <w:r w:rsidRPr="000E1751">
        <w:rPr>
          <w:rFonts w:eastAsia="Times New Roman" w:cstheme="minorHAnsi"/>
          <w:color w:val="000000"/>
        </w:rPr>
        <w:t xml:space="preserve">, dacă sunt pur formale sau nu, etc. </w:t>
      </w:r>
      <w:r w:rsidRPr="000E1751">
        <w:rPr>
          <w:rFonts w:cstheme="minorHAnsi"/>
        </w:rPr>
        <w:t xml:space="preserve">și nici dacă </w:t>
      </w:r>
      <w:r w:rsidRPr="000E1751">
        <w:rPr>
          <w:rFonts w:eastAsia="Times New Roman" w:cstheme="minorHAnsi"/>
          <w:color w:val="000000"/>
        </w:rPr>
        <w:t>aceste verificări au valoarea unui act procedural sau nu.</w:t>
      </w:r>
    </w:p>
    <w:p w14:paraId="5FD4B800" w14:textId="77777777" w:rsidR="006F63E0" w:rsidRPr="000E1751" w:rsidRDefault="00AA3E61" w:rsidP="00AA3E61">
      <w:pPr>
        <w:shd w:val="clear" w:color="auto" w:fill="FFFFFF"/>
        <w:ind w:firstLine="720"/>
        <w:jc w:val="both"/>
        <w:rPr>
          <w:rFonts w:eastAsia="Times New Roman" w:cstheme="minorHAnsi"/>
        </w:rPr>
      </w:pPr>
      <w:r w:rsidRPr="000E1751">
        <w:rPr>
          <w:rFonts w:eastAsia="Times New Roman" w:cstheme="minorHAnsi"/>
          <w:color w:val="000000"/>
        </w:rPr>
        <w:t xml:space="preserve">O altă anomalie </w:t>
      </w:r>
      <w:r w:rsidRPr="000E1751">
        <w:rPr>
          <w:rFonts w:eastAsia="Times New Roman" w:cstheme="minorHAnsi"/>
        </w:rPr>
        <w:t>este aceea că nu este reglem</w:t>
      </w:r>
      <w:r w:rsidR="006F63E0" w:rsidRPr="000E1751">
        <w:rPr>
          <w:rFonts w:eastAsia="Times New Roman" w:cstheme="minorHAnsi"/>
        </w:rPr>
        <w:t>entată o procedură de verificare a modului de îndeplinire a dispozițiilor judecătorului de drepturi și libertăți, sub aspectul termenului de finalizare a urmăririi penale stabilit ori modalitatea efectivă de conformare. În lipsa unei contestații noi/plângeri a părților, nu există nici o normă care să impună verificarea efectivității hotărârilor judecătorești.</w:t>
      </w:r>
    </w:p>
    <w:p w14:paraId="7EA3B4C2" w14:textId="3E7F474E" w:rsidR="00AA3E61" w:rsidRPr="000E1751" w:rsidRDefault="00AA3E61" w:rsidP="00F149D2">
      <w:pPr>
        <w:shd w:val="clear" w:color="auto" w:fill="FFFFFF"/>
        <w:ind w:firstLine="720"/>
        <w:jc w:val="both"/>
        <w:rPr>
          <w:rFonts w:cstheme="minorHAnsi"/>
        </w:rPr>
      </w:pPr>
      <w:r w:rsidRPr="000E1751">
        <w:rPr>
          <w:rFonts w:eastAsia="Times New Roman" w:cstheme="minorHAnsi"/>
        </w:rPr>
        <w:t>Opinia Ministerului Public</w:t>
      </w:r>
      <w:r w:rsidR="005F78AF" w:rsidRPr="000E1751">
        <w:rPr>
          <w:rFonts w:eastAsia="Times New Roman" w:cstheme="minorHAnsi"/>
          <w:color w:val="000000"/>
        </w:rPr>
        <w:t xml:space="preserve"> </w:t>
      </w:r>
      <w:r w:rsidRPr="000E1751">
        <w:rPr>
          <w:rFonts w:eastAsia="Times New Roman" w:cstheme="minorHAnsi"/>
          <w:color w:val="000000"/>
        </w:rPr>
        <w:t xml:space="preserve">prezentată voalat de doamna Procuror general, conform căreia </w:t>
      </w:r>
      <w:r w:rsidRPr="000E1751">
        <w:rPr>
          <w:rFonts w:cstheme="minorHAnsi"/>
        </w:rPr>
        <w:t>Judecătorul de drepturi și libertăți nu trebuie să stabilească un termen pentru finalizarea urmăririi penale în cauzele cu autori necunoscuți sau să acorde un termen foarte lung este</w:t>
      </w:r>
      <w:r w:rsidR="005F78AF" w:rsidRPr="000E1751">
        <w:rPr>
          <w:rFonts w:cstheme="minorHAnsi"/>
        </w:rPr>
        <w:t>,</w:t>
      </w:r>
      <w:r w:rsidRPr="000E1751">
        <w:rPr>
          <w:rFonts w:cstheme="minorHAnsi"/>
        </w:rPr>
        <w:t xml:space="preserve"> de</w:t>
      </w:r>
      <w:r w:rsidR="005F78AF" w:rsidRPr="000E1751">
        <w:rPr>
          <w:rFonts w:cstheme="minorHAnsi"/>
        </w:rPr>
        <w:t xml:space="preserve"> </w:t>
      </w:r>
      <w:r w:rsidRPr="000E1751">
        <w:rPr>
          <w:rFonts w:cstheme="minorHAnsi"/>
        </w:rPr>
        <w:t>asemenea</w:t>
      </w:r>
      <w:r w:rsidR="005F78AF" w:rsidRPr="000E1751">
        <w:rPr>
          <w:rFonts w:cstheme="minorHAnsi"/>
        </w:rPr>
        <w:t>,</w:t>
      </w:r>
      <w:r w:rsidRPr="000E1751">
        <w:rPr>
          <w:rFonts w:cstheme="minorHAnsi"/>
        </w:rPr>
        <w:t xml:space="preserve"> inacceptabilă. Aceast</w:t>
      </w:r>
      <w:r w:rsidR="005F78AF" w:rsidRPr="000E1751">
        <w:rPr>
          <w:rFonts w:cstheme="minorHAnsi"/>
        </w:rPr>
        <w:t>ă opinie echivalează cu intenția</w:t>
      </w:r>
      <w:r w:rsidRPr="000E1751">
        <w:rPr>
          <w:rFonts w:cstheme="minorHAnsi"/>
        </w:rPr>
        <w:t xml:space="preserve"> de sustragere de la dispoziția judecătorului ori de la obiectivele procesului penal.</w:t>
      </w:r>
    </w:p>
    <w:p w14:paraId="695A71BB" w14:textId="77777777" w:rsidR="008C6AEB" w:rsidRPr="000E1751" w:rsidRDefault="00AA3E61" w:rsidP="00174AB9">
      <w:pPr>
        <w:shd w:val="clear" w:color="auto" w:fill="FFFFFF"/>
        <w:ind w:firstLine="720"/>
        <w:jc w:val="both"/>
        <w:rPr>
          <w:rFonts w:eastAsia="Times New Roman" w:cstheme="minorHAnsi"/>
          <w:color w:val="000000"/>
        </w:rPr>
      </w:pPr>
      <w:r w:rsidRPr="000E1751">
        <w:rPr>
          <w:rFonts w:cstheme="minorHAnsi"/>
        </w:rPr>
        <w:t>În fine</w:t>
      </w:r>
      <w:r w:rsidR="008C6AEB" w:rsidRPr="000E1751">
        <w:rPr>
          <w:rFonts w:cstheme="minorHAnsi"/>
        </w:rPr>
        <w:t>,</w:t>
      </w:r>
      <w:r w:rsidRPr="000E1751">
        <w:rPr>
          <w:rFonts w:cstheme="minorHAnsi"/>
        </w:rPr>
        <w:t xml:space="preserve"> pentru transparență</w:t>
      </w:r>
      <w:r w:rsidR="008C6AEB" w:rsidRPr="000E1751">
        <w:rPr>
          <w:rFonts w:cstheme="minorHAnsi"/>
        </w:rPr>
        <w:t>,</w:t>
      </w:r>
      <w:r w:rsidRPr="000E1751">
        <w:rPr>
          <w:rFonts w:cstheme="minorHAnsi"/>
        </w:rPr>
        <w:t xml:space="preserve"> dar și</w:t>
      </w:r>
      <w:r w:rsidR="008C6AEB" w:rsidRPr="000E1751">
        <w:rPr>
          <w:rFonts w:cstheme="minorHAnsi"/>
        </w:rPr>
        <w:t xml:space="preserve"> pentru</w:t>
      </w:r>
      <w:r w:rsidRPr="000E1751">
        <w:rPr>
          <w:rFonts w:cstheme="minorHAnsi"/>
        </w:rPr>
        <w:t xml:space="preserve"> un management riguros la nivelul </w:t>
      </w:r>
      <w:r w:rsidR="008C6AEB" w:rsidRPr="000E1751">
        <w:rPr>
          <w:rFonts w:cstheme="minorHAnsi"/>
        </w:rPr>
        <w:t>Ministerului P</w:t>
      </w:r>
      <w:r w:rsidRPr="000E1751">
        <w:rPr>
          <w:rFonts w:cstheme="minorHAnsi"/>
        </w:rPr>
        <w:t xml:space="preserve">ublic și </w:t>
      </w:r>
      <w:r w:rsidR="008C6AEB" w:rsidRPr="000E1751">
        <w:rPr>
          <w:rFonts w:cstheme="minorHAnsi"/>
        </w:rPr>
        <w:t xml:space="preserve">pentru </w:t>
      </w:r>
      <w:r w:rsidRPr="000E1751">
        <w:rPr>
          <w:rFonts w:cstheme="minorHAnsi"/>
        </w:rPr>
        <w:t>realizarea unei capacități efective de verificare statistică</w:t>
      </w:r>
      <w:r w:rsidR="008C6AEB" w:rsidRPr="000E1751">
        <w:rPr>
          <w:rFonts w:cstheme="minorHAnsi"/>
        </w:rPr>
        <w:t>,</w:t>
      </w:r>
      <w:r w:rsidRPr="000E1751">
        <w:rPr>
          <w:rFonts w:cstheme="minorHAnsi"/>
        </w:rPr>
        <w:t xml:space="preserve"> este necesar ca și la nivelul parchetelor să fie împlementat un </w:t>
      </w:r>
      <w:r w:rsidRPr="000E1751">
        <w:rPr>
          <w:rFonts w:eastAsia="Times New Roman" w:cstheme="minorHAnsi"/>
          <w:color w:val="000000"/>
        </w:rPr>
        <w:t>sistem de evidențiere a cauzelor cu număr unic național de dosar.</w:t>
      </w:r>
    </w:p>
    <w:p w14:paraId="4DCA0B7E" w14:textId="77777777" w:rsidR="00AA3E61" w:rsidRPr="000E1751" w:rsidRDefault="00AA3E61" w:rsidP="00AA3E61">
      <w:pPr>
        <w:shd w:val="clear" w:color="auto" w:fill="FFFFFF"/>
        <w:rPr>
          <w:rFonts w:eastAsia="Times New Roman" w:cstheme="minorHAnsi"/>
          <w:color w:val="000000"/>
        </w:rPr>
      </w:pPr>
    </w:p>
    <w:p w14:paraId="5B27C494" w14:textId="77777777" w:rsidR="00AA3E61" w:rsidRPr="000E1751" w:rsidRDefault="00AA3E61" w:rsidP="00AA3E61">
      <w:pPr>
        <w:shd w:val="clear" w:color="auto" w:fill="FFFFFF"/>
        <w:rPr>
          <w:rFonts w:eastAsia="Times New Roman" w:cstheme="minorHAnsi"/>
          <w:color w:val="000000"/>
        </w:rPr>
      </w:pPr>
    </w:p>
    <w:p w14:paraId="1FAD3982" w14:textId="77777777" w:rsidR="00AA3E61" w:rsidRPr="000E1751" w:rsidRDefault="00AA3E61" w:rsidP="00AA3E61">
      <w:pPr>
        <w:shd w:val="clear" w:color="auto" w:fill="FFFFFF"/>
        <w:ind w:left="360"/>
        <w:rPr>
          <w:rFonts w:eastAsia="Times New Roman" w:cstheme="minorHAnsi"/>
          <w:color w:val="000000"/>
        </w:rPr>
      </w:pPr>
    </w:p>
    <w:p w14:paraId="5383FE9A" w14:textId="77777777" w:rsidR="00AA3E61" w:rsidRPr="000E1751" w:rsidRDefault="00AA3E61" w:rsidP="00AA3E61">
      <w:pPr>
        <w:ind w:firstLine="360"/>
        <w:jc w:val="both"/>
        <w:rPr>
          <w:rFonts w:cstheme="minorHAnsi"/>
        </w:rPr>
      </w:pPr>
    </w:p>
    <w:p w14:paraId="09CB33A3" w14:textId="77777777" w:rsidR="00F149D2" w:rsidRPr="000E1751" w:rsidRDefault="00F149D2" w:rsidP="00F149D2">
      <w:pPr>
        <w:ind w:firstLine="360"/>
        <w:jc w:val="both"/>
        <w:rPr>
          <w:rFonts w:cstheme="minorHAnsi"/>
        </w:rPr>
      </w:pPr>
    </w:p>
    <w:p w14:paraId="5388B7F3" w14:textId="77777777" w:rsidR="00F149D2" w:rsidRPr="000E1751" w:rsidRDefault="00F149D2" w:rsidP="00F149D2">
      <w:pPr>
        <w:ind w:firstLine="360"/>
        <w:jc w:val="center"/>
        <w:rPr>
          <w:rFonts w:cstheme="minorHAnsi"/>
          <w:b/>
          <w:i/>
        </w:rPr>
      </w:pPr>
      <w:r w:rsidRPr="000E1751">
        <w:rPr>
          <w:rFonts w:cstheme="minorHAnsi"/>
          <w:b/>
          <w:i/>
        </w:rPr>
        <w:t>Membri aleși ai CSM reprezentanți ai societății civile,</w:t>
      </w:r>
    </w:p>
    <w:p w14:paraId="3F05C6E9" w14:textId="77777777" w:rsidR="00F149D2" w:rsidRPr="000E1751" w:rsidRDefault="00F149D2" w:rsidP="00F149D2">
      <w:pPr>
        <w:ind w:firstLine="360"/>
        <w:jc w:val="center"/>
        <w:rPr>
          <w:rFonts w:cstheme="minorHAnsi"/>
          <w:b/>
          <w:i/>
        </w:rPr>
      </w:pPr>
    </w:p>
    <w:p w14:paraId="5BACA61E" w14:textId="77777777" w:rsidR="00F149D2" w:rsidRPr="000E1751" w:rsidRDefault="00F149D2" w:rsidP="00F149D2">
      <w:pPr>
        <w:jc w:val="center"/>
        <w:rPr>
          <w:rFonts w:cstheme="minorHAnsi"/>
        </w:rPr>
      </w:pPr>
      <w:r w:rsidRPr="000E1751">
        <w:rPr>
          <w:rFonts w:cstheme="minorHAnsi"/>
          <w:b/>
          <w:i/>
        </w:rPr>
        <w:t xml:space="preserve">Victor Alistar </w:t>
      </w:r>
      <w:r w:rsidRPr="000E1751">
        <w:rPr>
          <w:rFonts w:cstheme="minorHAnsi"/>
          <w:b/>
          <w:i/>
        </w:rPr>
        <w:tab/>
      </w:r>
      <w:r w:rsidRPr="000E1751">
        <w:rPr>
          <w:rFonts w:cstheme="minorHAnsi"/>
          <w:b/>
          <w:i/>
        </w:rPr>
        <w:tab/>
        <w:t>Romeo Chelariu</w:t>
      </w:r>
    </w:p>
    <w:p w14:paraId="096DC610" w14:textId="77777777" w:rsidR="00F149D2" w:rsidRPr="000E1751" w:rsidRDefault="00F149D2" w:rsidP="00F149D2">
      <w:pPr>
        <w:rPr>
          <w:rFonts w:cstheme="minorHAnsi"/>
        </w:rPr>
      </w:pPr>
    </w:p>
    <w:p w14:paraId="5353FC46" w14:textId="77777777" w:rsidR="00F149D2" w:rsidRPr="000E1751" w:rsidRDefault="00F149D2" w:rsidP="00F149D2">
      <w:pPr>
        <w:rPr>
          <w:rFonts w:cstheme="minorHAnsi"/>
        </w:rPr>
      </w:pPr>
    </w:p>
    <w:p w14:paraId="5801E690" w14:textId="77777777" w:rsidR="00F149D2" w:rsidRPr="000E1751" w:rsidRDefault="00F149D2" w:rsidP="00F149D2">
      <w:pPr>
        <w:widowControl w:val="0"/>
        <w:autoSpaceDE w:val="0"/>
        <w:autoSpaceDN w:val="0"/>
        <w:adjustRightInd w:val="0"/>
        <w:jc w:val="both"/>
        <w:rPr>
          <w:rFonts w:cstheme="minorHAnsi"/>
          <w:lang w:val="en-US"/>
        </w:rPr>
      </w:pPr>
    </w:p>
    <w:p w14:paraId="5BF71A0C" w14:textId="77777777" w:rsidR="00AA3E61" w:rsidRPr="000E1751" w:rsidRDefault="00AA3E61" w:rsidP="00AA3E61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31AF223D" w14:textId="77777777" w:rsidR="00F92DA5" w:rsidRPr="000E1751" w:rsidRDefault="00F92DA5">
      <w:pPr>
        <w:rPr>
          <w:rFonts w:cstheme="minorHAnsi"/>
        </w:rPr>
      </w:pPr>
    </w:p>
    <w:sectPr w:rsidR="00F92DA5" w:rsidRPr="000E1751" w:rsidSect="00A6546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E61"/>
    <w:rsid w:val="000E1751"/>
    <w:rsid w:val="0012160F"/>
    <w:rsid w:val="0014119D"/>
    <w:rsid w:val="0014332A"/>
    <w:rsid w:val="00174AB9"/>
    <w:rsid w:val="001B1847"/>
    <w:rsid w:val="00203D54"/>
    <w:rsid w:val="0021281E"/>
    <w:rsid w:val="002F7E67"/>
    <w:rsid w:val="003233ED"/>
    <w:rsid w:val="00350AE2"/>
    <w:rsid w:val="005F78AF"/>
    <w:rsid w:val="006F63E0"/>
    <w:rsid w:val="007D58D0"/>
    <w:rsid w:val="007F15AB"/>
    <w:rsid w:val="0080558E"/>
    <w:rsid w:val="008C6AEB"/>
    <w:rsid w:val="008D0890"/>
    <w:rsid w:val="009821BF"/>
    <w:rsid w:val="009D7350"/>
    <w:rsid w:val="00A13B2F"/>
    <w:rsid w:val="00AA3E61"/>
    <w:rsid w:val="00B4610F"/>
    <w:rsid w:val="00B469D5"/>
    <w:rsid w:val="00B72EE8"/>
    <w:rsid w:val="00BE2883"/>
    <w:rsid w:val="00CF4E75"/>
    <w:rsid w:val="00D75F8F"/>
    <w:rsid w:val="00DC03E7"/>
    <w:rsid w:val="00DC64F9"/>
    <w:rsid w:val="00E52C10"/>
    <w:rsid w:val="00ED40BF"/>
    <w:rsid w:val="00F010FD"/>
    <w:rsid w:val="00F013E6"/>
    <w:rsid w:val="00F149D2"/>
    <w:rsid w:val="00F35AFD"/>
    <w:rsid w:val="00F92DA5"/>
    <w:rsid w:val="00FD074B"/>
    <w:rsid w:val="00FD2452"/>
    <w:rsid w:val="00FF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14A144"/>
  <w15:docId w15:val="{5705D387-E382-4DAC-B97E-92F37816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E61"/>
    <w:pPr>
      <w:spacing w:after="0" w:line="240" w:lineRule="auto"/>
    </w:pPr>
    <w:rPr>
      <w:rFonts w:eastAsiaTheme="minorEastAsia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vts8">
    <w:name w:val="rvts8"/>
    <w:basedOn w:val="DefaultParagraphFont"/>
    <w:rsid w:val="00AA3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Cornelia, BUCUR</cp:lastModifiedBy>
  <cp:revision>15</cp:revision>
  <dcterms:created xsi:type="dcterms:W3CDTF">2022-05-19T12:18:00Z</dcterms:created>
  <dcterms:modified xsi:type="dcterms:W3CDTF">2022-05-19T12:57:00Z</dcterms:modified>
</cp:coreProperties>
</file>