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734" w:rsidRPr="00533CA3" w:rsidRDefault="00533CA3" w:rsidP="00533CA3">
      <w:pPr>
        <w:jc w:val="center"/>
        <w:rPr>
          <w:rFonts w:asciiTheme="majorHAnsi" w:hAnsiTheme="majorHAnsi"/>
          <w:sz w:val="28"/>
        </w:rPr>
      </w:pPr>
      <w:bookmarkStart w:id="0" w:name="_GoBack"/>
      <w:bookmarkEnd w:id="0"/>
      <w:r>
        <w:rPr>
          <w:rFonts w:asciiTheme="majorHAnsi" w:hAnsiTheme="majorHAnsi"/>
          <w:sz w:val="28"/>
        </w:rPr>
        <w:t>CURTEA EUROPEANĂ A DREPTURILOR OMULUI</w:t>
      </w:r>
    </w:p>
    <w:p w:rsidR="0098410D" w:rsidRPr="009E5D3C" w:rsidRDefault="0098410D" w:rsidP="009E5D3C">
      <w:pPr>
        <w:jc w:val="center"/>
      </w:pPr>
    </w:p>
    <w:p w:rsidR="0098410D" w:rsidRPr="009E5D3C" w:rsidRDefault="00D97C83" w:rsidP="009E5D3C">
      <w:pPr>
        <w:pStyle w:val="DecHTitle"/>
      </w:pPr>
      <w:r>
        <w:t>SECȚIA PATRA</w:t>
      </w:r>
    </w:p>
    <w:p w:rsidR="008E6217" w:rsidRPr="009E5D3C" w:rsidRDefault="00D97C83" w:rsidP="009E5D3C">
      <w:pPr>
        <w:pStyle w:val="JuTitle"/>
      </w:pPr>
      <w:r>
        <w:rPr>
          <w:color w:val="000000" w:themeColor="text1"/>
        </w:rPr>
        <w:t xml:space="preserve">CAUZA </w:t>
      </w:r>
      <w:r>
        <w:t>DUMITRESCU ÎMPOTRIVA ROMÂNIEI</w:t>
      </w:r>
    </w:p>
    <w:p w:rsidR="00D74888" w:rsidRPr="009E5D3C" w:rsidRDefault="00D97C83" w:rsidP="009E5D3C">
      <w:pPr>
        <w:pStyle w:val="ECHRCoverTitle4"/>
      </w:pPr>
      <w:r>
        <w:t>(Cererea nr. 36815/20)</w:t>
      </w:r>
    </w:p>
    <w:p w:rsidR="0098410D" w:rsidRPr="009E5D3C" w:rsidRDefault="0098410D" w:rsidP="009E5D3C">
      <w:pPr>
        <w:pStyle w:val="DecHCase"/>
      </w:pPr>
    </w:p>
    <w:p w:rsidR="0098410D" w:rsidRPr="009E5D3C" w:rsidRDefault="0098410D" w:rsidP="009E5D3C">
      <w:pPr>
        <w:pStyle w:val="DecHCase"/>
      </w:pPr>
    </w:p>
    <w:p w:rsidR="00AC4CD4" w:rsidRPr="009E5D3C" w:rsidRDefault="00AC4CD4" w:rsidP="009E5D3C">
      <w:pPr>
        <w:pStyle w:val="DecHCase"/>
      </w:pPr>
    </w:p>
    <w:p w:rsidR="0098410D" w:rsidRPr="009E5D3C" w:rsidRDefault="0098410D" w:rsidP="009E5D3C">
      <w:pPr>
        <w:pStyle w:val="DecHCase"/>
      </w:pPr>
    </w:p>
    <w:p w:rsidR="009E5D3C" w:rsidRPr="009E5D3C" w:rsidRDefault="009E5D3C" w:rsidP="009E5D3C">
      <w:pPr>
        <w:pStyle w:val="DecHCase"/>
      </w:pPr>
    </w:p>
    <w:p w:rsidR="009E5D3C" w:rsidRPr="009E5D3C" w:rsidRDefault="009E5D3C" w:rsidP="009E5D3C">
      <w:pPr>
        <w:pStyle w:val="DecHCase"/>
      </w:pPr>
    </w:p>
    <w:p w:rsidR="0098410D" w:rsidRPr="009E5D3C" w:rsidRDefault="00D97C83" w:rsidP="009E5D3C">
      <w:pPr>
        <w:pStyle w:val="DecHCase"/>
      </w:pPr>
      <w:r>
        <w:t>HOTĂRÂRE</w:t>
      </w:r>
      <w:r>
        <w:br/>
      </w:r>
    </w:p>
    <w:p w:rsidR="0098410D" w:rsidRPr="009E5D3C" w:rsidRDefault="00D97C83" w:rsidP="009E5D3C">
      <w:pPr>
        <w:pStyle w:val="DecHCase"/>
      </w:pPr>
      <w:r>
        <w:t>STRASBOURG</w:t>
      </w:r>
    </w:p>
    <w:p w:rsidR="0098410D" w:rsidRPr="009E5D3C" w:rsidRDefault="00D97C83" w:rsidP="009E5D3C">
      <w:pPr>
        <w:pStyle w:val="DecHCase"/>
      </w:pPr>
      <w:r>
        <w:rPr>
          <w:rFonts w:ascii="Times New Roman" w:hAnsi="Times New Roman"/>
        </w:rPr>
        <w:t>4 iulie 2023</w:t>
      </w:r>
    </w:p>
    <w:p w:rsidR="00AC4CD4" w:rsidRPr="009E5D3C" w:rsidRDefault="00AC4CD4" w:rsidP="009E5D3C">
      <w:pPr>
        <w:pStyle w:val="JuPara"/>
      </w:pPr>
    </w:p>
    <w:p w:rsidR="002422B6" w:rsidRPr="009E5D3C" w:rsidRDefault="00D97C83" w:rsidP="009E5D3C">
      <w:pPr>
        <w:rPr>
          <w:i/>
          <w:sz w:val="22"/>
        </w:rPr>
      </w:pPr>
      <w:r>
        <w:rPr>
          <w:i/>
          <w:sz w:val="22"/>
        </w:rPr>
        <w:t>Prezenta hotărâre este definitivă, dar poate suferi modificări de formă.</w:t>
      </w:r>
    </w:p>
    <w:p w:rsidR="0098410D" w:rsidRPr="009E5D3C" w:rsidRDefault="0098410D" w:rsidP="009E5D3C">
      <w:pPr>
        <w:sectPr w:rsidR="0098410D" w:rsidRPr="009E5D3C"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9E5D3C" w:rsidRDefault="00D97C83" w:rsidP="009E5D3C">
      <w:pPr>
        <w:pStyle w:val="JuCase"/>
      </w:pPr>
      <w:r>
        <w:lastRenderedPageBreak/>
        <w:t>În cauza Dumitrescu împotriva României,</w:t>
      </w:r>
    </w:p>
    <w:p w:rsidR="009F4C8F" w:rsidRPr="009E5D3C" w:rsidRDefault="00D97C83" w:rsidP="009E5D3C">
      <w:pPr>
        <w:pStyle w:val="JuPara"/>
      </w:pPr>
      <w:r>
        <w:t>Curtea Europeană a Drepturilor Omului (Secția a patra), reunită într-o cameră compusă din:</w:t>
      </w:r>
    </w:p>
    <w:p w:rsidR="00A92625" w:rsidRPr="009E5D3C" w:rsidRDefault="00D97C83" w:rsidP="009E5D3C">
      <w:pPr>
        <w:pStyle w:val="JuJudges"/>
      </w:pPr>
      <w:r>
        <w:tab/>
        <w:t xml:space="preserve">Faris Vehabović, </w:t>
      </w:r>
      <w:r>
        <w:rPr>
          <w:i/>
        </w:rPr>
        <w:t>președinte</w:t>
      </w:r>
      <w:r>
        <w:t>,</w:t>
      </w:r>
      <w:r>
        <w:br/>
      </w:r>
      <w:r>
        <w:tab/>
        <w:t>Iulia Antoanella Motoc,</w:t>
      </w:r>
      <w:r>
        <w:br/>
      </w:r>
      <w:r>
        <w:tab/>
        <w:t>Branko Lubarda</w:t>
      </w:r>
      <w:r>
        <w:rPr>
          <w:i/>
        </w:rPr>
        <w:t>, judecători</w:t>
      </w:r>
      <w:r>
        <w:t>,</w:t>
      </w:r>
      <w:r>
        <w:br/>
        <w:t xml:space="preserve">și Crina Kaufman, </w:t>
      </w:r>
      <w:r>
        <w:rPr>
          <w:i/>
        </w:rPr>
        <w:t>grefier adjunct interimar de secție,</w:t>
      </w:r>
    </w:p>
    <w:p w:rsidR="00F46734" w:rsidRPr="009E5D3C" w:rsidRDefault="00D97C83" w:rsidP="009E5D3C">
      <w:pPr>
        <w:pStyle w:val="JuPara"/>
      </w:pPr>
      <w:r>
        <w:t>având în vedere:</w:t>
      </w:r>
    </w:p>
    <w:p w:rsidR="00F46734" w:rsidRPr="009E5D3C" w:rsidRDefault="00D97C83" w:rsidP="009E5D3C">
      <w:pPr>
        <w:pStyle w:val="JuPara"/>
      </w:pPr>
      <w:r>
        <w:t>cererea (nr. 36815/20) îndreptată împotriva României, prin care o resortisantă a acestui stat, doamna Elena Dumitrescu („reclamanta”), născută în 1959 și cu domiciliul în Bacău, care a fost reprezentată mai întâi de domnul I. Popa și, în urma decesului acestuia în cursul anului 2021, de doamna M.S. Popa, ambii avocați în Bacău, a sesizat Curtea la 6 august 2020, în temeiul art. 34 din Convenția pentru apărarea drepturilor Omului și a libertăților fundamentale („Convenția”);</w:t>
      </w:r>
    </w:p>
    <w:p w:rsidR="00F46734" w:rsidRPr="009E5D3C" w:rsidRDefault="00D97C83" w:rsidP="009E5D3C">
      <w:pPr>
        <w:pStyle w:val="JuPara"/>
      </w:pPr>
      <w:r>
        <w:t>decizia de a comunica capetele de plângere cu privire la art. 1 din Protocolul nr. 1 la Convenție și la art. 6 din Convenție Guvernului României („Guvernul”), reprezentat de agentul său guvernamental, dna O.F. Ezer, din partea Ministerului Afacerilor Externe, și de a declara inadmisibile celelalte capete de cerere;</w:t>
      </w:r>
    </w:p>
    <w:p w:rsidR="00F46734" w:rsidRPr="009E5D3C" w:rsidRDefault="00D97C83" w:rsidP="009E5D3C">
      <w:pPr>
        <w:pStyle w:val="JuPara"/>
      </w:pPr>
      <w:r>
        <w:t>decizia de a acorda prioritate cererii (art. 41 din Regulamentul Curții);</w:t>
      </w:r>
    </w:p>
    <w:p w:rsidR="00F46734" w:rsidRPr="009E5D3C" w:rsidRDefault="00D97C83" w:rsidP="009E5D3C">
      <w:pPr>
        <w:pStyle w:val="JuPara"/>
      </w:pPr>
      <w:r>
        <w:t>observațiile părților;</w:t>
      </w:r>
    </w:p>
    <w:p w:rsidR="00F46734" w:rsidRPr="009E5D3C" w:rsidRDefault="00D97C83" w:rsidP="009E5D3C">
      <w:pPr>
        <w:pStyle w:val="JuPara"/>
      </w:pPr>
      <w:r>
        <w:t>decizia de a respinge excepția Guvernului privind examinarea cererii de către un comitet;</w:t>
      </w:r>
    </w:p>
    <w:p w:rsidR="009F4C8F" w:rsidRPr="009E5D3C" w:rsidRDefault="00D97C83" w:rsidP="009E5D3C">
      <w:pPr>
        <w:pStyle w:val="JuPara"/>
      </w:pPr>
      <w:r>
        <w:t>După ce a deliberat în camera de consiliu la 13 iunie 2023,</w:t>
      </w:r>
    </w:p>
    <w:p w:rsidR="009F4C8F" w:rsidRPr="009E5D3C" w:rsidRDefault="00D97C83" w:rsidP="009E5D3C">
      <w:pPr>
        <w:pStyle w:val="JuPara"/>
      </w:pPr>
      <w:r>
        <w:t>Pronunță prezenta hotărâre, adoptată la aceeași dată:</w:t>
      </w:r>
    </w:p>
    <w:p w:rsidR="00F46734" w:rsidRPr="009E5D3C" w:rsidRDefault="00D97C83" w:rsidP="009E5D3C">
      <w:pPr>
        <w:pStyle w:val="JuHHead"/>
        <w:numPr>
          <w:ilvl w:val="0"/>
          <w:numId w:val="0"/>
        </w:numPr>
      </w:pPr>
      <w:r>
        <w:t>OBIECTUL CAUZEI</w:t>
      </w:r>
    </w:p>
    <w:p w:rsidR="00F46734" w:rsidRPr="009E5D3C" w:rsidRDefault="008F1748" w:rsidP="009E5D3C">
      <w:pPr>
        <w:pStyle w:val="JuPara"/>
      </w:pPr>
      <w:fldSimple w:instr=" SEQ level0 \*arabic ">
        <w:r w:rsidR="006B39AD">
          <w:rPr>
            <w:noProof/>
          </w:rPr>
          <w:t>1</w:t>
        </w:r>
      </w:fldSimple>
      <w:r w:rsidR="00D97C83">
        <w:t>.  La 5 iunie 2012, după ce a examinat-o pe reclamantă, comisia medicală competentă a eliberat un certificat de handicap care atesta că aceasta se încadra în gradul II de handicap, ca persoană nevăzătoare. Pe baza acestui certificat și având în vedere perioada de cotizare la fondul de pensii de stat, la 13 iulie 2012 i s-a acordat reclamantei dreptul de a primi o pensie pentru limită de vârstă.</w:t>
      </w:r>
    </w:p>
    <w:p w:rsidR="00F46734" w:rsidRPr="009E5D3C" w:rsidRDefault="006B39AD" w:rsidP="009E5D3C">
      <w:pPr>
        <w:pStyle w:val="JuPara"/>
      </w:pPr>
      <w:r>
        <w:fldChar w:fldCharType="begin"/>
      </w:r>
      <w:r>
        <w:instrText xml:space="preserve"> SEQ level0 \*ara</w:instrText>
      </w:r>
      <w:r>
        <w:instrText xml:space="preserve">bic \* MERGEFORMAT </w:instrText>
      </w:r>
      <w:r>
        <w:fldChar w:fldCharType="separate"/>
      </w:r>
      <w:r>
        <w:rPr>
          <w:noProof/>
        </w:rPr>
        <w:t>2</w:t>
      </w:r>
      <w:r>
        <w:rPr>
          <w:noProof/>
        </w:rPr>
        <w:fldChar w:fldCharType="end"/>
      </w:r>
      <w:r w:rsidR="00D97C83">
        <w:t>.  La 19 noiembrie 2015, Înalta Curte de Casație și Justiție („ÎCCJ”) a stabilit, prin intermediul unui recurs în interesul legii, că noțiunea de „nevăzător” menționată în legislația privind persoanele cu handicap se referă exclusiv la o persoană cu deficiențe de vedere depline.</w:t>
      </w:r>
    </w:p>
    <w:p w:rsidR="00F46734" w:rsidRPr="009E5D3C" w:rsidRDefault="006B39AD" w:rsidP="009E5D3C">
      <w:pPr>
        <w:pStyle w:val="JuPara"/>
      </w:pPr>
      <w:r>
        <w:fldChar w:fldCharType="begin"/>
      </w:r>
      <w:r>
        <w:instrText xml:space="preserve"> SEQ level0 \*arabic \* MERGEFORMAT </w:instrText>
      </w:r>
      <w:r>
        <w:fldChar w:fldCharType="separate"/>
      </w:r>
      <w:r>
        <w:rPr>
          <w:noProof/>
        </w:rPr>
        <w:t>3</w:t>
      </w:r>
      <w:r>
        <w:rPr>
          <w:noProof/>
        </w:rPr>
        <w:fldChar w:fldCharType="end"/>
      </w:r>
      <w:r w:rsidR="00D97C83">
        <w:t>.  În consecință, casele de pensii au întreprins o revizuire pe scară largă a pensiilor deja acordate unor solicitanți precum reclamanta.</w:t>
      </w:r>
    </w:p>
    <w:p w:rsidR="00F46734" w:rsidRPr="009E5D3C" w:rsidRDefault="006B39AD" w:rsidP="009E5D3C">
      <w:pPr>
        <w:pStyle w:val="JuPara"/>
      </w:pPr>
      <w:r>
        <w:fldChar w:fldCharType="begin"/>
      </w:r>
      <w:r>
        <w:instrText xml:space="preserve"> SEQ level0 \*arabic \* MERGEFORMAT </w:instrText>
      </w:r>
      <w:r>
        <w:fldChar w:fldCharType="separate"/>
      </w:r>
      <w:r>
        <w:rPr>
          <w:noProof/>
        </w:rPr>
        <w:t>4</w:t>
      </w:r>
      <w:r>
        <w:rPr>
          <w:noProof/>
        </w:rPr>
        <w:fldChar w:fldCharType="end"/>
      </w:r>
      <w:r w:rsidR="00D97C83">
        <w:t>.  La 30 mai 2018, decizia de pensionare a reclamantei din 2012 a fost anulată de Casa de Pensii Bacău, care a decis că, având în vedere încadrarea sa în gradul II de handicap 2 (deficiențe de vedere parțiale) și perioada contribuției sale la fondul de pensii, aceasta nu avea dreptul la pensie.</w:t>
      </w:r>
    </w:p>
    <w:p w:rsidR="00F46734" w:rsidRPr="009E5D3C" w:rsidRDefault="006B39AD" w:rsidP="009E5D3C">
      <w:pPr>
        <w:pStyle w:val="JuPara"/>
      </w:pPr>
      <w:r>
        <w:fldChar w:fldCharType="begin"/>
      </w:r>
      <w:r>
        <w:instrText xml:space="preserve"> SEQ level0 \*arabic \* MERGEFORMAT </w:instrText>
      </w:r>
      <w:r>
        <w:fldChar w:fldCharType="separate"/>
      </w:r>
      <w:r>
        <w:rPr>
          <w:noProof/>
        </w:rPr>
        <w:t>5</w:t>
      </w:r>
      <w:r>
        <w:rPr>
          <w:noProof/>
        </w:rPr>
        <w:fldChar w:fldCharType="end"/>
      </w:r>
      <w:r w:rsidR="00D97C83">
        <w:t>.  Reclamanta a contestat această decizie, făcând trimitere,</w:t>
      </w:r>
      <w:r w:rsidR="00D97C83">
        <w:rPr>
          <w:i/>
        </w:rPr>
        <w:t xml:space="preserve"> inter alia,</w:t>
      </w:r>
      <w:r w:rsidR="00D97C83">
        <w:t xml:space="preserve"> la cauza Curții </w:t>
      </w:r>
      <w:r w:rsidR="00D97C83">
        <w:rPr>
          <w:i/>
        </w:rPr>
        <w:t>Moskal împotriva Poloniei</w:t>
      </w:r>
      <w:r w:rsidR="00D97C83">
        <w:t xml:space="preserve"> (nr. 10373/05, 15 septembrie 2009).</w:t>
      </w:r>
    </w:p>
    <w:p w:rsidR="00F46734" w:rsidRPr="009E5D3C" w:rsidRDefault="006B39AD" w:rsidP="009E5D3C">
      <w:pPr>
        <w:pStyle w:val="JuPara"/>
      </w:pPr>
      <w:r>
        <w:fldChar w:fldCharType="begin"/>
      </w:r>
      <w:r>
        <w:instrText xml:space="preserve"> SEQ level0 \*arabic \* MERGEFORMAT </w:instrText>
      </w:r>
      <w:r>
        <w:fldChar w:fldCharType="separate"/>
      </w:r>
      <w:bookmarkStart w:id="1" w:name="paragraph00006"/>
      <w:r>
        <w:rPr>
          <w:noProof/>
        </w:rPr>
        <w:t>6</w:t>
      </w:r>
      <w:bookmarkEnd w:id="1"/>
      <w:r>
        <w:rPr>
          <w:noProof/>
        </w:rPr>
        <w:fldChar w:fldCharType="end"/>
      </w:r>
      <w:r w:rsidR="00D97C83">
        <w:t>.  Prin hotărârea definitivă din 27 decembrie 2019 (comunicată la 14 februarie 2020), Curtea de Apel Bacău a confirmat decizia din 30 mai 2018 și a constatat că aceasta nu era disproporționată: reclamanta nu era complet lipsită de venituri, întrucât primea o indemnizație lunară de handicap de 375 lei românești (RON), ceea ce însemna aproximativ 75 euro (EUR), era coproprietară a unui apartament cu soțul ei și deținea un vehicul.</w:t>
      </w:r>
    </w:p>
    <w:p w:rsidR="00F46734" w:rsidRPr="009E5D3C" w:rsidRDefault="006B39AD" w:rsidP="009E5D3C">
      <w:pPr>
        <w:pStyle w:val="JuPara"/>
      </w:pPr>
      <w:r>
        <w:fldChar w:fldCharType="begin"/>
      </w:r>
      <w:r>
        <w:instrText xml:space="preserve"> SEQ level0 \*arabic \* </w:instrText>
      </w:r>
      <w:r>
        <w:instrText xml:space="preserve">MERGEFORMAT </w:instrText>
      </w:r>
      <w:r>
        <w:fldChar w:fldCharType="separate"/>
      </w:r>
      <w:r>
        <w:rPr>
          <w:noProof/>
        </w:rPr>
        <w:t>7</w:t>
      </w:r>
      <w:r>
        <w:rPr>
          <w:noProof/>
        </w:rPr>
        <w:fldChar w:fldCharType="end"/>
      </w:r>
      <w:r w:rsidR="00D97C83">
        <w:t>.  La 4 iulie 2018, Casa de Pensii Bacău a stabilit că reclamanta trebuie să restituie suma de 37 110 RON (aproximativ 7 600 EUR) primită cu titlu de pensie necuvenită pentru perioada cuprinsă între 1 iunie 2015 și 31 mai 2018.</w:t>
      </w:r>
    </w:p>
    <w:p w:rsidR="00F46734" w:rsidRPr="009E5D3C" w:rsidRDefault="006B39AD" w:rsidP="009E5D3C">
      <w:pPr>
        <w:pStyle w:val="JuPara"/>
      </w:pPr>
      <w:r>
        <w:fldChar w:fldCharType="begin"/>
      </w:r>
      <w:r>
        <w:instrText xml:space="preserve"> SEQ level0 </w:instrText>
      </w:r>
      <w:r>
        <w:instrText xml:space="preserve">\*arabic \* MERGEFORMAT </w:instrText>
      </w:r>
      <w:r>
        <w:fldChar w:fldCharType="separate"/>
      </w:r>
      <w:r>
        <w:rPr>
          <w:noProof/>
        </w:rPr>
        <w:t>8</w:t>
      </w:r>
      <w:r>
        <w:rPr>
          <w:noProof/>
        </w:rPr>
        <w:fldChar w:fldCharType="end"/>
      </w:r>
      <w:r w:rsidR="00D97C83">
        <w:t>.  La 5 decembrie 2018, Tribunalul Bacău a decis în favoarea reclamantei și a anulat decizia din 4 iulie 2018 ca fiind disproporționată. Instanța a constatat că vina aparținea casei de pensii pentru emiterea deciziei de pensi</w:t>
      </w:r>
      <w:r w:rsidR="00CF0D03">
        <w:t>onare</w:t>
      </w:r>
      <w:r w:rsidR="00D97C83">
        <w:t xml:space="preserve"> și pentru amânarea cu mai mult de trei ani a procedurii de reevaluare în cazul reclamantei, odată ce ÎCCJ indicase interpretarea conceptelor juridice relevante. În plus, a hotărât că restituirea solicitată i-ar pune în pericol existența și i-ar impune o sarcină excesivă, dat fiind faptul că venitul foarte scăzut al acesteia era compus doar din îndemnizația lunară de handicap.</w:t>
      </w:r>
    </w:p>
    <w:p w:rsidR="00F46734" w:rsidRPr="009E5D3C" w:rsidRDefault="006B39AD" w:rsidP="009E5D3C">
      <w:pPr>
        <w:pStyle w:val="JuPara"/>
      </w:pPr>
      <w:r>
        <w:fldChar w:fldCharType="begin"/>
      </w:r>
      <w:r>
        <w:instrText xml:space="preserve"> SEQ level0 \*arabic \* MERGEFORMAT </w:instrText>
      </w:r>
      <w:r>
        <w:fldChar w:fldCharType="separate"/>
      </w:r>
      <w:r>
        <w:rPr>
          <w:noProof/>
        </w:rPr>
        <w:t>9</w:t>
      </w:r>
      <w:r>
        <w:rPr>
          <w:noProof/>
        </w:rPr>
        <w:fldChar w:fldCharType="end"/>
      </w:r>
      <w:r w:rsidR="00D97C83">
        <w:t>.  La 25 februarie 2019, casa de pensii și-a anulat decizia din 4 iulie 2018.</w:t>
      </w:r>
    </w:p>
    <w:p w:rsidR="00F46734" w:rsidRPr="009E5D3C" w:rsidRDefault="006B39AD" w:rsidP="009E5D3C">
      <w:pPr>
        <w:pStyle w:val="JuPara"/>
      </w:pPr>
      <w:r>
        <w:fldChar w:fldCharType="begin"/>
      </w:r>
      <w:r>
        <w:instrText xml:space="preserve"> SEQ level0 </w:instrText>
      </w:r>
      <w:r>
        <w:instrText xml:space="preserve">\*arabic \* MERGEFORMAT </w:instrText>
      </w:r>
      <w:r>
        <w:fldChar w:fldCharType="separate"/>
      </w:r>
      <w:bookmarkStart w:id="2" w:name="paragraph00010"/>
      <w:r>
        <w:rPr>
          <w:noProof/>
        </w:rPr>
        <w:t>10</w:t>
      </w:r>
      <w:bookmarkEnd w:id="2"/>
      <w:r>
        <w:rPr>
          <w:noProof/>
        </w:rPr>
        <w:fldChar w:fldCharType="end"/>
      </w:r>
      <w:r w:rsidR="00D97C83">
        <w:t>.  La 15 iunie, Curtea de Apel Bacău a anulat hotărârea din 5 decembrie 2018, considerând că, în lumina legalității deciziei de anulare a pensiei reclamantei (</w:t>
      </w:r>
      <w:r w:rsidR="00D97C83">
        <w:rPr>
          <w:i/>
          <w:iCs/>
        </w:rPr>
        <w:t>supra</w:t>
      </w:r>
      <w:r w:rsidR="00D97C83">
        <w:t xml:space="preserve">, pct. </w:t>
      </w:r>
      <w:r w:rsidR="00D97C83" w:rsidRPr="009E5D3C">
        <w:fldChar w:fldCharType="begin"/>
      </w:r>
      <w:r w:rsidR="00D97C83" w:rsidRPr="009E5D3C">
        <w:instrText xml:space="preserve"> REF paragraph00006 \h  \* CharFormat </w:instrText>
      </w:r>
      <w:r w:rsidR="00D97C83" w:rsidRPr="009E5D3C">
        <w:fldChar w:fldCharType="separate"/>
      </w:r>
      <w:r>
        <w:t>6</w:t>
      </w:r>
      <w:r w:rsidR="00D97C83" w:rsidRPr="009E5D3C">
        <w:fldChar w:fldCharType="end"/>
      </w:r>
      <w:r w:rsidR="00D97C83">
        <w:t>), decizia subsecventă de recuperare a pensiei necuvenite era, de asemenea, legală și, prin urmare, nu putea fi anulată.</w:t>
      </w:r>
    </w:p>
    <w:bookmarkStart w:id="3" w:name="paragraph11"/>
    <w:p w:rsidR="00F46734" w:rsidRPr="009E5D3C" w:rsidRDefault="00D97C83" w:rsidP="009E5D3C">
      <w:pPr>
        <w:pStyle w:val="JuPara"/>
      </w:pPr>
      <w:r w:rsidRPr="009E5D3C">
        <w:fldChar w:fldCharType="begin"/>
      </w:r>
      <w:r w:rsidRPr="009E5D3C">
        <w:instrText xml:space="preserve"> SEQ level0 \*arabic \* MERGEFORMAT </w:instrText>
      </w:r>
      <w:r w:rsidRPr="009E5D3C">
        <w:fldChar w:fldCharType="separate"/>
      </w:r>
      <w:r w:rsidR="006B39AD">
        <w:rPr>
          <w:noProof/>
        </w:rPr>
        <w:t>11</w:t>
      </w:r>
      <w:r w:rsidRPr="009E5D3C">
        <w:fldChar w:fldCharType="end"/>
      </w:r>
      <w:bookmarkEnd w:id="3"/>
      <w:r>
        <w:t>.  La 17 septembrie 2020, casa de pensii și-a anulat decizia din 25 februarie 2019, considerând că datoria restantă stabilită prin decizia din 4 iulie 2018 era încă în vigoare. Această decizie a fost confirmată de Tribunalul Bacău la 17 februarie 2021, „întrucât doar reproducea conținutul deciziei anterioare din 4 iulie 2018, deja declarată legală de instanțe”.</w:t>
      </w:r>
    </w:p>
    <w:p w:rsidR="00F46734" w:rsidRPr="009E5D3C" w:rsidRDefault="006B39AD" w:rsidP="009E5D3C">
      <w:pPr>
        <w:pStyle w:val="JuPara"/>
      </w:pPr>
      <w:r>
        <w:fldChar w:fldCharType="begin"/>
      </w:r>
      <w:r>
        <w:instrText xml:space="preserve"> SEQ level0 \*arabic \* MERGEFORMAT </w:instrText>
      </w:r>
      <w:r>
        <w:fldChar w:fldCharType="separate"/>
      </w:r>
      <w:bookmarkStart w:id="4" w:name="paragraph00011"/>
      <w:r>
        <w:rPr>
          <w:noProof/>
        </w:rPr>
        <w:t>12</w:t>
      </w:r>
      <w:bookmarkEnd w:id="4"/>
      <w:r>
        <w:rPr>
          <w:noProof/>
        </w:rPr>
        <w:fldChar w:fldCharType="end"/>
      </w:r>
      <w:r w:rsidR="00D97C83">
        <w:t>.  La 5 iulie 2021, autoritățile fiscale au demarat proceduri de executare împotriva reclamantei pentru o datorie restantă în cuantum de 37 626 RON (aproximativ 7 600 EUR). Se pare că, începând din luna mai 2021, suma lunară reținută din veniturile reclamantei a fost de 53 RON (aproximativ 11 euro); din luna ianuarie 2022, această sumă lunară a fost majorată la 118 RON (aproximativ 24 EUR).</w:t>
      </w:r>
    </w:p>
    <w:p w:rsidR="00F46734" w:rsidRPr="009E5D3C" w:rsidRDefault="00D97C83" w:rsidP="009E5D3C">
      <w:pPr>
        <w:pStyle w:val="JuHHead"/>
      </w:pPr>
      <w:r>
        <w:t>MOTIVAREA CURȚII</w:t>
      </w:r>
    </w:p>
    <w:p w:rsidR="00F46734" w:rsidRPr="009E5D3C" w:rsidRDefault="00D97C83" w:rsidP="009E5D3C">
      <w:pPr>
        <w:pStyle w:val="JuHIRoman"/>
      </w:pPr>
      <w:r>
        <w:t>EXCEPȚIA PRELIMINARĂ RIDICATĂ DE GUVERN</w:t>
      </w:r>
    </w:p>
    <w:p w:rsidR="00F46734" w:rsidRPr="009E5D3C" w:rsidRDefault="00D97C83" w:rsidP="009E5D3C">
      <w:pPr>
        <w:pStyle w:val="JuHA"/>
        <w:numPr>
          <w:ilvl w:val="0"/>
          <w:numId w:val="0"/>
        </w:numPr>
        <w:ind w:left="510"/>
      </w:pPr>
      <w:r>
        <w:t>Exercitarea abuzivă a dreptului de a introduce o cerere individuală</w:t>
      </w:r>
    </w:p>
    <w:p w:rsidR="00F46734" w:rsidRPr="009E5D3C" w:rsidRDefault="006B39AD" w:rsidP="009E5D3C">
      <w:pPr>
        <w:pStyle w:val="JuPara"/>
      </w:pPr>
      <w:r>
        <w:fldChar w:fldCharType="begin"/>
      </w:r>
      <w:r>
        <w:instrText xml:space="preserve"> SEQ level0 \*arabic \* MERGEFORMAT </w:instrText>
      </w:r>
      <w:r>
        <w:fldChar w:fldCharType="separate"/>
      </w:r>
      <w:bookmarkStart w:id="5" w:name="paragraph00012"/>
      <w:r>
        <w:rPr>
          <w:noProof/>
        </w:rPr>
        <w:t>13</w:t>
      </w:r>
      <w:bookmarkEnd w:id="5"/>
      <w:r>
        <w:rPr>
          <w:noProof/>
        </w:rPr>
        <w:fldChar w:fldCharType="end"/>
      </w:r>
      <w:r w:rsidR="00D97C83">
        <w:t>.  Guvernul a formulat excepția că, prin furnizarea unei versiuni incomplete a hotărârii din 15 iunie 2020, lipsită de partea de motivare, reclamanta ar fi abuzat de dreptul său de a introduce o cerere.</w:t>
      </w:r>
    </w:p>
    <w:p w:rsidR="00F46734" w:rsidRPr="009E5D3C" w:rsidRDefault="006B39AD" w:rsidP="009E5D3C">
      <w:pPr>
        <w:pStyle w:val="JuPara"/>
      </w:pPr>
      <w:r>
        <w:fldChar w:fldCharType="begin"/>
      </w:r>
      <w:r>
        <w:instrText xml:space="preserve"> SEQ level0 \*arabic \* MERGEFORMAT </w:instrText>
      </w:r>
      <w:r>
        <w:fldChar w:fldCharType="separate"/>
      </w:r>
      <w:r>
        <w:rPr>
          <w:noProof/>
        </w:rPr>
        <w:t>14</w:t>
      </w:r>
      <w:r>
        <w:rPr>
          <w:noProof/>
        </w:rPr>
        <w:fldChar w:fldCharType="end"/>
      </w:r>
      <w:r w:rsidR="00D97C83">
        <w:t>.  Reclamanta a indicat că o copie a hotărârii sus-menționate a fost prezentată de domnul I. Popa, reprezentantul său inițial, care a decedat în cursul procedurii în fața Curții, și a negat orice intenție din partea sa sau a reprezentantului său de a induce în eroare Curtea cu privire la faptele relevante.</w:t>
      </w:r>
    </w:p>
    <w:p w:rsidR="00F46734" w:rsidRPr="009E5D3C" w:rsidRDefault="006B39AD" w:rsidP="009E5D3C">
      <w:pPr>
        <w:pStyle w:val="JuPara"/>
      </w:pPr>
      <w:r>
        <w:fldChar w:fldCharType="begin"/>
      </w:r>
      <w:r>
        <w:instrText xml:space="preserve"> SEQ level0 \*arabic \* MERGEFORMAT </w:instrText>
      </w:r>
      <w:r>
        <w:fldChar w:fldCharType="separate"/>
      </w:r>
      <w:r>
        <w:rPr>
          <w:noProof/>
        </w:rPr>
        <w:t>15</w:t>
      </w:r>
      <w:r>
        <w:rPr>
          <w:noProof/>
        </w:rPr>
        <w:fldChar w:fldCharType="end"/>
      </w:r>
      <w:r w:rsidR="00D97C83">
        <w:t xml:space="preserve">.  Curtea reamintește constatarea sa potrivit căreia o cerere bazată în mod deliberat pe observații false sau înșelătoare sau pe o descriere a faptelor care omite evenimente de importanță majoră poate constitui un abuz în dreptul de a introduce o cerere, în sensul art. 35 § 3 lit. a) din Convenție. (a se vedea </w:t>
      </w:r>
      <w:r w:rsidR="00D97C83">
        <w:rPr>
          <w:i/>
        </w:rPr>
        <w:t>Viniciuk împotriva Ucrainei</w:t>
      </w:r>
      <w:r w:rsidR="00D97C83">
        <w:t xml:space="preserve">, nr. 34000/07, pct. 42, 20 octombrie 2016). Totuși, intenția reclamantului de inducere în eroare a Curții trebuie să fie întotdeauna stabilită cu suficientă certitudine [a se vedea </w:t>
      </w:r>
      <w:r w:rsidR="00D97C83">
        <w:rPr>
          <w:i/>
        </w:rPr>
        <w:t xml:space="preserve">Gross împotriva Elveției </w:t>
      </w:r>
      <w:r w:rsidR="00D97C83">
        <w:t>(MC), nr. 67810/10, pct. 28, CEDO 2014].</w:t>
      </w:r>
    </w:p>
    <w:p w:rsidR="00F46734" w:rsidRPr="009E5D3C" w:rsidRDefault="006B39AD" w:rsidP="009E5D3C">
      <w:pPr>
        <w:pStyle w:val="JuPara"/>
      </w:pPr>
      <w:r>
        <w:fldChar w:fldCharType="begin"/>
      </w:r>
      <w:r>
        <w:instrText xml:space="preserve"> SEQ level0 \*arabic \* MERGEFORMAT </w:instrText>
      </w:r>
      <w:r>
        <w:fldChar w:fldCharType="separate"/>
      </w:r>
      <w:r>
        <w:rPr>
          <w:noProof/>
        </w:rPr>
        <w:t>16</w:t>
      </w:r>
      <w:r>
        <w:rPr>
          <w:noProof/>
        </w:rPr>
        <w:fldChar w:fldCharType="end"/>
      </w:r>
      <w:r w:rsidR="00D97C83">
        <w:t>.  Chiar presupunând că evenimente de importanță majoră au fost omise prin prezentarea unei copii parțiale a hotărârii interne menționate, având în vedere imposibilitatea obiectivă de a obține o explicație relevantă din partea reprezentantului anterior al reclamantei, Curtea consideră că îi este dificil să distingă cu suficientă certitudine existența vreunui comportament abuziv din partea reclamantei în speță.</w:t>
      </w:r>
    </w:p>
    <w:p w:rsidR="00F46734" w:rsidRPr="009E5D3C" w:rsidRDefault="006B39AD" w:rsidP="009E5D3C">
      <w:pPr>
        <w:pStyle w:val="JuPara"/>
      </w:pPr>
      <w:r>
        <w:fldChar w:fldCharType="begin"/>
      </w:r>
      <w:r>
        <w:instrText xml:space="preserve"> SEQ level0 \*arabic \* MERGEFORMAT </w:instrText>
      </w:r>
      <w:r>
        <w:fldChar w:fldCharType="separate"/>
      </w:r>
      <w:r>
        <w:rPr>
          <w:noProof/>
        </w:rPr>
        <w:t>17</w:t>
      </w:r>
      <w:r>
        <w:rPr>
          <w:noProof/>
        </w:rPr>
        <w:fldChar w:fldCharType="end"/>
      </w:r>
      <w:r w:rsidR="00D97C83">
        <w:t>.  Prin urmare, excepția Guvernului nu poate fi reținută.</w:t>
      </w:r>
    </w:p>
    <w:p w:rsidR="00F46734" w:rsidRPr="009E5D3C" w:rsidRDefault="00D97C83" w:rsidP="009E5D3C">
      <w:pPr>
        <w:pStyle w:val="JuHIRoman"/>
        <w:ind w:left="397" w:hanging="397"/>
      </w:pPr>
      <w:r>
        <w:t>CU PRIVIRE LA PRETINSA ÎNCĂLCARE A ART. 1 DIN PROTOCOLUL NR. 1 LA CONVENȚIE</w:t>
      </w:r>
    </w:p>
    <w:p w:rsidR="00F46734" w:rsidRPr="009E5D3C" w:rsidRDefault="008F1748" w:rsidP="009E5D3C">
      <w:pPr>
        <w:pStyle w:val="JuPara"/>
      </w:pPr>
      <w:fldSimple w:instr=" SEQ level0 \*arabic ">
        <w:r w:rsidR="006B39AD">
          <w:rPr>
            <w:noProof/>
          </w:rPr>
          <w:t>18</w:t>
        </w:r>
      </w:fldSimple>
      <w:r w:rsidR="00D97C83">
        <w:t>.  Reclamanta s-a plâns, în temeiul art. 1 din Protocolul nr. 1, de încălcarea dreptului la respectarea bunurilor sale, întrucât a) s-a stabilit că nu avea dreptul la pensie și b) trebuia să restituie o sumă foarte mare de bani pretinsă a fi primită în cadrul unei pensii necuvenite. O astfel de ingerință i-a adus grav atingere, expunând-o la sărăcie și punând-o astfel în pericol, fiind o persoană cu venituri foarte mici și o stare de sănătate fragilă.</w:t>
      </w:r>
    </w:p>
    <w:p w:rsidR="00F46734" w:rsidRPr="009E5D3C" w:rsidRDefault="006B39AD" w:rsidP="009E5D3C">
      <w:pPr>
        <w:pStyle w:val="JuPara"/>
      </w:pPr>
      <w:r>
        <w:fldChar w:fldCharType="begin"/>
      </w:r>
      <w:r>
        <w:instrText xml:space="preserve"> SEQ level0 \*arabic \* MERGEFORMAT </w:instrText>
      </w:r>
      <w:r>
        <w:fldChar w:fldCharType="separate"/>
      </w:r>
      <w:r>
        <w:rPr>
          <w:noProof/>
        </w:rPr>
        <w:t>19</w:t>
      </w:r>
      <w:r>
        <w:rPr>
          <w:noProof/>
        </w:rPr>
        <w:fldChar w:fldCharType="end"/>
      </w:r>
      <w:r w:rsidR="00D97C83">
        <w:t>.  În speță, dreptul reclamantei de a beneficia de o pensie s-a născut în urma evaluării favorabile a cererii sale de pensionare de către casa de pensii. În special, pe baza certificatului său de handicap și a informațiilor de care dispunea Casa de Pensii Bacău, la 13 iulie 2012 i-a fost recunoscut dreptul la pensie și i s-a plătit o pensie până la 30 mai 2018.</w:t>
      </w:r>
    </w:p>
    <w:p w:rsidR="00F46734" w:rsidRPr="009E5D3C" w:rsidRDefault="006B39AD" w:rsidP="009E5D3C">
      <w:pPr>
        <w:pStyle w:val="JuPara"/>
      </w:pPr>
      <w:r>
        <w:fldChar w:fldCharType="begin"/>
      </w:r>
      <w:r>
        <w:instrText xml:space="preserve"> SEQ level0 \*arabic \* MERGEFORMAT </w:instrText>
      </w:r>
      <w:r>
        <w:fldChar w:fldCharType="separate"/>
      </w:r>
      <w:r>
        <w:rPr>
          <w:noProof/>
        </w:rPr>
        <w:t>20</w:t>
      </w:r>
      <w:r>
        <w:rPr>
          <w:noProof/>
        </w:rPr>
        <w:fldChar w:fldCharType="end"/>
      </w:r>
      <w:r w:rsidR="00D97C83">
        <w:t xml:space="preserve">.  Aceste elemente au generat pentru reclamantă un drept de proprietate protejat de art. 1 din Protocolul nr. 1 [a se vedea, printre altele, </w:t>
      </w:r>
      <w:r w:rsidR="00D97C83">
        <w:rPr>
          <w:i/>
        </w:rPr>
        <w:t xml:space="preserve">Fábián împotriva Ungariei </w:t>
      </w:r>
      <w:r w:rsidR="00D97C83">
        <w:t>(MC), nr. 78117/13 pct. 61-62, 5 septembrie 2017).</w:t>
      </w:r>
    </w:p>
    <w:p w:rsidR="00F46734" w:rsidRPr="009E5D3C" w:rsidRDefault="009E5D3C" w:rsidP="009E5D3C">
      <w:pPr>
        <w:pStyle w:val="JuPara"/>
      </w:pPr>
      <w:r w:rsidRPr="009E5D3C">
        <w:fldChar w:fldCharType="begin"/>
      </w:r>
      <w:r w:rsidR="00D97C83">
        <w:instrText xml:space="preserve"> SEQ level0 \*arabic \* MERGEFORMAT </w:instrText>
      </w:r>
      <w:r w:rsidRPr="009E5D3C">
        <w:fldChar w:fldCharType="separate"/>
      </w:r>
      <w:r w:rsidR="006B39AD">
        <w:rPr>
          <w:noProof/>
        </w:rPr>
        <w:t>21</w:t>
      </w:r>
      <w:r w:rsidRPr="009E5D3C">
        <w:fldChar w:fldCharType="end"/>
      </w:r>
      <w:r>
        <w:t>.  În plus, această plângere nu este în mod vădit nefondată în sensul art. 35 § 3 lit. a) din Convenție și nu prezintă niciun alt motiv de inadmisibilitate. Prin urmare, trebuie să fie declarată admisibilă.</w:t>
      </w:r>
    </w:p>
    <w:p w:rsidR="00F46734" w:rsidRPr="009E5D3C" w:rsidRDefault="006B39AD" w:rsidP="009E5D3C">
      <w:pPr>
        <w:pStyle w:val="JuPara"/>
      </w:pPr>
      <w:r>
        <w:fldChar w:fldCharType="begin"/>
      </w:r>
      <w:r>
        <w:instrText xml:space="preserve"> SEQ level0 \*arabic \* MERGEFORMAT </w:instrText>
      </w:r>
      <w:r>
        <w:fldChar w:fldCharType="separate"/>
      </w:r>
      <w:r>
        <w:rPr>
          <w:noProof/>
        </w:rPr>
        <w:t>22</w:t>
      </w:r>
      <w:r>
        <w:rPr>
          <w:noProof/>
        </w:rPr>
        <w:fldChar w:fldCharType="end"/>
      </w:r>
      <w:r w:rsidR="00D97C83">
        <w:t xml:space="preserve">.  Părțile nu contestă faptul că deciziile casei de pensii din 20 mai 2018 și, respectiv, din 4 iulie 2018 (confirmate ulterior la 17 septembrie 2020), prin care reclamanta a fost privată retroactiv de pensia pe care o primise din 2012, echivalau cu o ingerință în bunurile sale în sensul art. 1 din Protocolul nr. 1. Curtea nu găsește niciun motiv pentru a reține faptele în mod diferit (a se vedea </w:t>
      </w:r>
      <w:r w:rsidR="00D97C83">
        <w:rPr>
          <w:i/>
        </w:rPr>
        <w:t>Fábián</w:t>
      </w:r>
      <w:r w:rsidR="00D97C83">
        <w:t>, citată anterior, pct. 62). Procedura privind restituirea sumelor care i-au fost plătite între 2015 și 2018 a fost o consecință a ingerinței în bunurile reclamantei.</w:t>
      </w:r>
    </w:p>
    <w:p w:rsidR="00F46734" w:rsidRPr="009E5D3C" w:rsidRDefault="006B39AD" w:rsidP="009E5D3C">
      <w:pPr>
        <w:pStyle w:val="JuPara"/>
      </w:pPr>
      <w:r>
        <w:fldChar w:fldCharType="begin"/>
      </w:r>
      <w:r>
        <w:instrText xml:space="preserve"> SEQ level0 \*arabic \* MERGEFORMAT </w:instrText>
      </w:r>
      <w:r>
        <w:fldChar w:fldCharType="separate"/>
      </w:r>
      <w:r>
        <w:rPr>
          <w:noProof/>
        </w:rPr>
        <w:t>23</w:t>
      </w:r>
      <w:r>
        <w:rPr>
          <w:noProof/>
        </w:rPr>
        <w:fldChar w:fldCharType="end"/>
      </w:r>
      <w:r w:rsidR="00D97C83">
        <w:t>.  Ingerința menționată trebuie examinată conform regulii generale enunțate în prima propoziție din primul paragraf al art. 1 din Protocolul nr. 1. Se arată că aceasta a fost prevăzută de Legea nr. 263/2010 privind sistemul unitar de pensii publice și a urmărit un scop legitim, de a se asigura că bugetul public nu este solicitat pentru a subvenționa beneficiari de prestații sociale nemeritate. Curtea ar trebui să examineze în continuare dacă acest lucru a impus reclamantei o sarcină disproporționată și excesivă.</w:t>
      </w:r>
    </w:p>
    <w:p w:rsidR="00F46734" w:rsidRPr="009E5D3C" w:rsidRDefault="00D97C83" w:rsidP="009E5D3C">
      <w:pPr>
        <w:pStyle w:val="JuPara"/>
        <w:rPr>
          <w:rFonts w:eastAsiaTheme="minorEastAsia"/>
          <w:szCs w:val="22"/>
        </w:rPr>
      </w:pPr>
      <w:r w:rsidRPr="009E5D3C">
        <w:rPr>
          <w:rFonts w:eastAsiaTheme="minorEastAsia"/>
        </w:rPr>
        <w:fldChar w:fldCharType="begin"/>
      </w:r>
      <w:r w:rsidRPr="009E5D3C">
        <w:rPr>
          <w:rFonts w:eastAsiaTheme="minorEastAsia"/>
        </w:rPr>
        <w:instrText xml:space="preserve"> SEQ level0 \*arabic \* MERGEFORMAT </w:instrText>
      </w:r>
      <w:r w:rsidRPr="009E5D3C">
        <w:rPr>
          <w:rFonts w:eastAsiaTheme="minorEastAsia"/>
        </w:rPr>
        <w:fldChar w:fldCharType="separate"/>
      </w:r>
      <w:r w:rsidR="006B39AD">
        <w:rPr>
          <w:rFonts w:eastAsiaTheme="minorEastAsia"/>
          <w:noProof/>
        </w:rPr>
        <w:t>24</w:t>
      </w:r>
      <w:r w:rsidRPr="009E5D3C">
        <w:rPr>
          <w:rFonts w:eastAsiaTheme="minorEastAsia"/>
        </w:rPr>
        <w:fldChar w:fldCharType="end"/>
      </w:r>
      <w:r>
        <w:t>.  Deși autoritățile publice ar trebui să își corecteze greșelile, chiar și cele care rezultă din propria neglijență, riscul oricărei greșeli comise de o autoritate a statului trebuie să fie suportat chiar de către stat. Astfel de greșeli nu ar trebui să fie remediate în detrimentul persoanelor în cauză. În contextul revocării unui titlu de proprietate acordat în mod eronat, principiul „bunei guvernanțe” nu poate impune autorităților doar obligația de a acționa cu promptitudine pentru a-și corecta greșeala, ci impune, de asemenea, plata unei despăgubiri adecvate sau a unui alt tip de reparație corespunzătoare fostului posesor de bună-credință (</w:t>
      </w:r>
      <w:bookmarkStart w:id="6" w:name="_cl35360"/>
      <w:r>
        <w:rPr>
          <w:i/>
        </w:rPr>
        <w:t>Risovskîi împotriva Ucrainei</w:t>
      </w:r>
      <w:bookmarkEnd w:id="6"/>
      <w:r>
        <w:t>, nr. 29979/04, pct. 71, 20 octombrie 2011, cu trimiteri suplimentare).</w:t>
      </w:r>
    </w:p>
    <w:p w:rsidR="00F46734" w:rsidRPr="009E5D3C" w:rsidRDefault="009E5D3C" w:rsidP="009E5D3C">
      <w:pPr>
        <w:pStyle w:val="JuPara"/>
        <w:rPr>
          <w:rFonts w:eastAsiaTheme="minorEastAsia"/>
          <w:szCs w:val="22"/>
        </w:rPr>
      </w:pPr>
      <w:r w:rsidRPr="009E5D3C">
        <w:fldChar w:fldCharType="begin"/>
      </w:r>
      <w:r w:rsidR="00D97C83">
        <w:instrText xml:space="preserve"> SEQ level0 \*arabic \* MERGEFORMAT </w:instrText>
      </w:r>
      <w:r w:rsidRPr="009E5D3C">
        <w:fldChar w:fldCharType="separate"/>
      </w:r>
      <w:r w:rsidR="006B39AD">
        <w:rPr>
          <w:noProof/>
        </w:rPr>
        <w:t>25</w:t>
      </w:r>
      <w:r w:rsidRPr="009E5D3C">
        <w:fldChar w:fldCharType="end"/>
      </w:r>
      <w:r>
        <w:t>.  În speță, nu s-a susținut că reclamanta ar fi întreprins vreo acțiune cu intenția de a induce în eroare casa de pensii sau că ar fi acționat cu rea-credință atunci când a depus cererea de pensionare. Într-adevăr, însăși casa de pensii a stabilit elementele relevante atunci când a aprobat cererea de pensie a reclamantei.</w:t>
      </w:r>
    </w:p>
    <w:p w:rsidR="00F46734" w:rsidRPr="009E5D3C" w:rsidRDefault="006B39AD" w:rsidP="009E5D3C">
      <w:pPr>
        <w:pStyle w:val="JuPara"/>
        <w:rPr>
          <w:rFonts w:eastAsiaTheme="minorEastAsia"/>
          <w:szCs w:val="22"/>
        </w:rPr>
      </w:pPr>
      <w:r>
        <w:fldChar w:fldCharType="begin"/>
      </w:r>
      <w:r>
        <w:instrText xml:space="preserve"> SEQ level0 \*arabic \* MERGEFORMAT </w:instrText>
      </w:r>
      <w:r>
        <w:fldChar w:fldCharType="separate"/>
      </w:r>
      <w:r>
        <w:rPr>
          <w:noProof/>
        </w:rPr>
        <w:t>26</w:t>
      </w:r>
      <w:r>
        <w:rPr>
          <w:noProof/>
        </w:rPr>
        <w:fldChar w:fldCharType="end"/>
      </w:r>
      <w:r w:rsidR="00D97C83">
        <w:t xml:space="preserve">.  Anularea deciziei de acordare a unei pensii reclamantei nu s-a bazat pe noi elemente de probă, ci doar pe o reevaluare a acelorași elemente de probă care au stat la baza deciziei administrative finale, o reevaluare efectuată </w:t>
      </w:r>
      <w:r w:rsidR="00D97C83">
        <w:rPr>
          <w:i/>
        </w:rPr>
        <w:t>ex proprio motu</w:t>
      </w:r>
      <w:r w:rsidR="00D97C83">
        <w:t xml:space="preserve"> și cu efect retroactiv de către casa de pensii, în urma interpretării legii aplicabile de către ÎCCJ. Se pare că interpretarea dată de ÎCCJ în cadrul unui recurs în interesul legii este obligatorie pentru autoritățile competente doar din momentul publicării sale [a se vedea </w:t>
      </w:r>
      <w:bookmarkStart w:id="7" w:name="_cl30735THECOURTSASSESSMENT"/>
      <w:r w:rsidR="00D97C83">
        <w:rPr>
          <w:i/>
        </w:rPr>
        <w:t>Parohia Greco-Catolică Lupeni și alții împotriva României</w:t>
      </w:r>
      <w:bookmarkEnd w:id="7"/>
      <w:r w:rsidR="00D97C83">
        <w:t xml:space="preserve"> (MC), nr. 76943/11, pct. 46, 29 noiembrie 2016]. Prin urmare, reevaluarea criticată a elementelor de probă pune în discuție securitatea juridică în domeniul securității sociale. În mod esențial, incertitudinea este un factor care trebuie luat în considerare la evaluarea comportamentului statului, autoritățile publice fiind obligate să acționeze în timp util și într-o manieră adecvată și consecventă (a se vedea </w:t>
      </w:r>
      <w:r w:rsidR="00D97C83">
        <w:rPr>
          <w:i/>
        </w:rPr>
        <w:t>Čakarević împotriva Croației</w:t>
      </w:r>
      <w:r w:rsidR="00D97C83">
        <w:t>, nr. 48921/13, pct. 84, 26 aprilie 2018).</w:t>
      </w:r>
    </w:p>
    <w:p w:rsidR="00F46734" w:rsidRPr="009E5D3C" w:rsidRDefault="00D97C83" w:rsidP="009E5D3C">
      <w:pPr>
        <w:pStyle w:val="JuPara"/>
        <w:rPr>
          <w:rFonts w:eastAsiaTheme="minorEastAsia"/>
          <w:szCs w:val="22"/>
        </w:rPr>
      </w:pPr>
      <w:r w:rsidRPr="009E5D3C">
        <w:rPr>
          <w:rFonts w:eastAsiaTheme="minorEastAsia"/>
        </w:rPr>
        <w:fldChar w:fldCharType="begin"/>
      </w:r>
      <w:r w:rsidRPr="009E5D3C">
        <w:rPr>
          <w:rFonts w:eastAsiaTheme="minorEastAsia"/>
        </w:rPr>
        <w:instrText xml:space="preserve"> SEQ level0 \*arabic \* MERGEFORMAT </w:instrText>
      </w:r>
      <w:r w:rsidRPr="009E5D3C">
        <w:rPr>
          <w:rFonts w:eastAsiaTheme="minorEastAsia"/>
        </w:rPr>
        <w:fldChar w:fldCharType="separate"/>
      </w:r>
      <w:r w:rsidR="006B39AD">
        <w:rPr>
          <w:rFonts w:eastAsiaTheme="minorEastAsia"/>
          <w:noProof/>
        </w:rPr>
        <w:t>27</w:t>
      </w:r>
      <w:r w:rsidRPr="009E5D3C">
        <w:rPr>
          <w:rFonts w:eastAsiaTheme="minorEastAsia"/>
        </w:rPr>
        <w:fldChar w:fldCharType="end"/>
      </w:r>
      <w:r>
        <w:t xml:space="preserve">.  Prezenta cauză privește pierderea totală a dreptului la pensie. Având în vedere situația specifică a reclamantei, pensia a constituit sursa sa esențială de venit pentru o perioadă de peste șase ani (a se vedea, </w:t>
      </w:r>
      <w:r>
        <w:rPr>
          <w:i/>
        </w:rPr>
        <w:t>mutatis</w:t>
      </w:r>
      <w:r>
        <w:t xml:space="preserve"> </w:t>
      </w:r>
      <w:r>
        <w:rPr>
          <w:i/>
        </w:rPr>
        <w:t>mutandis</w:t>
      </w:r>
      <w:r>
        <w:t xml:space="preserve">, </w:t>
      </w:r>
      <w:r>
        <w:rPr>
          <w:i/>
          <w:iCs/>
        </w:rPr>
        <w:t>Romeva împotriva Macedoniei de Nord</w:t>
      </w:r>
      <w:r>
        <w:t>, nr. 32141/10, pct. 74</w:t>
      </w:r>
      <w:r>
        <w:noBreakHyphen/>
        <w:t>75, 12 decembrie 2019).</w:t>
      </w:r>
    </w:p>
    <w:p w:rsidR="00F46734" w:rsidRPr="009E5D3C" w:rsidRDefault="006B39AD" w:rsidP="009E5D3C">
      <w:pPr>
        <w:pStyle w:val="JuPara"/>
      </w:pPr>
      <w:r>
        <w:fldChar w:fldCharType="begin"/>
      </w:r>
      <w:r>
        <w:instrText xml:space="preserve"> SEQ level0 \</w:instrText>
      </w:r>
      <w:r>
        <w:instrText xml:space="preserve">*arabic \* MERGEFORMAT </w:instrText>
      </w:r>
      <w:r>
        <w:fldChar w:fldCharType="separate"/>
      </w:r>
      <w:r>
        <w:rPr>
          <w:noProof/>
        </w:rPr>
        <w:t>28</w:t>
      </w:r>
      <w:r>
        <w:rPr>
          <w:noProof/>
        </w:rPr>
        <w:fldChar w:fldCharType="end"/>
      </w:r>
      <w:r w:rsidR="00D97C83">
        <w:t xml:space="preserve">.  De asemenea, procedurile vizând cererea de restituire a pensiei plătite reclamantei (supra, pct. </w:t>
      </w:r>
      <w:r w:rsidR="005D63AC" w:rsidRPr="009E5D3C">
        <w:fldChar w:fldCharType="begin"/>
      </w:r>
      <w:r w:rsidR="005D63AC" w:rsidRPr="009E5D3C">
        <w:instrText xml:space="preserve"> REF paragraph00011 \h  \* CharFormat </w:instrText>
      </w:r>
      <w:r w:rsidR="005D63AC" w:rsidRPr="009E5D3C">
        <w:fldChar w:fldCharType="separate"/>
      </w:r>
      <w:r>
        <w:t>12</w:t>
      </w:r>
      <w:r w:rsidR="005D63AC" w:rsidRPr="009E5D3C">
        <w:fldChar w:fldCharType="end"/>
      </w:r>
      <w:r w:rsidR="00D97C83">
        <w:t xml:space="preserve">) au agravat și mai mult situația financiară deja dificilă a acesteia (a se vedea </w:t>
      </w:r>
      <w:bookmarkStart w:id="8" w:name="_cl22927THECOURTSASSESSMENT"/>
      <w:r w:rsidR="00D97C83">
        <w:rPr>
          <w:i/>
        </w:rPr>
        <w:t>Čakarević</w:t>
      </w:r>
      <w:bookmarkEnd w:id="8"/>
      <w:r w:rsidR="00D97C83">
        <w:t>, citată anterior, pct. 89).</w:t>
      </w:r>
    </w:p>
    <w:p w:rsidR="00F46734" w:rsidRPr="009E5D3C" w:rsidRDefault="008F1748" w:rsidP="009E5D3C">
      <w:pPr>
        <w:pStyle w:val="JuPara"/>
      </w:pPr>
      <w:fldSimple w:instr=" SEQ level0 \*arabic ">
        <w:r w:rsidR="006B39AD">
          <w:rPr>
            <w:noProof/>
          </w:rPr>
          <w:t>29</w:t>
        </w:r>
      </w:fldSimple>
      <w:r w:rsidR="00D97C83">
        <w:t>.  În circumstanțele de mai sus, Curtea constată că sarcina impusă reclamantei a fost excesivă. În consecință, a fost încălcat art. 1 din Protocolul nr. 1 la Convenție.</w:t>
      </w:r>
    </w:p>
    <w:p w:rsidR="00F46734" w:rsidRPr="009E5D3C" w:rsidRDefault="00D97C83" w:rsidP="009E5D3C">
      <w:pPr>
        <w:pStyle w:val="JuHIRoman"/>
        <w:tabs>
          <w:tab w:val="left" w:pos="567"/>
          <w:tab w:val="left" w:pos="680"/>
        </w:tabs>
        <w:ind w:left="397" w:hanging="397"/>
      </w:pPr>
      <w:r>
        <w:t>CELELALTE CAPETE DE CERERE</w:t>
      </w:r>
    </w:p>
    <w:p w:rsidR="00F46734" w:rsidRPr="009E5D3C" w:rsidRDefault="008F1748" w:rsidP="009E5D3C">
      <w:pPr>
        <w:pStyle w:val="JuPara"/>
      </w:pPr>
      <w:fldSimple w:instr=" SEQ level0 \*arabic ">
        <w:r w:rsidR="006B39AD">
          <w:rPr>
            <w:noProof/>
          </w:rPr>
          <w:t>30</w:t>
        </w:r>
      </w:fldSimple>
      <w:r w:rsidR="00D97C83">
        <w:t>.  Reclamanta s-a plâns, în temeiul art. 6 din Convenție, de nemotivarea hotărârii pronunțate la 15 iunie 2020 (</w:t>
      </w:r>
      <w:r w:rsidR="00D97C83">
        <w:rPr>
          <w:i/>
          <w:iCs/>
        </w:rPr>
        <w:t>supra</w:t>
      </w:r>
      <w:r w:rsidR="00D97C83">
        <w:t xml:space="preserve">, pct. </w:t>
      </w:r>
      <w:r w:rsidR="00D97C83" w:rsidRPr="009E5D3C">
        <w:fldChar w:fldCharType="begin"/>
      </w:r>
      <w:r w:rsidR="00D97C83" w:rsidRPr="009E5D3C">
        <w:instrText xml:space="preserve"> REF paragraph00010 \h  \* CharFormat </w:instrText>
      </w:r>
      <w:r w:rsidR="00D97C83" w:rsidRPr="009E5D3C">
        <w:fldChar w:fldCharType="separate"/>
      </w:r>
      <w:r w:rsidR="006B39AD">
        <w:t>10</w:t>
      </w:r>
      <w:r w:rsidR="00D97C83" w:rsidRPr="009E5D3C">
        <w:fldChar w:fldCharType="end"/>
      </w:r>
      <w:r w:rsidR="00D97C83">
        <w:t>).</w:t>
      </w:r>
    </w:p>
    <w:p w:rsidR="00F46734" w:rsidRPr="009E5D3C" w:rsidRDefault="006B39AD" w:rsidP="009E5D3C">
      <w:pPr>
        <w:pStyle w:val="JuPara"/>
      </w:pPr>
      <w:r>
        <w:fldChar w:fldCharType="begin"/>
      </w:r>
      <w:r>
        <w:instrText xml:space="preserve"> SEQ level0 \*arabic \* MERGEFORMAT </w:instrText>
      </w:r>
      <w:r>
        <w:fldChar w:fldCharType="separate"/>
      </w:r>
      <w:r>
        <w:rPr>
          <w:noProof/>
        </w:rPr>
        <w:t>31</w:t>
      </w:r>
      <w:r>
        <w:rPr>
          <w:noProof/>
        </w:rPr>
        <w:fldChar w:fldCharType="end"/>
      </w:r>
      <w:r w:rsidR="00D97C83">
        <w:t xml:space="preserve">.  Pe baza elementelor aflate în posesia sa, Curtea nu poate identifica niciun element de arbitrariu în constatările instanței interne în cauză [a se vedea </w:t>
      </w:r>
      <w:r w:rsidR="00D97C83">
        <w:rPr>
          <w:i/>
        </w:rPr>
        <w:t>Namazli împotriva Azerbaidjanului</w:t>
      </w:r>
      <w:r w:rsidR="00D97C83">
        <w:t xml:space="preserve"> (dec.), nr. 28203/10, pct. 45, 7 iunie 2022).</w:t>
      </w:r>
    </w:p>
    <w:p w:rsidR="00F46734" w:rsidRPr="009E5D3C" w:rsidRDefault="006B39AD" w:rsidP="009E5D3C">
      <w:pPr>
        <w:pStyle w:val="JuPara"/>
      </w:pPr>
      <w:r>
        <w:fldChar w:fldCharType="begin"/>
      </w:r>
      <w:r>
        <w:instrText xml:space="preserve"> SEQ level0 \*arabic \* MERGEFORMAT </w:instrText>
      </w:r>
      <w:r>
        <w:fldChar w:fldCharType="separate"/>
      </w:r>
      <w:r>
        <w:rPr>
          <w:noProof/>
        </w:rPr>
        <w:t>32</w:t>
      </w:r>
      <w:r>
        <w:rPr>
          <w:noProof/>
        </w:rPr>
        <w:fldChar w:fldCharType="end"/>
      </w:r>
      <w:r w:rsidR="00D97C83">
        <w:t>.  În consecință, acest capăt de cerere este în mod vădit nefondat și trebuie respins în temeiul art. 35 § 3 lit. a) și 4 din Convenție.</w:t>
      </w:r>
    </w:p>
    <w:p w:rsidR="00F46734" w:rsidRPr="009E5D3C" w:rsidRDefault="00D97C83" w:rsidP="009E5D3C">
      <w:pPr>
        <w:pStyle w:val="JuHHead"/>
      </w:pPr>
      <w:r>
        <w:rPr>
          <w:caps w:val="0"/>
        </w:rPr>
        <w:t>CU PRIVIRE LA APLICAREA ART. 41 DIN CONVENȚIE</w:t>
      </w:r>
    </w:p>
    <w:p w:rsidR="00F46734" w:rsidRPr="009E5D3C" w:rsidRDefault="008F1748" w:rsidP="009E5D3C">
      <w:pPr>
        <w:pStyle w:val="JuPara"/>
      </w:pPr>
      <w:fldSimple w:instr=" SEQ level0 \*arabic ">
        <w:r w:rsidR="006B39AD">
          <w:rPr>
            <w:noProof/>
          </w:rPr>
          <w:t>33</w:t>
        </w:r>
      </w:fldSimple>
      <w:r w:rsidR="00D97C83">
        <w:t>.  Reclamanta a solicitat 38 298 de lei românești (RON), aproximativ 7 800 euro (EUR), suma restantă pe care era obligată să o plătească, inclusiv 672 RON (aproximativ 135 euro), suma deja reținută (</w:t>
      </w:r>
      <w:r w:rsidR="00D97C83">
        <w:rPr>
          <w:i/>
          <w:iCs/>
        </w:rPr>
        <w:t>supra</w:t>
      </w:r>
      <w:r w:rsidR="00D97C83">
        <w:t xml:space="preserve">, pct. </w:t>
      </w:r>
      <w:r w:rsidR="005D63AC" w:rsidRPr="009E5D3C">
        <w:fldChar w:fldCharType="begin"/>
      </w:r>
      <w:r w:rsidR="005D63AC" w:rsidRPr="009E5D3C">
        <w:instrText xml:space="preserve"> REF paragraph00011 \h  \* CharFormat </w:instrText>
      </w:r>
      <w:r w:rsidR="005D63AC" w:rsidRPr="009E5D3C">
        <w:fldChar w:fldCharType="separate"/>
      </w:r>
      <w:r w:rsidR="006B39AD">
        <w:t>12</w:t>
      </w:r>
      <w:r w:rsidR="005D63AC" w:rsidRPr="009E5D3C">
        <w:fldChar w:fldCharType="end"/>
      </w:r>
      <w:r w:rsidR="00D97C83">
        <w:t>) cu titlu de prejudiciu material; 20 000 EUR cu titlu de</w:t>
      </w:r>
      <w:r w:rsidR="00D97C83">
        <w:noBreakHyphen/>
        <w:t xml:space="preserve"> prejudiciu moral și 3 200 RON </w:t>
      </w:r>
      <w:r w:rsidR="00D97C83">
        <w:rPr>
          <w:b/>
        </w:rPr>
        <w:t>(</w:t>
      </w:r>
      <w:r w:rsidR="00D97C83">
        <w:t>aproximativ 650 EUR) pentru cheltuielile de judecată efectuate în fața Curții.</w:t>
      </w:r>
    </w:p>
    <w:p w:rsidR="00F46734" w:rsidRPr="009E5D3C" w:rsidRDefault="008F1748" w:rsidP="009E5D3C">
      <w:pPr>
        <w:pStyle w:val="JuPara"/>
      </w:pPr>
      <w:fldSimple w:instr=" SEQ level0 \*arabic ">
        <w:r w:rsidR="006B39AD">
          <w:rPr>
            <w:noProof/>
          </w:rPr>
          <w:t>34</w:t>
        </w:r>
      </w:fldSimple>
      <w:r w:rsidR="00D97C83">
        <w:t>.  Guvernul a contestat aceste pretenții.</w:t>
      </w:r>
    </w:p>
    <w:p w:rsidR="00F46734" w:rsidRPr="009E5D3C" w:rsidRDefault="008F1748" w:rsidP="009E5D3C">
      <w:pPr>
        <w:pStyle w:val="JuPara"/>
      </w:pPr>
      <w:fldSimple w:instr=" SEQ level0 \*arabic ">
        <w:r w:rsidR="006B39AD">
          <w:rPr>
            <w:noProof/>
          </w:rPr>
          <w:t>35</w:t>
        </w:r>
      </w:fldSimple>
      <w:r w:rsidR="00D97C83">
        <w:t>.  Având în vedere natura încălcării constatate, Curtea solicită Guvernului să se asigure că încetează executarea oricărei hotărâri judecătorești de plată pronunțată împotriva reclamantei în urma procedurii împotriva acesteia (</w:t>
      </w:r>
      <w:r w:rsidR="00D97C83">
        <w:rPr>
          <w:i/>
          <w:iCs/>
        </w:rPr>
        <w:t>supra</w:t>
      </w:r>
      <w:r w:rsidR="00D97C83">
        <w:t xml:space="preserve">, pct. </w:t>
      </w:r>
      <w:r w:rsidR="005D63AC" w:rsidRPr="009E5D3C">
        <w:fldChar w:fldCharType="begin"/>
      </w:r>
      <w:r w:rsidR="005D63AC" w:rsidRPr="009E5D3C">
        <w:instrText xml:space="preserve"> REF paragraph00011 \h  \* CharFormat </w:instrText>
      </w:r>
      <w:r w:rsidR="005D63AC" w:rsidRPr="009E5D3C">
        <w:fldChar w:fldCharType="separate"/>
      </w:r>
      <w:r w:rsidR="006B39AD">
        <w:t>12</w:t>
      </w:r>
      <w:r w:rsidR="005D63AC" w:rsidRPr="009E5D3C">
        <w:fldChar w:fldCharType="end"/>
      </w:r>
      <w:r w:rsidR="00D97C83">
        <w:t xml:space="preserve">) (a se vedea </w:t>
      </w:r>
      <w:bookmarkStart w:id="9" w:name="_cl35180APPLICATIONOFARTICLE41OFTHECONVE"/>
      <w:r w:rsidR="00D97C83">
        <w:rPr>
          <w:i/>
        </w:rPr>
        <w:t>Romeva împotriva Macedoniei de Nord</w:t>
      </w:r>
      <w:bookmarkEnd w:id="9"/>
      <w:r w:rsidR="00D97C83">
        <w:t>, nr. 32141/10, pct. 88, 12 decembrie 2019); de asemenea, reclamantei trebuie să i se restituie sumele deja plătite de aceasta în cadrul procedurii de executare a hotărârilor din 4 iulie 2018 și 17 septembrie 2020 (</w:t>
      </w:r>
      <w:r w:rsidR="00D97C83">
        <w:rPr>
          <w:i/>
          <w:iCs/>
        </w:rPr>
        <w:t>supra</w:t>
      </w:r>
      <w:r w:rsidR="00D97C83">
        <w:t xml:space="preserve">, pct. </w:t>
      </w:r>
      <w:r w:rsidR="00F22ED1" w:rsidRPr="009E5D3C">
        <w:fldChar w:fldCharType="begin"/>
      </w:r>
      <w:r w:rsidR="00F22ED1" w:rsidRPr="009E5D3C">
        <w:instrText xml:space="preserve"> REF paragraph11 \h </w:instrText>
      </w:r>
      <w:r w:rsidR="00F22ED1" w:rsidRPr="009E5D3C">
        <w:fldChar w:fldCharType="separate"/>
      </w:r>
      <w:r w:rsidR="006B39AD">
        <w:rPr>
          <w:noProof/>
        </w:rPr>
        <w:t>11</w:t>
      </w:r>
      <w:r w:rsidR="00F22ED1" w:rsidRPr="009E5D3C">
        <w:fldChar w:fldCharType="end"/>
      </w:r>
      <w:r w:rsidR="00D97C83">
        <w:t xml:space="preserve"> și </w:t>
      </w:r>
      <w:r w:rsidR="005D63AC" w:rsidRPr="009E5D3C">
        <w:fldChar w:fldCharType="begin"/>
      </w:r>
      <w:r w:rsidR="005D63AC" w:rsidRPr="009E5D3C">
        <w:instrText xml:space="preserve"> REF paragraph00011 \h  \* CharFormat </w:instrText>
      </w:r>
      <w:r w:rsidR="005D63AC" w:rsidRPr="009E5D3C">
        <w:fldChar w:fldCharType="separate"/>
      </w:r>
      <w:r w:rsidR="006B39AD">
        <w:t>12</w:t>
      </w:r>
      <w:r w:rsidR="005D63AC" w:rsidRPr="009E5D3C">
        <w:fldChar w:fldCharType="end"/>
      </w:r>
      <w:r w:rsidR="00D97C83">
        <w:t>). În plus, Curtea acordă reclamantei 5 000 EUR cu titlu de prejudiciu moral, plus orice sumă care poate fi datorată cu titlu de impozit.</w:t>
      </w:r>
    </w:p>
    <w:p w:rsidR="00F46734" w:rsidRPr="009E5D3C" w:rsidRDefault="008F1748" w:rsidP="009E5D3C">
      <w:pPr>
        <w:pStyle w:val="JuPara"/>
      </w:pPr>
      <w:fldSimple w:instr=" SEQ level0 \*arabic ">
        <w:r w:rsidR="006B39AD">
          <w:rPr>
            <w:noProof/>
          </w:rPr>
          <w:t>36</w:t>
        </w:r>
      </w:fldSimple>
      <w:r w:rsidR="00D97C83">
        <w:t>.  Pe baza documentelor de care dispune, Curtea consideră că este rezonabil să acorde reclamantei 650 EUR pentru toate cheltuielile de judecată în fața Curții, plus orice sumă care poate fi datorată cu titlu de impozit.</w:t>
      </w:r>
    </w:p>
    <w:p w:rsidR="00F46734" w:rsidRPr="009E5D3C" w:rsidRDefault="00D97C83" w:rsidP="009E5D3C">
      <w:pPr>
        <w:pStyle w:val="JuHHead"/>
      </w:pPr>
      <w:r>
        <w:t>PENTRU ACESTE MOTIVE, CURTEA, ÎN UNANIMITATE,</w:t>
      </w:r>
    </w:p>
    <w:p w:rsidR="00F46734" w:rsidRPr="009E5D3C" w:rsidRDefault="00D97C83" w:rsidP="009E5D3C">
      <w:pPr>
        <w:pStyle w:val="JuList"/>
        <w:numPr>
          <w:ilvl w:val="0"/>
          <w:numId w:val="2"/>
        </w:numPr>
      </w:pPr>
      <w:r>
        <w:rPr>
          <w:i/>
        </w:rPr>
        <w:t>Declară</w:t>
      </w:r>
      <w:r>
        <w:t xml:space="preserve"> admisibil capătul de cerere formulat în temeiul art. 1 din Protocolul nr. 1 și inadmisibile celelalte capete de cerere;</w:t>
      </w:r>
    </w:p>
    <w:p w:rsidR="00F46734" w:rsidRPr="009E5D3C" w:rsidRDefault="00D97C83" w:rsidP="009E5D3C">
      <w:pPr>
        <w:pStyle w:val="JuList"/>
        <w:numPr>
          <w:ilvl w:val="0"/>
          <w:numId w:val="2"/>
        </w:numPr>
      </w:pPr>
      <w:r>
        <w:rPr>
          <w:i/>
          <w:iCs/>
        </w:rPr>
        <w:t>Hotărăște</w:t>
      </w:r>
      <w:r>
        <w:t xml:space="preserve"> că a fost încălcat art. 1 din Protocolul nr. 1 la Convenție;</w:t>
      </w:r>
    </w:p>
    <w:p w:rsidR="00F46734" w:rsidRPr="009E5D3C" w:rsidRDefault="00D97C83" w:rsidP="009E5D3C">
      <w:pPr>
        <w:pStyle w:val="JuList"/>
        <w:numPr>
          <w:ilvl w:val="0"/>
          <w:numId w:val="2"/>
        </w:numPr>
      </w:pPr>
      <w:r>
        <w:rPr>
          <w:i/>
        </w:rPr>
        <w:t>Hotărăște</w:t>
      </w:r>
    </w:p>
    <w:p w:rsidR="00F46734" w:rsidRPr="009E5D3C" w:rsidRDefault="00D97C83" w:rsidP="009E5D3C">
      <w:pPr>
        <w:pStyle w:val="JuLista"/>
        <w:numPr>
          <w:ilvl w:val="1"/>
          <w:numId w:val="1"/>
        </w:numPr>
      </w:pPr>
      <w:r>
        <w:t>că statul pârât trebuie să returneze reclamantei, în termen de trei luni de la data rămânerii definitive a hotărârii, în conformitate cu art. 44 § 2 din Convenție, sumele deja plătite de aceasta în cadrul procedurii de executare a hotărârilor din 4 iulie 2018 și din 17 septembrie 2020;</w:t>
      </w:r>
    </w:p>
    <w:p w:rsidR="00F46734" w:rsidRPr="009E5D3C" w:rsidRDefault="00D97C83" w:rsidP="009E5D3C">
      <w:pPr>
        <w:pStyle w:val="JuLista"/>
        <w:numPr>
          <w:ilvl w:val="1"/>
          <w:numId w:val="1"/>
        </w:numPr>
      </w:pPr>
      <w:r>
        <w:t xml:space="preserve"> că statul pârât trebuie să plătească reclamantului, în termen de trei luni, următoarele sume, care trebuie convertite în moneda națională a statului pârât la rata de schimb aplicabilă la data plății:</w:t>
      </w:r>
    </w:p>
    <w:p w:rsidR="00F46734" w:rsidRPr="009E5D3C" w:rsidRDefault="00D97C83" w:rsidP="009E5D3C">
      <w:pPr>
        <w:pStyle w:val="JuListi"/>
        <w:numPr>
          <w:ilvl w:val="2"/>
          <w:numId w:val="1"/>
        </w:numPr>
      </w:pPr>
      <w:r>
        <w:t>5 000 EUR (cinci mii de euro), cu titlu de prejudiciu moral, plus orice sumă ce poate fi datorată cu titlu de impozit;</w:t>
      </w:r>
    </w:p>
    <w:p w:rsidR="00F46734" w:rsidRPr="009E5D3C" w:rsidRDefault="00D97C83" w:rsidP="009E5D3C">
      <w:pPr>
        <w:pStyle w:val="JuListi"/>
        <w:numPr>
          <w:ilvl w:val="2"/>
          <w:numId w:val="1"/>
        </w:numPr>
      </w:pPr>
      <w:r>
        <w:t>650 EUR (șase sute cincizeci de euro), pentru cheltuielile de judecată, plus orice sumă ce poate fi datorată de reclamantă cu titlu de impozit;</w:t>
      </w:r>
    </w:p>
    <w:p w:rsidR="00F46734" w:rsidRPr="009E5D3C" w:rsidRDefault="00D97C83" w:rsidP="009E5D3C">
      <w:pPr>
        <w:pStyle w:val="JuLista"/>
        <w:numPr>
          <w:ilvl w:val="1"/>
          <w:numId w:val="1"/>
        </w:numPr>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rsidR="004D0EC7" w:rsidRPr="009E5D3C" w:rsidRDefault="00D97C83" w:rsidP="009E5D3C">
      <w:pPr>
        <w:pStyle w:val="JuList"/>
      </w:pPr>
      <w:r>
        <w:rPr>
          <w:i/>
        </w:rPr>
        <w:t xml:space="preserve">Respinge </w:t>
      </w:r>
      <w:r>
        <w:t>cererea de acordare a unei reparații echitabile pentru celelalte capete de cerere.</w:t>
      </w:r>
    </w:p>
    <w:p w:rsidR="008E3A08" w:rsidRPr="009E5D3C" w:rsidRDefault="00D97C83" w:rsidP="009E5D3C">
      <w:pPr>
        <w:pStyle w:val="JuParaLast"/>
      </w:pPr>
      <w:r>
        <w:t>Redactată în limba engleză, apoi comunicată în scris la 4 iulie 2023, în temeiul art. 77 § 2 și 3 din Regulamentul Curții.</w:t>
      </w:r>
    </w:p>
    <w:p w:rsidR="00182EBA" w:rsidRPr="009E5D3C" w:rsidRDefault="00D97C83" w:rsidP="009E5D3C">
      <w:pPr>
        <w:pStyle w:val="JuSigned"/>
        <w:keepNext/>
        <w:keepLines/>
      </w:pPr>
      <w:r>
        <w:tab/>
        <w:t>Crina Kaufman</w:t>
      </w:r>
      <w:r>
        <w:tab/>
        <w:t>Faris Vehabović</w:t>
      </w:r>
      <w:r>
        <w:br/>
      </w:r>
      <w:r>
        <w:tab/>
        <w:t>Grefier adjunct interimar</w:t>
      </w:r>
      <w:r>
        <w:tab/>
        <w:t>Președinte</w:t>
      </w:r>
    </w:p>
    <w:sectPr w:rsidR="00182EBA" w:rsidRPr="009E5D3C"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748" w:rsidRDefault="008F1748">
      <w:r>
        <w:separator/>
      </w:r>
    </w:p>
  </w:endnote>
  <w:endnote w:type="continuationSeparator" w:id="0">
    <w:p w:rsidR="008F1748" w:rsidRDefault="008F1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734" w:rsidRPr="00150BFA" w:rsidRDefault="00D97C83" w:rsidP="0020718E">
    <w:pPr>
      <w:jc w:val="center"/>
    </w:pPr>
    <w:r>
      <w:rPr>
        <w:noProof/>
        <w:lang w:val="en-US"/>
      </w:rPr>
      <w:drawing>
        <wp:inline distT="0" distB="0" distL="0" distR="0">
          <wp:extent cx="771525" cy="619125"/>
          <wp:effectExtent l="0" t="0" r="9525" b="9525"/>
          <wp:docPr id="53" name="Picture 5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F46734"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734" w:rsidRPr="00150BFA" w:rsidRDefault="00D97C83" w:rsidP="0020718E">
    <w:pPr>
      <w:jc w:val="center"/>
    </w:pPr>
    <w:r>
      <w:rPr>
        <w:noProof/>
        <w:lang w:val="en-US"/>
      </w:rPr>
      <w:drawing>
        <wp:inline distT="0" distB="0" distL="0" distR="0">
          <wp:extent cx="771525" cy="619125"/>
          <wp:effectExtent l="0" t="0" r="9525" b="9525"/>
          <wp:docPr id="51" name="Picture 5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F46734"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D97C83" w:rsidP="009A115C">
    <w:pPr>
      <w:pStyle w:val="JuHeader"/>
    </w:pPr>
    <w:r>
      <w:rPr>
        <w:rStyle w:val="PageNumber"/>
      </w:rPr>
      <w:fldChar w:fldCharType="begin"/>
    </w:r>
    <w:r>
      <w:rPr>
        <w:rStyle w:val="PageNumber"/>
      </w:rPr>
      <w:instrText xml:space="preserve"> PAGE </w:instrText>
    </w:r>
    <w:r>
      <w:rPr>
        <w:rStyle w:val="PageNumber"/>
      </w:rPr>
      <w:fldChar w:fldCharType="separate"/>
    </w:r>
    <w:r w:rsidR="006B39AD">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D97C83" w:rsidP="007D3701">
    <w:pPr>
      <w:pStyle w:val="JuHeader"/>
    </w:pPr>
    <w:r>
      <w:fldChar w:fldCharType="begin"/>
    </w:r>
    <w:r>
      <w:instrText xml:space="preserve"> PAGE </w:instrText>
    </w:r>
    <w:r>
      <w:fldChar w:fldCharType="separate"/>
    </w:r>
    <w:r w:rsidR="006B39AD">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748" w:rsidRDefault="008F1748">
      <w:r>
        <w:separator/>
      </w:r>
    </w:p>
  </w:footnote>
  <w:footnote w:type="continuationSeparator" w:id="0">
    <w:p w:rsidR="008F1748" w:rsidRDefault="008F17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734" w:rsidRPr="00A45145" w:rsidRDefault="00D97C83" w:rsidP="00A45145">
    <w:pPr>
      <w:jc w:val="center"/>
    </w:pPr>
    <w:r>
      <w:rPr>
        <w:noProof/>
        <w:lang w:val="en-US"/>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F46734"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EED" w:rsidRDefault="0012129A" w:rsidP="005C6EED">
    <w:pPr>
      <w:jc w:val="right"/>
      <w:rPr>
        <w:i/>
        <w:iCs/>
      </w:rPr>
    </w:pPr>
    <w:r>
      <w:rPr>
        <w:i/>
        <w:iCs/>
      </w:rPr>
      <w:t>R</w:t>
    </w:r>
    <w:r w:rsidR="005C6EED">
      <w:rPr>
        <w:i/>
        <w:iCs/>
      </w:rPr>
      <w:t>evizuit de IER (</w:t>
    </w:r>
    <w:hyperlink r:id="rId1" w:history="1">
      <w:r w:rsidR="005C6EED">
        <w:rPr>
          <w:i/>
        </w:rPr>
        <w:t>http://ier.gov.ro/</w:t>
      </w:r>
    </w:hyperlink>
    <w:r w:rsidR="005C6EED">
      <w:rPr>
        <w:i/>
        <w:iCs/>
      </w:rPr>
      <w:t>)</w:t>
    </w:r>
  </w:p>
  <w:p w:rsidR="005C6EED" w:rsidRDefault="005C6EED" w:rsidP="005C6EED">
    <w:pPr>
      <w:jc w:val="right"/>
      <w:rPr>
        <w:i/>
        <w:iCs/>
      </w:rPr>
    </w:pPr>
  </w:p>
  <w:p w:rsidR="00F46734" w:rsidRPr="00A45145" w:rsidRDefault="00D97C83" w:rsidP="00A45145">
    <w:pPr>
      <w:jc w:val="center"/>
    </w:pPr>
    <w:r>
      <w:rPr>
        <w:noProof/>
        <w:lang w:val="en-US"/>
      </w:rPr>
      <w:drawing>
        <wp:inline distT="0" distB="0" distL="0" distR="0">
          <wp:extent cx="2962275" cy="1219200"/>
          <wp:effectExtent l="0" t="0" r="9525" b="0"/>
          <wp:docPr id="45" name="Picture 4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F46734" w:rsidRDefault="0098410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D97C83" w:rsidP="004D0EC7">
    <w:pPr>
      <w:pStyle w:val="JuHeader"/>
    </w:pPr>
    <w:r>
      <w:t>HOTĂRÂREA DUMITRESCU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D97C83" w:rsidP="007D3701">
    <w:pPr>
      <w:pStyle w:val="JuHeader"/>
    </w:pPr>
    <w:r>
      <w:t>HOTĂRÂREA DUMITRESCU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2048C388">
      <w:start w:val="1"/>
      <w:numFmt w:val="bullet"/>
      <w:pStyle w:val="ListBullet"/>
      <w:lvlText w:val=""/>
      <w:lvlJc w:val="left"/>
      <w:pPr>
        <w:tabs>
          <w:tab w:val="num" w:pos="851"/>
        </w:tabs>
        <w:ind w:left="568" w:firstLine="0"/>
      </w:pPr>
      <w:rPr>
        <w:rFonts w:ascii="Wingdings" w:hAnsi="Wingdings" w:hint="default"/>
        <w:color w:val="808080"/>
        <w:sz w:val="16"/>
      </w:rPr>
    </w:lvl>
    <w:lvl w:ilvl="1" w:tplc="AFACDE72" w:tentative="1">
      <w:start w:val="1"/>
      <w:numFmt w:val="bullet"/>
      <w:lvlText w:val="o"/>
      <w:lvlJc w:val="left"/>
      <w:pPr>
        <w:tabs>
          <w:tab w:val="num" w:pos="1724"/>
        </w:tabs>
        <w:ind w:left="1724" w:hanging="360"/>
      </w:pPr>
      <w:rPr>
        <w:rFonts w:ascii="Courier New" w:hAnsi="Courier New" w:cs="Courier New" w:hint="default"/>
      </w:rPr>
    </w:lvl>
    <w:lvl w:ilvl="2" w:tplc="72EC4AF0" w:tentative="1">
      <w:start w:val="1"/>
      <w:numFmt w:val="bullet"/>
      <w:lvlText w:val=""/>
      <w:lvlJc w:val="left"/>
      <w:pPr>
        <w:tabs>
          <w:tab w:val="num" w:pos="2444"/>
        </w:tabs>
        <w:ind w:left="2444" w:hanging="360"/>
      </w:pPr>
      <w:rPr>
        <w:rFonts w:ascii="Wingdings" w:hAnsi="Wingdings" w:hint="default"/>
      </w:rPr>
    </w:lvl>
    <w:lvl w:ilvl="3" w:tplc="3EAA6B82" w:tentative="1">
      <w:start w:val="1"/>
      <w:numFmt w:val="bullet"/>
      <w:lvlText w:val=""/>
      <w:lvlJc w:val="left"/>
      <w:pPr>
        <w:tabs>
          <w:tab w:val="num" w:pos="3164"/>
        </w:tabs>
        <w:ind w:left="3164" w:hanging="360"/>
      </w:pPr>
      <w:rPr>
        <w:rFonts w:ascii="Symbol" w:hAnsi="Symbol" w:hint="default"/>
      </w:rPr>
    </w:lvl>
    <w:lvl w:ilvl="4" w:tplc="BE00831A" w:tentative="1">
      <w:start w:val="1"/>
      <w:numFmt w:val="bullet"/>
      <w:lvlText w:val="o"/>
      <w:lvlJc w:val="left"/>
      <w:pPr>
        <w:tabs>
          <w:tab w:val="num" w:pos="3884"/>
        </w:tabs>
        <w:ind w:left="3884" w:hanging="360"/>
      </w:pPr>
      <w:rPr>
        <w:rFonts w:ascii="Courier New" w:hAnsi="Courier New" w:cs="Courier New" w:hint="default"/>
      </w:rPr>
    </w:lvl>
    <w:lvl w:ilvl="5" w:tplc="104C75DE" w:tentative="1">
      <w:start w:val="1"/>
      <w:numFmt w:val="bullet"/>
      <w:lvlText w:val=""/>
      <w:lvlJc w:val="left"/>
      <w:pPr>
        <w:tabs>
          <w:tab w:val="num" w:pos="4604"/>
        </w:tabs>
        <w:ind w:left="4604" w:hanging="360"/>
      </w:pPr>
      <w:rPr>
        <w:rFonts w:ascii="Wingdings" w:hAnsi="Wingdings" w:hint="default"/>
      </w:rPr>
    </w:lvl>
    <w:lvl w:ilvl="6" w:tplc="23B06542" w:tentative="1">
      <w:start w:val="1"/>
      <w:numFmt w:val="bullet"/>
      <w:lvlText w:val=""/>
      <w:lvlJc w:val="left"/>
      <w:pPr>
        <w:tabs>
          <w:tab w:val="num" w:pos="5324"/>
        </w:tabs>
        <w:ind w:left="5324" w:hanging="360"/>
      </w:pPr>
      <w:rPr>
        <w:rFonts w:ascii="Symbol" w:hAnsi="Symbol" w:hint="default"/>
      </w:rPr>
    </w:lvl>
    <w:lvl w:ilvl="7" w:tplc="FD50ADB6" w:tentative="1">
      <w:start w:val="1"/>
      <w:numFmt w:val="bullet"/>
      <w:lvlText w:val="o"/>
      <w:lvlJc w:val="left"/>
      <w:pPr>
        <w:tabs>
          <w:tab w:val="num" w:pos="6044"/>
        </w:tabs>
        <w:ind w:left="6044" w:hanging="360"/>
      </w:pPr>
      <w:rPr>
        <w:rFonts w:ascii="Courier New" w:hAnsi="Courier New" w:cs="Courier New" w:hint="default"/>
      </w:rPr>
    </w:lvl>
    <w:lvl w:ilvl="8" w:tplc="93A6B07E"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9"/>
  </w:num>
  <w:num w:numId="3">
    <w:abstractNumId w:val="14"/>
  </w:num>
  <w:num w:numId="4">
    <w:abstractNumId w:val="12"/>
  </w:num>
  <w:num w:numId="5">
    <w:abstractNumId w:val="11"/>
  </w:num>
  <w:num w:numId="6">
    <w:abstractNumId w:val="17"/>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3"/>
  </w:num>
  <w:num w:numId="18">
    <w:abstractNumId w:val="16"/>
  </w:num>
  <w:num w:numId="19">
    <w:abstractNumId w:val="15"/>
  </w:num>
  <w:num w:numId="20">
    <w:abstractNumId w:val="16"/>
  </w:num>
  <w:num w:numId="21">
    <w:abstractNumId w:val="10"/>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F46734"/>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129A"/>
    <w:rsid w:val="001257EC"/>
    <w:rsid w:val="00133D33"/>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4B6"/>
    <w:rsid w:val="0030375E"/>
    <w:rsid w:val="00312A30"/>
    <w:rsid w:val="003201D8"/>
    <w:rsid w:val="00320F72"/>
    <w:rsid w:val="0032463E"/>
    <w:rsid w:val="00326224"/>
    <w:rsid w:val="00337EE4"/>
    <w:rsid w:val="00340FFD"/>
    <w:rsid w:val="00345C41"/>
    <w:rsid w:val="003470C7"/>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054A7"/>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E6A0E"/>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3CA3"/>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2C62"/>
    <w:rsid w:val="005C3EE8"/>
    <w:rsid w:val="005C6EED"/>
    <w:rsid w:val="005D2F2A"/>
    <w:rsid w:val="005D34F9"/>
    <w:rsid w:val="005D4190"/>
    <w:rsid w:val="005D63AC"/>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B39AD"/>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A3016"/>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1748"/>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04AD"/>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5D3C"/>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37D2"/>
    <w:rsid w:val="00BC56A7"/>
    <w:rsid w:val="00BC6BBF"/>
    <w:rsid w:val="00BD1572"/>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0D03"/>
    <w:rsid w:val="00CF2397"/>
    <w:rsid w:val="00D00ABB"/>
    <w:rsid w:val="00D02EEC"/>
    <w:rsid w:val="00D03551"/>
    <w:rsid w:val="00D04315"/>
    <w:rsid w:val="00D06A63"/>
    <w:rsid w:val="00D0713C"/>
    <w:rsid w:val="00D07E0E"/>
    <w:rsid w:val="00D10CD6"/>
    <w:rsid w:val="00D11478"/>
    <w:rsid w:val="00D15ED0"/>
    <w:rsid w:val="00D164BF"/>
    <w:rsid w:val="00D2125E"/>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97C83"/>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3459"/>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2ED1"/>
    <w:rsid w:val="00F266A2"/>
    <w:rsid w:val="00F32269"/>
    <w:rsid w:val="00F35B7A"/>
    <w:rsid w:val="00F46734"/>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48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034B6"/>
    <w:rPr>
      <w:sz w:val="24"/>
      <w:szCs w:val="24"/>
    </w:rPr>
  </w:style>
  <w:style w:type="paragraph" w:styleId="Heading1">
    <w:name w:val="heading 1"/>
    <w:basedOn w:val="Normal"/>
    <w:next w:val="Normal"/>
    <w:link w:val="Heading1Char"/>
    <w:uiPriority w:val="98"/>
    <w:semiHidden/>
    <w:rsid w:val="003034B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3034B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3034B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3034B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3034B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3034B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3034B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3034B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3034B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034B6"/>
    <w:rPr>
      <w:rFonts w:ascii="Tahoma" w:hAnsi="Tahoma" w:cs="Tahoma"/>
      <w:sz w:val="16"/>
      <w:szCs w:val="16"/>
    </w:rPr>
  </w:style>
  <w:style w:type="character" w:customStyle="1" w:styleId="BalloonTextChar">
    <w:name w:val="Balloon Text Char"/>
    <w:basedOn w:val="DefaultParagraphFont"/>
    <w:link w:val="BalloonText"/>
    <w:uiPriority w:val="98"/>
    <w:semiHidden/>
    <w:rsid w:val="003034B6"/>
    <w:rPr>
      <w:rFonts w:ascii="Tahoma" w:hAnsi="Tahoma" w:cs="Tahoma"/>
      <w:sz w:val="16"/>
      <w:szCs w:val="16"/>
      <w:lang w:val="ro-RO"/>
    </w:rPr>
  </w:style>
  <w:style w:type="character" w:styleId="BookTitle">
    <w:name w:val="Book Title"/>
    <w:uiPriority w:val="98"/>
    <w:semiHidden/>
    <w:qFormat/>
    <w:rsid w:val="003034B6"/>
    <w:rPr>
      <w:i/>
      <w:iCs/>
      <w:smallCaps/>
      <w:spacing w:val="5"/>
    </w:rPr>
  </w:style>
  <w:style w:type="paragraph" w:customStyle="1" w:styleId="JuHeader">
    <w:name w:val="Ju_Header"/>
    <w:aliases w:val="_Header"/>
    <w:basedOn w:val="Header"/>
    <w:uiPriority w:val="29"/>
    <w:qFormat/>
    <w:rsid w:val="003034B6"/>
    <w:pPr>
      <w:tabs>
        <w:tab w:val="clear" w:pos="4536"/>
        <w:tab w:val="clear" w:pos="9072"/>
      </w:tabs>
      <w:jc w:val="center"/>
    </w:pPr>
    <w:rPr>
      <w:sz w:val="18"/>
    </w:rPr>
  </w:style>
  <w:style w:type="paragraph" w:customStyle="1" w:styleId="NormalJustified">
    <w:name w:val="Normal_Justified"/>
    <w:basedOn w:val="Normal"/>
    <w:semiHidden/>
    <w:rsid w:val="003034B6"/>
    <w:pPr>
      <w:jc w:val="both"/>
    </w:pPr>
  </w:style>
  <w:style w:type="character" w:styleId="Strong">
    <w:name w:val="Strong"/>
    <w:uiPriority w:val="98"/>
    <w:semiHidden/>
    <w:qFormat/>
    <w:rsid w:val="003034B6"/>
    <w:rPr>
      <w:b/>
      <w:bCs/>
    </w:rPr>
  </w:style>
  <w:style w:type="paragraph" w:styleId="NoSpacing">
    <w:name w:val="No Spacing"/>
    <w:basedOn w:val="Normal"/>
    <w:link w:val="NoSpacingChar"/>
    <w:uiPriority w:val="98"/>
    <w:semiHidden/>
    <w:qFormat/>
    <w:rsid w:val="003034B6"/>
  </w:style>
  <w:style w:type="character" w:customStyle="1" w:styleId="NoSpacingChar">
    <w:name w:val="No Spacing Char"/>
    <w:basedOn w:val="DefaultParagraphFont"/>
    <w:link w:val="NoSpacing"/>
    <w:uiPriority w:val="98"/>
    <w:semiHidden/>
    <w:rsid w:val="003034B6"/>
    <w:rPr>
      <w:sz w:val="24"/>
      <w:szCs w:val="24"/>
      <w:lang w:val="ro-RO"/>
    </w:rPr>
  </w:style>
  <w:style w:type="paragraph" w:customStyle="1" w:styleId="JuQuot">
    <w:name w:val="Ju_Quot"/>
    <w:aliases w:val="_Quote"/>
    <w:basedOn w:val="NormalJustified"/>
    <w:uiPriority w:val="20"/>
    <w:qFormat/>
    <w:rsid w:val="003034B6"/>
    <w:pPr>
      <w:spacing w:before="120" w:after="120"/>
      <w:ind w:left="425" w:firstLine="142"/>
    </w:pPr>
    <w:rPr>
      <w:sz w:val="20"/>
    </w:rPr>
  </w:style>
  <w:style w:type="paragraph" w:customStyle="1" w:styleId="DummyStyle">
    <w:name w:val="Dummy_Style"/>
    <w:aliases w:val="_Dummy"/>
    <w:basedOn w:val="Normal"/>
    <w:semiHidden/>
    <w:qFormat/>
    <w:rsid w:val="003034B6"/>
    <w:rPr>
      <w:color w:val="00B050"/>
      <w:sz w:val="22"/>
    </w:rPr>
  </w:style>
  <w:style w:type="paragraph" w:customStyle="1" w:styleId="JuList">
    <w:name w:val="Ju_List"/>
    <w:aliases w:val="_List_1"/>
    <w:basedOn w:val="NormalJustified"/>
    <w:uiPriority w:val="23"/>
    <w:qFormat/>
    <w:rsid w:val="003034B6"/>
    <w:pPr>
      <w:numPr>
        <w:numId w:val="22"/>
      </w:numPr>
      <w:spacing w:before="280" w:after="60"/>
    </w:pPr>
  </w:style>
  <w:style w:type="paragraph" w:customStyle="1" w:styleId="JuLista">
    <w:name w:val="Ju_List_a"/>
    <w:aliases w:val="_List_2"/>
    <w:basedOn w:val="NormalJustified"/>
    <w:uiPriority w:val="23"/>
    <w:rsid w:val="003034B6"/>
    <w:pPr>
      <w:numPr>
        <w:ilvl w:val="1"/>
        <w:numId w:val="22"/>
      </w:numPr>
    </w:pPr>
  </w:style>
  <w:style w:type="paragraph" w:customStyle="1" w:styleId="JuListi">
    <w:name w:val="Ju_List_i"/>
    <w:aliases w:val="_List_3"/>
    <w:basedOn w:val="NormalJustified"/>
    <w:uiPriority w:val="23"/>
    <w:rsid w:val="003034B6"/>
    <w:pPr>
      <w:numPr>
        <w:ilvl w:val="2"/>
        <w:numId w:val="22"/>
      </w:numPr>
    </w:pPr>
  </w:style>
  <w:style w:type="paragraph" w:customStyle="1" w:styleId="JuHArticle">
    <w:name w:val="Ju_H_Article"/>
    <w:aliases w:val="_Title_Quote"/>
    <w:basedOn w:val="Normal"/>
    <w:next w:val="JuQuot"/>
    <w:uiPriority w:val="19"/>
    <w:qFormat/>
    <w:rsid w:val="003034B6"/>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3034B6"/>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3034B6"/>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3034B6"/>
    <w:pPr>
      <w:keepNext/>
      <w:keepLines/>
      <w:numPr>
        <w:numId w:val="21"/>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3034B6"/>
    <w:pPr>
      <w:numPr>
        <w:numId w:val="16"/>
      </w:numPr>
    </w:pPr>
  </w:style>
  <w:style w:type="paragraph" w:customStyle="1" w:styleId="JuSigned">
    <w:name w:val="Ju_Signed"/>
    <w:aliases w:val="_Signature"/>
    <w:basedOn w:val="Normal"/>
    <w:next w:val="JuPara"/>
    <w:uiPriority w:val="31"/>
    <w:qFormat/>
    <w:rsid w:val="003034B6"/>
    <w:pPr>
      <w:tabs>
        <w:tab w:val="center" w:pos="1418"/>
        <w:tab w:val="center" w:pos="5954"/>
      </w:tabs>
      <w:spacing w:before="720"/>
    </w:pPr>
  </w:style>
  <w:style w:type="paragraph" w:styleId="Title">
    <w:name w:val="Title"/>
    <w:basedOn w:val="Normal"/>
    <w:next w:val="Normal"/>
    <w:link w:val="TitleChar"/>
    <w:uiPriority w:val="98"/>
    <w:semiHidden/>
    <w:qFormat/>
    <w:rsid w:val="003034B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3034B6"/>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3034B6"/>
    <w:pPr>
      <w:numPr>
        <w:numId w:val="1"/>
      </w:numPr>
    </w:pPr>
  </w:style>
  <w:style w:type="numbering" w:customStyle="1" w:styleId="ECHRA1StyleNumberedList">
    <w:name w:val="ECHR_A1_Style_Numbered_List"/>
    <w:basedOn w:val="NoList"/>
    <w:rsid w:val="003034B6"/>
    <w:pPr>
      <w:numPr>
        <w:numId w:val="18"/>
      </w:numPr>
    </w:pPr>
  </w:style>
  <w:style w:type="table" w:customStyle="1" w:styleId="ECHRTable2019">
    <w:name w:val="ECHR_Table_2019"/>
    <w:basedOn w:val="TableNormal"/>
    <w:uiPriority w:val="99"/>
    <w:rsid w:val="003034B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3034B6"/>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3034B6"/>
    <w:pPr>
      <w:keepNext/>
      <w:keepLines/>
      <w:numPr>
        <w:ilvl w:val="1"/>
        <w:numId w:val="2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034B6"/>
    <w:pPr>
      <w:keepNext/>
      <w:keepLines/>
      <w:numPr>
        <w:ilvl w:val="2"/>
        <w:numId w:val="2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034B6"/>
    <w:pPr>
      <w:keepNext/>
      <w:keepLines/>
      <w:numPr>
        <w:ilvl w:val="3"/>
        <w:numId w:val="21"/>
      </w:numPr>
      <w:spacing w:before="100" w:beforeAutospacing="1" w:after="120"/>
      <w:jc w:val="both"/>
    </w:pPr>
    <w:rPr>
      <w:b w:val="0"/>
      <w:color w:val="auto"/>
      <w:sz w:val="24"/>
    </w:rPr>
  </w:style>
  <w:style w:type="paragraph" w:styleId="Header">
    <w:name w:val="header"/>
    <w:basedOn w:val="Normal"/>
    <w:link w:val="HeaderChar"/>
    <w:uiPriority w:val="98"/>
    <w:semiHidden/>
    <w:rsid w:val="003034B6"/>
    <w:pPr>
      <w:tabs>
        <w:tab w:val="center" w:pos="4536"/>
        <w:tab w:val="right" w:pos="9072"/>
      </w:tabs>
    </w:pPr>
  </w:style>
  <w:style w:type="character" w:customStyle="1" w:styleId="HeaderChar">
    <w:name w:val="Header Char"/>
    <w:basedOn w:val="DefaultParagraphFont"/>
    <w:link w:val="Header"/>
    <w:uiPriority w:val="98"/>
    <w:semiHidden/>
    <w:rsid w:val="003034B6"/>
    <w:rPr>
      <w:sz w:val="24"/>
      <w:szCs w:val="24"/>
      <w:lang w:val="ro-RO"/>
    </w:rPr>
  </w:style>
  <w:style w:type="character" w:customStyle="1" w:styleId="Heading1Char">
    <w:name w:val="Heading 1 Char"/>
    <w:basedOn w:val="DefaultParagraphFont"/>
    <w:link w:val="Heading1"/>
    <w:uiPriority w:val="98"/>
    <w:semiHidden/>
    <w:rsid w:val="003034B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3034B6"/>
    <w:pPr>
      <w:keepNext/>
      <w:keepLines/>
      <w:numPr>
        <w:ilvl w:val="4"/>
        <w:numId w:val="21"/>
      </w:numPr>
      <w:spacing w:before="100" w:beforeAutospacing="1" w:after="120"/>
      <w:jc w:val="both"/>
    </w:pPr>
    <w:rPr>
      <w:color w:val="auto"/>
      <w:sz w:val="20"/>
    </w:rPr>
  </w:style>
  <w:style w:type="paragraph" w:customStyle="1" w:styleId="JuHi">
    <w:name w:val="Ju_H_i"/>
    <w:aliases w:val="_Head_6"/>
    <w:basedOn w:val="Heading6"/>
    <w:next w:val="JuPara"/>
    <w:uiPriority w:val="17"/>
    <w:rsid w:val="003034B6"/>
    <w:pPr>
      <w:keepNext/>
      <w:keepLines/>
      <w:numPr>
        <w:ilvl w:val="5"/>
        <w:numId w:val="2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3034B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3034B6"/>
    <w:pPr>
      <w:keepNext/>
      <w:keepLines/>
      <w:numPr>
        <w:ilvl w:val="6"/>
        <w:numId w:val="2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034B6"/>
    <w:pPr>
      <w:keepNext/>
      <w:keepLines/>
      <w:numPr>
        <w:ilvl w:val="7"/>
        <w:numId w:val="21"/>
      </w:numPr>
      <w:spacing w:before="100" w:beforeAutospacing="1" w:after="120"/>
      <w:jc w:val="both"/>
    </w:pPr>
    <w:rPr>
      <w:i/>
    </w:rPr>
  </w:style>
  <w:style w:type="character" w:customStyle="1" w:styleId="Heading3Char">
    <w:name w:val="Heading 3 Char"/>
    <w:basedOn w:val="DefaultParagraphFont"/>
    <w:link w:val="Heading3"/>
    <w:uiPriority w:val="98"/>
    <w:semiHidden/>
    <w:rsid w:val="003034B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3034B6"/>
    <w:pPr>
      <w:keepNext/>
      <w:keepLines/>
      <w:spacing w:before="240" w:after="240"/>
      <w:ind w:firstLine="284"/>
    </w:pPr>
  </w:style>
  <w:style w:type="paragraph" w:customStyle="1" w:styleId="JuJudges">
    <w:name w:val="Ju_Judges"/>
    <w:aliases w:val="_Judges"/>
    <w:basedOn w:val="Normal"/>
    <w:uiPriority w:val="32"/>
    <w:qFormat/>
    <w:rsid w:val="003034B6"/>
    <w:pPr>
      <w:tabs>
        <w:tab w:val="left" w:pos="567"/>
        <w:tab w:val="left" w:pos="1134"/>
      </w:tabs>
    </w:pPr>
  </w:style>
  <w:style w:type="character" w:customStyle="1" w:styleId="Heading4Char">
    <w:name w:val="Heading 4 Char"/>
    <w:basedOn w:val="DefaultParagraphFont"/>
    <w:link w:val="Heading4"/>
    <w:uiPriority w:val="98"/>
    <w:semiHidden/>
    <w:rsid w:val="003034B6"/>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3034B6"/>
    <w:pPr>
      <w:tabs>
        <w:tab w:val="center" w:pos="6407"/>
      </w:tabs>
      <w:spacing w:before="720"/>
      <w:jc w:val="right"/>
    </w:pPr>
  </w:style>
  <w:style w:type="character" w:customStyle="1" w:styleId="Heading5Char">
    <w:name w:val="Heading 5 Char"/>
    <w:basedOn w:val="DefaultParagraphFont"/>
    <w:link w:val="Heading5"/>
    <w:uiPriority w:val="98"/>
    <w:semiHidden/>
    <w:rsid w:val="003034B6"/>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3034B6"/>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3034B6"/>
    <w:rPr>
      <w:caps w:val="0"/>
      <w:smallCaps/>
    </w:rPr>
  </w:style>
  <w:style w:type="character" w:styleId="SubtleEmphasis">
    <w:name w:val="Subtle Emphasis"/>
    <w:uiPriority w:val="98"/>
    <w:semiHidden/>
    <w:qFormat/>
    <w:rsid w:val="003034B6"/>
    <w:rPr>
      <w:i/>
      <w:iCs/>
    </w:rPr>
  </w:style>
  <w:style w:type="table" w:customStyle="1" w:styleId="ECHRTable">
    <w:name w:val="ECHR_Table"/>
    <w:basedOn w:val="TableNormal"/>
    <w:rsid w:val="003034B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3034B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3034B6"/>
    <w:rPr>
      <w:b/>
      <w:bCs/>
      <w:i/>
      <w:iCs/>
      <w:spacing w:val="10"/>
      <w:bdr w:val="none" w:sz="0" w:space="0" w:color="auto"/>
      <w:shd w:val="clear" w:color="auto" w:fill="auto"/>
    </w:rPr>
  </w:style>
  <w:style w:type="paragraph" w:styleId="Footer0">
    <w:name w:val="footer"/>
    <w:basedOn w:val="Normal"/>
    <w:link w:val="FooterChar"/>
    <w:uiPriority w:val="98"/>
    <w:semiHidden/>
    <w:rsid w:val="003034B6"/>
    <w:pPr>
      <w:tabs>
        <w:tab w:val="center" w:pos="3686"/>
        <w:tab w:val="right" w:pos="7371"/>
      </w:tabs>
    </w:pPr>
  </w:style>
  <w:style w:type="character" w:customStyle="1" w:styleId="FooterChar">
    <w:name w:val="Footer Char"/>
    <w:basedOn w:val="DefaultParagraphFont"/>
    <w:link w:val="Footer0"/>
    <w:uiPriority w:val="98"/>
    <w:semiHidden/>
    <w:rsid w:val="003034B6"/>
    <w:rPr>
      <w:sz w:val="24"/>
      <w:szCs w:val="24"/>
      <w:lang w:val="ro-RO"/>
    </w:rPr>
  </w:style>
  <w:style w:type="character" w:styleId="FootnoteReference">
    <w:name w:val="footnote reference"/>
    <w:basedOn w:val="DefaultParagraphFont"/>
    <w:uiPriority w:val="98"/>
    <w:semiHidden/>
    <w:rsid w:val="003034B6"/>
    <w:rPr>
      <w:vertAlign w:val="superscript"/>
    </w:rPr>
  </w:style>
  <w:style w:type="paragraph" w:styleId="FootnoteText">
    <w:name w:val="footnote text"/>
    <w:basedOn w:val="NormalJustified"/>
    <w:link w:val="FootnoteTextChar"/>
    <w:uiPriority w:val="98"/>
    <w:semiHidden/>
    <w:rsid w:val="003034B6"/>
    <w:rPr>
      <w:sz w:val="20"/>
      <w:szCs w:val="20"/>
    </w:rPr>
  </w:style>
  <w:style w:type="character" w:customStyle="1" w:styleId="FootnoteTextChar">
    <w:name w:val="Footnote Text Char"/>
    <w:basedOn w:val="DefaultParagraphFont"/>
    <w:link w:val="FootnoteText"/>
    <w:uiPriority w:val="98"/>
    <w:semiHidden/>
    <w:rsid w:val="003034B6"/>
    <w:rPr>
      <w:sz w:val="20"/>
      <w:szCs w:val="20"/>
      <w:lang w:val="ro-RO"/>
    </w:rPr>
  </w:style>
  <w:style w:type="character" w:customStyle="1" w:styleId="Heading6Char">
    <w:name w:val="Heading 6 Char"/>
    <w:basedOn w:val="DefaultParagraphFont"/>
    <w:link w:val="Heading6"/>
    <w:uiPriority w:val="98"/>
    <w:semiHidden/>
    <w:rsid w:val="003034B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3034B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3034B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3034B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3034B6"/>
    <w:rPr>
      <w:color w:val="0072BC" w:themeColor="hyperlink"/>
      <w:u w:val="single"/>
    </w:rPr>
  </w:style>
  <w:style w:type="character" w:styleId="IntenseEmphasis">
    <w:name w:val="Intense Emphasis"/>
    <w:uiPriority w:val="98"/>
    <w:semiHidden/>
    <w:qFormat/>
    <w:rsid w:val="003034B6"/>
    <w:rPr>
      <w:b/>
      <w:bCs/>
    </w:rPr>
  </w:style>
  <w:style w:type="paragraph" w:styleId="IntenseQuote">
    <w:name w:val="Intense Quote"/>
    <w:basedOn w:val="Normal"/>
    <w:next w:val="Normal"/>
    <w:link w:val="IntenseQuoteChar"/>
    <w:uiPriority w:val="98"/>
    <w:semiHidden/>
    <w:qFormat/>
    <w:rsid w:val="003034B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3034B6"/>
    <w:rPr>
      <w:b/>
      <w:bCs/>
      <w:i/>
      <w:iCs/>
      <w:sz w:val="24"/>
      <w:szCs w:val="24"/>
      <w:lang w:val="ro-RO" w:bidi="en-US"/>
    </w:rPr>
  </w:style>
  <w:style w:type="character" w:styleId="IntenseReference">
    <w:name w:val="Intense Reference"/>
    <w:uiPriority w:val="98"/>
    <w:semiHidden/>
    <w:qFormat/>
    <w:rsid w:val="003034B6"/>
    <w:rPr>
      <w:smallCaps/>
      <w:spacing w:val="5"/>
      <w:u w:val="single"/>
    </w:rPr>
  </w:style>
  <w:style w:type="paragraph" w:styleId="ListParagraph">
    <w:name w:val="List Paragraph"/>
    <w:basedOn w:val="Normal"/>
    <w:uiPriority w:val="98"/>
    <w:semiHidden/>
    <w:qFormat/>
    <w:rsid w:val="003034B6"/>
    <w:pPr>
      <w:ind w:left="720"/>
      <w:contextualSpacing/>
    </w:pPr>
  </w:style>
  <w:style w:type="table" w:customStyle="1" w:styleId="LtrTableAddress">
    <w:name w:val="Ltr_Table_Address"/>
    <w:aliases w:val="ECHR_Ltr_Table_Address"/>
    <w:basedOn w:val="TableNormal"/>
    <w:uiPriority w:val="99"/>
    <w:rsid w:val="003034B6"/>
    <w:rPr>
      <w:sz w:val="24"/>
      <w:szCs w:val="24"/>
    </w:rPr>
    <w:tblPr>
      <w:tblInd w:w="5103" w:type="dxa"/>
    </w:tblPr>
  </w:style>
  <w:style w:type="paragraph" w:styleId="Quote">
    <w:name w:val="Quote"/>
    <w:basedOn w:val="Normal"/>
    <w:next w:val="Normal"/>
    <w:link w:val="QuoteChar"/>
    <w:uiPriority w:val="98"/>
    <w:semiHidden/>
    <w:qFormat/>
    <w:rsid w:val="003034B6"/>
    <w:pPr>
      <w:spacing w:before="200"/>
      <w:ind w:left="360" w:right="360"/>
    </w:pPr>
    <w:rPr>
      <w:i/>
      <w:iCs/>
      <w:lang w:bidi="en-US"/>
    </w:rPr>
  </w:style>
  <w:style w:type="character" w:customStyle="1" w:styleId="QuoteChar">
    <w:name w:val="Quote Char"/>
    <w:basedOn w:val="DefaultParagraphFont"/>
    <w:link w:val="Quote"/>
    <w:uiPriority w:val="98"/>
    <w:semiHidden/>
    <w:rsid w:val="003034B6"/>
    <w:rPr>
      <w:i/>
      <w:iCs/>
      <w:sz w:val="24"/>
      <w:szCs w:val="24"/>
      <w:lang w:val="ro-RO" w:bidi="en-US"/>
    </w:rPr>
  </w:style>
  <w:style w:type="character" w:styleId="SubtleReference">
    <w:name w:val="Subtle Reference"/>
    <w:uiPriority w:val="98"/>
    <w:semiHidden/>
    <w:qFormat/>
    <w:rsid w:val="003034B6"/>
    <w:rPr>
      <w:smallCaps/>
    </w:rPr>
  </w:style>
  <w:style w:type="table" w:styleId="TableGrid">
    <w:name w:val="Table Grid"/>
    <w:basedOn w:val="TableNormal"/>
    <w:uiPriority w:val="59"/>
    <w:semiHidden/>
    <w:rsid w:val="003034B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3034B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3034B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3034B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3034B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3034B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034B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3034B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034B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034B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3034B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3034B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3034B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3034B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3034B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3034B6"/>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3034B6"/>
    <w:pPr>
      <w:numPr>
        <w:numId w:val="3"/>
      </w:numPr>
    </w:pPr>
  </w:style>
  <w:style w:type="paragraph" w:customStyle="1" w:styleId="JuPara">
    <w:name w:val="Ju_Para"/>
    <w:aliases w:val="_Para"/>
    <w:basedOn w:val="NormalJustified"/>
    <w:link w:val="JuParaChar"/>
    <w:uiPriority w:val="4"/>
    <w:qFormat/>
    <w:rsid w:val="003034B6"/>
    <w:pPr>
      <w:ind w:firstLine="284"/>
    </w:pPr>
  </w:style>
  <w:style w:type="numbering" w:styleId="1ai">
    <w:name w:val="Outline List 1"/>
    <w:basedOn w:val="NoList"/>
    <w:uiPriority w:val="99"/>
    <w:semiHidden/>
    <w:unhideWhenUsed/>
    <w:rsid w:val="003034B6"/>
    <w:pPr>
      <w:numPr>
        <w:numId w:val="4"/>
      </w:numPr>
    </w:pPr>
  </w:style>
  <w:style w:type="table" w:customStyle="1" w:styleId="ECHRTableSimpleBox">
    <w:name w:val="ECHR_Table_Simple_Box"/>
    <w:basedOn w:val="TableNormal"/>
    <w:uiPriority w:val="99"/>
    <w:rsid w:val="003034B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3034B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3034B6"/>
    <w:pPr>
      <w:numPr>
        <w:numId w:val="5"/>
      </w:numPr>
    </w:pPr>
  </w:style>
  <w:style w:type="table" w:customStyle="1" w:styleId="ECHRTableForInternalUse">
    <w:name w:val="ECHR_Table_For_Internal_Use"/>
    <w:basedOn w:val="TableNormal"/>
    <w:uiPriority w:val="99"/>
    <w:rsid w:val="003034B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034B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3034B6"/>
  </w:style>
  <w:style w:type="paragraph" w:styleId="BlockText">
    <w:name w:val="Block Text"/>
    <w:basedOn w:val="Normal"/>
    <w:uiPriority w:val="98"/>
    <w:semiHidden/>
    <w:rsid w:val="003034B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3034B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3034B6"/>
    <w:pPr>
      <w:spacing w:after="120"/>
    </w:pPr>
  </w:style>
  <w:style w:type="character" w:customStyle="1" w:styleId="BodyTextChar">
    <w:name w:val="Body Text Char"/>
    <w:basedOn w:val="DefaultParagraphFont"/>
    <w:link w:val="BodyText"/>
    <w:uiPriority w:val="98"/>
    <w:semiHidden/>
    <w:rsid w:val="003034B6"/>
    <w:rPr>
      <w:sz w:val="24"/>
      <w:szCs w:val="24"/>
      <w:lang w:val="ro-RO"/>
    </w:rPr>
  </w:style>
  <w:style w:type="table" w:customStyle="1" w:styleId="ECHRTableOddBanded">
    <w:name w:val="ECHR_Table_Odd_Banded"/>
    <w:basedOn w:val="TableNormal"/>
    <w:uiPriority w:val="99"/>
    <w:rsid w:val="003034B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3034B6"/>
    <w:pPr>
      <w:spacing w:after="120" w:line="480" w:lineRule="auto"/>
    </w:pPr>
  </w:style>
  <w:style w:type="table" w:customStyle="1" w:styleId="ECHRHeaderTableReduced">
    <w:name w:val="ECHR_Header_Table_Reduced"/>
    <w:basedOn w:val="TableNormal"/>
    <w:uiPriority w:val="99"/>
    <w:rsid w:val="003034B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3034B6"/>
    <w:pPr>
      <w:ind w:firstLine="284"/>
    </w:pPr>
    <w:rPr>
      <w:b/>
    </w:rPr>
  </w:style>
  <w:style w:type="character" w:styleId="PageNumber">
    <w:name w:val="page number"/>
    <w:uiPriority w:val="98"/>
    <w:semiHidden/>
    <w:rsid w:val="003034B6"/>
    <w:rPr>
      <w:sz w:val="18"/>
    </w:rPr>
  </w:style>
  <w:style w:type="paragraph" w:styleId="ListBullet">
    <w:name w:val="List Bullet"/>
    <w:basedOn w:val="Normal"/>
    <w:uiPriority w:val="98"/>
    <w:semiHidden/>
    <w:rsid w:val="003034B6"/>
    <w:pPr>
      <w:numPr>
        <w:numId w:val="6"/>
      </w:numPr>
    </w:pPr>
  </w:style>
  <w:style w:type="paragraph" w:styleId="ListBullet3">
    <w:name w:val="List Bullet 3"/>
    <w:basedOn w:val="Normal"/>
    <w:uiPriority w:val="98"/>
    <w:semiHidden/>
    <w:rsid w:val="003034B6"/>
    <w:pPr>
      <w:numPr>
        <w:numId w:val="8"/>
      </w:numPr>
      <w:contextualSpacing/>
    </w:pPr>
  </w:style>
  <w:style w:type="character" w:customStyle="1" w:styleId="BodyText2Char">
    <w:name w:val="Body Text 2 Char"/>
    <w:basedOn w:val="DefaultParagraphFont"/>
    <w:link w:val="BodyText2"/>
    <w:uiPriority w:val="98"/>
    <w:semiHidden/>
    <w:rsid w:val="003034B6"/>
    <w:rPr>
      <w:sz w:val="24"/>
      <w:szCs w:val="24"/>
      <w:lang w:val="ro-RO"/>
    </w:rPr>
  </w:style>
  <w:style w:type="paragraph" w:styleId="BodyText3">
    <w:name w:val="Body Text 3"/>
    <w:basedOn w:val="Normal"/>
    <w:link w:val="BodyText3Char"/>
    <w:uiPriority w:val="98"/>
    <w:semiHidden/>
    <w:rsid w:val="003034B6"/>
    <w:pPr>
      <w:spacing w:after="120"/>
    </w:pPr>
    <w:rPr>
      <w:sz w:val="16"/>
      <w:szCs w:val="16"/>
    </w:rPr>
  </w:style>
  <w:style w:type="character" w:customStyle="1" w:styleId="BodyText3Char">
    <w:name w:val="Body Text 3 Char"/>
    <w:basedOn w:val="DefaultParagraphFont"/>
    <w:link w:val="BodyText3"/>
    <w:uiPriority w:val="98"/>
    <w:semiHidden/>
    <w:rsid w:val="003034B6"/>
    <w:rPr>
      <w:sz w:val="16"/>
      <w:szCs w:val="16"/>
      <w:lang w:val="ro-RO"/>
    </w:rPr>
  </w:style>
  <w:style w:type="paragraph" w:styleId="BodyTextFirstIndent">
    <w:name w:val="Body Text First Indent"/>
    <w:basedOn w:val="BodyText"/>
    <w:link w:val="BodyTextFirstIndentChar"/>
    <w:uiPriority w:val="98"/>
    <w:semiHidden/>
    <w:rsid w:val="003034B6"/>
    <w:pPr>
      <w:spacing w:after="0"/>
      <w:ind w:firstLine="360"/>
    </w:pPr>
  </w:style>
  <w:style w:type="character" w:customStyle="1" w:styleId="BodyTextFirstIndentChar">
    <w:name w:val="Body Text First Indent Char"/>
    <w:basedOn w:val="BodyTextChar"/>
    <w:link w:val="BodyTextFirstIndent"/>
    <w:uiPriority w:val="98"/>
    <w:semiHidden/>
    <w:rsid w:val="003034B6"/>
    <w:rPr>
      <w:sz w:val="24"/>
      <w:szCs w:val="24"/>
      <w:lang w:val="ro-RO"/>
    </w:rPr>
  </w:style>
  <w:style w:type="paragraph" w:styleId="BodyTextIndent">
    <w:name w:val="Body Text Indent"/>
    <w:basedOn w:val="Normal"/>
    <w:link w:val="BodyTextIndentChar"/>
    <w:uiPriority w:val="98"/>
    <w:semiHidden/>
    <w:rsid w:val="003034B6"/>
    <w:pPr>
      <w:spacing w:after="120"/>
      <w:ind w:left="283"/>
    </w:pPr>
  </w:style>
  <w:style w:type="character" w:customStyle="1" w:styleId="BodyTextIndentChar">
    <w:name w:val="Body Text Indent Char"/>
    <w:basedOn w:val="DefaultParagraphFont"/>
    <w:link w:val="BodyTextIndent"/>
    <w:uiPriority w:val="98"/>
    <w:semiHidden/>
    <w:rsid w:val="003034B6"/>
    <w:rPr>
      <w:sz w:val="24"/>
      <w:szCs w:val="24"/>
      <w:lang w:val="ro-RO"/>
    </w:rPr>
  </w:style>
  <w:style w:type="paragraph" w:styleId="BodyTextFirstIndent2">
    <w:name w:val="Body Text First Indent 2"/>
    <w:basedOn w:val="BodyTextIndent"/>
    <w:link w:val="BodyTextFirstIndent2Char"/>
    <w:uiPriority w:val="98"/>
    <w:semiHidden/>
    <w:rsid w:val="003034B6"/>
    <w:pPr>
      <w:spacing w:after="0"/>
      <w:ind w:left="360" w:firstLine="360"/>
    </w:pPr>
  </w:style>
  <w:style w:type="character" w:customStyle="1" w:styleId="BodyTextFirstIndent2Char">
    <w:name w:val="Body Text First Indent 2 Char"/>
    <w:basedOn w:val="BodyTextIndentChar"/>
    <w:link w:val="BodyTextFirstIndent2"/>
    <w:uiPriority w:val="98"/>
    <w:semiHidden/>
    <w:rsid w:val="003034B6"/>
    <w:rPr>
      <w:sz w:val="24"/>
      <w:szCs w:val="24"/>
      <w:lang w:val="ro-RO"/>
    </w:rPr>
  </w:style>
  <w:style w:type="paragraph" w:styleId="BodyTextIndent2">
    <w:name w:val="Body Text Indent 2"/>
    <w:basedOn w:val="Normal"/>
    <w:link w:val="BodyTextIndent2Char"/>
    <w:uiPriority w:val="98"/>
    <w:semiHidden/>
    <w:rsid w:val="003034B6"/>
    <w:pPr>
      <w:spacing w:after="120" w:line="480" w:lineRule="auto"/>
      <w:ind w:left="283"/>
    </w:pPr>
  </w:style>
  <w:style w:type="character" w:customStyle="1" w:styleId="BodyTextIndent2Char">
    <w:name w:val="Body Text Indent 2 Char"/>
    <w:basedOn w:val="DefaultParagraphFont"/>
    <w:link w:val="BodyTextIndent2"/>
    <w:uiPriority w:val="98"/>
    <w:semiHidden/>
    <w:rsid w:val="003034B6"/>
    <w:rPr>
      <w:sz w:val="24"/>
      <w:szCs w:val="24"/>
      <w:lang w:val="ro-RO"/>
    </w:rPr>
  </w:style>
  <w:style w:type="paragraph" w:styleId="BodyTextIndent3">
    <w:name w:val="Body Text Indent 3"/>
    <w:basedOn w:val="Normal"/>
    <w:link w:val="BodyTextIndent3Char"/>
    <w:uiPriority w:val="98"/>
    <w:semiHidden/>
    <w:rsid w:val="003034B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3034B6"/>
    <w:rPr>
      <w:sz w:val="16"/>
      <w:szCs w:val="16"/>
      <w:lang w:val="ro-RO"/>
    </w:rPr>
  </w:style>
  <w:style w:type="paragraph" w:styleId="Caption">
    <w:name w:val="caption"/>
    <w:basedOn w:val="Normal"/>
    <w:next w:val="Normal"/>
    <w:uiPriority w:val="98"/>
    <w:semiHidden/>
    <w:qFormat/>
    <w:rsid w:val="003034B6"/>
    <w:pPr>
      <w:spacing w:after="200"/>
    </w:pPr>
    <w:rPr>
      <w:b/>
      <w:bCs/>
      <w:color w:val="0072BC" w:themeColor="accent1"/>
      <w:sz w:val="18"/>
      <w:szCs w:val="18"/>
    </w:rPr>
  </w:style>
  <w:style w:type="paragraph" w:styleId="Closing">
    <w:name w:val="Closing"/>
    <w:basedOn w:val="Normal"/>
    <w:link w:val="ClosingChar"/>
    <w:uiPriority w:val="98"/>
    <w:semiHidden/>
    <w:rsid w:val="003034B6"/>
    <w:pPr>
      <w:ind w:left="4252"/>
    </w:pPr>
  </w:style>
  <w:style w:type="character" w:customStyle="1" w:styleId="ClosingChar">
    <w:name w:val="Closing Char"/>
    <w:basedOn w:val="DefaultParagraphFont"/>
    <w:link w:val="Closing"/>
    <w:uiPriority w:val="98"/>
    <w:semiHidden/>
    <w:rsid w:val="003034B6"/>
    <w:rPr>
      <w:sz w:val="24"/>
      <w:szCs w:val="24"/>
      <w:lang w:val="ro-RO"/>
    </w:rPr>
  </w:style>
  <w:style w:type="table" w:styleId="ColorfulGrid">
    <w:name w:val="Colorful Grid"/>
    <w:basedOn w:val="TableNormal"/>
    <w:uiPriority w:val="73"/>
    <w:semiHidden/>
    <w:rsid w:val="003034B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034B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3034B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3034B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3034B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3034B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3034B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3034B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034B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3034B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3034B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3034B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3034B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3034B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3034B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034B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034B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034B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3034B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034B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034B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3034B6"/>
    <w:rPr>
      <w:sz w:val="16"/>
      <w:szCs w:val="16"/>
    </w:rPr>
  </w:style>
  <w:style w:type="paragraph" w:styleId="CommentText">
    <w:name w:val="annotation text"/>
    <w:basedOn w:val="Normal"/>
    <w:link w:val="CommentTextChar"/>
    <w:uiPriority w:val="98"/>
    <w:semiHidden/>
    <w:rsid w:val="003034B6"/>
    <w:rPr>
      <w:sz w:val="20"/>
      <w:szCs w:val="20"/>
    </w:rPr>
  </w:style>
  <w:style w:type="character" w:customStyle="1" w:styleId="CommentTextChar">
    <w:name w:val="Comment Text Char"/>
    <w:basedOn w:val="DefaultParagraphFont"/>
    <w:link w:val="CommentText"/>
    <w:uiPriority w:val="98"/>
    <w:semiHidden/>
    <w:rsid w:val="003034B6"/>
    <w:rPr>
      <w:sz w:val="20"/>
      <w:szCs w:val="20"/>
      <w:lang w:val="ro-RO"/>
    </w:rPr>
  </w:style>
  <w:style w:type="paragraph" w:styleId="CommentSubject">
    <w:name w:val="annotation subject"/>
    <w:basedOn w:val="CommentText"/>
    <w:next w:val="CommentText"/>
    <w:link w:val="CommentSubjectChar"/>
    <w:uiPriority w:val="98"/>
    <w:semiHidden/>
    <w:rsid w:val="003034B6"/>
    <w:rPr>
      <w:b/>
      <w:bCs/>
    </w:rPr>
  </w:style>
  <w:style w:type="character" w:customStyle="1" w:styleId="CommentSubjectChar">
    <w:name w:val="Comment Subject Char"/>
    <w:basedOn w:val="CommentTextChar"/>
    <w:link w:val="CommentSubject"/>
    <w:uiPriority w:val="98"/>
    <w:semiHidden/>
    <w:rsid w:val="003034B6"/>
    <w:rPr>
      <w:b/>
      <w:bCs/>
      <w:sz w:val="20"/>
      <w:szCs w:val="20"/>
      <w:lang w:val="ro-RO"/>
    </w:rPr>
  </w:style>
  <w:style w:type="table" w:styleId="DarkList">
    <w:name w:val="Dark List"/>
    <w:basedOn w:val="TableNormal"/>
    <w:uiPriority w:val="70"/>
    <w:semiHidden/>
    <w:rsid w:val="003034B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034B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3034B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3034B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3034B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3034B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3034B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3034B6"/>
  </w:style>
  <w:style w:type="character" w:customStyle="1" w:styleId="DateChar">
    <w:name w:val="Date Char"/>
    <w:basedOn w:val="DefaultParagraphFont"/>
    <w:link w:val="Date"/>
    <w:uiPriority w:val="98"/>
    <w:semiHidden/>
    <w:rsid w:val="003034B6"/>
    <w:rPr>
      <w:sz w:val="24"/>
      <w:szCs w:val="24"/>
      <w:lang w:val="ro-RO"/>
    </w:rPr>
  </w:style>
  <w:style w:type="paragraph" w:styleId="DocumentMap">
    <w:name w:val="Document Map"/>
    <w:basedOn w:val="Normal"/>
    <w:link w:val="DocumentMapChar"/>
    <w:uiPriority w:val="98"/>
    <w:semiHidden/>
    <w:rsid w:val="003034B6"/>
    <w:rPr>
      <w:rFonts w:ascii="Tahoma" w:hAnsi="Tahoma" w:cs="Tahoma"/>
      <w:sz w:val="16"/>
      <w:szCs w:val="16"/>
    </w:rPr>
  </w:style>
  <w:style w:type="character" w:customStyle="1" w:styleId="DocumentMapChar">
    <w:name w:val="Document Map Char"/>
    <w:basedOn w:val="DefaultParagraphFont"/>
    <w:link w:val="DocumentMap"/>
    <w:uiPriority w:val="98"/>
    <w:semiHidden/>
    <w:rsid w:val="003034B6"/>
    <w:rPr>
      <w:rFonts w:ascii="Tahoma" w:hAnsi="Tahoma" w:cs="Tahoma"/>
      <w:sz w:val="16"/>
      <w:szCs w:val="16"/>
      <w:lang w:val="ro-RO"/>
    </w:rPr>
  </w:style>
  <w:style w:type="paragraph" w:styleId="E-mailSignature">
    <w:name w:val="E-mail Signature"/>
    <w:basedOn w:val="Normal"/>
    <w:link w:val="E-mailSignatureChar"/>
    <w:uiPriority w:val="98"/>
    <w:semiHidden/>
    <w:rsid w:val="003034B6"/>
  </w:style>
  <w:style w:type="character" w:customStyle="1" w:styleId="E-mailSignatureChar">
    <w:name w:val="E-mail Signature Char"/>
    <w:basedOn w:val="DefaultParagraphFont"/>
    <w:link w:val="E-mailSignature"/>
    <w:uiPriority w:val="98"/>
    <w:semiHidden/>
    <w:rsid w:val="003034B6"/>
    <w:rPr>
      <w:sz w:val="24"/>
      <w:szCs w:val="24"/>
      <w:lang w:val="ro-RO"/>
    </w:rPr>
  </w:style>
  <w:style w:type="character" w:styleId="EndnoteReference">
    <w:name w:val="endnote reference"/>
    <w:basedOn w:val="DefaultParagraphFont"/>
    <w:uiPriority w:val="98"/>
    <w:semiHidden/>
    <w:rsid w:val="003034B6"/>
    <w:rPr>
      <w:vertAlign w:val="superscript"/>
    </w:rPr>
  </w:style>
  <w:style w:type="paragraph" w:styleId="EndnoteText">
    <w:name w:val="endnote text"/>
    <w:basedOn w:val="Normal"/>
    <w:link w:val="EndnoteTextChar"/>
    <w:uiPriority w:val="98"/>
    <w:semiHidden/>
    <w:rsid w:val="003034B6"/>
    <w:rPr>
      <w:sz w:val="20"/>
      <w:szCs w:val="20"/>
    </w:rPr>
  </w:style>
  <w:style w:type="character" w:customStyle="1" w:styleId="EndnoteTextChar">
    <w:name w:val="Endnote Text Char"/>
    <w:basedOn w:val="DefaultParagraphFont"/>
    <w:link w:val="EndnoteText"/>
    <w:uiPriority w:val="98"/>
    <w:semiHidden/>
    <w:rsid w:val="003034B6"/>
    <w:rPr>
      <w:sz w:val="20"/>
      <w:szCs w:val="20"/>
      <w:lang w:val="ro-RO"/>
    </w:rPr>
  </w:style>
  <w:style w:type="paragraph" w:styleId="EnvelopeAddress">
    <w:name w:val="envelope address"/>
    <w:basedOn w:val="Normal"/>
    <w:uiPriority w:val="98"/>
    <w:semiHidden/>
    <w:rsid w:val="003034B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3034B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3034B6"/>
    <w:rPr>
      <w:color w:val="7030A0" w:themeColor="followedHyperlink"/>
      <w:u w:val="single"/>
    </w:rPr>
  </w:style>
  <w:style w:type="character" w:styleId="HTMLAcronym">
    <w:name w:val="HTML Acronym"/>
    <w:basedOn w:val="DefaultParagraphFont"/>
    <w:uiPriority w:val="98"/>
    <w:semiHidden/>
    <w:rsid w:val="003034B6"/>
  </w:style>
  <w:style w:type="paragraph" w:styleId="HTMLAddress">
    <w:name w:val="HTML Address"/>
    <w:basedOn w:val="Normal"/>
    <w:link w:val="HTMLAddressChar"/>
    <w:uiPriority w:val="98"/>
    <w:semiHidden/>
    <w:rsid w:val="003034B6"/>
    <w:rPr>
      <w:i/>
      <w:iCs/>
    </w:rPr>
  </w:style>
  <w:style w:type="character" w:customStyle="1" w:styleId="HTMLAddressChar">
    <w:name w:val="HTML Address Char"/>
    <w:basedOn w:val="DefaultParagraphFont"/>
    <w:link w:val="HTMLAddress"/>
    <w:uiPriority w:val="98"/>
    <w:semiHidden/>
    <w:rsid w:val="003034B6"/>
    <w:rPr>
      <w:i/>
      <w:iCs/>
      <w:sz w:val="24"/>
      <w:szCs w:val="24"/>
      <w:lang w:val="ro-RO"/>
    </w:rPr>
  </w:style>
  <w:style w:type="character" w:styleId="HTMLCite">
    <w:name w:val="HTML Cite"/>
    <w:basedOn w:val="DefaultParagraphFont"/>
    <w:uiPriority w:val="98"/>
    <w:semiHidden/>
    <w:rsid w:val="003034B6"/>
    <w:rPr>
      <w:i/>
      <w:iCs/>
    </w:rPr>
  </w:style>
  <w:style w:type="character" w:styleId="HTMLCode">
    <w:name w:val="HTML Code"/>
    <w:basedOn w:val="DefaultParagraphFont"/>
    <w:uiPriority w:val="98"/>
    <w:semiHidden/>
    <w:rsid w:val="003034B6"/>
    <w:rPr>
      <w:rFonts w:ascii="Consolas" w:hAnsi="Consolas" w:cs="Consolas"/>
      <w:sz w:val="20"/>
      <w:szCs w:val="20"/>
    </w:rPr>
  </w:style>
  <w:style w:type="character" w:styleId="HTMLDefinition">
    <w:name w:val="HTML Definition"/>
    <w:basedOn w:val="DefaultParagraphFont"/>
    <w:uiPriority w:val="98"/>
    <w:semiHidden/>
    <w:rsid w:val="003034B6"/>
    <w:rPr>
      <w:i/>
      <w:iCs/>
    </w:rPr>
  </w:style>
  <w:style w:type="character" w:styleId="HTMLKeyboard">
    <w:name w:val="HTML Keyboard"/>
    <w:basedOn w:val="DefaultParagraphFont"/>
    <w:uiPriority w:val="98"/>
    <w:semiHidden/>
    <w:rsid w:val="003034B6"/>
    <w:rPr>
      <w:rFonts w:ascii="Consolas" w:hAnsi="Consolas" w:cs="Consolas"/>
      <w:sz w:val="20"/>
      <w:szCs w:val="20"/>
    </w:rPr>
  </w:style>
  <w:style w:type="paragraph" w:styleId="HTMLPreformatted">
    <w:name w:val="HTML Preformatted"/>
    <w:basedOn w:val="Normal"/>
    <w:link w:val="HTMLPreformattedChar"/>
    <w:uiPriority w:val="98"/>
    <w:semiHidden/>
    <w:rsid w:val="003034B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3034B6"/>
    <w:rPr>
      <w:rFonts w:ascii="Consolas" w:hAnsi="Consolas" w:cs="Consolas"/>
      <w:sz w:val="20"/>
      <w:szCs w:val="20"/>
      <w:lang w:val="ro-RO"/>
    </w:rPr>
  </w:style>
  <w:style w:type="character" w:styleId="HTMLSample">
    <w:name w:val="HTML Sample"/>
    <w:basedOn w:val="DefaultParagraphFont"/>
    <w:uiPriority w:val="98"/>
    <w:semiHidden/>
    <w:rsid w:val="003034B6"/>
    <w:rPr>
      <w:rFonts w:ascii="Consolas" w:hAnsi="Consolas" w:cs="Consolas"/>
      <w:sz w:val="24"/>
      <w:szCs w:val="24"/>
    </w:rPr>
  </w:style>
  <w:style w:type="character" w:styleId="HTMLTypewriter">
    <w:name w:val="HTML Typewriter"/>
    <w:basedOn w:val="DefaultParagraphFont"/>
    <w:uiPriority w:val="98"/>
    <w:semiHidden/>
    <w:rsid w:val="003034B6"/>
    <w:rPr>
      <w:rFonts w:ascii="Consolas" w:hAnsi="Consolas" w:cs="Consolas"/>
      <w:sz w:val="20"/>
      <w:szCs w:val="20"/>
    </w:rPr>
  </w:style>
  <w:style w:type="character" w:styleId="HTMLVariable">
    <w:name w:val="HTML Variable"/>
    <w:basedOn w:val="DefaultParagraphFont"/>
    <w:uiPriority w:val="98"/>
    <w:semiHidden/>
    <w:rsid w:val="003034B6"/>
    <w:rPr>
      <w:i/>
      <w:iCs/>
    </w:rPr>
  </w:style>
  <w:style w:type="paragraph" w:styleId="Index1">
    <w:name w:val="index 1"/>
    <w:basedOn w:val="Normal"/>
    <w:next w:val="Normal"/>
    <w:autoRedefine/>
    <w:uiPriority w:val="98"/>
    <w:semiHidden/>
    <w:rsid w:val="003034B6"/>
    <w:pPr>
      <w:ind w:left="240" w:hanging="240"/>
    </w:pPr>
  </w:style>
  <w:style w:type="paragraph" w:styleId="Index2">
    <w:name w:val="index 2"/>
    <w:basedOn w:val="Normal"/>
    <w:next w:val="Normal"/>
    <w:autoRedefine/>
    <w:uiPriority w:val="98"/>
    <w:semiHidden/>
    <w:rsid w:val="003034B6"/>
    <w:pPr>
      <w:ind w:left="480" w:hanging="240"/>
    </w:pPr>
  </w:style>
  <w:style w:type="paragraph" w:styleId="Index3">
    <w:name w:val="index 3"/>
    <w:basedOn w:val="Normal"/>
    <w:next w:val="Normal"/>
    <w:autoRedefine/>
    <w:uiPriority w:val="98"/>
    <w:semiHidden/>
    <w:rsid w:val="003034B6"/>
    <w:pPr>
      <w:ind w:left="720" w:hanging="240"/>
    </w:pPr>
  </w:style>
  <w:style w:type="paragraph" w:styleId="Index4">
    <w:name w:val="index 4"/>
    <w:basedOn w:val="Normal"/>
    <w:next w:val="Normal"/>
    <w:autoRedefine/>
    <w:uiPriority w:val="98"/>
    <w:semiHidden/>
    <w:rsid w:val="003034B6"/>
    <w:pPr>
      <w:ind w:left="960" w:hanging="240"/>
    </w:pPr>
  </w:style>
  <w:style w:type="paragraph" w:styleId="Index5">
    <w:name w:val="index 5"/>
    <w:basedOn w:val="Normal"/>
    <w:next w:val="Normal"/>
    <w:autoRedefine/>
    <w:uiPriority w:val="98"/>
    <w:semiHidden/>
    <w:rsid w:val="003034B6"/>
    <w:pPr>
      <w:ind w:left="1200" w:hanging="240"/>
    </w:pPr>
  </w:style>
  <w:style w:type="paragraph" w:styleId="Index6">
    <w:name w:val="index 6"/>
    <w:basedOn w:val="Normal"/>
    <w:next w:val="Normal"/>
    <w:autoRedefine/>
    <w:uiPriority w:val="98"/>
    <w:semiHidden/>
    <w:rsid w:val="003034B6"/>
    <w:pPr>
      <w:ind w:left="1440" w:hanging="240"/>
    </w:pPr>
  </w:style>
  <w:style w:type="paragraph" w:styleId="Index7">
    <w:name w:val="index 7"/>
    <w:basedOn w:val="Normal"/>
    <w:next w:val="Normal"/>
    <w:autoRedefine/>
    <w:uiPriority w:val="98"/>
    <w:semiHidden/>
    <w:rsid w:val="003034B6"/>
    <w:pPr>
      <w:ind w:left="1680" w:hanging="240"/>
    </w:pPr>
  </w:style>
  <w:style w:type="paragraph" w:styleId="Index8">
    <w:name w:val="index 8"/>
    <w:basedOn w:val="Normal"/>
    <w:next w:val="Normal"/>
    <w:autoRedefine/>
    <w:uiPriority w:val="98"/>
    <w:semiHidden/>
    <w:rsid w:val="003034B6"/>
    <w:pPr>
      <w:ind w:left="1920" w:hanging="240"/>
    </w:pPr>
  </w:style>
  <w:style w:type="paragraph" w:styleId="Index9">
    <w:name w:val="index 9"/>
    <w:basedOn w:val="Normal"/>
    <w:next w:val="Normal"/>
    <w:autoRedefine/>
    <w:uiPriority w:val="98"/>
    <w:semiHidden/>
    <w:rsid w:val="003034B6"/>
    <w:pPr>
      <w:ind w:left="2160" w:hanging="240"/>
    </w:pPr>
  </w:style>
  <w:style w:type="paragraph" w:styleId="IndexHeading">
    <w:name w:val="index heading"/>
    <w:basedOn w:val="Normal"/>
    <w:next w:val="Index1"/>
    <w:uiPriority w:val="98"/>
    <w:semiHidden/>
    <w:rsid w:val="003034B6"/>
    <w:rPr>
      <w:rFonts w:asciiTheme="majorHAnsi" w:eastAsiaTheme="majorEastAsia" w:hAnsiTheme="majorHAnsi" w:cstheme="majorBidi"/>
      <w:b/>
      <w:bCs/>
    </w:rPr>
  </w:style>
  <w:style w:type="table" w:styleId="LightGrid">
    <w:name w:val="Light Grid"/>
    <w:basedOn w:val="TableNormal"/>
    <w:uiPriority w:val="62"/>
    <w:semiHidden/>
    <w:rsid w:val="003034B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034B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3034B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3034B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3034B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3034B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3034B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3034B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034B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3034B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3034B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3034B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3034B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3034B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3034B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034B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3034B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3034B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3034B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3034B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3034B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3034B6"/>
  </w:style>
  <w:style w:type="paragraph" w:styleId="List">
    <w:name w:val="List"/>
    <w:basedOn w:val="Normal"/>
    <w:uiPriority w:val="98"/>
    <w:semiHidden/>
    <w:rsid w:val="003034B6"/>
    <w:pPr>
      <w:ind w:left="283" w:hanging="283"/>
      <w:contextualSpacing/>
    </w:pPr>
  </w:style>
  <w:style w:type="paragraph" w:styleId="List2">
    <w:name w:val="List 2"/>
    <w:basedOn w:val="Normal"/>
    <w:uiPriority w:val="98"/>
    <w:semiHidden/>
    <w:rsid w:val="003034B6"/>
    <w:pPr>
      <w:ind w:left="566" w:hanging="283"/>
      <w:contextualSpacing/>
    </w:pPr>
  </w:style>
  <w:style w:type="paragraph" w:styleId="List3">
    <w:name w:val="List 3"/>
    <w:basedOn w:val="Normal"/>
    <w:uiPriority w:val="98"/>
    <w:semiHidden/>
    <w:rsid w:val="003034B6"/>
    <w:pPr>
      <w:ind w:left="849" w:hanging="283"/>
      <w:contextualSpacing/>
    </w:pPr>
  </w:style>
  <w:style w:type="paragraph" w:styleId="List4">
    <w:name w:val="List 4"/>
    <w:basedOn w:val="Normal"/>
    <w:uiPriority w:val="98"/>
    <w:semiHidden/>
    <w:rsid w:val="003034B6"/>
    <w:pPr>
      <w:ind w:left="1132" w:hanging="283"/>
      <w:contextualSpacing/>
    </w:pPr>
  </w:style>
  <w:style w:type="paragraph" w:styleId="List5">
    <w:name w:val="List 5"/>
    <w:basedOn w:val="Normal"/>
    <w:uiPriority w:val="98"/>
    <w:semiHidden/>
    <w:rsid w:val="003034B6"/>
    <w:pPr>
      <w:ind w:left="1415" w:hanging="283"/>
      <w:contextualSpacing/>
    </w:pPr>
  </w:style>
  <w:style w:type="paragraph" w:styleId="ListBullet2">
    <w:name w:val="List Bullet 2"/>
    <w:basedOn w:val="Normal"/>
    <w:uiPriority w:val="98"/>
    <w:semiHidden/>
    <w:rsid w:val="003034B6"/>
    <w:pPr>
      <w:numPr>
        <w:numId w:val="7"/>
      </w:numPr>
      <w:contextualSpacing/>
    </w:pPr>
  </w:style>
  <w:style w:type="paragraph" w:styleId="ListBullet4">
    <w:name w:val="List Bullet 4"/>
    <w:basedOn w:val="Normal"/>
    <w:uiPriority w:val="98"/>
    <w:semiHidden/>
    <w:rsid w:val="003034B6"/>
    <w:pPr>
      <w:numPr>
        <w:numId w:val="9"/>
      </w:numPr>
      <w:contextualSpacing/>
    </w:pPr>
  </w:style>
  <w:style w:type="paragraph" w:styleId="ListBullet5">
    <w:name w:val="List Bullet 5"/>
    <w:basedOn w:val="Normal"/>
    <w:uiPriority w:val="98"/>
    <w:semiHidden/>
    <w:rsid w:val="003034B6"/>
    <w:pPr>
      <w:numPr>
        <w:numId w:val="10"/>
      </w:numPr>
      <w:contextualSpacing/>
    </w:pPr>
  </w:style>
  <w:style w:type="paragraph" w:styleId="ListContinue">
    <w:name w:val="List Continue"/>
    <w:basedOn w:val="Normal"/>
    <w:uiPriority w:val="98"/>
    <w:semiHidden/>
    <w:rsid w:val="003034B6"/>
    <w:pPr>
      <w:spacing w:after="120"/>
      <w:ind w:left="283"/>
      <w:contextualSpacing/>
    </w:pPr>
  </w:style>
  <w:style w:type="paragraph" w:styleId="ListContinue2">
    <w:name w:val="List Continue 2"/>
    <w:basedOn w:val="Normal"/>
    <w:uiPriority w:val="98"/>
    <w:semiHidden/>
    <w:rsid w:val="003034B6"/>
    <w:pPr>
      <w:spacing w:after="120"/>
      <w:ind w:left="566"/>
      <w:contextualSpacing/>
    </w:pPr>
  </w:style>
  <w:style w:type="paragraph" w:styleId="ListContinue3">
    <w:name w:val="List Continue 3"/>
    <w:basedOn w:val="Normal"/>
    <w:uiPriority w:val="98"/>
    <w:semiHidden/>
    <w:rsid w:val="003034B6"/>
    <w:pPr>
      <w:spacing w:after="120"/>
      <w:ind w:left="849"/>
      <w:contextualSpacing/>
    </w:pPr>
  </w:style>
  <w:style w:type="paragraph" w:styleId="ListContinue4">
    <w:name w:val="List Continue 4"/>
    <w:basedOn w:val="Normal"/>
    <w:uiPriority w:val="98"/>
    <w:semiHidden/>
    <w:rsid w:val="003034B6"/>
    <w:pPr>
      <w:spacing w:after="120"/>
      <w:ind w:left="1132"/>
      <w:contextualSpacing/>
    </w:pPr>
  </w:style>
  <w:style w:type="paragraph" w:styleId="ListContinue5">
    <w:name w:val="List Continue 5"/>
    <w:basedOn w:val="Normal"/>
    <w:uiPriority w:val="98"/>
    <w:semiHidden/>
    <w:rsid w:val="003034B6"/>
    <w:pPr>
      <w:spacing w:after="120"/>
      <w:ind w:left="1415"/>
      <w:contextualSpacing/>
    </w:pPr>
  </w:style>
  <w:style w:type="paragraph" w:styleId="ListNumber">
    <w:name w:val="List Number"/>
    <w:basedOn w:val="Normal"/>
    <w:uiPriority w:val="98"/>
    <w:semiHidden/>
    <w:rsid w:val="003034B6"/>
    <w:pPr>
      <w:numPr>
        <w:numId w:val="11"/>
      </w:numPr>
      <w:contextualSpacing/>
    </w:pPr>
  </w:style>
  <w:style w:type="paragraph" w:styleId="ListNumber2">
    <w:name w:val="List Number 2"/>
    <w:basedOn w:val="Normal"/>
    <w:uiPriority w:val="98"/>
    <w:semiHidden/>
    <w:rsid w:val="003034B6"/>
    <w:pPr>
      <w:numPr>
        <w:numId w:val="12"/>
      </w:numPr>
      <w:contextualSpacing/>
    </w:pPr>
  </w:style>
  <w:style w:type="paragraph" w:styleId="ListNumber3">
    <w:name w:val="List Number 3"/>
    <w:basedOn w:val="Normal"/>
    <w:uiPriority w:val="98"/>
    <w:semiHidden/>
    <w:rsid w:val="003034B6"/>
    <w:pPr>
      <w:numPr>
        <w:numId w:val="13"/>
      </w:numPr>
      <w:contextualSpacing/>
    </w:pPr>
  </w:style>
  <w:style w:type="paragraph" w:styleId="ListNumber4">
    <w:name w:val="List Number 4"/>
    <w:basedOn w:val="Normal"/>
    <w:uiPriority w:val="98"/>
    <w:semiHidden/>
    <w:rsid w:val="003034B6"/>
    <w:pPr>
      <w:numPr>
        <w:numId w:val="14"/>
      </w:numPr>
      <w:contextualSpacing/>
    </w:pPr>
  </w:style>
  <w:style w:type="paragraph" w:styleId="ListNumber5">
    <w:name w:val="List Number 5"/>
    <w:basedOn w:val="Normal"/>
    <w:uiPriority w:val="98"/>
    <w:semiHidden/>
    <w:rsid w:val="003034B6"/>
    <w:pPr>
      <w:numPr>
        <w:numId w:val="15"/>
      </w:numPr>
      <w:contextualSpacing/>
    </w:pPr>
  </w:style>
  <w:style w:type="paragraph" w:styleId="MacroText">
    <w:name w:val="macro"/>
    <w:link w:val="MacroTextChar"/>
    <w:uiPriority w:val="98"/>
    <w:semiHidden/>
    <w:rsid w:val="003034B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3034B6"/>
    <w:rPr>
      <w:rFonts w:ascii="Consolas" w:eastAsiaTheme="minorEastAsia" w:hAnsi="Consolas" w:cs="Consolas"/>
      <w:sz w:val="20"/>
      <w:szCs w:val="20"/>
    </w:rPr>
  </w:style>
  <w:style w:type="table" w:styleId="MediumGrid1">
    <w:name w:val="Medium Grid 1"/>
    <w:basedOn w:val="TableNormal"/>
    <w:uiPriority w:val="67"/>
    <w:semiHidden/>
    <w:rsid w:val="003034B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034B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3034B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3034B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3034B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3034B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3034B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3034B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3034B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3034B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3034B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3034B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3034B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3034B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3034B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034B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3034B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3034B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3034B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3034B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3034B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034B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3034B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034B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034B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034B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034B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034B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034B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034B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034B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034B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034B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034B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034B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034B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034B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3034B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3034B6"/>
    <w:rPr>
      <w:rFonts w:ascii="Times New Roman" w:hAnsi="Times New Roman" w:cs="Times New Roman"/>
    </w:rPr>
  </w:style>
  <w:style w:type="paragraph" w:styleId="NormalIndent">
    <w:name w:val="Normal Indent"/>
    <w:basedOn w:val="Normal"/>
    <w:uiPriority w:val="98"/>
    <w:semiHidden/>
    <w:rsid w:val="003034B6"/>
    <w:pPr>
      <w:ind w:left="720"/>
    </w:pPr>
  </w:style>
  <w:style w:type="paragraph" w:styleId="NoteHeading">
    <w:name w:val="Note Heading"/>
    <w:basedOn w:val="Normal"/>
    <w:next w:val="Normal"/>
    <w:link w:val="NoteHeadingChar"/>
    <w:uiPriority w:val="98"/>
    <w:semiHidden/>
    <w:rsid w:val="003034B6"/>
  </w:style>
  <w:style w:type="character" w:customStyle="1" w:styleId="NoteHeadingChar">
    <w:name w:val="Note Heading Char"/>
    <w:basedOn w:val="DefaultParagraphFont"/>
    <w:link w:val="NoteHeading"/>
    <w:uiPriority w:val="98"/>
    <w:semiHidden/>
    <w:rsid w:val="003034B6"/>
    <w:rPr>
      <w:sz w:val="24"/>
      <w:szCs w:val="24"/>
      <w:lang w:val="ro-RO"/>
    </w:rPr>
  </w:style>
  <w:style w:type="character" w:styleId="PlaceholderText">
    <w:name w:val="Placeholder Text"/>
    <w:basedOn w:val="DefaultParagraphFont"/>
    <w:uiPriority w:val="98"/>
    <w:semiHidden/>
    <w:rsid w:val="003034B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3034B6"/>
    <w:rPr>
      <w:rFonts w:ascii="Consolas" w:hAnsi="Consolas" w:cs="Consolas"/>
      <w:sz w:val="21"/>
      <w:szCs w:val="21"/>
    </w:rPr>
  </w:style>
  <w:style w:type="character" w:customStyle="1" w:styleId="PlainTextChar">
    <w:name w:val="Plain Text Char"/>
    <w:basedOn w:val="DefaultParagraphFont"/>
    <w:link w:val="PlainText"/>
    <w:uiPriority w:val="98"/>
    <w:semiHidden/>
    <w:rsid w:val="003034B6"/>
    <w:rPr>
      <w:rFonts w:ascii="Consolas" w:hAnsi="Consolas" w:cs="Consolas"/>
      <w:sz w:val="21"/>
      <w:szCs w:val="21"/>
      <w:lang w:val="ro-RO"/>
    </w:rPr>
  </w:style>
  <w:style w:type="paragraph" w:styleId="Salutation">
    <w:name w:val="Salutation"/>
    <w:basedOn w:val="Normal"/>
    <w:next w:val="Normal"/>
    <w:link w:val="SalutationChar"/>
    <w:uiPriority w:val="98"/>
    <w:semiHidden/>
    <w:rsid w:val="003034B6"/>
  </w:style>
  <w:style w:type="character" w:customStyle="1" w:styleId="SalutationChar">
    <w:name w:val="Salutation Char"/>
    <w:basedOn w:val="DefaultParagraphFont"/>
    <w:link w:val="Salutation"/>
    <w:uiPriority w:val="98"/>
    <w:semiHidden/>
    <w:rsid w:val="003034B6"/>
    <w:rPr>
      <w:sz w:val="24"/>
      <w:szCs w:val="24"/>
      <w:lang w:val="ro-RO"/>
    </w:rPr>
  </w:style>
  <w:style w:type="paragraph" w:styleId="Signature">
    <w:name w:val="Signature"/>
    <w:basedOn w:val="Normal"/>
    <w:link w:val="SignatureChar"/>
    <w:uiPriority w:val="98"/>
    <w:semiHidden/>
    <w:rsid w:val="003034B6"/>
    <w:pPr>
      <w:ind w:left="4252"/>
    </w:pPr>
  </w:style>
  <w:style w:type="character" w:customStyle="1" w:styleId="SignatureChar">
    <w:name w:val="Signature Char"/>
    <w:basedOn w:val="DefaultParagraphFont"/>
    <w:link w:val="Signature"/>
    <w:uiPriority w:val="98"/>
    <w:semiHidden/>
    <w:rsid w:val="003034B6"/>
    <w:rPr>
      <w:sz w:val="24"/>
      <w:szCs w:val="24"/>
      <w:lang w:val="ro-RO"/>
    </w:rPr>
  </w:style>
  <w:style w:type="table" w:styleId="Table3Deffects1">
    <w:name w:val="Table 3D effects 1"/>
    <w:basedOn w:val="TableNormal"/>
    <w:uiPriority w:val="99"/>
    <w:semiHidden/>
    <w:unhideWhenUsed/>
    <w:rsid w:val="003034B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034B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034B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034B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034B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034B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034B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034B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034B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034B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034B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034B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034B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034B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034B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034B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034B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034B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034B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034B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034B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034B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034B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034B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034B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034B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034B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034B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034B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034B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034B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034B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034B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034B6"/>
    <w:pPr>
      <w:ind w:left="240" w:hanging="240"/>
    </w:pPr>
  </w:style>
  <w:style w:type="paragraph" w:styleId="TableofFigures">
    <w:name w:val="table of figures"/>
    <w:basedOn w:val="Normal"/>
    <w:next w:val="Normal"/>
    <w:uiPriority w:val="98"/>
    <w:semiHidden/>
    <w:rsid w:val="003034B6"/>
  </w:style>
  <w:style w:type="table" w:styleId="TableProfessional">
    <w:name w:val="Table Professional"/>
    <w:basedOn w:val="TableNormal"/>
    <w:uiPriority w:val="99"/>
    <w:semiHidden/>
    <w:unhideWhenUsed/>
    <w:rsid w:val="003034B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034B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034B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034B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034B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034B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034B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034B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034B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034B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3034B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034B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034B6"/>
    <w:pPr>
      <w:spacing w:after="100"/>
      <w:ind w:left="1680"/>
    </w:pPr>
  </w:style>
  <w:style w:type="paragraph" w:styleId="TOC9">
    <w:name w:val="toc 9"/>
    <w:basedOn w:val="Normal"/>
    <w:next w:val="Normal"/>
    <w:autoRedefine/>
    <w:uiPriority w:val="98"/>
    <w:semiHidden/>
    <w:rsid w:val="003034B6"/>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3034B6"/>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3034B6"/>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3034B6"/>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3034B6"/>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3034B6"/>
    <w:pPr>
      <w:numPr>
        <w:numId w:val="19"/>
      </w:numPr>
      <w:spacing w:before="60" w:after="60"/>
    </w:pPr>
  </w:style>
  <w:style w:type="paragraph" w:customStyle="1" w:styleId="ECHRBullet2">
    <w:name w:val="ECHR_Bullet_2"/>
    <w:aliases w:val="_Bul_2"/>
    <w:basedOn w:val="ECHRBullet1"/>
    <w:uiPriority w:val="23"/>
    <w:semiHidden/>
    <w:rsid w:val="003034B6"/>
    <w:pPr>
      <w:numPr>
        <w:ilvl w:val="1"/>
      </w:numPr>
    </w:pPr>
  </w:style>
  <w:style w:type="paragraph" w:customStyle="1" w:styleId="ECHRBullet3">
    <w:name w:val="ECHR_Bullet_3"/>
    <w:aliases w:val="_Bul_3"/>
    <w:basedOn w:val="ECHRBullet2"/>
    <w:uiPriority w:val="23"/>
    <w:semiHidden/>
    <w:rsid w:val="003034B6"/>
    <w:pPr>
      <w:numPr>
        <w:ilvl w:val="2"/>
      </w:numPr>
    </w:pPr>
  </w:style>
  <w:style w:type="paragraph" w:customStyle="1" w:styleId="ECHRBullet4">
    <w:name w:val="ECHR_Bullet_4"/>
    <w:aliases w:val="_Bul_4"/>
    <w:basedOn w:val="ECHRBullet3"/>
    <w:uiPriority w:val="23"/>
    <w:semiHidden/>
    <w:rsid w:val="003034B6"/>
    <w:pPr>
      <w:numPr>
        <w:ilvl w:val="3"/>
      </w:numPr>
    </w:pPr>
  </w:style>
  <w:style w:type="paragraph" w:customStyle="1" w:styleId="ECHRConfidential">
    <w:name w:val="ECHR_Confidential"/>
    <w:aliases w:val="_Confidential"/>
    <w:basedOn w:val="Normal"/>
    <w:next w:val="Normal"/>
    <w:uiPriority w:val="42"/>
    <w:semiHidden/>
    <w:qFormat/>
    <w:rsid w:val="003034B6"/>
    <w:pPr>
      <w:jc w:val="right"/>
    </w:pPr>
    <w:rPr>
      <w:color w:val="C00000"/>
      <w:sz w:val="20"/>
    </w:rPr>
  </w:style>
  <w:style w:type="paragraph" w:customStyle="1" w:styleId="ECHRDecisionBody">
    <w:name w:val="ECHR_Decision_Body"/>
    <w:aliases w:val="_Decision_Body"/>
    <w:basedOn w:val="NormalJustified"/>
    <w:uiPriority w:val="54"/>
    <w:semiHidden/>
    <w:rsid w:val="003034B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034B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3034B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3034B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3034B6"/>
    <w:pPr>
      <w:jc w:val="right"/>
    </w:pPr>
    <w:rPr>
      <w:sz w:val="20"/>
    </w:rPr>
  </w:style>
  <w:style w:type="paragraph" w:customStyle="1" w:styleId="ECHRHeaderRefIt">
    <w:name w:val="ECHR_Header_Ref_It"/>
    <w:aliases w:val="_Ref_Ital"/>
    <w:basedOn w:val="Normal"/>
    <w:next w:val="ECHRHeaderDate"/>
    <w:uiPriority w:val="43"/>
    <w:semiHidden/>
    <w:qFormat/>
    <w:rsid w:val="003034B6"/>
    <w:pPr>
      <w:jc w:val="right"/>
    </w:pPr>
    <w:rPr>
      <w:i/>
      <w:sz w:val="20"/>
    </w:rPr>
  </w:style>
  <w:style w:type="paragraph" w:customStyle="1" w:styleId="ECHRHeading9">
    <w:name w:val="ECHR_Heading_9"/>
    <w:aliases w:val="_Head_9"/>
    <w:basedOn w:val="Heading9"/>
    <w:uiPriority w:val="17"/>
    <w:semiHidden/>
    <w:rsid w:val="003034B6"/>
    <w:pPr>
      <w:keepNext/>
      <w:keepLines/>
      <w:numPr>
        <w:ilvl w:val="8"/>
        <w:numId w:val="2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3034B6"/>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3034B6"/>
    <w:pPr>
      <w:numPr>
        <w:numId w:val="20"/>
      </w:numPr>
      <w:spacing w:before="60" w:after="60"/>
    </w:pPr>
  </w:style>
  <w:style w:type="paragraph" w:customStyle="1" w:styleId="ECHRNumberedList2">
    <w:name w:val="ECHR_Numbered_List_2"/>
    <w:aliases w:val="_Num_2"/>
    <w:basedOn w:val="ECHRNumberedList1"/>
    <w:uiPriority w:val="23"/>
    <w:semiHidden/>
    <w:rsid w:val="003034B6"/>
    <w:pPr>
      <w:numPr>
        <w:ilvl w:val="1"/>
      </w:numPr>
    </w:pPr>
  </w:style>
  <w:style w:type="paragraph" w:customStyle="1" w:styleId="ECHRNumberedList3">
    <w:name w:val="ECHR_Numbered_List_3"/>
    <w:aliases w:val="_Num_3"/>
    <w:basedOn w:val="ECHRNumberedList2"/>
    <w:uiPriority w:val="23"/>
    <w:semiHidden/>
    <w:rsid w:val="003034B6"/>
    <w:pPr>
      <w:numPr>
        <w:ilvl w:val="2"/>
      </w:numPr>
    </w:pPr>
  </w:style>
  <w:style w:type="paragraph" w:customStyle="1" w:styleId="ECHRParaHanging">
    <w:name w:val="ECHR_Para_Hanging"/>
    <w:aliases w:val="_Hanging"/>
    <w:basedOn w:val="NormalJustified"/>
    <w:uiPriority w:val="8"/>
    <w:semiHidden/>
    <w:qFormat/>
    <w:rsid w:val="003034B6"/>
    <w:pPr>
      <w:ind w:left="567" w:hanging="567"/>
    </w:pPr>
  </w:style>
  <w:style w:type="paragraph" w:customStyle="1" w:styleId="ECHRParaIndent">
    <w:name w:val="ECHR_Para_Indent"/>
    <w:aliases w:val="_Indent"/>
    <w:basedOn w:val="NormalJustified"/>
    <w:uiPriority w:val="7"/>
    <w:semiHidden/>
    <w:qFormat/>
    <w:rsid w:val="003034B6"/>
    <w:pPr>
      <w:spacing w:before="120" w:after="120"/>
      <w:ind w:left="284"/>
    </w:pPr>
  </w:style>
  <w:style w:type="character" w:customStyle="1" w:styleId="ECHRRed">
    <w:name w:val="ECHR_Red"/>
    <w:aliases w:val="_Red"/>
    <w:basedOn w:val="DefaultParagraphFont"/>
    <w:uiPriority w:val="15"/>
    <w:semiHidden/>
    <w:qFormat/>
    <w:rsid w:val="003034B6"/>
    <w:rPr>
      <w:color w:val="C00000" w:themeColor="accent2"/>
    </w:rPr>
  </w:style>
  <w:style w:type="paragraph" w:customStyle="1" w:styleId="DecList">
    <w:name w:val="Dec_List"/>
    <w:aliases w:val="_List"/>
    <w:basedOn w:val="JuList"/>
    <w:uiPriority w:val="22"/>
    <w:rsid w:val="003034B6"/>
    <w:pPr>
      <w:numPr>
        <w:numId w:val="0"/>
      </w:numPr>
      <w:ind w:left="284"/>
    </w:pPr>
  </w:style>
  <w:style w:type="table" w:customStyle="1" w:styleId="ECHRTable2">
    <w:name w:val="ECHR_Table_2"/>
    <w:basedOn w:val="TableNormal"/>
    <w:uiPriority w:val="99"/>
    <w:rsid w:val="003034B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034B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3034B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3034B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3034B6"/>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3034B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3034B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3034B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3034B6"/>
    <w:pPr>
      <w:outlineLvl w:val="0"/>
    </w:pPr>
  </w:style>
  <w:style w:type="paragraph" w:customStyle="1" w:styleId="ECHRTitleTOC1">
    <w:name w:val="ECHR_Title_TOC_1"/>
    <w:aliases w:val="_Title_L_TOC"/>
    <w:basedOn w:val="ECHRTitle1"/>
    <w:next w:val="Normal"/>
    <w:uiPriority w:val="27"/>
    <w:semiHidden/>
    <w:qFormat/>
    <w:rsid w:val="003034B6"/>
    <w:pPr>
      <w:outlineLvl w:val="0"/>
    </w:pPr>
  </w:style>
  <w:style w:type="paragraph" w:customStyle="1" w:styleId="ECHRPlaceholder">
    <w:name w:val="ECHR_Placeholder"/>
    <w:aliases w:val="_Placeholder"/>
    <w:basedOn w:val="JuSigned"/>
    <w:uiPriority w:val="31"/>
    <w:rsid w:val="003034B6"/>
    <w:rPr>
      <w:color w:val="FFFFFF"/>
    </w:rPr>
  </w:style>
  <w:style w:type="paragraph" w:customStyle="1" w:styleId="ECHRSpacer">
    <w:name w:val="ECHR_Spacer"/>
    <w:aliases w:val="_Spacer"/>
    <w:basedOn w:val="Normal"/>
    <w:uiPriority w:val="45"/>
    <w:semiHidden/>
    <w:rsid w:val="003034B6"/>
    <w:rPr>
      <w:sz w:val="4"/>
    </w:rPr>
  </w:style>
  <w:style w:type="table" w:customStyle="1" w:styleId="ECHRTableGrey">
    <w:name w:val="ECHR_Table_Grey"/>
    <w:basedOn w:val="TableNormal"/>
    <w:uiPriority w:val="99"/>
    <w:rsid w:val="003034B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3034B6"/>
    <w:rPr>
      <w:color w:val="605E5C"/>
      <w:shd w:val="clear" w:color="auto" w:fill="E1DFDD"/>
    </w:rPr>
  </w:style>
  <w:style w:type="character" w:customStyle="1" w:styleId="JuParaChar">
    <w:name w:val="Ju_Para Char"/>
    <w:aliases w:val="_Para Char"/>
    <w:link w:val="JuPara"/>
    <w:uiPriority w:val="4"/>
    <w:rsid w:val="00F46734"/>
    <w:rPr>
      <w:sz w:val="24"/>
      <w:szCs w:val="24"/>
      <w:lang w:val="ro-RO"/>
    </w:rPr>
  </w:style>
  <w:style w:type="table" w:styleId="GridTable1Light">
    <w:name w:val="Grid Table 1 Light"/>
    <w:basedOn w:val="TableNormal"/>
    <w:uiPriority w:val="46"/>
    <w:semiHidden/>
    <w:rsid w:val="003034B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034B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034B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034B6"/>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034B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034B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034B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034B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034B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034B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034B6"/>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3034B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034B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034B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034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034B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034B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034B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3034B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034B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034B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034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034B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034B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034B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3034B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034B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034B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034B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034B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034B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034B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3034B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034B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034B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034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034B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034B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034B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3034B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034B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034B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034B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034B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034B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034B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3034B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034B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034B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3034B6"/>
    <w:rPr>
      <w:color w:val="2B579A"/>
      <w:shd w:val="clear" w:color="auto" w:fill="E1DFDD"/>
    </w:rPr>
  </w:style>
  <w:style w:type="table" w:styleId="ListTable1Light">
    <w:name w:val="List Table 1 Light"/>
    <w:basedOn w:val="TableNormal"/>
    <w:uiPriority w:val="46"/>
    <w:semiHidden/>
    <w:rsid w:val="003034B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034B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034B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034B6"/>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3034B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034B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034B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034B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034B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034B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034B6"/>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3034B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034B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034B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034B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034B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034B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034B6"/>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3034B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034B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034B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034B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034B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034B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034B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3034B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034B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034B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034B6"/>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034B6"/>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034B6"/>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034B6"/>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034B6"/>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034B6"/>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034B6"/>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034B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034B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034B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034B6"/>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3034B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034B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034B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034B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034B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034B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034B6"/>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034B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034B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034B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3034B6"/>
    <w:rPr>
      <w:color w:val="2B579A"/>
      <w:shd w:val="clear" w:color="auto" w:fill="E1DFDD"/>
    </w:rPr>
  </w:style>
  <w:style w:type="table" w:styleId="PlainTable1">
    <w:name w:val="Plain Table 1"/>
    <w:basedOn w:val="TableNormal"/>
    <w:uiPriority w:val="41"/>
    <w:semiHidden/>
    <w:rsid w:val="003034B6"/>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3034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034B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034B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3034B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3034B6"/>
    <w:rPr>
      <w:u w:val="dotted"/>
    </w:rPr>
  </w:style>
  <w:style w:type="character" w:customStyle="1" w:styleId="SmartLink">
    <w:name w:val="Smart Link"/>
    <w:basedOn w:val="DefaultParagraphFont"/>
    <w:uiPriority w:val="99"/>
    <w:semiHidden/>
    <w:unhideWhenUsed/>
    <w:rsid w:val="003034B6"/>
    <w:rPr>
      <w:color w:val="0000FF"/>
      <w:u w:val="single"/>
      <w:shd w:val="clear" w:color="auto" w:fill="F3F2F1"/>
    </w:rPr>
  </w:style>
  <w:style w:type="table" w:styleId="TableGridLight">
    <w:name w:val="Grid Table Light"/>
    <w:basedOn w:val="TableNormal"/>
    <w:uiPriority w:val="40"/>
    <w:semiHidden/>
    <w:rsid w:val="003034B6"/>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D210A-6AB5-48C3-B25E-2819F5F2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2585</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Dumitrescu impotriva Romaniei</dc:title>
  <dc:subject>JUD</dc:subject>
  <dc:creator/>
  <cp:lastModifiedBy/>
  <cp:revision>1</cp:revision>
  <dcterms:created xsi:type="dcterms:W3CDTF">2024-07-03T08:40:00Z</dcterms:created>
  <dcterms:modified xsi:type="dcterms:W3CDTF">2024-08-07T06:34:00Z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1560326</vt:lpwstr>
  </property>
  <property fmtid="{D5CDD505-2E9C-101B-9397-08002B2CF9AE}" pid="3" name="cstLanguage">
    <vt:i4>2057</vt:i4>
  </property>
  <property fmtid="{D5CDD505-2E9C-101B-9397-08002B2CF9AE}" pid="4" name="RegisteredNo">
    <vt:lpwstr>36815/20</vt:lpwstr>
  </property>
</Properties>
</file>