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7E504" w14:textId="24A6AB6F" w:rsidR="00115035" w:rsidRPr="005A21BA" w:rsidRDefault="005A21BA" w:rsidP="00AD6EF0">
      <w:pPr>
        <w:jc w:val="center"/>
        <w:rPr>
          <w:rFonts w:asciiTheme="majorHAnsi" w:hAnsiTheme="majorHAnsi"/>
          <w:sz w:val="28"/>
        </w:rPr>
      </w:pPr>
      <w:r>
        <w:rPr>
          <w:rFonts w:asciiTheme="majorHAnsi" w:hAnsiTheme="majorHAnsi"/>
          <w:sz w:val="28"/>
        </w:rPr>
        <w:t>CURTEA EUROPEANĂ A DREPTURILOR OMULUI</w:t>
      </w:r>
    </w:p>
    <w:p w14:paraId="1DF9A318" w14:textId="56D9AD46" w:rsidR="00E93FC7" w:rsidRPr="00AD6EF0" w:rsidRDefault="0014531F" w:rsidP="00AD6EF0">
      <w:pPr>
        <w:jc w:val="center"/>
        <w:rPr>
          <w:sz w:val="4"/>
          <w:szCs w:val="4"/>
        </w:rPr>
      </w:pPr>
    </w:p>
    <w:p w14:paraId="0CF2A4FE" w14:textId="66116B37" w:rsidR="00E93FC7" w:rsidRPr="00AD6EF0" w:rsidRDefault="00472871" w:rsidP="00AD6EF0">
      <w:pPr>
        <w:pStyle w:val="DecHTitle"/>
      </w:pPr>
      <w:r>
        <w:t>SECȚIA A PATRA</w:t>
      </w:r>
    </w:p>
    <w:p w14:paraId="53B04C82" w14:textId="77777777" w:rsidR="00E93FC7" w:rsidRPr="00AD6EF0" w:rsidRDefault="006267D3" w:rsidP="00AD6EF0">
      <w:pPr>
        <w:pStyle w:val="DecHTitle"/>
      </w:pPr>
      <w:r>
        <w:t>DECIZIE</w:t>
      </w:r>
    </w:p>
    <w:p w14:paraId="547B6116" w14:textId="5A0CEF53" w:rsidR="00D736E3" w:rsidRDefault="00472871" w:rsidP="00AD6EF0">
      <w:pPr>
        <w:pStyle w:val="DecHCase"/>
      </w:pPr>
      <w:r>
        <w:t>Cererea nr. 502/15</w:t>
      </w:r>
    </w:p>
    <w:p w14:paraId="739D13A6" w14:textId="0954EEAD" w:rsidR="00D736E3" w:rsidRDefault="00472871" w:rsidP="00AD6EF0">
      <w:pPr>
        <w:pStyle w:val="DecHCase"/>
      </w:pPr>
      <w:r>
        <w:t>Camelia Rodica VOICULESCU împotriva României</w:t>
      </w:r>
      <w:r w:rsidR="0014531F">
        <w:t xml:space="preserve"> </w:t>
      </w:r>
      <w:r>
        <w:t>și alte 3 cereri</w:t>
      </w:r>
    </w:p>
    <w:p w14:paraId="2D7405D2" w14:textId="4A427C08" w:rsidR="00EE3667" w:rsidRPr="00AD6EF0" w:rsidRDefault="00472871" w:rsidP="00AD6EF0">
      <w:pPr>
        <w:pStyle w:val="DecHCase"/>
        <w:rPr>
          <w:i/>
        </w:rPr>
      </w:pPr>
      <w:r>
        <w:t>(a se vedea lista anexată)</w:t>
      </w:r>
    </w:p>
    <w:p w14:paraId="57102706" w14:textId="5431A192" w:rsidR="00E93FC7" w:rsidRPr="00AD6EF0" w:rsidRDefault="0014531F" w:rsidP="00AD6EF0">
      <w:pPr>
        <w:rPr>
          <w:sz w:val="2"/>
          <w:szCs w:val="2"/>
        </w:rPr>
      </w:pPr>
    </w:p>
    <w:p w14:paraId="21B5F3F0" w14:textId="2008A767" w:rsidR="00472871" w:rsidRPr="00AD6EF0" w:rsidRDefault="00472871" w:rsidP="00AD6EF0">
      <w:pPr>
        <w:pStyle w:val="JuPara"/>
      </w:pPr>
      <w:r>
        <w:t>Curtea Europeană a Drepturilor Omului (Secția a patra), reunită la 22 februarie 2022 într-o cameră compusă din:</w:t>
      </w:r>
    </w:p>
    <w:p w14:paraId="5C5C0119" w14:textId="3DFE6125" w:rsidR="00472871" w:rsidRPr="00AD6EF0" w:rsidRDefault="00D4703F" w:rsidP="00AD6EF0">
      <w:pPr>
        <w:pStyle w:val="JuJudges"/>
        <w:rPr>
          <w:iCs/>
        </w:rPr>
      </w:pPr>
      <w:r>
        <w:tab/>
        <w:t>Tim Eicke,</w:t>
      </w:r>
      <w:r>
        <w:rPr>
          <w:i/>
        </w:rPr>
        <w:t xml:space="preserve"> președinte,</w:t>
      </w:r>
      <w:r>
        <w:rPr>
          <w:i/>
        </w:rPr>
        <w:br/>
      </w:r>
      <w:r>
        <w:tab/>
        <w:t>Faris Vehabović,</w:t>
      </w:r>
      <w:r>
        <w:rPr>
          <w:i/>
        </w:rPr>
        <w:br/>
      </w:r>
      <w:r>
        <w:tab/>
        <w:t>Pere Pastor Vilanova,</w:t>
      </w:r>
      <w:r>
        <w:rPr>
          <w:i/>
        </w:rPr>
        <w:t xml:space="preserve"> judecători,</w:t>
      </w:r>
      <w:r>
        <w:br/>
        <w:t xml:space="preserve">și Ilse Freiwirth, </w:t>
      </w:r>
      <w:r>
        <w:rPr>
          <w:i/>
        </w:rPr>
        <w:t>grefier adjunct de secție,</w:t>
      </w:r>
    </w:p>
    <w:p w14:paraId="50A2FDCA" w14:textId="77777777" w:rsidR="00472871" w:rsidRPr="00AD6EF0" w:rsidRDefault="00472871" w:rsidP="00AD6EF0">
      <w:pPr>
        <w:pStyle w:val="JuPara"/>
      </w:pPr>
      <w:r>
        <w:t>Având în vedere:</w:t>
      </w:r>
    </w:p>
    <w:p w14:paraId="17EF02D4" w14:textId="4AD3216F" w:rsidR="00472871" w:rsidRPr="00AD6EF0" w:rsidRDefault="00472871" w:rsidP="00AD6EF0">
      <w:pPr>
        <w:pStyle w:val="JuPara"/>
      </w:pPr>
      <w:r>
        <w:t>cererile îndreptate împotriva României, prin care reclamantele din lista anexată („reclamantele”) au sesizat Curtea la diferite date indicate în anexă, în temeiul art. 34 din Convenția pentru apărarea drepturilor omului și a libertăților fundamentale („Convenția”), reprezenta</w:t>
      </w:r>
      <w:r w:rsidR="00D736E3">
        <w:t>te</w:t>
      </w:r>
      <w:r>
        <w:t xml:space="preserve"> de domnul C. Libotean, avocat în București;</w:t>
      </w:r>
    </w:p>
    <w:p w14:paraId="474C4DB1" w14:textId="5B62A967" w:rsidR="00472871" w:rsidRPr="00AD6EF0" w:rsidRDefault="00472871" w:rsidP="00AD6EF0">
      <w:pPr>
        <w:pStyle w:val="JuPara"/>
      </w:pPr>
      <w:r>
        <w:t>decizia de a comunica prezentele cereri Guvernului României („Guvernul“), reprezentat de agentul guvernamental, cel mai recent, doamna O.F. Ezer, din cadrul Ministerului Afacerilor Externe;</w:t>
      </w:r>
    </w:p>
    <w:p w14:paraId="554D4E80" w14:textId="17803514" w:rsidR="00472871" w:rsidRPr="00AD6EF0" w:rsidRDefault="00472871" w:rsidP="00AD6EF0">
      <w:pPr>
        <w:pStyle w:val="JuPara"/>
      </w:pPr>
      <w:r>
        <w:t>observațiile părților;</w:t>
      </w:r>
    </w:p>
    <w:p w14:paraId="11C95E1E" w14:textId="77777777" w:rsidR="00472871" w:rsidRPr="00AD6EF0" w:rsidRDefault="00472871" w:rsidP="00AD6EF0">
      <w:pPr>
        <w:pStyle w:val="JuPara"/>
      </w:pPr>
      <w:r>
        <w:t>După ce a deliberat în acest sens, pronunță următoarea decizie:</w:t>
      </w:r>
    </w:p>
    <w:p w14:paraId="752C61AA" w14:textId="0AE11D40" w:rsidR="00472871" w:rsidRPr="00AD6EF0" w:rsidRDefault="00472871" w:rsidP="00AD6EF0">
      <w:pPr>
        <w:pStyle w:val="JuHHead"/>
        <w:numPr>
          <w:ilvl w:val="0"/>
          <w:numId w:val="0"/>
        </w:numPr>
      </w:pPr>
      <w:r>
        <w:t>OBIECTUL CAUZEI</w:t>
      </w:r>
    </w:p>
    <w:p w14:paraId="42AB9C83" w14:textId="6B97A03C"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1</w:t>
      </w:r>
      <w:r>
        <w:fldChar w:fldCharType="end"/>
      </w:r>
      <w:r w:rsidR="00E30399">
        <w:t>.  Cauza privește în principal instituirea sechestrului asupra bunurilor reclamantelor în cadrul procedurii împotriva unor terțe părți despre care se pretinde că a fost lipsită de garanțiile procedurale prevăzute la art. 6 § 1 și art. 1 din Protocolul nr. 1 la Convenție.</w:t>
      </w:r>
    </w:p>
    <w:p w14:paraId="6421CF41" w14:textId="227C02E0" w:rsidR="00472871" w:rsidRPr="00AD6EF0" w:rsidRDefault="0014531F" w:rsidP="00AD6EF0">
      <w:pPr>
        <w:pStyle w:val="JuPara"/>
      </w:pPr>
      <w:r>
        <w:lastRenderedPageBreak/>
        <w:fldChar w:fldCharType="begin"/>
      </w:r>
      <w:r>
        <w:instrText xml:space="preserve"> SEQ level0 \*arabic \* MERGEFORMAT </w:instrText>
      </w:r>
      <w:r>
        <w:fldChar w:fldCharType="separate"/>
      </w:r>
      <w:r w:rsidR="00AD6EF0" w:rsidRPr="00AD6EF0">
        <w:t>2</w:t>
      </w:r>
      <w:r>
        <w:fldChar w:fldCharType="end"/>
      </w:r>
      <w:r w:rsidR="00E30399">
        <w:t>.  La 26 septembrie 2013, Tribunalul București a condamnat pe D.V. și alte persoane pentru spălare de bani în legătură cu infracțiuni de corupție. Pentru a recupera prejudiciul de milioane de euro cauzat bugetului de stat prin infracțiunile aflate în curs de judecată, instanța a dispus confiscarea sumelor de bani date de D.V. primelor două reclamante și a menținut măsura sechestrului dispusă de procuror în legătură cu diverse sume de bani și proprietăți ale lui D.V. și ale altor inculpați. Împotriva acestei hotărâri au declarat apel toate părțile.</w:t>
      </w:r>
    </w:p>
    <w:bookmarkStart w:id="0" w:name="P2"/>
    <w:bookmarkStart w:id="1" w:name="P3"/>
    <w:p w14:paraId="35328E5C" w14:textId="1BCD66C5" w:rsidR="00472871" w:rsidRPr="00AD6EF0" w:rsidRDefault="00472871" w:rsidP="00AD6EF0">
      <w:pPr>
        <w:pStyle w:val="JuPara"/>
      </w:pPr>
      <w:r w:rsidRPr="00AD6EF0">
        <w:fldChar w:fldCharType="begin"/>
      </w:r>
      <w:r w:rsidRPr="00AD6EF0">
        <w:instrText xml:space="preserve"> SEQ level0 \*arabic \* MERGEFORMAT </w:instrText>
      </w:r>
      <w:r w:rsidRPr="00AD6EF0">
        <w:fldChar w:fldCharType="separate"/>
      </w:r>
      <w:r w:rsidR="00AD6EF0" w:rsidRPr="00AD6EF0">
        <w:t>3</w:t>
      </w:r>
      <w:r w:rsidRPr="00AD6EF0">
        <w:fldChar w:fldCharType="end"/>
      </w:r>
      <w:bookmarkEnd w:id="0"/>
      <w:bookmarkEnd w:id="1"/>
      <w:r>
        <w:t xml:space="preserve">.  Apelul s-a judecat în fața Curții de Apel București. Pe durata acestei proceduri, instanța a extins </w:t>
      </w:r>
      <w:r w:rsidR="00A3658D">
        <w:t xml:space="preserve">obiectul </w:t>
      </w:r>
      <w:r>
        <w:t>măsur</w:t>
      </w:r>
      <w:r w:rsidR="00A3658D">
        <w:t>ii</w:t>
      </w:r>
      <w:r>
        <w:t xml:space="preserve"> sechestrului, astfel încât aceasta să fie în legătură cu toate produsele directe ale infracțiunii derivate din infracțiunile care au fost examinate în proces, inclusiv bunurile aparținând rudelor inculpaților sau altor terți. Sechestrul a fost instituit, de asemenea, în legătură cu bunuri aparținând reclaman</w:t>
      </w:r>
      <w:r w:rsidR="00A3658D">
        <w:t>telor</w:t>
      </w:r>
      <w:r>
        <w:t xml:space="preserve"> în prezenta cauză, care sunt fiicele lui D.V. și două societăți comerciale în care acesta era acționar majoritar. Curtea a reținut că, având în vedere cuantumul ridicat al pretinsului prejudiciu cauzat, măsura sechestrului era necesară pentru a se evita ascunderea, distrugerea sau înstrăinarea bunurilor care puteau servi la acoperirea prejudiciului. Măsura se baza pe dispozițiile art. 10 din Legea nr. 78/2000 pentru prevenirea, descoperirea și sancționarea faptelor de corupție și ale art. 32 din Legea nr. 656/2002 pentru prevenirea și sancționarea spălării banilor care prevedeau, printre altele, că măsura sechestrului era obligatorie în cazurile de spălare a banilor.</w:t>
      </w:r>
    </w:p>
    <w:bookmarkStart w:id="2" w:name="P4"/>
    <w:p w14:paraId="722A39E2" w14:textId="42F97122" w:rsidR="00472871" w:rsidRPr="00AD6EF0" w:rsidRDefault="00472871" w:rsidP="00AD6EF0">
      <w:pPr>
        <w:pStyle w:val="JuPara"/>
      </w:pPr>
      <w:r w:rsidRPr="00AD6EF0">
        <w:fldChar w:fldCharType="begin"/>
      </w:r>
      <w:r w:rsidRPr="00AD6EF0">
        <w:instrText xml:space="preserve"> SEQ level0 \*arabic \* MERGEFORMAT </w:instrText>
      </w:r>
      <w:r w:rsidRPr="00AD6EF0">
        <w:fldChar w:fldCharType="separate"/>
      </w:r>
      <w:r w:rsidR="00AD6EF0" w:rsidRPr="00AD6EF0">
        <w:t>4</w:t>
      </w:r>
      <w:r w:rsidRPr="00AD6EF0">
        <w:fldChar w:fldCharType="end"/>
      </w:r>
      <w:bookmarkEnd w:id="2"/>
      <w:r>
        <w:t>.  Bunurile care fac obiectul sechestrului au fost identificate și proprietarii lor, inclusiv reclamantele, au fost citați să compară în fața instanței și au fost prezenți la ședințe, reprezentați de avocați aleși. Mai multe contestații depuse de reclaman</w:t>
      </w:r>
      <w:r w:rsidR="0063662A">
        <w:t>te</w:t>
      </w:r>
      <w:r>
        <w:t xml:space="preserve"> prin reprezentanții lor prin care susțineau că toate proprietățile asupra cărora se instituise sechestrul au fost legal dobândite și că dreptul lor la apărare le-a fost încălcat deoarece fuseseră implica</w:t>
      </w:r>
      <w:r w:rsidR="0063662A">
        <w:t>te</w:t>
      </w:r>
      <w:r>
        <w:t xml:space="preserve"> în proces doar în faza apelului, au fost respinse de instanță prin decizii motivate. Instanța a constatat că erau îndeplinite toate elementele prevăzute de lege pentru instituirea sechestrului și că toate părțile în cauză, inclusiv reclamantele, au avut posibilitatea să conteste măsura și să depună probe în fața instanței.</w:t>
      </w:r>
    </w:p>
    <w:bookmarkStart w:id="3" w:name="P5"/>
    <w:p w14:paraId="7552A058" w14:textId="7DF6B9AE" w:rsidR="00472871" w:rsidRPr="00AD6EF0" w:rsidRDefault="00472871" w:rsidP="00AD6EF0">
      <w:pPr>
        <w:pStyle w:val="JuPara"/>
      </w:pPr>
      <w:r w:rsidRPr="00AD6EF0">
        <w:fldChar w:fldCharType="begin"/>
      </w:r>
      <w:r w:rsidRPr="00AD6EF0">
        <w:instrText xml:space="preserve"> SEQ level0 \*arabic \* MERGEFORMAT </w:instrText>
      </w:r>
      <w:r w:rsidRPr="00AD6EF0">
        <w:fldChar w:fldCharType="separate"/>
      </w:r>
      <w:r w:rsidR="00AD6EF0" w:rsidRPr="00AD6EF0">
        <w:t>5</w:t>
      </w:r>
      <w:r w:rsidRPr="00AD6EF0">
        <w:fldChar w:fldCharType="end"/>
      </w:r>
      <w:bookmarkEnd w:id="3"/>
      <w:r>
        <w:t>.  Ulterior, D.V. și reclamantele au depus numeroase plângeri și petiții pentru recuzarea judecătorilor de ședință din completul de apel motivând că deciziile privind sechestrul se întemeiaseră pe faptul că acei judecători erau părtinitori. Aceste cereri au fost respinse prin decizii motivate pe baza cadrului juridic aplicabil [art. 67 alin. (5) Cod procedură penală] deoarece nu erau prezentate motive subiective sau obiective care să genereze suspiciuni de părtinire, iar toate cerințele legale au fost respectate în privința deciziei de instituire a sechestrului.</w:t>
      </w:r>
    </w:p>
    <w:p w14:paraId="3A246B83" w14:textId="235F1581" w:rsidR="00472871" w:rsidRPr="00AD6EF0" w:rsidRDefault="0014531F" w:rsidP="00AD6EF0">
      <w:pPr>
        <w:pStyle w:val="JuPara"/>
      </w:pPr>
      <w:r>
        <w:fldChar w:fldCharType="begin"/>
      </w:r>
      <w:r>
        <w:instrText xml:space="preserve"> SEQ level0 \*arabic \* MERGE</w:instrText>
      </w:r>
      <w:r>
        <w:instrText xml:space="preserve">FORMAT </w:instrText>
      </w:r>
      <w:r>
        <w:fldChar w:fldCharType="separate"/>
      </w:r>
      <w:r w:rsidR="00AD6EF0" w:rsidRPr="00AD6EF0">
        <w:t>6</w:t>
      </w:r>
      <w:r>
        <w:fldChar w:fldCharType="end"/>
      </w:r>
      <w:r w:rsidR="005A21BA">
        <w:t xml:space="preserve">.  La 8 august 2014, Curtea de Apel București a pronunțat decizia definitivă în cauză. Instanța a menținut condamnările inculpaților într-o decizie motivată pe larg de 225 pagini, în care toate probele – inclusiv </w:t>
      </w:r>
      <w:r w:rsidR="005A21BA">
        <w:lastRenderedPageBreak/>
        <w:t>rapoarte ale experților, înscrisuri și numeroase declarații ale martorilor – erau examinate cu atenție.</w:t>
      </w:r>
      <w:r w:rsidR="005A21BA">
        <w:rPr>
          <w:rFonts w:ascii="Times New Roman" w:hAnsi="Times New Roman"/>
          <w:color w:val="000000"/>
        </w:rPr>
        <w:t xml:space="preserve"> </w:t>
      </w:r>
      <w:r w:rsidR="005A21BA">
        <w:t>În plus, în baza probelor și a argumentelor prezentate în fața sa, instanța a menținut măsura sechestrului dispusă în cauză, considerând că prin instituirea sechestrului asupra produselor directe ale infracțiunii, precum în prezenta procedură, sunt respectate pe deplin dispozițiile legislației penal</w:t>
      </w:r>
      <w:r w:rsidR="0063662A">
        <w:t>e</w:t>
      </w:r>
      <w:r w:rsidR="005A21BA">
        <w:t xml:space="preserve"> și </w:t>
      </w:r>
      <w:r w:rsidR="0063662A">
        <w:t xml:space="preserve">ale </w:t>
      </w:r>
      <w:r w:rsidR="005A21BA">
        <w:t>Constituției.</w:t>
      </w:r>
    </w:p>
    <w:p w14:paraId="223D55A3" w14:textId="0A8FB244" w:rsidR="00472871" w:rsidRPr="00AD6EF0" w:rsidRDefault="00472871" w:rsidP="00AD6EF0">
      <w:pPr>
        <w:pStyle w:val="JuHHead"/>
        <w:keepNext w:val="0"/>
        <w:keepLines w:val="0"/>
        <w:numPr>
          <w:ilvl w:val="0"/>
          <w:numId w:val="21"/>
        </w:numPr>
      </w:pPr>
      <w:bookmarkStart w:id="4" w:name="_Hlk54255809"/>
      <w:r>
        <w:t>MOTIVAREA CURȚII</w:t>
      </w:r>
      <w:bookmarkEnd w:id="4"/>
    </w:p>
    <w:p w14:paraId="260B07E9" w14:textId="4A186524"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7</w:t>
      </w:r>
      <w:r>
        <w:fldChar w:fldCharType="end"/>
      </w:r>
      <w:r w:rsidR="00E30399">
        <w:t>.  Având în vedere obiectul similar al cererilor, Curtea consideră că este adecvată examinarea acestora conexate într-o singură decizie (art. 42 § 1 din Regulamentul Curții).</w:t>
      </w:r>
    </w:p>
    <w:p w14:paraId="103B4A3E" w14:textId="77777777" w:rsidR="00472871" w:rsidRPr="00AD6EF0" w:rsidRDefault="00472871" w:rsidP="00AD6EF0">
      <w:pPr>
        <w:pStyle w:val="JuHA"/>
        <w:rPr>
          <w:rFonts w:cstheme="majorHAnsi"/>
        </w:rPr>
      </w:pPr>
      <w:r>
        <w:t>Capetele de cerere întemeiate pe art. 6 § 1 din Convenție</w:t>
      </w:r>
    </w:p>
    <w:p w14:paraId="1113E82A" w14:textId="68D6C26A"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8</w:t>
      </w:r>
      <w:r>
        <w:fldChar w:fldCharType="end"/>
      </w:r>
      <w:r w:rsidR="00E30399">
        <w:t>.  Reclamantele au pretins că completul de judecată care a dispus instituirea sechestrului asupra bunurilor lor a fost lipsit de imparțialitate cu încălcarea garanțiilor prevăzute la art. 6 § 1.</w:t>
      </w:r>
    </w:p>
    <w:p w14:paraId="7516F2B1" w14:textId="32320B32"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9</w:t>
      </w:r>
      <w:r>
        <w:fldChar w:fldCharType="end"/>
      </w:r>
      <w:r w:rsidR="00E30399">
        <w:t xml:space="preserve">.  Curtea observă că reclamantele au contestat judecătorii pentru părtinire, susținând că au luat decizii nelegale în cauză (a se vedea supra, pct. </w:t>
      </w:r>
      <w:r w:rsidR="00E819B4" w:rsidRPr="00AD6EF0">
        <w:fldChar w:fldCharType="begin"/>
      </w:r>
      <w:r w:rsidR="00E819B4" w:rsidRPr="00AD6EF0">
        <w:instrText xml:space="preserve"> REF P5 \h </w:instrText>
      </w:r>
      <w:r w:rsidR="00E819B4" w:rsidRPr="00AD6EF0">
        <w:fldChar w:fldCharType="separate"/>
      </w:r>
      <w:r w:rsidR="00AD6EF0" w:rsidRPr="00AD6EF0">
        <w:t>5</w:t>
      </w:r>
      <w:r w:rsidR="00E819B4" w:rsidRPr="00AD6EF0">
        <w:fldChar w:fldCharType="end"/>
      </w:r>
      <w:r w:rsidR="00E30399">
        <w:t xml:space="preserve">). Curtea mai observă că respectivele contestații au fost examinate și respinse prin decizii motivate, cu respectarea dispozițiilor art. 67 alin. (5) C. proc. pen. întrucât situația denunțată nu era enumerată printre condițiile de recuzare a judecătorilor din procesele penale conform legii (a se vedea </w:t>
      </w:r>
      <w:r w:rsidR="00E30399">
        <w:rPr>
          <w:rFonts w:ascii="Times New Roman" w:hAnsi="Times New Roman"/>
          <w:i/>
        </w:rPr>
        <w:t>Alexandru Marian Iancu împotriva României</w:t>
      </w:r>
      <w:r w:rsidR="00E30399">
        <w:rPr>
          <w:rFonts w:ascii="Times New Roman" w:hAnsi="Times New Roman"/>
        </w:rPr>
        <w:t>, nr. 60858/15, pct. 38, 4 februarie 2020</w:t>
      </w:r>
      <w:r w:rsidR="00E30399">
        <w:t>).</w:t>
      </w:r>
    </w:p>
    <w:bookmarkStart w:id="5" w:name="_Hlk75962042"/>
    <w:p w14:paraId="69C4BAD3" w14:textId="3A2C0052" w:rsidR="00472871" w:rsidRPr="00AD6EF0" w:rsidRDefault="00472871" w:rsidP="00AD6EF0">
      <w:pPr>
        <w:pStyle w:val="JuPara"/>
      </w:pPr>
      <w:r w:rsidRPr="00AD6EF0">
        <w:fldChar w:fldCharType="begin"/>
      </w:r>
      <w:r w:rsidRPr="00AD6EF0">
        <w:instrText xml:space="preserve"> SEQ level0 \*arabic \* MERGEFORMAT </w:instrText>
      </w:r>
      <w:r w:rsidRPr="00AD6EF0">
        <w:fldChar w:fldCharType="separate"/>
      </w:r>
      <w:r w:rsidR="00AD6EF0" w:rsidRPr="00AD6EF0">
        <w:t>10</w:t>
      </w:r>
      <w:r w:rsidRPr="00AD6EF0">
        <w:fldChar w:fldCharType="end"/>
      </w:r>
      <w:r>
        <w:t xml:space="preserve">.  Prin urmare, pe baza dosarului, Curtea consideră că nu există aparențe ale unei lipse obiective sau subiective de imparțialitate din partea judecătorilor din completul de apel. </w:t>
      </w:r>
      <w:bookmarkEnd w:id="5"/>
      <w:r>
        <w:t xml:space="preserve">Rezultă că acest capăt de cerere este </w:t>
      </w:r>
      <w:bookmarkStart w:id="6" w:name="_Hlk66783602"/>
      <w:r>
        <w:t>în mod vădit nefondat și trebuie să fie respins în conformitate cu art. 35 § 3 lit. a) și art. 35 § 4 din Convenție</w:t>
      </w:r>
      <w:bookmarkEnd w:id="6"/>
      <w:r>
        <w:t>.</w:t>
      </w:r>
    </w:p>
    <w:p w14:paraId="3B403341" w14:textId="77777777" w:rsidR="00472871" w:rsidRPr="00AD6EF0" w:rsidRDefault="00472871" w:rsidP="00AD6EF0">
      <w:pPr>
        <w:pStyle w:val="JuHA"/>
      </w:pPr>
      <w:r>
        <w:t>Plângerile în temeiul art. 7 din Convenție și art. 2 din Protocolul nr. 7 la Convenție</w:t>
      </w:r>
    </w:p>
    <w:p w14:paraId="28FB0F18" w14:textId="38EC903A"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11</w:t>
      </w:r>
      <w:r>
        <w:fldChar w:fldCharType="end"/>
      </w:r>
      <w:r w:rsidR="00E30399">
        <w:t>.  Reclamantele s-au plâns că instituirea sechestrului asupra bunurilor lor a constituit o pedeapsă aplicată fără niciun temei în dreptul intern cu încălcarea art. 7 din Convenție și că această pedeapsă nu fusese examinată de către o instanță superioară [„jurisdicție superioară”] astfel cum prevedea art. 2 din Protocolul nr. 7.</w:t>
      </w:r>
    </w:p>
    <w:p w14:paraId="427ED453" w14:textId="5730A408"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12</w:t>
      </w:r>
      <w:r>
        <w:fldChar w:fldCharType="end"/>
      </w:r>
      <w:r w:rsidR="00E30399">
        <w:t xml:space="preserve">.  Curtea trebuie să stabilească, în primul rând, dacă măsura în cauză a constituit o „pedeapsă” în sensul art. 7 § 1 din Convenție. Formularea acestei dispoziții arată că punctul de plecare în cadrul oricărei aprecieri a existenței unei pedepse este acela dacă măsura în chestiune a fost impusă ulterior </w:t>
      </w:r>
      <w:r w:rsidR="00E30399">
        <w:lastRenderedPageBreak/>
        <w:t xml:space="preserve">condamnării pentru o „infracțiune” (a se vedea </w:t>
      </w:r>
      <w:r w:rsidR="00E30399">
        <w:rPr>
          <w:i/>
        </w:rPr>
        <w:t>Welch împotriva Regatului Unit</w:t>
      </w:r>
      <w:r w:rsidR="00E30399">
        <w:t>, 9 februarie 1995, pct. 28, Seria A nr. 307</w:t>
      </w:r>
      <w:r w:rsidR="00E30399">
        <w:noBreakHyphen/>
        <w:t>A).</w:t>
      </w:r>
    </w:p>
    <w:p w14:paraId="16A44E5E" w14:textId="54D6199D"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13</w:t>
      </w:r>
      <w:r>
        <w:fldChar w:fldCharType="end"/>
      </w:r>
      <w:r w:rsidR="00E30399">
        <w:t xml:space="preserve">.  În prezenta cauză reclamantele nu fuseseră anterior găsite vinovate de instanțele române de săvârșirea vreunei infracțiuni. Mai mult, Curtea constatase anterior că proceduri similare în legătură cu instituirea sechestrului asupra bunurilor unor terți nu privea o „acuzație în materie penală” împotriva reclamanților (a se vedea </w:t>
      </w:r>
      <w:r w:rsidR="00E30399">
        <w:rPr>
          <w:i/>
        </w:rPr>
        <w:t>Telbis și Viziteu împotriva României</w:t>
      </w:r>
      <w:r w:rsidR="00E30399">
        <w:t>, nr. 47911/15, pct. 49, 26 iunie 2018).</w:t>
      </w:r>
    </w:p>
    <w:p w14:paraId="61D49610" w14:textId="140137F2"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14</w:t>
      </w:r>
      <w:r>
        <w:fldChar w:fldCharType="end"/>
      </w:r>
      <w:r w:rsidR="00E30399">
        <w:t>.  Astfel, nu se poate concluziona că măsura sechestrului în discuție a implicat o constatare a vinovăției ulterioare unei acuzații în materie penală, prin urmare nu a constituit o „pedeapsă” în sensul art. 7 din Convenție [a se vedea</w:t>
      </w:r>
      <w:bookmarkStart w:id="7" w:name="File12"/>
      <w:r w:rsidR="00E30399">
        <w:t xml:space="preserve"> </w:t>
      </w:r>
      <w:r w:rsidR="00E30399">
        <w:rPr>
          <w:i/>
        </w:rPr>
        <w:t>Yildirim</w:t>
      </w:r>
      <w:bookmarkEnd w:id="7"/>
      <w:r w:rsidR="00E30399">
        <w:rPr>
          <w:i/>
        </w:rPr>
        <w:t xml:space="preserve"> împotriva Italiei </w:t>
      </w:r>
      <w:r w:rsidR="00E30399">
        <w:t>(dec.), nr. 38602/02, pct. 3, CEDO 2003</w:t>
      </w:r>
      <w:r w:rsidR="00E30399">
        <w:noBreakHyphen/>
        <w:t>IV]. Dispoziția menționată nu este, așadar, aplicabilă în speță. În consecință, dispozițiile art. 2 din Protocolul nr. 7 la Convenție nu sunt aplicabile nici în prezenta cauză.</w:t>
      </w:r>
    </w:p>
    <w:p w14:paraId="384C60C2" w14:textId="2D6A3B3E"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15</w:t>
      </w:r>
      <w:r>
        <w:fldChar w:fldCharType="end"/>
      </w:r>
      <w:r w:rsidR="00E30399">
        <w:t xml:space="preserve">.  Rezultă că acest capăt de cerere este incompatibil </w:t>
      </w:r>
      <w:r w:rsidR="00E30399">
        <w:rPr>
          <w:i/>
          <w:iCs/>
        </w:rPr>
        <w:t>ratione materiae</w:t>
      </w:r>
      <w:r w:rsidR="00E30399">
        <w:t xml:space="preserve"> cu dispozițiile Convenției și trebuie respins în conformitate cu art. 35 § 3 și § 4 din Convenție.</w:t>
      </w:r>
    </w:p>
    <w:p w14:paraId="64DBC5D9" w14:textId="77777777" w:rsidR="00472871" w:rsidRPr="00AD6EF0" w:rsidRDefault="00472871" w:rsidP="00AD6EF0">
      <w:pPr>
        <w:pStyle w:val="JuHA"/>
      </w:pPr>
      <w:r>
        <w:t>Capetele de cerere în temeiul art. 1 din Protocolul nr. 1 la Convenție</w:t>
      </w:r>
    </w:p>
    <w:p w14:paraId="67BD61E8" w14:textId="3C3ECE13"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16</w:t>
      </w:r>
      <w:r>
        <w:fldChar w:fldCharType="end"/>
      </w:r>
      <w:r w:rsidR="00E30399">
        <w:t>.  Reclamantele au mai susținut că prin instituirea sechestrului asupra bunurilor lor fără ca acestea să fi fost condamnate pentru vreo infracțiune, și fără suficiente garanții procedurale, a fost încălcat art. 1 din Protocolul nr. 1 la Convenție.</w:t>
      </w:r>
    </w:p>
    <w:p w14:paraId="25E18523" w14:textId="1BA7EFA5"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17</w:t>
      </w:r>
      <w:r>
        <w:fldChar w:fldCharType="end"/>
      </w:r>
      <w:r w:rsidR="00E30399">
        <w:t xml:space="preserve">.  Curtea a examinat deja plângeri similare și a constatat că măsurile reclamate respectaseră dispozițiile art. 1 din Protocolul nr. 1 la Convenție (a se vedea </w:t>
      </w:r>
      <w:r w:rsidR="00E30399">
        <w:rPr>
          <w:i/>
        </w:rPr>
        <w:t>Telbis și Viziteu</w:t>
      </w:r>
      <w:r w:rsidR="00E30399">
        <w:t>,</w:t>
      </w:r>
      <w:r w:rsidR="00E30399">
        <w:rPr>
          <w:i/>
        </w:rPr>
        <w:t xml:space="preserve"> </w:t>
      </w:r>
      <w:r w:rsidR="00E30399">
        <w:t>citată supra, pct. 72-82).</w:t>
      </w:r>
    </w:p>
    <w:p w14:paraId="151D6593" w14:textId="549BDED1"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18</w:t>
      </w:r>
      <w:r>
        <w:fldChar w:fldCharType="end"/>
      </w:r>
      <w:r w:rsidR="00E30399">
        <w:t xml:space="preserve">.  În prezenta cauză, măsura adoptată cu privire la bunurile reclamantelor constituia o reglementare a folosinței bunurilor în sensul art. 1 paragraful al doilea din Protocolul nr. 1 la Convenție (ibid., pct. 69 și 72). Curtea observă că măsura a fost prevăzută de lege (a se vedea supra, pct. </w:t>
      </w:r>
      <w:r w:rsidR="007F689D" w:rsidRPr="00AD6EF0">
        <w:fldChar w:fldCharType="begin"/>
      </w:r>
      <w:r w:rsidR="007F689D" w:rsidRPr="00AD6EF0">
        <w:instrText xml:space="preserve"> REF P3 \h </w:instrText>
      </w:r>
      <w:r w:rsidR="007F689D" w:rsidRPr="00AD6EF0">
        <w:fldChar w:fldCharType="separate"/>
      </w:r>
      <w:r w:rsidR="00AD6EF0" w:rsidRPr="00AD6EF0">
        <w:t>3</w:t>
      </w:r>
      <w:r w:rsidR="007F689D" w:rsidRPr="00AD6EF0">
        <w:fldChar w:fldCharType="end"/>
      </w:r>
      <w:r w:rsidR="00E30399">
        <w:t>). În plus, consideră că măsura în chestiune, și anume sechestrul asupra bunurilor obținute din infracțiune, era conformă cu interesele generale ale societății (a se vedea</w:t>
      </w:r>
      <w:r w:rsidR="00E30399">
        <w:rPr>
          <w:i/>
        </w:rPr>
        <w:t xml:space="preserve"> Veits împotriva Estoni</w:t>
      </w:r>
      <w:r w:rsidR="00E30399">
        <w:rPr>
          <w:i/>
          <w:iCs/>
        </w:rPr>
        <w:t>ei</w:t>
      </w:r>
      <w:r w:rsidR="00E30399">
        <w:t>, nr. 12951/11, pct. 73, 15 ianuarie 2015).</w:t>
      </w:r>
    </w:p>
    <w:p w14:paraId="44C1FDBC" w14:textId="2CFBB113"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19</w:t>
      </w:r>
      <w:r>
        <w:fldChar w:fldCharType="end"/>
      </w:r>
      <w:r w:rsidR="00E30399">
        <w:t>.  Prin urmare, Curtea trebuie să examineze dacă a fost asigurat un echilibru just între scopul legitim și drepturile fundamentale ale reclamantelor și dacă au existat suficiente garanții procedurale.</w:t>
      </w:r>
    </w:p>
    <w:p w14:paraId="264C9E28" w14:textId="47EBAC8E"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20</w:t>
      </w:r>
      <w:r>
        <w:fldChar w:fldCharType="end"/>
      </w:r>
      <w:r w:rsidR="00E30399">
        <w:t xml:space="preserve">.  În această privință, Curtea constată, în primul rând, că procedura în care a fost instituită măsura sechestrului făcea parte dintr-o politică care urmărea prevenirea infracțiunilor, în legătură cu care statele se bucură de o marjă largă de apreciere atât cu privire la existența unei probleme care afectează interesul public, ceea ce face necesare măsuri de control, cât și </w:t>
      </w:r>
      <w:r w:rsidR="00E30399">
        <w:lastRenderedPageBreak/>
        <w:t xml:space="preserve">privind modul adecvat de aplicare a unor astfel de măsuri [a se vedea </w:t>
      </w:r>
      <w:r w:rsidR="00E30399">
        <w:rPr>
          <w:i/>
        </w:rPr>
        <w:t>Arcuri și alții împotriva Italiei</w:t>
      </w:r>
      <w:r w:rsidR="00E30399">
        <w:t xml:space="preserve"> (dec.), nr. 52024/99, CEDO 2001-VII].</w:t>
      </w:r>
    </w:p>
    <w:p w14:paraId="044F81E9" w14:textId="72DF585F"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21</w:t>
      </w:r>
      <w:r>
        <w:fldChar w:fldCharType="end"/>
      </w:r>
      <w:r w:rsidR="00E30399">
        <w:t xml:space="preserve">.  Curtea consideră, în continuare, că procedura națională oferea reclamantelor o oportunitate rezonabilă de a-și susține cauza în fața autorităților pentru a contesta efectiv măsura în chestiune. Cu privire la acest aspect, Curtea acordă importanță faptului că toate reclamantele care dețineau bunuri care au făcut obiectul sechestrului la momentul când au fost luate măsurile au avut posibilitatea de a-și prezenta argumentele personal și prin reprezentanți legali aleși (a se vedea supra, pct. </w:t>
      </w:r>
      <w:r w:rsidR="007F689D" w:rsidRPr="00AD6EF0">
        <w:fldChar w:fldCharType="begin"/>
      </w:r>
      <w:r w:rsidR="007F689D" w:rsidRPr="00AD6EF0">
        <w:instrText xml:space="preserve"> REF P4 \h </w:instrText>
      </w:r>
      <w:r w:rsidR="007F689D" w:rsidRPr="00AD6EF0">
        <w:fldChar w:fldCharType="separate"/>
      </w:r>
      <w:r w:rsidR="00AD6EF0" w:rsidRPr="00AD6EF0">
        <w:t>4</w:t>
      </w:r>
      <w:r w:rsidR="007F689D" w:rsidRPr="00AD6EF0">
        <w:fldChar w:fldCharType="end"/>
      </w:r>
      <w:r w:rsidR="00E30399">
        <w:t>). În plus, rezultă din dosar că instanța națională a analizat – și a respins cu motivare suficientă – argumentele reclamantelor potrivit cărora bunurile în cauză nu reprezentau produse ale infracțiunii.</w:t>
      </w:r>
    </w:p>
    <w:p w14:paraId="626F4F6E" w14:textId="390D4779"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22</w:t>
      </w:r>
      <w:r>
        <w:fldChar w:fldCharType="end"/>
      </w:r>
      <w:r w:rsidR="00E30399">
        <w:t>.  Prin urmare, Curtea constată că în proces nu există nimic care să sugereze că reclamantelor li s-a refuzat posibilitatea rezonabilă de a-și susține cauza sau că concluziile instanțelor naționale au avut un caracter arbitrar.</w:t>
      </w:r>
    </w:p>
    <w:p w14:paraId="38DE5E7D" w14:textId="21274A8B"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23</w:t>
      </w:r>
      <w:r>
        <w:fldChar w:fldCharType="end"/>
      </w:r>
      <w:r w:rsidR="00E30399">
        <w:t xml:space="preserve">.  Având în vedere considerațiile de mai sus, și mai ales modul în care instanța națională a examinat cauza, Curtea constată că procedurile din prezenta cauză nu pot fi considerate ca fiind arbitrare. Având în vedere marja largă de apreciere de care beneficiază statele în evoluția politicii destinate să combată infracțiunile și faptul că instanța națională le-a acordat reclamantelor posibilitatea rezonabilă de a-și susține cauza în proceduri în contradictoriu, Curtea concluzionează că ingerința în exercitarea de către reclamante a dreptului la respectarea bunurilor lor nu era disproporționată față de obiectivul legitim urmărit (a se vedea, </w:t>
      </w:r>
      <w:r w:rsidR="00E30399">
        <w:rPr>
          <w:i/>
        </w:rPr>
        <w:t>mutatis mutandis</w:t>
      </w:r>
      <w:r w:rsidR="00E30399">
        <w:t xml:space="preserve">, </w:t>
      </w:r>
      <w:r w:rsidR="00E30399">
        <w:rPr>
          <w:i/>
        </w:rPr>
        <w:t>Telbis și Viziteu</w:t>
      </w:r>
      <w:r w:rsidR="00E30399">
        <w:t>,</w:t>
      </w:r>
      <w:r w:rsidR="00E30399">
        <w:rPr>
          <w:i/>
        </w:rPr>
        <w:t xml:space="preserve"> </w:t>
      </w:r>
      <w:r w:rsidR="00E30399">
        <w:t xml:space="preserve">citată supra, pct. 81, și </w:t>
      </w:r>
      <w:r w:rsidR="00E30399">
        <w:rPr>
          <w:i/>
        </w:rPr>
        <w:t xml:space="preserve">Bongiorno și alții împotriva Italiei, </w:t>
      </w:r>
      <w:r w:rsidR="00E30399">
        <w:t>nr. 4514/07, pct. 44-51, 5 ianuarie 2010).</w:t>
      </w:r>
    </w:p>
    <w:p w14:paraId="6354C842" w14:textId="2425C40C" w:rsidR="00472871" w:rsidRPr="00AD6EF0" w:rsidRDefault="0014531F" w:rsidP="00AD6EF0">
      <w:pPr>
        <w:pStyle w:val="JuPara"/>
      </w:pPr>
      <w:r>
        <w:fldChar w:fldCharType="begin"/>
      </w:r>
      <w:r>
        <w:instrText xml:space="preserve"> SEQ level0 \*arabic \* MERGEFORMAT </w:instrText>
      </w:r>
      <w:r>
        <w:fldChar w:fldCharType="separate"/>
      </w:r>
      <w:r w:rsidR="00AD6EF0" w:rsidRPr="00AD6EF0">
        <w:t>24</w:t>
      </w:r>
      <w:r>
        <w:fldChar w:fldCharType="end"/>
      </w:r>
      <w:r w:rsidR="00E30399">
        <w:t>.  Rezultă că acest capăt de cerere trebuie respins ca fiind vădit nefondat, în conformitate cu art. 35 § 3 și art. 35 § 4 din Convenție.</w:t>
      </w:r>
    </w:p>
    <w:p w14:paraId="469382D0" w14:textId="078A2553" w:rsidR="00472871" w:rsidRPr="00AD6EF0" w:rsidRDefault="00472871" w:rsidP="00AD6EF0">
      <w:pPr>
        <w:pStyle w:val="JuParaLast"/>
      </w:pPr>
      <w:r>
        <w:t>Pentru aceste motive, CURTEA, în unanimitate,</w:t>
      </w:r>
    </w:p>
    <w:p w14:paraId="240E428D" w14:textId="77777777" w:rsidR="00472871" w:rsidRPr="00AD6EF0" w:rsidRDefault="00472871" w:rsidP="00AD6EF0">
      <w:pPr>
        <w:pStyle w:val="DecList"/>
        <w:rPr>
          <w:i/>
        </w:rPr>
      </w:pPr>
      <w:r>
        <w:rPr>
          <w:i/>
          <w:iCs/>
        </w:rPr>
        <w:t>Decide</w:t>
      </w:r>
      <w:r>
        <w:rPr>
          <w:i/>
        </w:rPr>
        <w:t xml:space="preserve"> </w:t>
      </w:r>
      <w:r>
        <w:t>să conexeze cererile;</w:t>
      </w:r>
    </w:p>
    <w:p w14:paraId="1239BF28" w14:textId="00B727A3" w:rsidR="00472871" w:rsidRPr="00AD6EF0" w:rsidRDefault="00472871" w:rsidP="00AD6EF0">
      <w:pPr>
        <w:pStyle w:val="DecList"/>
      </w:pPr>
      <w:r>
        <w:rPr>
          <w:i/>
          <w:iCs/>
        </w:rPr>
        <w:t>Declară</w:t>
      </w:r>
      <w:r>
        <w:t xml:space="preserve"> cererile inadmisibile.</w:t>
      </w:r>
    </w:p>
    <w:p w14:paraId="4C671921" w14:textId="6638B2E8" w:rsidR="00BD1692" w:rsidRPr="00AD6EF0" w:rsidRDefault="006267D3" w:rsidP="00AD6EF0">
      <w:pPr>
        <w:pStyle w:val="JuParaLast"/>
        <w:rPr>
          <w:sz w:val="14"/>
        </w:rPr>
      </w:pPr>
      <w:r>
        <w:t>Redactată în limba engleză și comunicată în scris la 17 martie 2022.</w:t>
      </w:r>
    </w:p>
    <w:p w14:paraId="2A3BD84A" w14:textId="2FBD08F1" w:rsidR="00BD1692" w:rsidRPr="00AD6EF0" w:rsidRDefault="00C8038F" w:rsidP="00AD6EF0">
      <w:pPr>
        <w:pStyle w:val="ECHRPlaceholder"/>
      </w:pPr>
      <w:r>
        <w:tab/>
      </w:r>
    </w:p>
    <w:p w14:paraId="6D7D722F" w14:textId="201CD51C" w:rsidR="00472871" w:rsidRPr="00AD6EF0" w:rsidRDefault="007907C0" w:rsidP="00180FEC">
      <w:pPr>
        <w:pStyle w:val="JuSigned"/>
        <w:rPr>
          <w:noProof/>
        </w:rPr>
      </w:pPr>
      <w:r>
        <w:tab/>
        <w:t>Ilse Freiwirth</w:t>
      </w:r>
      <w:r>
        <w:tab/>
        <w:t>Tim Eicke</w:t>
      </w:r>
      <w:r>
        <w:br/>
      </w:r>
      <w:r>
        <w:tab/>
        <w:t>Grefier adjunct</w:t>
      </w:r>
      <w:r>
        <w:tab/>
        <w:t>Președinte</w:t>
      </w:r>
      <w:r w:rsidR="00472871">
        <w:br w:type="page"/>
      </w:r>
    </w:p>
    <w:p w14:paraId="46D3BEEB" w14:textId="4064446B" w:rsidR="00472871" w:rsidRPr="00AD6EF0" w:rsidRDefault="00472871" w:rsidP="00AD6EF0">
      <w:pPr>
        <w:pStyle w:val="DecHTitle"/>
      </w:pPr>
      <w:r>
        <w:lastRenderedPageBreak/>
        <w:t>Anexă</w:t>
      </w:r>
    </w:p>
    <w:tbl>
      <w:tblPr>
        <w:tblStyle w:val="ECHRListTable"/>
        <w:tblW w:w="6799" w:type="dxa"/>
        <w:tblLook w:val="0420" w:firstRow="1" w:lastRow="0" w:firstColumn="0" w:lastColumn="0" w:noHBand="0" w:noVBand="1"/>
      </w:tblPr>
      <w:tblGrid>
        <w:gridCol w:w="570"/>
        <w:gridCol w:w="1981"/>
        <w:gridCol w:w="1697"/>
        <w:gridCol w:w="2551"/>
      </w:tblGrid>
      <w:tr w:rsidR="00472871" w:rsidRPr="00AD6EF0" w14:paraId="6272508A" w14:textId="77777777" w:rsidTr="00D54209">
        <w:trPr>
          <w:cnfStyle w:val="100000000000" w:firstRow="1" w:lastRow="0" w:firstColumn="0" w:lastColumn="0" w:oddVBand="0" w:evenVBand="0" w:oddHBand="0" w:evenHBand="0" w:firstRowFirstColumn="0" w:firstRowLastColumn="0" w:lastRowFirstColumn="0" w:lastRowLastColumn="0"/>
        </w:trPr>
        <w:tc>
          <w:tcPr>
            <w:tcW w:w="570" w:type="dxa"/>
            <w:hideMark/>
          </w:tcPr>
          <w:p w14:paraId="44500C32" w14:textId="77777777" w:rsidR="00472871" w:rsidRPr="00AD6EF0" w:rsidRDefault="00472871" w:rsidP="00AD6EF0">
            <w:pPr>
              <w:rPr>
                <w:rFonts w:eastAsia="Times New Roman"/>
              </w:rPr>
            </w:pPr>
            <w:bookmarkStart w:id="8" w:name="AppTableStart"/>
            <w:bookmarkEnd w:id="8"/>
            <w:r>
              <w:t>Nr.</w:t>
            </w:r>
          </w:p>
        </w:tc>
        <w:tc>
          <w:tcPr>
            <w:tcW w:w="1981" w:type="dxa"/>
            <w:hideMark/>
          </w:tcPr>
          <w:p w14:paraId="4DF0B74D" w14:textId="77777777" w:rsidR="00472871" w:rsidRPr="00AD6EF0" w:rsidRDefault="00472871" w:rsidP="00AD6EF0">
            <w:pPr>
              <w:rPr>
                <w:rFonts w:eastAsia="Times New Roman"/>
              </w:rPr>
            </w:pPr>
            <w:r>
              <w:t>Cererea nr.</w:t>
            </w:r>
          </w:p>
        </w:tc>
        <w:tc>
          <w:tcPr>
            <w:tcW w:w="1697" w:type="dxa"/>
            <w:hideMark/>
          </w:tcPr>
          <w:p w14:paraId="26B4D659" w14:textId="77777777" w:rsidR="00472871" w:rsidRPr="00AD6EF0" w:rsidRDefault="00472871" w:rsidP="00AD6EF0">
            <w:pPr>
              <w:rPr>
                <w:rFonts w:eastAsia="Times New Roman"/>
              </w:rPr>
            </w:pPr>
            <w:r>
              <w:t>Introdusă la</w:t>
            </w:r>
          </w:p>
        </w:tc>
        <w:tc>
          <w:tcPr>
            <w:tcW w:w="2551" w:type="dxa"/>
            <w:hideMark/>
          </w:tcPr>
          <w:p w14:paraId="028FD1DA" w14:textId="77777777" w:rsidR="00472871" w:rsidRPr="00AD6EF0" w:rsidRDefault="00472871" w:rsidP="00AD6EF0">
            <w:pPr>
              <w:rPr>
                <w:rFonts w:eastAsia="Times New Roman"/>
              </w:rPr>
            </w:pPr>
            <w:r>
              <w:t>Reclamantul</w:t>
            </w:r>
            <w:r>
              <w:br/>
              <w:t xml:space="preserve">Anul nașterii </w:t>
            </w:r>
            <w:r>
              <w:br/>
              <w:t>Domiciliul</w:t>
            </w:r>
            <w:r>
              <w:br/>
              <w:t>Cetățenia</w:t>
            </w:r>
          </w:p>
        </w:tc>
      </w:tr>
      <w:tr w:rsidR="00472871" w:rsidRPr="00220FFA" w14:paraId="62217E68" w14:textId="77777777" w:rsidTr="00D54209">
        <w:tc>
          <w:tcPr>
            <w:tcW w:w="570" w:type="dxa"/>
            <w:hideMark/>
          </w:tcPr>
          <w:p w14:paraId="5688AEC0" w14:textId="77777777" w:rsidR="00472871" w:rsidRPr="00AD6EF0" w:rsidRDefault="00472871" w:rsidP="00AD6EF0">
            <w:pPr>
              <w:rPr>
                <w:rFonts w:eastAsia="Times New Roman"/>
              </w:rPr>
            </w:pPr>
            <w:r>
              <w:t>1.</w:t>
            </w:r>
          </w:p>
        </w:tc>
        <w:tc>
          <w:tcPr>
            <w:tcW w:w="1981" w:type="dxa"/>
            <w:hideMark/>
          </w:tcPr>
          <w:p w14:paraId="54A4ECD1" w14:textId="77777777" w:rsidR="00472871" w:rsidRPr="00AD6EF0" w:rsidRDefault="00472871" w:rsidP="00AD6EF0">
            <w:pPr>
              <w:rPr>
                <w:rFonts w:eastAsia="Times New Roman"/>
              </w:rPr>
            </w:pPr>
            <w:r>
              <w:t>502/15</w:t>
            </w:r>
          </w:p>
        </w:tc>
        <w:tc>
          <w:tcPr>
            <w:tcW w:w="1697" w:type="dxa"/>
            <w:hideMark/>
          </w:tcPr>
          <w:p w14:paraId="561DEB6F" w14:textId="77777777" w:rsidR="00472871" w:rsidRPr="00AD6EF0" w:rsidRDefault="00472871" w:rsidP="00AD6EF0">
            <w:pPr>
              <w:rPr>
                <w:rFonts w:eastAsia="Times New Roman"/>
              </w:rPr>
            </w:pPr>
            <w:r>
              <w:t>24 decembrie 2014</w:t>
            </w:r>
          </w:p>
        </w:tc>
        <w:tc>
          <w:tcPr>
            <w:tcW w:w="2551" w:type="dxa"/>
            <w:hideMark/>
          </w:tcPr>
          <w:p w14:paraId="54DDF589" w14:textId="58B19FD2" w:rsidR="00472871" w:rsidRPr="00AD6EF0" w:rsidRDefault="00472871" w:rsidP="00AD6EF0">
            <w:pPr>
              <w:rPr>
                <w:rFonts w:eastAsia="Times New Roman"/>
              </w:rPr>
            </w:pPr>
            <w:r>
              <w:rPr>
                <w:b/>
              </w:rPr>
              <w:t>Camelia Rodica VOICULESCU</w:t>
            </w:r>
            <w:r>
              <w:rPr>
                <w:b/>
              </w:rPr>
              <w:br/>
            </w:r>
            <w:r>
              <w:t>1974</w:t>
            </w:r>
            <w:r>
              <w:br/>
              <w:t>Petrești</w:t>
            </w:r>
            <w:r>
              <w:br/>
              <w:t>Română</w:t>
            </w:r>
          </w:p>
        </w:tc>
      </w:tr>
      <w:tr w:rsidR="00472871" w:rsidRPr="00220FFA" w14:paraId="48ECA596" w14:textId="77777777" w:rsidTr="00D54209">
        <w:tc>
          <w:tcPr>
            <w:tcW w:w="570" w:type="dxa"/>
            <w:hideMark/>
          </w:tcPr>
          <w:p w14:paraId="39FB3C5D" w14:textId="77777777" w:rsidR="00472871" w:rsidRPr="00AD6EF0" w:rsidRDefault="00472871" w:rsidP="00AD6EF0">
            <w:pPr>
              <w:rPr>
                <w:rFonts w:eastAsia="Times New Roman"/>
              </w:rPr>
            </w:pPr>
            <w:r>
              <w:t>2.</w:t>
            </w:r>
          </w:p>
        </w:tc>
        <w:tc>
          <w:tcPr>
            <w:tcW w:w="1981" w:type="dxa"/>
            <w:hideMark/>
          </w:tcPr>
          <w:p w14:paraId="76479ACB" w14:textId="77777777" w:rsidR="00472871" w:rsidRPr="00AD6EF0" w:rsidRDefault="00472871" w:rsidP="00AD6EF0">
            <w:pPr>
              <w:rPr>
                <w:rFonts w:eastAsia="Times New Roman"/>
              </w:rPr>
            </w:pPr>
            <w:r>
              <w:t>1559/15</w:t>
            </w:r>
          </w:p>
        </w:tc>
        <w:tc>
          <w:tcPr>
            <w:tcW w:w="1697" w:type="dxa"/>
            <w:hideMark/>
          </w:tcPr>
          <w:p w14:paraId="340A43E0" w14:textId="77777777" w:rsidR="00472871" w:rsidRPr="00AD6EF0" w:rsidRDefault="00472871" w:rsidP="00AD6EF0">
            <w:pPr>
              <w:rPr>
                <w:rFonts w:eastAsia="Times New Roman"/>
              </w:rPr>
            </w:pPr>
            <w:r>
              <w:t>29 decembrie 2014</w:t>
            </w:r>
          </w:p>
        </w:tc>
        <w:tc>
          <w:tcPr>
            <w:tcW w:w="2551" w:type="dxa"/>
            <w:hideMark/>
          </w:tcPr>
          <w:p w14:paraId="08DAB209" w14:textId="77777777" w:rsidR="00472871" w:rsidRPr="00AD6EF0" w:rsidRDefault="00472871" w:rsidP="00AD6EF0">
            <w:pPr>
              <w:rPr>
                <w:rFonts w:eastAsia="Times New Roman"/>
              </w:rPr>
            </w:pPr>
            <w:r>
              <w:rPr>
                <w:b/>
              </w:rPr>
              <w:t>Corina Mirela VOICULESCU</w:t>
            </w:r>
            <w:r>
              <w:rPr>
                <w:b/>
              </w:rPr>
              <w:br/>
            </w:r>
            <w:r>
              <w:t>1976</w:t>
            </w:r>
            <w:r>
              <w:br/>
              <w:t>București</w:t>
            </w:r>
            <w:r>
              <w:br/>
              <w:t>Română</w:t>
            </w:r>
          </w:p>
        </w:tc>
      </w:tr>
      <w:tr w:rsidR="00472871" w:rsidRPr="00AD6EF0" w14:paraId="280D8E41" w14:textId="77777777" w:rsidTr="00D54209">
        <w:tc>
          <w:tcPr>
            <w:tcW w:w="570" w:type="dxa"/>
            <w:hideMark/>
          </w:tcPr>
          <w:p w14:paraId="39994CAD" w14:textId="77777777" w:rsidR="00472871" w:rsidRPr="00AD6EF0" w:rsidRDefault="00472871" w:rsidP="00AD6EF0">
            <w:pPr>
              <w:rPr>
                <w:rFonts w:eastAsia="Times New Roman"/>
              </w:rPr>
            </w:pPr>
            <w:r>
              <w:t>3.</w:t>
            </w:r>
          </w:p>
        </w:tc>
        <w:tc>
          <w:tcPr>
            <w:tcW w:w="1981" w:type="dxa"/>
            <w:hideMark/>
          </w:tcPr>
          <w:p w14:paraId="491F52E0" w14:textId="77777777" w:rsidR="00472871" w:rsidRPr="00AD6EF0" w:rsidRDefault="00472871" w:rsidP="00AD6EF0">
            <w:pPr>
              <w:rPr>
                <w:rFonts w:eastAsia="Times New Roman"/>
              </w:rPr>
            </w:pPr>
            <w:r>
              <w:t>2836/15</w:t>
            </w:r>
          </w:p>
        </w:tc>
        <w:tc>
          <w:tcPr>
            <w:tcW w:w="1697" w:type="dxa"/>
            <w:hideMark/>
          </w:tcPr>
          <w:p w14:paraId="51BB46E5" w14:textId="77777777" w:rsidR="00472871" w:rsidRPr="00AD6EF0" w:rsidRDefault="00472871" w:rsidP="00AD6EF0">
            <w:pPr>
              <w:rPr>
                <w:rFonts w:eastAsia="Times New Roman"/>
              </w:rPr>
            </w:pPr>
            <w:r>
              <w:t>31 decembrie 2014</w:t>
            </w:r>
          </w:p>
        </w:tc>
        <w:tc>
          <w:tcPr>
            <w:tcW w:w="2551" w:type="dxa"/>
            <w:hideMark/>
          </w:tcPr>
          <w:p w14:paraId="189BB222" w14:textId="77777777" w:rsidR="00472871" w:rsidRPr="00AD6EF0" w:rsidRDefault="00472871" w:rsidP="00AD6EF0">
            <w:pPr>
              <w:rPr>
                <w:rFonts w:eastAsia="Times New Roman"/>
              </w:rPr>
            </w:pPr>
            <w:r>
              <w:rPr>
                <w:b/>
              </w:rPr>
              <w:t>COMPANIA DE CERCETĂRI APLICATIVE ȘI INVESTIȚII S.A.</w:t>
            </w:r>
            <w:r>
              <w:rPr>
                <w:b/>
              </w:rPr>
              <w:br/>
            </w:r>
            <w:r>
              <w:t>București</w:t>
            </w:r>
            <w:r>
              <w:br/>
              <w:t>Română</w:t>
            </w:r>
          </w:p>
        </w:tc>
      </w:tr>
      <w:tr w:rsidR="00472871" w:rsidRPr="00AD6EF0" w14:paraId="70AAEDC4" w14:textId="77777777" w:rsidTr="00D54209">
        <w:tc>
          <w:tcPr>
            <w:tcW w:w="570" w:type="dxa"/>
            <w:hideMark/>
          </w:tcPr>
          <w:p w14:paraId="2B172D87" w14:textId="77777777" w:rsidR="00472871" w:rsidRPr="00AD6EF0" w:rsidRDefault="00472871" w:rsidP="00AD6EF0">
            <w:pPr>
              <w:rPr>
                <w:rFonts w:eastAsia="Times New Roman"/>
              </w:rPr>
            </w:pPr>
            <w:r>
              <w:t>4.</w:t>
            </w:r>
          </w:p>
        </w:tc>
        <w:tc>
          <w:tcPr>
            <w:tcW w:w="1981" w:type="dxa"/>
            <w:hideMark/>
          </w:tcPr>
          <w:p w14:paraId="333A6CAF" w14:textId="77777777" w:rsidR="00472871" w:rsidRPr="00AD6EF0" w:rsidRDefault="00472871" w:rsidP="00AD6EF0">
            <w:pPr>
              <w:rPr>
                <w:rFonts w:eastAsia="Times New Roman"/>
              </w:rPr>
            </w:pPr>
            <w:r>
              <w:t>2839/15</w:t>
            </w:r>
          </w:p>
        </w:tc>
        <w:tc>
          <w:tcPr>
            <w:tcW w:w="1697" w:type="dxa"/>
            <w:hideMark/>
          </w:tcPr>
          <w:p w14:paraId="63684AD7" w14:textId="77777777" w:rsidR="00472871" w:rsidRPr="00AD6EF0" w:rsidRDefault="00472871" w:rsidP="00AD6EF0">
            <w:pPr>
              <w:rPr>
                <w:rFonts w:eastAsia="Times New Roman"/>
              </w:rPr>
            </w:pPr>
            <w:r>
              <w:t>31 decembrie 2014</w:t>
            </w:r>
          </w:p>
        </w:tc>
        <w:tc>
          <w:tcPr>
            <w:tcW w:w="2551" w:type="dxa"/>
            <w:hideMark/>
          </w:tcPr>
          <w:p w14:paraId="330C0F12" w14:textId="77777777" w:rsidR="00472871" w:rsidRPr="00AD6EF0" w:rsidRDefault="00472871" w:rsidP="00AD6EF0">
            <w:pPr>
              <w:rPr>
                <w:rFonts w:eastAsia="Times New Roman"/>
              </w:rPr>
            </w:pPr>
            <w:r>
              <w:rPr>
                <w:b/>
              </w:rPr>
              <w:t>GRUPUL INDUSTRIAL VOICULESCU ȘI COMPANIA S.A.</w:t>
            </w:r>
            <w:r>
              <w:rPr>
                <w:b/>
              </w:rPr>
              <w:br/>
            </w:r>
            <w:r>
              <w:t>București</w:t>
            </w:r>
            <w:r>
              <w:br/>
              <w:t>Română</w:t>
            </w:r>
          </w:p>
        </w:tc>
      </w:tr>
    </w:tbl>
    <w:p w14:paraId="75EF8A10" w14:textId="77777777" w:rsidR="00CB3BD9" w:rsidRPr="00AD6EF0" w:rsidRDefault="00CB3BD9" w:rsidP="00AD6EF0"/>
    <w:sectPr w:rsidR="00CB3BD9" w:rsidRPr="00AD6EF0" w:rsidSect="0076040F">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C4A26" w14:textId="77777777" w:rsidR="00A878E9" w:rsidRPr="00472871" w:rsidRDefault="00A878E9">
      <w:r w:rsidRPr="00472871">
        <w:separator/>
      </w:r>
    </w:p>
  </w:endnote>
  <w:endnote w:type="continuationSeparator" w:id="0">
    <w:p w14:paraId="48E0EB99" w14:textId="77777777" w:rsidR="00A878E9" w:rsidRPr="00472871" w:rsidRDefault="00A878E9">
      <w:r w:rsidRPr="004728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2C513" w14:textId="35A660FC" w:rsidR="001818B5" w:rsidRPr="00472871" w:rsidRDefault="00472871" w:rsidP="000D61E7">
    <w:pPr>
      <w:pStyle w:val="JuHeader"/>
    </w:pPr>
    <w:r>
      <w:rPr>
        <w:rStyle w:val="PageNumber"/>
      </w:rPr>
      <w:fldChar w:fldCharType="begin"/>
    </w:r>
    <w:r>
      <w:rPr>
        <w:rStyle w:val="PageNumber"/>
      </w:rPr>
      <w:instrText xml:space="preserve"> PAGE </w:instrText>
    </w:r>
    <w:r>
      <w:rPr>
        <w:rStyle w:val="PageNumber"/>
      </w:rPr>
      <w:fldChar w:fldCharType="separate"/>
    </w:r>
    <w:r w:rsidR="00180FEC">
      <w:rPr>
        <w:rStyle w:val="PageNumber"/>
        <w:noProof/>
      </w:rPr>
      <w:t>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63B3" w14:textId="4A814209" w:rsidR="001818B5" w:rsidRPr="00472871" w:rsidRDefault="00472871" w:rsidP="000D61E7">
    <w:pPr>
      <w:pStyle w:val="JuHeader"/>
    </w:pPr>
    <w:r>
      <w:rPr>
        <w:rStyle w:val="PageNumber"/>
      </w:rPr>
      <w:fldChar w:fldCharType="begin"/>
    </w:r>
    <w:r>
      <w:rPr>
        <w:rStyle w:val="PageNumber"/>
      </w:rPr>
      <w:instrText xml:space="preserve"> PAGE </w:instrText>
    </w:r>
    <w:r>
      <w:rPr>
        <w:rStyle w:val="PageNumber"/>
      </w:rPr>
      <w:fldChar w:fldCharType="separate"/>
    </w:r>
    <w:r w:rsidR="00180FEC">
      <w:rPr>
        <w:rStyle w:val="PageNumber"/>
        <w:noProof/>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086D" w14:textId="59B190D9" w:rsidR="00472871" w:rsidRPr="00150BFA" w:rsidRDefault="00472871" w:rsidP="0020718E">
    <w:pPr>
      <w:jc w:val="center"/>
    </w:pPr>
    <w:r>
      <w:rPr>
        <w:noProof/>
        <w:lang w:eastAsia="ro-RO"/>
      </w:rPr>
      <w:drawing>
        <wp:inline distT="0" distB="0" distL="0" distR="0" wp14:anchorId="4F3D6756" wp14:editId="01B22503">
          <wp:extent cx="771525" cy="619125"/>
          <wp:effectExtent l="0" t="0" r="9525" b="9525"/>
          <wp:docPr id="5" name="Picture 5"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F61593D" w14:textId="2A42A49B" w:rsidR="00F05C7B" w:rsidRPr="00472871" w:rsidRDefault="0014531F" w:rsidP="002E2C7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1DD48" w14:textId="77777777" w:rsidR="00A878E9" w:rsidRPr="00472871" w:rsidRDefault="00A878E9">
      <w:r w:rsidRPr="00472871">
        <w:separator/>
      </w:r>
    </w:p>
  </w:footnote>
  <w:footnote w:type="continuationSeparator" w:id="0">
    <w:p w14:paraId="1FE7CDBC" w14:textId="77777777" w:rsidR="00A878E9" w:rsidRPr="00472871" w:rsidRDefault="00A878E9">
      <w:r w:rsidRPr="004728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D754" w14:textId="6412BAE4" w:rsidR="00F05C7B" w:rsidRPr="00472871" w:rsidRDefault="00472871" w:rsidP="0076040F">
    <w:pPr>
      <w:pStyle w:val="JuHeader"/>
    </w:pPr>
    <w:r>
      <w:t>DECIZIA VOICULESCU ÎMPOTRIVA ROMÂNIEI ȘI ALTE CEREREI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7863" w14:textId="3D98A91A" w:rsidR="00F05C7B" w:rsidRPr="00472871" w:rsidRDefault="00472871" w:rsidP="000D61E7">
    <w:pPr>
      <w:pStyle w:val="JuHeader"/>
    </w:pPr>
    <w:r>
      <w:t>DECIZIA VOICULESCU ÎMPOTRIVA ROMÂNIEI ȘI ALTE CEREREI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84DC0" w14:textId="77777777" w:rsidR="00D736E3" w:rsidRPr="007B6E0D" w:rsidRDefault="00D736E3" w:rsidP="00D736E3">
    <w:pPr>
      <w:jc w:val="right"/>
      <w:rPr>
        <w:i/>
        <w:noProof/>
      </w:rPr>
    </w:pPr>
    <w:r>
      <w:rPr>
        <w:i/>
      </w:rPr>
      <w:t>Tradus și revizuit de IER (http://ier.gov.ro/)</w:t>
    </w:r>
  </w:p>
  <w:p w14:paraId="5EBC157A" w14:textId="77777777" w:rsidR="00D736E3" w:rsidRDefault="00D736E3" w:rsidP="00A45145">
    <w:pPr>
      <w:jc w:val="center"/>
      <w:rPr>
        <w:noProof/>
        <w:lang w:eastAsia="ro-RO"/>
      </w:rPr>
    </w:pPr>
  </w:p>
  <w:p w14:paraId="2C419F07" w14:textId="0F2D7A5E" w:rsidR="00472871" w:rsidRPr="00A45145" w:rsidRDefault="00472871" w:rsidP="00A45145">
    <w:pPr>
      <w:jc w:val="center"/>
    </w:pPr>
    <w:r>
      <w:rPr>
        <w:noProof/>
        <w:lang w:eastAsia="ro-RO"/>
      </w:rPr>
      <w:drawing>
        <wp:inline distT="0" distB="0" distL="0" distR="0" wp14:anchorId="527CC30A" wp14:editId="17533C2A">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73C3022" w14:textId="4B1E77D2" w:rsidR="00F05C7B" w:rsidRPr="00472871" w:rsidRDefault="0014531F" w:rsidP="00EA100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B7886602"/>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16cid:durableId="1844011378">
    <w:abstractNumId w:val="14"/>
  </w:num>
  <w:num w:numId="2" w16cid:durableId="838542536">
    <w:abstractNumId w:val="12"/>
  </w:num>
  <w:num w:numId="3" w16cid:durableId="1311058843">
    <w:abstractNumId w:val="11"/>
  </w:num>
  <w:num w:numId="4" w16cid:durableId="1302536101">
    <w:abstractNumId w:val="15"/>
  </w:num>
  <w:num w:numId="5" w16cid:durableId="266086135">
    <w:abstractNumId w:val="13"/>
  </w:num>
  <w:num w:numId="6" w16cid:durableId="1492401858">
    <w:abstractNumId w:val="16"/>
  </w:num>
  <w:num w:numId="7" w16cid:durableId="319895333">
    <w:abstractNumId w:val="15"/>
  </w:num>
  <w:num w:numId="8" w16cid:durableId="169686193">
    <w:abstractNumId w:val="16"/>
  </w:num>
  <w:num w:numId="9" w16cid:durableId="684789955">
    <w:abstractNumId w:val="10"/>
  </w:num>
  <w:num w:numId="10" w16cid:durableId="85002379">
    <w:abstractNumId w:val="9"/>
  </w:num>
  <w:num w:numId="11" w16cid:durableId="318463023">
    <w:abstractNumId w:val="18"/>
  </w:num>
  <w:num w:numId="12" w16cid:durableId="335233119">
    <w:abstractNumId w:val="7"/>
  </w:num>
  <w:num w:numId="13" w16cid:durableId="332296691">
    <w:abstractNumId w:val="6"/>
  </w:num>
  <w:num w:numId="14" w16cid:durableId="241530279">
    <w:abstractNumId w:val="5"/>
  </w:num>
  <w:num w:numId="15" w16cid:durableId="102960332">
    <w:abstractNumId w:val="4"/>
  </w:num>
  <w:num w:numId="16" w16cid:durableId="1802533833">
    <w:abstractNumId w:val="8"/>
  </w:num>
  <w:num w:numId="17" w16cid:durableId="33427449">
    <w:abstractNumId w:val="3"/>
  </w:num>
  <w:num w:numId="18" w16cid:durableId="455101207">
    <w:abstractNumId w:val="2"/>
  </w:num>
  <w:num w:numId="19" w16cid:durableId="1297681297">
    <w:abstractNumId w:val="1"/>
  </w:num>
  <w:num w:numId="20" w16cid:durableId="1647783204">
    <w:abstractNumId w:val="0"/>
  </w:num>
  <w:num w:numId="21" w16cid:durableId="1218472559">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3"/>
    <w:docVar w:name="AppNatAutre" w:val="0"/>
    <w:docVar w:name="DocVarPREMATURE" w:val="0"/>
    <w:docVar w:name="EMM" w:val="0"/>
    <w:docVar w:name="ETRANSMISSION" w:val="BY E-TRANSMISSION ONLY"/>
    <w:docVar w:name="L4_1Annex" w:val="0"/>
    <w:docVar w:name="L4_1Anonymity" w:val="0"/>
    <w:docVar w:name="NBEMMDOC" w:val="0"/>
    <w:docVar w:name="Plural" w:val="3"/>
    <w:docVar w:name="SignForeName" w:val="0"/>
    <w:docVar w:name="SndCaseNumber" w:val="Error!Nodocumentvariablesupplied."/>
  </w:docVars>
  <w:rsids>
    <w:rsidRoot w:val="00472871"/>
    <w:rsid w:val="000846C9"/>
    <w:rsid w:val="00095FD8"/>
    <w:rsid w:val="000B1FA9"/>
    <w:rsid w:val="000D61E7"/>
    <w:rsid w:val="000E3A89"/>
    <w:rsid w:val="00132029"/>
    <w:rsid w:val="00144EBC"/>
    <w:rsid w:val="0014531F"/>
    <w:rsid w:val="00180FEC"/>
    <w:rsid w:val="001D1233"/>
    <w:rsid w:val="00217B85"/>
    <w:rsid w:val="00220FFA"/>
    <w:rsid w:val="00223591"/>
    <w:rsid w:val="002706CA"/>
    <w:rsid w:val="002A7443"/>
    <w:rsid w:val="00332331"/>
    <w:rsid w:val="003833B7"/>
    <w:rsid w:val="003B50D7"/>
    <w:rsid w:val="003E3C60"/>
    <w:rsid w:val="00413C47"/>
    <w:rsid w:val="00424A50"/>
    <w:rsid w:val="00452087"/>
    <w:rsid w:val="00464268"/>
    <w:rsid w:val="00472871"/>
    <w:rsid w:val="004A4C71"/>
    <w:rsid w:val="004B4E73"/>
    <w:rsid w:val="00553B37"/>
    <w:rsid w:val="00562E20"/>
    <w:rsid w:val="005A21BA"/>
    <w:rsid w:val="005E56C2"/>
    <w:rsid w:val="005F11CB"/>
    <w:rsid w:val="006262FA"/>
    <w:rsid w:val="006267D3"/>
    <w:rsid w:val="00626B1F"/>
    <w:rsid w:val="006300E9"/>
    <w:rsid w:val="0063662A"/>
    <w:rsid w:val="00653EF4"/>
    <w:rsid w:val="00656B81"/>
    <w:rsid w:val="0066166C"/>
    <w:rsid w:val="006D4D63"/>
    <w:rsid w:val="006E123B"/>
    <w:rsid w:val="006E3739"/>
    <w:rsid w:val="007907C0"/>
    <w:rsid w:val="007A74FC"/>
    <w:rsid w:val="007B2364"/>
    <w:rsid w:val="007F689D"/>
    <w:rsid w:val="00811E4A"/>
    <w:rsid w:val="00812D10"/>
    <w:rsid w:val="00844F72"/>
    <w:rsid w:val="008D10E4"/>
    <w:rsid w:val="008E015E"/>
    <w:rsid w:val="008F0A92"/>
    <w:rsid w:val="008F7189"/>
    <w:rsid w:val="00947426"/>
    <w:rsid w:val="00956B2A"/>
    <w:rsid w:val="0096293E"/>
    <w:rsid w:val="009656DE"/>
    <w:rsid w:val="009B6F49"/>
    <w:rsid w:val="009C21E8"/>
    <w:rsid w:val="009E01FB"/>
    <w:rsid w:val="00A018EA"/>
    <w:rsid w:val="00A3658D"/>
    <w:rsid w:val="00A65537"/>
    <w:rsid w:val="00A878E9"/>
    <w:rsid w:val="00AA5AEE"/>
    <w:rsid w:val="00AC58E5"/>
    <w:rsid w:val="00AD6EF0"/>
    <w:rsid w:val="00AF5BAF"/>
    <w:rsid w:val="00B140D3"/>
    <w:rsid w:val="00BD1692"/>
    <w:rsid w:val="00C313EB"/>
    <w:rsid w:val="00C42C12"/>
    <w:rsid w:val="00C6326E"/>
    <w:rsid w:val="00C8038F"/>
    <w:rsid w:val="00CB3BD9"/>
    <w:rsid w:val="00D415D6"/>
    <w:rsid w:val="00D4703F"/>
    <w:rsid w:val="00D545B2"/>
    <w:rsid w:val="00D736E3"/>
    <w:rsid w:val="00DA50D5"/>
    <w:rsid w:val="00DB6354"/>
    <w:rsid w:val="00DD5F5A"/>
    <w:rsid w:val="00E30399"/>
    <w:rsid w:val="00E5464B"/>
    <w:rsid w:val="00E81497"/>
    <w:rsid w:val="00E819B4"/>
    <w:rsid w:val="00EA716B"/>
    <w:rsid w:val="00EE38CA"/>
    <w:rsid w:val="00F0534F"/>
    <w:rsid w:val="00F24AB9"/>
    <w:rsid w:val="00FC2655"/>
    <w:rsid w:val="00FC3D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2B9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44EBC"/>
    <w:rPr>
      <w:sz w:val="24"/>
      <w:szCs w:val="24"/>
    </w:rPr>
  </w:style>
  <w:style w:type="paragraph" w:styleId="Heading1">
    <w:name w:val="heading 1"/>
    <w:basedOn w:val="Normal"/>
    <w:next w:val="Normal"/>
    <w:link w:val="Heading1Char"/>
    <w:uiPriority w:val="98"/>
    <w:semiHidden/>
    <w:rsid w:val="00144EB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44EB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44EBC"/>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144EBC"/>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144EBC"/>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144EBC"/>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144EBC"/>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144EB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44EB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Signed">
    <w:name w:val="Ju_Signed"/>
    <w:aliases w:val="_Signature"/>
    <w:basedOn w:val="Normal"/>
    <w:next w:val="JuPara"/>
    <w:uiPriority w:val="31"/>
    <w:qFormat/>
    <w:rsid w:val="00144EBC"/>
    <w:pPr>
      <w:tabs>
        <w:tab w:val="center" w:pos="1418"/>
        <w:tab w:val="center" w:pos="5954"/>
      </w:tabs>
      <w:spacing w:before="720"/>
    </w:pPr>
  </w:style>
  <w:style w:type="paragraph" w:customStyle="1" w:styleId="JuPara">
    <w:name w:val="Ju_Para"/>
    <w:aliases w:val="_Para"/>
    <w:basedOn w:val="NormalJustified"/>
    <w:link w:val="JuParaChar"/>
    <w:uiPriority w:val="4"/>
    <w:qFormat/>
    <w:rsid w:val="00144EBC"/>
    <w:pPr>
      <w:ind w:firstLine="284"/>
    </w:pPr>
  </w:style>
  <w:style w:type="character" w:styleId="PageNumber">
    <w:name w:val="page number"/>
    <w:uiPriority w:val="98"/>
    <w:semiHidden/>
    <w:rsid w:val="00144EBC"/>
    <w:rPr>
      <w:sz w:val="18"/>
    </w:rPr>
  </w:style>
  <w:style w:type="character" w:styleId="CommentReference">
    <w:name w:val="annotation reference"/>
    <w:basedOn w:val="DefaultParagraphFont"/>
    <w:uiPriority w:val="98"/>
    <w:semiHidden/>
    <w:rsid w:val="00144EBC"/>
    <w:rPr>
      <w:sz w:val="16"/>
      <w:szCs w:val="16"/>
    </w:rPr>
  </w:style>
  <w:style w:type="paragraph" w:styleId="CommentText">
    <w:name w:val="annotation text"/>
    <w:basedOn w:val="Normal"/>
    <w:link w:val="CommentTextChar"/>
    <w:uiPriority w:val="98"/>
    <w:semiHidden/>
    <w:rsid w:val="00144EBC"/>
    <w:rPr>
      <w:sz w:val="20"/>
      <w:szCs w:val="20"/>
    </w:rPr>
  </w:style>
  <w:style w:type="character" w:customStyle="1" w:styleId="CommentTextChar">
    <w:name w:val="Comment Text Char"/>
    <w:basedOn w:val="DefaultParagraphFont"/>
    <w:link w:val="CommentText"/>
    <w:uiPriority w:val="98"/>
    <w:semiHidden/>
    <w:rsid w:val="00144EBC"/>
    <w:rPr>
      <w:sz w:val="20"/>
      <w:szCs w:val="20"/>
      <w:lang w:val="ro-RO"/>
    </w:rPr>
  </w:style>
  <w:style w:type="paragraph" w:customStyle="1" w:styleId="DecHTitle">
    <w:name w:val="Dec_H_Title"/>
    <w:aliases w:val="_Title_1"/>
    <w:basedOn w:val="JuPara"/>
    <w:next w:val="JuPara"/>
    <w:uiPriority w:val="38"/>
    <w:qFormat/>
    <w:rsid w:val="00144EBC"/>
    <w:pPr>
      <w:keepNext/>
      <w:keepLines/>
      <w:spacing w:after="240"/>
      <w:ind w:firstLine="0"/>
      <w:jc w:val="center"/>
      <w:outlineLvl w:val="0"/>
    </w:pPr>
    <w:rPr>
      <w:rFonts w:asciiTheme="majorHAnsi" w:hAnsiTheme="majorHAnsi"/>
      <w:sz w:val="28"/>
    </w:rPr>
  </w:style>
  <w:style w:type="paragraph" w:customStyle="1" w:styleId="DecHCase">
    <w:name w:val="Dec_H_Case"/>
    <w:aliases w:val="_Title_3"/>
    <w:basedOn w:val="JuPara"/>
    <w:next w:val="JuPara"/>
    <w:uiPriority w:val="38"/>
    <w:qFormat/>
    <w:rsid w:val="00144EBC"/>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144EBC"/>
    <w:pPr>
      <w:keepNext/>
      <w:keepLines/>
      <w:spacing w:before="1320" w:after="280"/>
      <w:contextualSpacing/>
      <w:jc w:val="center"/>
    </w:pPr>
    <w:rPr>
      <w:b/>
    </w:rPr>
  </w:style>
  <w:style w:type="paragraph" w:customStyle="1" w:styleId="JuHeader">
    <w:name w:val="Ju_Header"/>
    <w:aliases w:val="_Header"/>
    <w:basedOn w:val="Header"/>
    <w:uiPriority w:val="29"/>
    <w:qFormat/>
    <w:rsid w:val="00144EBC"/>
    <w:pPr>
      <w:tabs>
        <w:tab w:val="clear" w:pos="4536"/>
        <w:tab w:val="clear" w:pos="9072"/>
      </w:tabs>
      <w:jc w:val="center"/>
    </w:pPr>
    <w:rPr>
      <w:sz w:val="18"/>
    </w:rPr>
  </w:style>
  <w:style w:type="paragraph" w:styleId="Header">
    <w:name w:val="header"/>
    <w:basedOn w:val="Normal"/>
    <w:link w:val="HeaderChar"/>
    <w:uiPriority w:val="98"/>
    <w:semiHidden/>
    <w:rsid w:val="00144EBC"/>
    <w:pPr>
      <w:tabs>
        <w:tab w:val="center" w:pos="4536"/>
        <w:tab w:val="right" w:pos="9072"/>
      </w:tabs>
    </w:pPr>
  </w:style>
  <w:style w:type="character" w:customStyle="1" w:styleId="HeaderChar">
    <w:name w:val="Header Char"/>
    <w:basedOn w:val="DefaultParagraphFont"/>
    <w:link w:val="Header"/>
    <w:uiPriority w:val="98"/>
    <w:semiHidden/>
    <w:rsid w:val="00144EBC"/>
    <w:rPr>
      <w:sz w:val="24"/>
      <w:szCs w:val="24"/>
      <w:lang w:val="ro-RO"/>
    </w:rPr>
  </w:style>
  <w:style w:type="paragraph" w:styleId="BalloonText">
    <w:name w:val="Balloon Text"/>
    <w:basedOn w:val="Normal"/>
    <w:link w:val="BalloonTextChar"/>
    <w:uiPriority w:val="98"/>
    <w:semiHidden/>
    <w:rsid w:val="00144EBC"/>
    <w:rPr>
      <w:rFonts w:ascii="Tahoma" w:hAnsi="Tahoma" w:cs="Tahoma"/>
      <w:sz w:val="16"/>
      <w:szCs w:val="16"/>
    </w:rPr>
  </w:style>
  <w:style w:type="character" w:customStyle="1" w:styleId="BalloonTextChar">
    <w:name w:val="Balloon Text Char"/>
    <w:basedOn w:val="DefaultParagraphFont"/>
    <w:link w:val="BalloonText"/>
    <w:uiPriority w:val="98"/>
    <w:semiHidden/>
    <w:rsid w:val="00144EBC"/>
    <w:rPr>
      <w:rFonts w:ascii="Tahoma" w:hAnsi="Tahoma" w:cs="Tahoma"/>
      <w:sz w:val="16"/>
      <w:szCs w:val="16"/>
      <w:lang w:val="ro-RO"/>
    </w:rPr>
  </w:style>
  <w:style w:type="paragraph" w:customStyle="1" w:styleId="DummyStyle">
    <w:name w:val="Dummy_Style"/>
    <w:aliases w:val="_Dummy"/>
    <w:basedOn w:val="Normal"/>
    <w:semiHidden/>
    <w:qFormat/>
    <w:rsid w:val="00144EBC"/>
    <w:rPr>
      <w:color w:val="00B050"/>
      <w:sz w:val="22"/>
    </w:rPr>
  </w:style>
  <w:style w:type="paragraph" w:customStyle="1" w:styleId="NormalJustified">
    <w:name w:val="Normal_Justified"/>
    <w:basedOn w:val="Normal"/>
    <w:semiHidden/>
    <w:rsid w:val="00144EBC"/>
    <w:pPr>
      <w:jc w:val="both"/>
    </w:pPr>
  </w:style>
  <w:style w:type="paragraph" w:customStyle="1" w:styleId="JuQuot">
    <w:name w:val="Ju_Quot"/>
    <w:aliases w:val="_Quote"/>
    <w:basedOn w:val="NormalJustified"/>
    <w:uiPriority w:val="20"/>
    <w:qFormat/>
    <w:rsid w:val="00144EBC"/>
    <w:pPr>
      <w:spacing w:before="120" w:after="120"/>
      <w:ind w:left="425" w:firstLine="142"/>
    </w:pPr>
    <w:rPr>
      <w:sz w:val="20"/>
    </w:rPr>
  </w:style>
  <w:style w:type="paragraph" w:customStyle="1" w:styleId="ECHRCoverTitle4">
    <w:name w:val="ECHR_Cover_Title_4"/>
    <w:aliases w:val="_Title_4"/>
    <w:basedOn w:val="JuPara"/>
    <w:next w:val="JuPara"/>
    <w:uiPriority w:val="38"/>
    <w:qFormat/>
    <w:rsid w:val="00144EBC"/>
    <w:pPr>
      <w:keepNext/>
      <w:keepLines/>
      <w:tabs>
        <w:tab w:val="right" w:pos="7938"/>
      </w:tabs>
      <w:ind w:firstLine="0"/>
      <w:jc w:val="center"/>
    </w:pPr>
    <w:rPr>
      <w:i/>
    </w:rPr>
  </w:style>
  <w:style w:type="table" w:customStyle="1" w:styleId="ECHRDNTable">
    <w:name w:val="ECHR_DN_Table"/>
    <w:basedOn w:val="TableNormal"/>
    <w:uiPriority w:val="99"/>
    <w:rsid w:val="00144EBC"/>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numbering" w:customStyle="1" w:styleId="ECHRA1StyleBulletedSquare">
    <w:name w:val="ECHR_A1_Style_Bulleted_Square"/>
    <w:basedOn w:val="NoList"/>
    <w:rsid w:val="00144EBC"/>
    <w:pPr>
      <w:numPr>
        <w:numId w:val="4"/>
      </w:numPr>
    </w:pPr>
  </w:style>
  <w:style w:type="numbering" w:customStyle="1" w:styleId="ECHRA1StyleList">
    <w:name w:val="ECHR_A1_Style_List"/>
    <w:basedOn w:val="NoList"/>
    <w:uiPriority w:val="99"/>
    <w:rsid w:val="00144EBC"/>
    <w:pPr>
      <w:numPr>
        <w:numId w:val="5"/>
      </w:numPr>
    </w:pPr>
  </w:style>
  <w:style w:type="paragraph" w:customStyle="1" w:styleId="JuHArticle">
    <w:name w:val="Ju_H_Article"/>
    <w:aliases w:val="_Title_Quote"/>
    <w:basedOn w:val="Normal"/>
    <w:next w:val="JuQuot"/>
    <w:uiPriority w:val="19"/>
    <w:qFormat/>
    <w:rsid w:val="00144EBC"/>
    <w:pPr>
      <w:keepNext/>
      <w:spacing w:before="100" w:beforeAutospacing="1" w:after="120"/>
      <w:contextualSpacing/>
      <w:jc w:val="center"/>
    </w:pPr>
    <w:rPr>
      <w:b/>
      <w:sz w:val="20"/>
    </w:rPr>
  </w:style>
  <w:style w:type="numbering" w:customStyle="1" w:styleId="ECHRA1StyleNumberedList">
    <w:name w:val="ECHR_A1_Style_Numbered_List"/>
    <w:basedOn w:val="NoList"/>
    <w:rsid w:val="00144EBC"/>
    <w:pPr>
      <w:numPr>
        <w:numId w:val="6"/>
      </w:numPr>
    </w:pPr>
  </w:style>
  <w:style w:type="table" w:customStyle="1" w:styleId="ECHRHeaderTable">
    <w:name w:val="ECHR_Header_Table"/>
    <w:basedOn w:val="TableNormal"/>
    <w:uiPriority w:val="99"/>
    <w:rsid w:val="00144EBC"/>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JuHHead">
    <w:name w:val="Ju_H_Head"/>
    <w:aliases w:val="_Head_1"/>
    <w:basedOn w:val="Heading1"/>
    <w:next w:val="JuPara"/>
    <w:uiPriority w:val="17"/>
    <w:qFormat/>
    <w:rsid w:val="00144EBC"/>
    <w:pPr>
      <w:keepNext/>
      <w:keepLines/>
      <w:numPr>
        <w:numId w:val="9"/>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144EBC"/>
    <w:pPr>
      <w:tabs>
        <w:tab w:val="center" w:pos="6407"/>
      </w:tabs>
      <w:spacing w:before="720"/>
      <w:jc w:val="right"/>
    </w:pPr>
  </w:style>
  <w:style w:type="table" w:customStyle="1" w:styleId="ECHRHeaderTableReduced">
    <w:name w:val="ECHR_Header_Table_Reduced"/>
    <w:basedOn w:val="TableNormal"/>
    <w:uiPriority w:val="99"/>
    <w:rsid w:val="00144EBC"/>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JUNAMES">
    <w:name w:val="JU_NAMES"/>
    <w:aliases w:val="_Ju_Names"/>
    <w:uiPriority w:val="33"/>
    <w:qFormat/>
    <w:rsid w:val="00144EBC"/>
    <w:rPr>
      <w:caps w:val="0"/>
      <w:smallCaps/>
    </w:rPr>
  </w:style>
  <w:style w:type="character" w:customStyle="1" w:styleId="JuITMark">
    <w:name w:val="Ju_ITMark"/>
    <w:aliases w:val="_ITMark"/>
    <w:basedOn w:val="DefaultParagraphFont"/>
    <w:uiPriority w:val="54"/>
    <w:qFormat/>
    <w:rsid w:val="00144EBC"/>
    <w:rPr>
      <w:vanish w:val="0"/>
      <w:color w:val="auto"/>
      <w:sz w:val="14"/>
      <w:bdr w:val="none" w:sz="0" w:space="0" w:color="auto"/>
      <w:shd w:val="clear" w:color="auto" w:fill="BEE5FF" w:themeFill="background1" w:themeFillTint="33"/>
    </w:rPr>
  </w:style>
  <w:style w:type="table" w:customStyle="1" w:styleId="ECHRTable2019">
    <w:name w:val="ECHR_Table_2019"/>
    <w:basedOn w:val="TableNormal"/>
    <w:uiPriority w:val="99"/>
    <w:rsid w:val="00144EBC"/>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JuCourt">
    <w:name w:val="Ju_Court"/>
    <w:aliases w:val="_Court_Names"/>
    <w:basedOn w:val="Normal"/>
    <w:next w:val="Normal"/>
    <w:uiPriority w:val="32"/>
    <w:qFormat/>
    <w:rsid w:val="00144EBC"/>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144EBC"/>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character" w:customStyle="1" w:styleId="Heading1Char">
    <w:name w:val="Heading 1 Char"/>
    <w:basedOn w:val="DefaultParagraphFont"/>
    <w:link w:val="Heading1"/>
    <w:uiPriority w:val="98"/>
    <w:semiHidden/>
    <w:rsid w:val="00144EBC"/>
    <w:rPr>
      <w:rFonts w:asciiTheme="majorHAnsi" w:eastAsiaTheme="majorEastAsia" w:hAnsiTheme="majorHAnsi" w:cstheme="majorBidi"/>
      <w:b/>
      <w:bCs/>
      <w:color w:val="333333"/>
      <w:sz w:val="28"/>
      <w:szCs w:val="28"/>
      <w:lang w:val="ro-RO"/>
    </w:rPr>
  </w:style>
  <w:style w:type="paragraph" w:customStyle="1" w:styleId="JuHA">
    <w:name w:val="Ju_H_A"/>
    <w:aliases w:val="_Head_3"/>
    <w:basedOn w:val="Heading3"/>
    <w:next w:val="JuPara"/>
    <w:uiPriority w:val="17"/>
    <w:qFormat/>
    <w:rsid w:val="00144EBC"/>
    <w:pPr>
      <w:keepNext/>
      <w:keepLines/>
      <w:numPr>
        <w:ilvl w:val="2"/>
        <w:numId w:val="9"/>
      </w:numPr>
      <w:spacing w:before="100" w:beforeAutospacing="1" w:after="240" w:line="240" w:lineRule="auto"/>
      <w:jc w:val="both"/>
    </w:pPr>
    <w:rPr>
      <w:color w:val="auto"/>
      <w:sz w:val="24"/>
    </w:rPr>
  </w:style>
  <w:style w:type="character" w:customStyle="1" w:styleId="Heading2Char">
    <w:name w:val="Heading 2 Char"/>
    <w:basedOn w:val="DefaultParagraphFont"/>
    <w:link w:val="Heading2"/>
    <w:uiPriority w:val="98"/>
    <w:semiHidden/>
    <w:rsid w:val="00144EBC"/>
    <w:rPr>
      <w:rFonts w:asciiTheme="majorHAnsi" w:eastAsiaTheme="majorEastAsia" w:hAnsiTheme="majorHAnsi" w:cstheme="majorBidi"/>
      <w:b/>
      <w:bCs/>
      <w:color w:val="4D4D4D"/>
      <w:sz w:val="26"/>
      <w:szCs w:val="26"/>
      <w:lang w:val="ro-RO"/>
    </w:rPr>
  </w:style>
  <w:style w:type="paragraph" w:customStyle="1" w:styleId="JuH1">
    <w:name w:val="Ju_H_1."/>
    <w:aliases w:val="_Head_4"/>
    <w:basedOn w:val="Heading4"/>
    <w:next w:val="JuPara"/>
    <w:uiPriority w:val="17"/>
    <w:rsid w:val="00144EBC"/>
    <w:pPr>
      <w:keepNext/>
      <w:keepLines/>
      <w:numPr>
        <w:ilvl w:val="3"/>
        <w:numId w:val="9"/>
      </w:numPr>
      <w:spacing w:before="100" w:beforeAutospacing="1" w:after="120"/>
      <w:jc w:val="both"/>
    </w:pPr>
    <w:rPr>
      <w:b w:val="0"/>
      <w:color w:val="auto"/>
      <w:sz w:val="24"/>
    </w:rPr>
  </w:style>
  <w:style w:type="character" w:customStyle="1" w:styleId="Heading3Char">
    <w:name w:val="Heading 3 Char"/>
    <w:basedOn w:val="DefaultParagraphFont"/>
    <w:link w:val="Heading3"/>
    <w:uiPriority w:val="98"/>
    <w:semiHidden/>
    <w:rsid w:val="00144EBC"/>
    <w:rPr>
      <w:rFonts w:asciiTheme="majorHAnsi" w:eastAsiaTheme="majorEastAsia" w:hAnsiTheme="majorHAnsi" w:cstheme="majorBidi"/>
      <w:b/>
      <w:bCs/>
      <w:color w:val="5F5F5F"/>
      <w:lang w:val="ro-RO"/>
    </w:rPr>
  </w:style>
  <w:style w:type="paragraph" w:customStyle="1" w:styleId="JuHa0">
    <w:name w:val="Ju_H_a"/>
    <w:aliases w:val="_Head_5"/>
    <w:basedOn w:val="Heading5"/>
    <w:next w:val="JuPara"/>
    <w:uiPriority w:val="17"/>
    <w:rsid w:val="00144EBC"/>
    <w:pPr>
      <w:keepNext/>
      <w:keepLines/>
      <w:numPr>
        <w:ilvl w:val="4"/>
        <w:numId w:val="9"/>
      </w:numPr>
      <w:spacing w:before="100" w:beforeAutospacing="1" w:after="120"/>
      <w:jc w:val="both"/>
    </w:pPr>
    <w:rPr>
      <w:color w:val="auto"/>
      <w:sz w:val="20"/>
    </w:rPr>
  </w:style>
  <w:style w:type="character" w:customStyle="1" w:styleId="Heading4Char">
    <w:name w:val="Heading 4 Char"/>
    <w:basedOn w:val="DefaultParagraphFont"/>
    <w:link w:val="Heading4"/>
    <w:uiPriority w:val="98"/>
    <w:semiHidden/>
    <w:rsid w:val="00144EBC"/>
    <w:rPr>
      <w:rFonts w:asciiTheme="majorHAnsi" w:eastAsiaTheme="majorEastAsia" w:hAnsiTheme="majorHAnsi" w:cstheme="majorBidi"/>
      <w:b/>
      <w:bCs/>
      <w:i/>
      <w:iCs/>
      <w:color w:val="777777"/>
      <w:lang w:val="ro-RO"/>
    </w:rPr>
  </w:style>
  <w:style w:type="paragraph" w:customStyle="1" w:styleId="JuHi">
    <w:name w:val="Ju_H_i"/>
    <w:aliases w:val="_Head_6"/>
    <w:basedOn w:val="Heading6"/>
    <w:next w:val="JuPara"/>
    <w:uiPriority w:val="17"/>
    <w:rsid w:val="00144EBC"/>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5Char">
    <w:name w:val="Heading 5 Char"/>
    <w:basedOn w:val="DefaultParagraphFont"/>
    <w:link w:val="Heading5"/>
    <w:uiPriority w:val="98"/>
    <w:semiHidden/>
    <w:rsid w:val="00144EBC"/>
    <w:rPr>
      <w:rFonts w:asciiTheme="majorHAnsi" w:eastAsiaTheme="majorEastAsia" w:hAnsiTheme="majorHAnsi" w:cstheme="majorBidi"/>
      <w:b/>
      <w:bCs/>
      <w:color w:val="808080"/>
      <w:lang w:val="ro-RO"/>
    </w:rPr>
  </w:style>
  <w:style w:type="paragraph" w:customStyle="1" w:styleId="JuHalpha">
    <w:name w:val="Ju_H_alpha"/>
    <w:aliases w:val="_Head_7"/>
    <w:basedOn w:val="Heading7"/>
    <w:next w:val="JuPara"/>
    <w:uiPriority w:val="17"/>
    <w:rsid w:val="00144EBC"/>
    <w:pPr>
      <w:keepNext/>
      <w:keepLines/>
      <w:numPr>
        <w:ilvl w:val="6"/>
        <w:numId w:val="9"/>
      </w:numPr>
      <w:tabs>
        <w:tab w:val="left" w:pos="1361"/>
      </w:tabs>
      <w:spacing w:before="100" w:beforeAutospacing="1" w:after="120"/>
      <w:jc w:val="both"/>
    </w:pPr>
    <w:rPr>
      <w:i w:val="0"/>
      <w:sz w:val="20"/>
    </w:rPr>
  </w:style>
  <w:style w:type="character" w:customStyle="1" w:styleId="Heading6Char">
    <w:name w:val="Heading 6 Char"/>
    <w:basedOn w:val="DefaultParagraphFont"/>
    <w:link w:val="Heading6"/>
    <w:uiPriority w:val="98"/>
    <w:semiHidden/>
    <w:rsid w:val="00144EBC"/>
    <w:rPr>
      <w:rFonts w:asciiTheme="majorHAnsi" w:eastAsiaTheme="majorEastAsia" w:hAnsiTheme="majorHAnsi" w:cstheme="majorBidi"/>
      <w:b/>
      <w:bCs/>
      <w:i/>
      <w:iCs/>
      <w:color w:val="7F7F7F" w:themeColor="text1" w:themeTint="80"/>
      <w:lang w:val="ro-RO" w:bidi="en-US"/>
    </w:rPr>
  </w:style>
  <w:style w:type="paragraph" w:customStyle="1" w:styleId="JuH">
    <w:name w:val="Ju_H_–"/>
    <w:aliases w:val="_Head_8"/>
    <w:basedOn w:val="Heading8"/>
    <w:next w:val="JuPara"/>
    <w:uiPriority w:val="17"/>
    <w:rsid w:val="00144EBC"/>
    <w:pPr>
      <w:keepNext/>
      <w:keepLines/>
      <w:numPr>
        <w:ilvl w:val="7"/>
        <w:numId w:val="9"/>
      </w:numPr>
      <w:spacing w:before="100" w:beforeAutospacing="1" w:after="120"/>
      <w:jc w:val="both"/>
    </w:pPr>
    <w:rPr>
      <w:i/>
    </w:rPr>
  </w:style>
  <w:style w:type="character" w:customStyle="1" w:styleId="Heading7Char">
    <w:name w:val="Heading 7 Char"/>
    <w:basedOn w:val="DefaultParagraphFont"/>
    <w:link w:val="Heading7"/>
    <w:uiPriority w:val="98"/>
    <w:semiHidden/>
    <w:rsid w:val="00144EBC"/>
    <w:rPr>
      <w:rFonts w:asciiTheme="majorHAnsi" w:eastAsiaTheme="majorEastAsia" w:hAnsiTheme="majorHAnsi" w:cstheme="majorBidi"/>
      <w:i/>
      <w:iCs/>
      <w:lang w:val="ro-RO" w:bidi="en-US"/>
    </w:rPr>
  </w:style>
  <w:style w:type="paragraph" w:customStyle="1" w:styleId="JuParaLast">
    <w:name w:val="Ju_Para_Last"/>
    <w:aliases w:val="_Para_Spaced,ECHR_Para_Spaced"/>
    <w:basedOn w:val="NormalJustified"/>
    <w:uiPriority w:val="5"/>
    <w:qFormat/>
    <w:rsid w:val="00144EBC"/>
    <w:pPr>
      <w:keepNext/>
      <w:keepLines/>
      <w:spacing w:before="240" w:after="240"/>
      <w:ind w:firstLine="284"/>
    </w:pPr>
  </w:style>
  <w:style w:type="table" w:customStyle="1" w:styleId="ECHRTableBoxHeader">
    <w:name w:val="ECHR_Table_Box_Header"/>
    <w:basedOn w:val="TableNormal"/>
    <w:rsid w:val="00144EB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JuJudges">
    <w:name w:val="Ju_Judges"/>
    <w:aliases w:val="_Judges"/>
    <w:basedOn w:val="Normal"/>
    <w:uiPriority w:val="32"/>
    <w:qFormat/>
    <w:rsid w:val="00144EBC"/>
    <w:pPr>
      <w:tabs>
        <w:tab w:val="left" w:pos="567"/>
        <w:tab w:val="left" w:pos="1134"/>
      </w:tabs>
    </w:pPr>
  </w:style>
  <w:style w:type="paragraph" w:customStyle="1" w:styleId="JuList">
    <w:name w:val="Ju_List"/>
    <w:aliases w:val="_List_1"/>
    <w:basedOn w:val="NormalJustified"/>
    <w:uiPriority w:val="23"/>
    <w:qFormat/>
    <w:rsid w:val="00144EBC"/>
    <w:pPr>
      <w:numPr>
        <w:numId w:val="10"/>
      </w:numPr>
      <w:spacing w:before="280" w:after="60"/>
    </w:pPr>
  </w:style>
  <w:style w:type="paragraph" w:customStyle="1" w:styleId="JuLista">
    <w:name w:val="Ju_List_a"/>
    <w:aliases w:val="_List_2"/>
    <w:basedOn w:val="NormalJustified"/>
    <w:uiPriority w:val="23"/>
    <w:rsid w:val="00144EBC"/>
    <w:pPr>
      <w:numPr>
        <w:ilvl w:val="1"/>
        <w:numId w:val="10"/>
      </w:numPr>
    </w:pPr>
  </w:style>
  <w:style w:type="paragraph" w:customStyle="1" w:styleId="JuListi">
    <w:name w:val="Ju_List_i"/>
    <w:aliases w:val="_List_3"/>
    <w:basedOn w:val="NormalJustified"/>
    <w:uiPriority w:val="23"/>
    <w:rsid w:val="00144EBC"/>
    <w:pPr>
      <w:numPr>
        <w:ilvl w:val="2"/>
        <w:numId w:val="10"/>
      </w:numPr>
    </w:pPr>
  </w:style>
  <w:style w:type="table" w:customStyle="1" w:styleId="ECHRTableFax">
    <w:name w:val="ECHR_Table_Fax"/>
    <w:basedOn w:val="TableNormal"/>
    <w:uiPriority w:val="99"/>
    <w:rsid w:val="00144EBC"/>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144EBC"/>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144EBC"/>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character" w:customStyle="1" w:styleId="Heading8Char">
    <w:name w:val="Heading 8 Char"/>
    <w:basedOn w:val="DefaultParagraphFont"/>
    <w:link w:val="Heading8"/>
    <w:uiPriority w:val="98"/>
    <w:semiHidden/>
    <w:rsid w:val="00144EBC"/>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44EBC"/>
    <w:rPr>
      <w:rFonts w:asciiTheme="majorHAnsi" w:eastAsiaTheme="majorEastAsia" w:hAnsiTheme="majorHAnsi" w:cstheme="majorBidi"/>
      <w:i/>
      <w:iCs/>
      <w:spacing w:val="5"/>
      <w:sz w:val="20"/>
      <w:szCs w:val="20"/>
      <w:lang w:val="ro-RO" w:bidi="en-US"/>
    </w:rPr>
  </w:style>
  <w:style w:type="paragraph" w:styleId="Title">
    <w:name w:val="Title"/>
    <w:basedOn w:val="Normal"/>
    <w:next w:val="Normal"/>
    <w:link w:val="TitleChar"/>
    <w:uiPriority w:val="98"/>
    <w:semiHidden/>
    <w:qFormat/>
    <w:rsid w:val="00144EB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144EBC"/>
    <w:rPr>
      <w:rFonts w:asciiTheme="majorHAnsi" w:eastAsiaTheme="majorEastAsia" w:hAnsiTheme="majorHAnsi" w:cstheme="majorBidi"/>
      <w:spacing w:val="5"/>
      <w:sz w:val="52"/>
      <w:szCs w:val="52"/>
      <w:lang w:val="ro-RO" w:bidi="en-US"/>
    </w:rPr>
  </w:style>
  <w:style w:type="paragraph" w:styleId="Subtitle">
    <w:name w:val="Subtitle"/>
    <w:basedOn w:val="Normal"/>
    <w:next w:val="Normal"/>
    <w:link w:val="SubtitleChar"/>
    <w:uiPriority w:val="98"/>
    <w:semiHidden/>
    <w:qFormat/>
    <w:rsid w:val="00144EBC"/>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144EBC"/>
    <w:rPr>
      <w:rFonts w:asciiTheme="majorHAnsi" w:eastAsiaTheme="majorEastAsia" w:hAnsiTheme="majorHAnsi" w:cstheme="majorBidi"/>
      <w:i/>
      <w:iCs/>
      <w:spacing w:val="13"/>
      <w:sz w:val="24"/>
      <w:szCs w:val="24"/>
      <w:lang w:val="ro-RO" w:bidi="en-US"/>
    </w:rPr>
  </w:style>
  <w:style w:type="character" w:styleId="Strong">
    <w:name w:val="Strong"/>
    <w:uiPriority w:val="98"/>
    <w:semiHidden/>
    <w:qFormat/>
    <w:rsid w:val="00144EBC"/>
    <w:rPr>
      <w:b/>
      <w:bCs/>
    </w:rPr>
  </w:style>
  <w:style w:type="character" w:styleId="Emphasis">
    <w:name w:val="Emphasis"/>
    <w:uiPriority w:val="98"/>
    <w:semiHidden/>
    <w:qFormat/>
    <w:rsid w:val="00144EBC"/>
    <w:rPr>
      <w:b/>
      <w:bCs/>
      <w:i/>
      <w:iCs/>
      <w:spacing w:val="10"/>
      <w:bdr w:val="none" w:sz="0" w:space="0" w:color="auto"/>
      <w:shd w:val="clear" w:color="auto" w:fill="auto"/>
    </w:rPr>
  </w:style>
  <w:style w:type="paragraph" w:styleId="NoSpacing">
    <w:name w:val="No Spacing"/>
    <w:basedOn w:val="Normal"/>
    <w:link w:val="NoSpacingChar"/>
    <w:uiPriority w:val="98"/>
    <w:semiHidden/>
    <w:qFormat/>
    <w:rsid w:val="00144EBC"/>
  </w:style>
  <w:style w:type="character" w:customStyle="1" w:styleId="NoSpacingChar">
    <w:name w:val="No Spacing Char"/>
    <w:basedOn w:val="DefaultParagraphFont"/>
    <w:link w:val="NoSpacing"/>
    <w:uiPriority w:val="98"/>
    <w:semiHidden/>
    <w:rsid w:val="00144EBC"/>
    <w:rPr>
      <w:sz w:val="24"/>
      <w:szCs w:val="24"/>
      <w:lang w:val="ro-RO"/>
    </w:rPr>
  </w:style>
  <w:style w:type="paragraph" w:styleId="ListParagraph">
    <w:name w:val="List Paragraph"/>
    <w:basedOn w:val="Normal"/>
    <w:uiPriority w:val="98"/>
    <w:semiHidden/>
    <w:qFormat/>
    <w:rsid w:val="00144EBC"/>
    <w:pPr>
      <w:ind w:left="720"/>
      <w:contextualSpacing/>
    </w:pPr>
  </w:style>
  <w:style w:type="paragraph" w:styleId="Quote">
    <w:name w:val="Quote"/>
    <w:basedOn w:val="Normal"/>
    <w:next w:val="Normal"/>
    <w:link w:val="QuoteChar"/>
    <w:uiPriority w:val="98"/>
    <w:semiHidden/>
    <w:qFormat/>
    <w:rsid w:val="00144EBC"/>
    <w:pPr>
      <w:spacing w:before="200"/>
      <w:ind w:left="360" w:right="360"/>
    </w:pPr>
    <w:rPr>
      <w:i/>
      <w:iCs/>
      <w:lang w:bidi="en-US"/>
    </w:rPr>
  </w:style>
  <w:style w:type="character" w:customStyle="1" w:styleId="QuoteChar">
    <w:name w:val="Quote Char"/>
    <w:basedOn w:val="DefaultParagraphFont"/>
    <w:link w:val="Quote"/>
    <w:uiPriority w:val="98"/>
    <w:semiHidden/>
    <w:rsid w:val="00144EBC"/>
    <w:rPr>
      <w:i/>
      <w:iCs/>
      <w:sz w:val="24"/>
      <w:szCs w:val="24"/>
      <w:lang w:val="ro-RO" w:bidi="en-US"/>
    </w:rPr>
  </w:style>
  <w:style w:type="paragraph" w:styleId="IntenseQuote">
    <w:name w:val="Intense Quote"/>
    <w:basedOn w:val="Normal"/>
    <w:next w:val="Normal"/>
    <w:link w:val="IntenseQuoteChar"/>
    <w:uiPriority w:val="98"/>
    <w:semiHidden/>
    <w:qFormat/>
    <w:rsid w:val="00144EB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144EBC"/>
    <w:rPr>
      <w:b/>
      <w:bCs/>
      <w:i/>
      <w:iCs/>
      <w:sz w:val="24"/>
      <w:szCs w:val="24"/>
      <w:lang w:val="ro-RO" w:bidi="en-US"/>
    </w:rPr>
  </w:style>
  <w:style w:type="character" w:styleId="SubtleEmphasis">
    <w:name w:val="Subtle Emphasis"/>
    <w:uiPriority w:val="98"/>
    <w:semiHidden/>
    <w:qFormat/>
    <w:rsid w:val="00144EBC"/>
    <w:rPr>
      <w:i/>
      <w:iCs/>
    </w:rPr>
  </w:style>
  <w:style w:type="character" w:styleId="IntenseEmphasis">
    <w:name w:val="Intense Emphasis"/>
    <w:uiPriority w:val="98"/>
    <w:semiHidden/>
    <w:qFormat/>
    <w:rsid w:val="00144EBC"/>
    <w:rPr>
      <w:b/>
      <w:bCs/>
    </w:rPr>
  </w:style>
  <w:style w:type="character" w:styleId="SubtleReference">
    <w:name w:val="Subtle Reference"/>
    <w:uiPriority w:val="98"/>
    <w:semiHidden/>
    <w:qFormat/>
    <w:rsid w:val="00144EBC"/>
    <w:rPr>
      <w:smallCaps/>
    </w:rPr>
  </w:style>
  <w:style w:type="character" w:styleId="IntenseReference">
    <w:name w:val="Intense Reference"/>
    <w:uiPriority w:val="98"/>
    <w:semiHidden/>
    <w:qFormat/>
    <w:rsid w:val="00144EBC"/>
    <w:rPr>
      <w:smallCaps/>
      <w:spacing w:val="5"/>
      <w:u w:val="single"/>
    </w:rPr>
  </w:style>
  <w:style w:type="character" w:styleId="BookTitle">
    <w:name w:val="Book Title"/>
    <w:uiPriority w:val="98"/>
    <w:semiHidden/>
    <w:qFormat/>
    <w:rsid w:val="00144EBC"/>
    <w:rPr>
      <w:i/>
      <w:iCs/>
      <w:smallCaps/>
      <w:spacing w:val="5"/>
    </w:rPr>
  </w:style>
  <w:style w:type="paragraph" w:styleId="TOCHeading">
    <w:name w:val="TOC Heading"/>
    <w:basedOn w:val="Normal"/>
    <w:next w:val="Normal"/>
    <w:uiPriority w:val="98"/>
    <w:semiHidden/>
    <w:qFormat/>
    <w:rsid w:val="00144EBC"/>
    <w:pPr>
      <w:keepNext/>
      <w:keepLines/>
      <w:spacing w:before="240"/>
      <w:contextualSpacing/>
      <w:jc w:val="center"/>
    </w:pPr>
    <w:rPr>
      <w:rFonts w:asciiTheme="majorHAnsi" w:hAnsiTheme="majorHAnsi"/>
      <w:b/>
      <w:color w:val="474747" w:themeColor="accent3" w:themeShade="BF"/>
      <w:sz w:val="28"/>
    </w:rPr>
  </w:style>
  <w:style w:type="numbering" w:styleId="111111">
    <w:name w:val="Outline List 2"/>
    <w:basedOn w:val="NoList"/>
    <w:uiPriority w:val="99"/>
    <w:semiHidden/>
    <w:unhideWhenUsed/>
    <w:rsid w:val="00144EBC"/>
    <w:pPr>
      <w:numPr>
        <w:numId w:val="1"/>
      </w:numPr>
    </w:pPr>
  </w:style>
  <w:style w:type="numbering" w:styleId="1ai">
    <w:name w:val="Outline List 1"/>
    <w:basedOn w:val="NoList"/>
    <w:uiPriority w:val="99"/>
    <w:semiHidden/>
    <w:unhideWhenUsed/>
    <w:rsid w:val="00144EBC"/>
    <w:pPr>
      <w:numPr>
        <w:numId w:val="2"/>
      </w:numPr>
    </w:pPr>
  </w:style>
  <w:style w:type="numbering" w:styleId="ArticleSection">
    <w:name w:val="Outline List 3"/>
    <w:basedOn w:val="NoList"/>
    <w:uiPriority w:val="99"/>
    <w:semiHidden/>
    <w:unhideWhenUsed/>
    <w:rsid w:val="00144EBC"/>
    <w:pPr>
      <w:numPr>
        <w:numId w:val="3"/>
      </w:numPr>
    </w:pPr>
  </w:style>
  <w:style w:type="paragraph" w:styleId="Bibliography">
    <w:name w:val="Bibliography"/>
    <w:basedOn w:val="Normal"/>
    <w:next w:val="Normal"/>
    <w:uiPriority w:val="98"/>
    <w:semiHidden/>
    <w:rsid w:val="00144EBC"/>
  </w:style>
  <w:style w:type="paragraph" w:styleId="BlockText">
    <w:name w:val="Block Text"/>
    <w:basedOn w:val="Normal"/>
    <w:uiPriority w:val="98"/>
    <w:semiHidden/>
    <w:rsid w:val="00144EBC"/>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8"/>
    <w:semiHidden/>
    <w:rsid w:val="00144EBC"/>
    <w:pPr>
      <w:spacing w:after="120"/>
    </w:pPr>
  </w:style>
  <w:style w:type="character" w:customStyle="1" w:styleId="BodyTextChar">
    <w:name w:val="Body Text Char"/>
    <w:basedOn w:val="DefaultParagraphFont"/>
    <w:link w:val="BodyText"/>
    <w:uiPriority w:val="98"/>
    <w:semiHidden/>
    <w:rsid w:val="00144EBC"/>
    <w:rPr>
      <w:sz w:val="24"/>
      <w:szCs w:val="24"/>
      <w:lang w:val="ro-RO"/>
    </w:rPr>
  </w:style>
  <w:style w:type="paragraph" w:styleId="BodyText2">
    <w:name w:val="Body Text 2"/>
    <w:basedOn w:val="Normal"/>
    <w:link w:val="BodyText2Char"/>
    <w:uiPriority w:val="98"/>
    <w:semiHidden/>
    <w:rsid w:val="00144EBC"/>
    <w:pPr>
      <w:spacing w:after="120" w:line="480" w:lineRule="auto"/>
    </w:pPr>
  </w:style>
  <w:style w:type="character" w:customStyle="1" w:styleId="BodyText2Char">
    <w:name w:val="Body Text 2 Char"/>
    <w:basedOn w:val="DefaultParagraphFont"/>
    <w:link w:val="BodyText2"/>
    <w:uiPriority w:val="98"/>
    <w:semiHidden/>
    <w:rsid w:val="00144EBC"/>
    <w:rPr>
      <w:sz w:val="24"/>
      <w:szCs w:val="24"/>
      <w:lang w:val="ro-RO"/>
    </w:rPr>
  </w:style>
  <w:style w:type="paragraph" w:styleId="BodyText3">
    <w:name w:val="Body Text 3"/>
    <w:basedOn w:val="Normal"/>
    <w:link w:val="BodyText3Char"/>
    <w:uiPriority w:val="98"/>
    <w:semiHidden/>
    <w:rsid w:val="00144EBC"/>
    <w:pPr>
      <w:spacing w:after="120"/>
    </w:pPr>
    <w:rPr>
      <w:sz w:val="16"/>
      <w:szCs w:val="16"/>
    </w:rPr>
  </w:style>
  <w:style w:type="character" w:customStyle="1" w:styleId="BodyText3Char">
    <w:name w:val="Body Text 3 Char"/>
    <w:basedOn w:val="DefaultParagraphFont"/>
    <w:link w:val="BodyText3"/>
    <w:uiPriority w:val="98"/>
    <w:semiHidden/>
    <w:rsid w:val="00144EBC"/>
    <w:rPr>
      <w:sz w:val="16"/>
      <w:szCs w:val="16"/>
      <w:lang w:val="ro-RO"/>
    </w:rPr>
  </w:style>
  <w:style w:type="paragraph" w:styleId="BodyTextFirstIndent">
    <w:name w:val="Body Text First Indent"/>
    <w:basedOn w:val="BodyText"/>
    <w:link w:val="BodyTextFirstIndentChar"/>
    <w:uiPriority w:val="98"/>
    <w:semiHidden/>
    <w:rsid w:val="00144EBC"/>
    <w:pPr>
      <w:spacing w:after="0"/>
      <w:ind w:firstLine="360"/>
    </w:pPr>
  </w:style>
  <w:style w:type="character" w:customStyle="1" w:styleId="BodyTextFirstIndentChar">
    <w:name w:val="Body Text First Indent Char"/>
    <w:basedOn w:val="BodyTextChar"/>
    <w:link w:val="BodyTextFirstIndent"/>
    <w:uiPriority w:val="98"/>
    <w:semiHidden/>
    <w:rsid w:val="00144EBC"/>
    <w:rPr>
      <w:sz w:val="24"/>
      <w:szCs w:val="24"/>
      <w:lang w:val="ro-RO"/>
    </w:rPr>
  </w:style>
  <w:style w:type="paragraph" w:styleId="BodyTextIndent">
    <w:name w:val="Body Text Indent"/>
    <w:basedOn w:val="Normal"/>
    <w:link w:val="BodyTextIndentChar"/>
    <w:uiPriority w:val="98"/>
    <w:semiHidden/>
    <w:rsid w:val="00144EBC"/>
    <w:pPr>
      <w:spacing w:after="120"/>
      <w:ind w:left="283"/>
    </w:pPr>
  </w:style>
  <w:style w:type="character" w:customStyle="1" w:styleId="BodyTextIndentChar">
    <w:name w:val="Body Text Indent Char"/>
    <w:basedOn w:val="DefaultParagraphFont"/>
    <w:link w:val="BodyTextIndent"/>
    <w:uiPriority w:val="98"/>
    <w:semiHidden/>
    <w:rsid w:val="00144EBC"/>
    <w:rPr>
      <w:sz w:val="24"/>
      <w:szCs w:val="24"/>
      <w:lang w:val="ro-RO"/>
    </w:rPr>
  </w:style>
  <w:style w:type="paragraph" w:styleId="BodyTextFirstIndent2">
    <w:name w:val="Body Text First Indent 2"/>
    <w:basedOn w:val="BodyTextIndent"/>
    <w:link w:val="BodyTextFirstIndent2Char"/>
    <w:uiPriority w:val="98"/>
    <w:semiHidden/>
    <w:rsid w:val="00144EBC"/>
    <w:pPr>
      <w:spacing w:after="0"/>
      <w:ind w:left="360" w:firstLine="360"/>
    </w:pPr>
  </w:style>
  <w:style w:type="character" w:customStyle="1" w:styleId="BodyTextFirstIndent2Char">
    <w:name w:val="Body Text First Indent 2 Char"/>
    <w:basedOn w:val="BodyTextIndentChar"/>
    <w:link w:val="BodyTextFirstIndent2"/>
    <w:uiPriority w:val="98"/>
    <w:semiHidden/>
    <w:rsid w:val="00144EBC"/>
    <w:rPr>
      <w:sz w:val="24"/>
      <w:szCs w:val="24"/>
      <w:lang w:val="ro-RO"/>
    </w:rPr>
  </w:style>
  <w:style w:type="paragraph" w:styleId="BodyTextIndent2">
    <w:name w:val="Body Text Indent 2"/>
    <w:basedOn w:val="Normal"/>
    <w:link w:val="BodyTextIndent2Char"/>
    <w:uiPriority w:val="98"/>
    <w:semiHidden/>
    <w:rsid w:val="00144EBC"/>
    <w:pPr>
      <w:spacing w:after="120" w:line="480" w:lineRule="auto"/>
      <w:ind w:left="283"/>
    </w:pPr>
  </w:style>
  <w:style w:type="character" w:customStyle="1" w:styleId="BodyTextIndent2Char">
    <w:name w:val="Body Text Indent 2 Char"/>
    <w:basedOn w:val="DefaultParagraphFont"/>
    <w:link w:val="BodyTextIndent2"/>
    <w:uiPriority w:val="98"/>
    <w:semiHidden/>
    <w:rsid w:val="00144EBC"/>
    <w:rPr>
      <w:sz w:val="24"/>
      <w:szCs w:val="24"/>
      <w:lang w:val="ro-RO"/>
    </w:rPr>
  </w:style>
  <w:style w:type="paragraph" w:styleId="BodyTextIndent3">
    <w:name w:val="Body Text Indent 3"/>
    <w:basedOn w:val="Normal"/>
    <w:link w:val="BodyTextIndent3Char"/>
    <w:uiPriority w:val="98"/>
    <w:semiHidden/>
    <w:rsid w:val="00144EBC"/>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144EBC"/>
    <w:rPr>
      <w:sz w:val="16"/>
      <w:szCs w:val="16"/>
      <w:lang w:val="ro-RO"/>
    </w:rPr>
  </w:style>
  <w:style w:type="paragraph" w:styleId="Caption">
    <w:name w:val="caption"/>
    <w:basedOn w:val="Normal"/>
    <w:next w:val="Normal"/>
    <w:uiPriority w:val="98"/>
    <w:semiHidden/>
    <w:qFormat/>
    <w:rsid w:val="00144EBC"/>
    <w:pPr>
      <w:spacing w:after="200"/>
    </w:pPr>
    <w:rPr>
      <w:b/>
      <w:bCs/>
      <w:color w:val="0072BC" w:themeColor="accent1"/>
      <w:sz w:val="18"/>
      <w:szCs w:val="18"/>
    </w:rPr>
  </w:style>
  <w:style w:type="paragraph" w:styleId="Closing">
    <w:name w:val="Closing"/>
    <w:basedOn w:val="Normal"/>
    <w:link w:val="ClosingChar"/>
    <w:uiPriority w:val="98"/>
    <w:semiHidden/>
    <w:rsid w:val="00144EBC"/>
    <w:pPr>
      <w:ind w:left="4252"/>
    </w:pPr>
  </w:style>
  <w:style w:type="character" w:customStyle="1" w:styleId="ClosingChar">
    <w:name w:val="Closing Char"/>
    <w:basedOn w:val="DefaultParagraphFont"/>
    <w:link w:val="Closing"/>
    <w:uiPriority w:val="98"/>
    <w:semiHidden/>
    <w:rsid w:val="00144EBC"/>
    <w:rPr>
      <w:sz w:val="24"/>
      <w:szCs w:val="24"/>
      <w:lang w:val="ro-RO"/>
    </w:rPr>
  </w:style>
  <w:style w:type="table" w:styleId="ColorfulGrid">
    <w:name w:val="Colorful Grid"/>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144EBC"/>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144EBC"/>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144EBC"/>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144EBC"/>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144EBC"/>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144EBC"/>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144EBC"/>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144EBC"/>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144EBC"/>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144EBC"/>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144EBC"/>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144EBC"/>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144EBC"/>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144EBC"/>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144EBC"/>
    <w:rPr>
      <w:b/>
      <w:bCs/>
    </w:rPr>
  </w:style>
  <w:style w:type="character" w:customStyle="1" w:styleId="CommentSubjectChar">
    <w:name w:val="Comment Subject Char"/>
    <w:basedOn w:val="CommentTextChar"/>
    <w:link w:val="CommentSubject"/>
    <w:uiPriority w:val="98"/>
    <w:semiHidden/>
    <w:rsid w:val="00144EBC"/>
    <w:rPr>
      <w:b/>
      <w:bCs/>
      <w:sz w:val="20"/>
      <w:szCs w:val="20"/>
      <w:lang w:val="ro-RO"/>
    </w:rPr>
  </w:style>
  <w:style w:type="table" w:styleId="DarkList">
    <w:name w:val="Dark List"/>
    <w:basedOn w:val="TableNormal"/>
    <w:uiPriority w:val="70"/>
    <w:semiHidden/>
    <w:rsid w:val="00144EBC"/>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144EBC"/>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144EBC"/>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144EBC"/>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144EBC"/>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144EBC"/>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144EBC"/>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144EBC"/>
  </w:style>
  <w:style w:type="character" w:customStyle="1" w:styleId="DateChar">
    <w:name w:val="Date Char"/>
    <w:basedOn w:val="DefaultParagraphFont"/>
    <w:link w:val="Date"/>
    <w:uiPriority w:val="98"/>
    <w:semiHidden/>
    <w:rsid w:val="00144EBC"/>
    <w:rPr>
      <w:sz w:val="24"/>
      <w:szCs w:val="24"/>
      <w:lang w:val="ro-RO"/>
    </w:rPr>
  </w:style>
  <w:style w:type="paragraph" w:styleId="DocumentMap">
    <w:name w:val="Document Map"/>
    <w:basedOn w:val="Normal"/>
    <w:link w:val="DocumentMapChar"/>
    <w:uiPriority w:val="98"/>
    <w:semiHidden/>
    <w:rsid w:val="00144EBC"/>
    <w:rPr>
      <w:rFonts w:ascii="Tahoma" w:hAnsi="Tahoma" w:cs="Tahoma"/>
      <w:sz w:val="16"/>
      <w:szCs w:val="16"/>
    </w:rPr>
  </w:style>
  <w:style w:type="character" w:customStyle="1" w:styleId="DocumentMapChar">
    <w:name w:val="Document Map Char"/>
    <w:basedOn w:val="DefaultParagraphFont"/>
    <w:link w:val="DocumentMap"/>
    <w:uiPriority w:val="98"/>
    <w:semiHidden/>
    <w:rsid w:val="00144EBC"/>
    <w:rPr>
      <w:rFonts w:ascii="Tahoma" w:hAnsi="Tahoma" w:cs="Tahoma"/>
      <w:sz w:val="16"/>
      <w:szCs w:val="16"/>
      <w:lang w:val="ro-RO"/>
    </w:rPr>
  </w:style>
  <w:style w:type="paragraph" w:styleId="E-mailSignature">
    <w:name w:val="E-mail Signature"/>
    <w:basedOn w:val="Normal"/>
    <w:link w:val="E-mailSignatureChar"/>
    <w:uiPriority w:val="98"/>
    <w:semiHidden/>
    <w:rsid w:val="00144EBC"/>
  </w:style>
  <w:style w:type="character" w:customStyle="1" w:styleId="E-mailSignatureChar">
    <w:name w:val="E-mail Signature Char"/>
    <w:basedOn w:val="DefaultParagraphFont"/>
    <w:link w:val="E-mailSignature"/>
    <w:uiPriority w:val="98"/>
    <w:semiHidden/>
    <w:rsid w:val="00144EBC"/>
    <w:rPr>
      <w:sz w:val="24"/>
      <w:szCs w:val="24"/>
      <w:lang w:val="ro-RO"/>
    </w:rPr>
  </w:style>
  <w:style w:type="character" w:styleId="EndnoteReference">
    <w:name w:val="endnote reference"/>
    <w:basedOn w:val="DefaultParagraphFont"/>
    <w:uiPriority w:val="98"/>
    <w:semiHidden/>
    <w:rsid w:val="00144EBC"/>
    <w:rPr>
      <w:vertAlign w:val="superscript"/>
    </w:rPr>
  </w:style>
  <w:style w:type="paragraph" w:styleId="EndnoteText">
    <w:name w:val="endnote text"/>
    <w:basedOn w:val="Normal"/>
    <w:link w:val="EndnoteTextChar"/>
    <w:uiPriority w:val="98"/>
    <w:semiHidden/>
    <w:rsid w:val="00144EBC"/>
    <w:rPr>
      <w:sz w:val="20"/>
      <w:szCs w:val="20"/>
    </w:rPr>
  </w:style>
  <w:style w:type="character" w:customStyle="1" w:styleId="EndnoteTextChar">
    <w:name w:val="Endnote Text Char"/>
    <w:basedOn w:val="DefaultParagraphFont"/>
    <w:link w:val="EndnoteText"/>
    <w:uiPriority w:val="98"/>
    <w:semiHidden/>
    <w:rsid w:val="00144EBC"/>
    <w:rPr>
      <w:sz w:val="20"/>
      <w:szCs w:val="20"/>
      <w:lang w:val="ro-RO"/>
    </w:rPr>
  </w:style>
  <w:style w:type="paragraph" w:styleId="EnvelopeAddress">
    <w:name w:val="envelope address"/>
    <w:basedOn w:val="Normal"/>
    <w:uiPriority w:val="98"/>
    <w:semiHidden/>
    <w:rsid w:val="00144EBC"/>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144EBC"/>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144EBC"/>
    <w:rPr>
      <w:color w:val="7030A0" w:themeColor="followedHyperlink"/>
      <w:u w:val="single"/>
    </w:rPr>
  </w:style>
  <w:style w:type="character" w:styleId="FootnoteReference">
    <w:name w:val="footnote reference"/>
    <w:basedOn w:val="DefaultParagraphFont"/>
    <w:uiPriority w:val="98"/>
    <w:semiHidden/>
    <w:rsid w:val="00144EBC"/>
    <w:rPr>
      <w:vertAlign w:val="superscript"/>
    </w:rPr>
  </w:style>
  <w:style w:type="paragraph" w:styleId="FootnoteText">
    <w:name w:val="footnote text"/>
    <w:basedOn w:val="Normal"/>
    <w:link w:val="FootnoteTextChar"/>
    <w:uiPriority w:val="98"/>
    <w:semiHidden/>
    <w:rsid w:val="00144EBC"/>
    <w:rPr>
      <w:sz w:val="20"/>
      <w:szCs w:val="20"/>
    </w:rPr>
  </w:style>
  <w:style w:type="character" w:customStyle="1" w:styleId="FootnoteTextChar">
    <w:name w:val="Footnote Text Char"/>
    <w:basedOn w:val="DefaultParagraphFont"/>
    <w:link w:val="FootnoteText"/>
    <w:uiPriority w:val="98"/>
    <w:semiHidden/>
    <w:rsid w:val="00144EBC"/>
    <w:rPr>
      <w:sz w:val="20"/>
      <w:szCs w:val="20"/>
      <w:lang w:val="ro-RO"/>
    </w:rPr>
  </w:style>
  <w:style w:type="character" w:styleId="HTMLAcronym">
    <w:name w:val="HTML Acronym"/>
    <w:basedOn w:val="DefaultParagraphFont"/>
    <w:uiPriority w:val="98"/>
    <w:semiHidden/>
    <w:rsid w:val="00144EBC"/>
  </w:style>
  <w:style w:type="paragraph" w:styleId="HTMLAddress">
    <w:name w:val="HTML Address"/>
    <w:basedOn w:val="Normal"/>
    <w:link w:val="HTMLAddressChar"/>
    <w:uiPriority w:val="98"/>
    <w:semiHidden/>
    <w:rsid w:val="00144EBC"/>
    <w:rPr>
      <w:i/>
      <w:iCs/>
    </w:rPr>
  </w:style>
  <w:style w:type="character" w:customStyle="1" w:styleId="HTMLAddressChar">
    <w:name w:val="HTML Address Char"/>
    <w:basedOn w:val="DefaultParagraphFont"/>
    <w:link w:val="HTMLAddress"/>
    <w:uiPriority w:val="98"/>
    <w:semiHidden/>
    <w:rsid w:val="00144EBC"/>
    <w:rPr>
      <w:i/>
      <w:iCs/>
      <w:sz w:val="24"/>
      <w:szCs w:val="24"/>
      <w:lang w:val="ro-RO"/>
    </w:rPr>
  </w:style>
  <w:style w:type="character" w:styleId="HTMLCite">
    <w:name w:val="HTML Cite"/>
    <w:basedOn w:val="DefaultParagraphFont"/>
    <w:uiPriority w:val="98"/>
    <w:semiHidden/>
    <w:rsid w:val="00144EBC"/>
    <w:rPr>
      <w:i/>
      <w:iCs/>
    </w:rPr>
  </w:style>
  <w:style w:type="character" w:styleId="HTMLCode">
    <w:name w:val="HTML Code"/>
    <w:basedOn w:val="DefaultParagraphFont"/>
    <w:uiPriority w:val="98"/>
    <w:semiHidden/>
    <w:rsid w:val="00144EBC"/>
    <w:rPr>
      <w:rFonts w:ascii="Consolas" w:hAnsi="Consolas" w:cs="Consolas"/>
      <w:sz w:val="20"/>
      <w:szCs w:val="20"/>
    </w:rPr>
  </w:style>
  <w:style w:type="character" w:styleId="HTMLDefinition">
    <w:name w:val="HTML Definition"/>
    <w:basedOn w:val="DefaultParagraphFont"/>
    <w:uiPriority w:val="98"/>
    <w:semiHidden/>
    <w:rsid w:val="00144EBC"/>
    <w:rPr>
      <w:i/>
      <w:iCs/>
    </w:rPr>
  </w:style>
  <w:style w:type="character" w:styleId="HTMLKeyboard">
    <w:name w:val="HTML Keyboard"/>
    <w:basedOn w:val="DefaultParagraphFont"/>
    <w:uiPriority w:val="98"/>
    <w:semiHidden/>
    <w:rsid w:val="00144EBC"/>
    <w:rPr>
      <w:rFonts w:ascii="Consolas" w:hAnsi="Consolas" w:cs="Consolas"/>
      <w:sz w:val="20"/>
      <w:szCs w:val="20"/>
    </w:rPr>
  </w:style>
  <w:style w:type="paragraph" w:styleId="HTMLPreformatted">
    <w:name w:val="HTML Preformatted"/>
    <w:basedOn w:val="Normal"/>
    <w:link w:val="HTMLPreformattedChar"/>
    <w:uiPriority w:val="98"/>
    <w:semiHidden/>
    <w:rsid w:val="00144EBC"/>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144EBC"/>
    <w:rPr>
      <w:rFonts w:ascii="Consolas" w:hAnsi="Consolas" w:cs="Consolas"/>
      <w:sz w:val="20"/>
      <w:szCs w:val="20"/>
      <w:lang w:val="ro-RO"/>
    </w:rPr>
  </w:style>
  <w:style w:type="character" w:styleId="HTMLSample">
    <w:name w:val="HTML Sample"/>
    <w:basedOn w:val="DefaultParagraphFont"/>
    <w:uiPriority w:val="98"/>
    <w:semiHidden/>
    <w:rsid w:val="00144EBC"/>
    <w:rPr>
      <w:rFonts w:ascii="Consolas" w:hAnsi="Consolas" w:cs="Consolas"/>
      <w:sz w:val="24"/>
      <w:szCs w:val="24"/>
    </w:rPr>
  </w:style>
  <w:style w:type="character" w:styleId="HTMLTypewriter">
    <w:name w:val="HTML Typewriter"/>
    <w:basedOn w:val="DefaultParagraphFont"/>
    <w:uiPriority w:val="98"/>
    <w:semiHidden/>
    <w:rsid w:val="00144EBC"/>
    <w:rPr>
      <w:rFonts w:ascii="Consolas" w:hAnsi="Consolas" w:cs="Consolas"/>
      <w:sz w:val="20"/>
      <w:szCs w:val="20"/>
    </w:rPr>
  </w:style>
  <w:style w:type="character" w:styleId="HTMLVariable">
    <w:name w:val="HTML Variable"/>
    <w:basedOn w:val="DefaultParagraphFont"/>
    <w:uiPriority w:val="98"/>
    <w:semiHidden/>
    <w:rsid w:val="00144EBC"/>
    <w:rPr>
      <w:i/>
      <w:iCs/>
    </w:rPr>
  </w:style>
  <w:style w:type="character" w:styleId="Hyperlink">
    <w:name w:val="Hyperlink"/>
    <w:basedOn w:val="DefaultParagraphFont"/>
    <w:uiPriority w:val="98"/>
    <w:rsid w:val="00144EBC"/>
    <w:rPr>
      <w:color w:val="0072BC" w:themeColor="hyperlink"/>
      <w:u w:val="single"/>
    </w:rPr>
  </w:style>
  <w:style w:type="paragraph" w:styleId="Index1">
    <w:name w:val="index 1"/>
    <w:basedOn w:val="Normal"/>
    <w:next w:val="Normal"/>
    <w:autoRedefine/>
    <w:uiPriority w:val="98"/>
    <w:semiHidden/>
    <w:rsid w:val="00144EBC"/>
    <w:pPr>
      <w:ind w:left="240" w:hanging="240"/>
    </w:pPr>
  </w:style>
  <w:style w:type="paragraph" w:styleId="Index2">
    <w:name w:val="index 2"/>
    <w:basedOn w:val="Normal"/>
    <w:next w:val="Normal"/>
    <w:autoRedefine/>
    <w:uiPriority w:val="98"/>
    <w:semiHidden/>
    <w:rsid w:val="00144EBC"/>
    <w:pPr>
      <w:ind w:left="480" w:hanging="240"/>
    </w:pPr>
  </w:style>
  <w:style w:type="paragraph" w:styleId="Index3">
    <w:name w:val="index 3"/>
    <w:basedOn w:val="Normal"/>
    <w:next w:val="Normal"/>
    <w:autoRedefine/>
    <w:uiPriority w:val="98"/>
    <w:semiHidden/>
    <w:rsid w:val="00144EBC"/>
    <w:pPr>
      <w:ind w:left="720" w:hanging="240"/>
    </w:pPr>
  </w:style>
  <w:style w:type="paragraph" w:styleId="Index4">
    <w:name w:val="index 4"/>
    <w:basedOn w:val="Normal"/>
    <w:next w:val="Normal"/>
    <w:autoRedefine/>
    <w:uiPriority w:val="98"/>
    <w:semiHidden/>
    <w:rsid w:val="00144EBC"/>
    <w:pPr>
      <w:ind w:left="960" w:hanging="240"/>
    </w:pPr>
  </w:style>
  <w:style w:type="paragraph" w:styleId="Index5">
    <w:name w:val="index 5"/>
    <w:basedOn w:val="Normal"/>
    <w:next w:val="Normal"/>
    <w:autoRedefine/>
    <w:uiPriority w:val="98"/>
    <w:semiHidden/>
    <w:rsid w:val="00144EBC"/>
    <w:pPr>
      <w:ind w:left="1200" w:hanging="240"/>
    </w:pPr>
  </w:style>
  <w:style w:type="paragraph" w:styleId="Index6">
    <w:name w:val="index 6"/>
    <w:basedOn w:val="Normal"/>
    <w:next w:val="Normal"/>
    <w:autoRedefine/>
    <w:uiPriority w:val="98"/>
    <w:semiHidden/>
    <w:rsid w:val="00144EBC"/>
    <w:pPr>
      <w:ind w:left="1440" w:hanging="240"/>
    </w:pPr>
  </w:style>
  <w:style w:type="paragraph" w:styleId="Index7">
    <w:name w:val="index 7"/>
    <w:basedOn w:val="Normal"/>
    <w:next w:val="Normal"/>
    <w:autoRedefine/>
    <w:uiPriority w:val="98"/>
    <w:semiHidden/>
    <w:rsid w:val="00144EBC"/>
    <w:pPr>
      <w:ind w:left="1680" w:hanging="240"/>
    </w:pPr>
  </w:style>
  <w:style w:type="paragraph" w:styleId="Index8">
    <w:name w:val="index 8"/>
    <w:basedOn w:val="Normal"/>
    <w:next w:val="Normal"/>
    <w:autoRedefine/>
    <w:uiPriority w:val="98"/>
    <w:semiHidden/>
    <w:rsid w:val="00144EBC"/>
    <w:pPr>
      <w:ind w:left="1920" w:hanging="240"/>
    </w:pPr>
  </w:style>
  <w:style w:type="paragraph" w:styleId="Index9">
    <w:name w:val="index 9"/>
    <w:basedOn w:val="Normal"/>
    <w:next w:val="Normal"/>
    <w:autoRedefine/>
    <w:uiPriority w:val="98"/>
    <w:semiHidden/>
    <w:rsid w:val="00144EBC"/>
    <w:pPr>
      <w:ind w:left="2160" w:hanging="240"/>
    </w:pPr>
  </w:style>
  <w:style w:type="paragraph" w:styleId="IndexHeading">
    <w:name w:val="index heading"/>
    <w:basedOn w:val="Normal"/>
    <w:next w:val="Index1"/>
    <w:uiPriority w:val="98"/>
    <w:semiHidden/>
    <w:rsid w:val="00144EBC"/>
    <w:rPr>
      <w:rFonts w:asciiTheme="majorHAnsi" w:eastAsiaTheme="majorEastAsia" w:hAnsiTheme="majorHAnsi" w:cstheme="majorBidi"/>
      <w:b/>
      <w:bCs/>
    </w:rPr>
  </w:style>
  <w:style w:type="table" w:styleId="LightGrid">
    <w:name w:val="Light Grid"/>
    <w:basedOn w:val="TableNormal"/>
    <w:uiPriority w:val="62"/>
    <w:semiHidden/>
    <w:rsid w:val="00144EB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144EB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144EB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144EBC"/>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144EB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144EB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144EB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144EB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144EB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144EB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144EBC"/>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144EB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144EB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144EB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144EBC"/>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144EBC"/>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144EBC"/>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144EBC"/>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144EBC"/>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144EBC"/>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144EBC"/>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144EBC"/>
  </w:style>
  <w:style w:type="paragraph" w:styleId="List">
    <w:name w:val="List"/>
    <w:basedOn w:val="Normal"/>
    <w:uiPriority w:val="98"/>
    <w:semiHidden/>
    <w:rsid w:val="00144EBC"/>
    <w:pPr>
      <w:ind w:left="283" w:hanging="283"/>
      <w:contextualSpacing/>
    </w:pPr>
  </w:style>
  <w:style w:type="paragraph" w:styleId="List2">
    <w:name w:val="List 2"/>
    <w:basedOn w:val="Normal"/>
    <w:uiPriority w:val="98"/>
    <w:semiHidden/>
    <w:rsid w:val="00144EBC"/>
    <w:pPr>
      <w:ind w:left="566" w:hanging="283"/>
      <w:contextualSpacing/>
    </w:pPr>
  </w:style>
  <w:style w:type="paragraph" w:styleId="List3">
    <w:name w:val="List 3"/>
    <w:basedOn w:val="Normal"/>
    <w:uiPriority w:val="98"/>
    <w:semiHidden/>
    <w:rsid w:val="00144EBC"/>
    <w:pPr>
      <w:ind w:left="849" w:hanging="283"/>
      <w:contextualSpacing/>
    </w:pPr>
  </w:style>
  <w:style w:type="paragraph" w:styleId="List4">
    <w:name w:val="List 4"/>
    <w:basedOn w:val="Normal"/>
    <w:uiPriority w:val="98"/>
    <w:semiHidden/>
    <w:rsid w:val="00144EBC"/>
    <w:pPr>
      <w:ind w:left="1132" w:hanging="283"/>
      <w:contextualSpacing/>
    </w:pPr>
  </w:style>
  <w:style w:type="paragraph" w:styleId="List5">
    <w:name w:val="List 5"/>
    <w:basedOn w:val="Normal"/>
    <w:uiPriority w:val="98"/>
    <w:semiHidden/>
    <w:rsid w:val="00144EBC"/>
    <w:pPr>
      <w:ind w:left="1415" w:hanging="283"/>
      <w:contextualSpacing/>
    </w:pPr>
  </w:style>
  <w:style w:type="paragraph" w:styleId="ListBullet">
    <w:name w:val="List Bullet"/>
    <w:basedOn w:val="Normal"/>
    <w:uiPriority w:val="98"/>
    <w:semiHidden/>
    <w:rsid w:val="00144EBC"/>
    <w:pPr>
      <w:numPr>
        <w:numId w:val="11"/>
      </w:numPr>
    </w:pPr>
  </w:style>
  <w:style w:type="paragraph" w:styleId="ListBullet2">
    <w:name w:val="List Bullet 2"/>
    <w:basedOn w:val="Normal"/>
    <w:uiPriority w:val="98"/>
    <w:semiHidden/>
    <w:rsid w:val="00144EBC"/>
    <w:pPr>
      <w:numPr>
        <w:numId w:val="12"/>
      </w:numPr>
      <w:contextualSpacing/>
    </w:pPr>
  </w:style>
  <w:style w:type="paragraph" w:styleId="ListBullet3">
    <w:name w:val="List Bullet 3"/>
    <w:basedOn w:val="Normal"/>
    <w:uiPriority w:val="98"/>
    <w:semiHidden/>
    <w:rsid w:val="00144EBC"/>
    <w:pPr>
      <w:numPr>
        <w:numId w:val="13"/>
      </w:numPr>
      <w:contextualSpacing/>
    </w:pPr>
  </w:style>
  <w:style w:type="paragraph" w:styleId="ListBullet4">
    <w:name w:val="List Bullet 4"/>
    <w:basedOn w:val="Normal"/>
    <w:uiPriority w:val="98"/>
    <w:semiHidden/>
    <w:rsid w:val="00144EBC"/>
    <w:pPr>
      <w:numPr>
        <w:numId w:val="14"/>
      </w:numPr>
      <w:contextualSpacing/>
    </w:pPr>
  </w:style>
  <w:style w:type="paragraph" w:styleId="ListBullet5">
    <w:name w:val="List Bullet 5"/>
    <w:basedOn w:val="Normal"/>
    <w:uiPriority w:val="98"/>
    <w:semiHidden/>
    <w:rsid w:val="00144EBC"/>
    <w:pPr>
      <w:numPr>
        <w:numId w:val="15"/>
      </w:numPr>
      <w:contextualSpacing/>
    </w:pPr>
  </w:style>
  <w:style w:type="paragraph" w:styleId="ListContinue">
    <w:name w:val="List Continue"/>
    <w:basedOn w:val="Normal"/>
    <w:uiPriority w:val="98"/>
    <w:semiHidden/>
    <w:rsid w:val="00144EBC"/>
    <w:pPr>
      <w:spacing w:after="120"/>
      <w:ind w:left="283"/>
      <w:contextualSpacing/>
    </w:pPr>
  </w:style>
  <w:style w:type="paragraph" w:styleId="ListContinue2">
    <w:name w:val="List Continue 2"/>
    <w:basedOn w:val="Normal"/>
    <w:uiPriority w:val="98"/>
    <w:semiHidden/>
    <w:rsid w:val="00144EBC"/>
    <w:pPr>
      <w:spacing w:after="120"/>
      <w:ind w:left="566"/>
      <w:contextualSpacing/>
    </w:pPr>
  </w:style>
  <w:style w:type="paragraph" w:styleId="ListContinue3">
    <w:name w:val="List Continue 3"/>
    <w:basedOn w:val="Normal"/>
    <w:uiPriority w:val="98"/>
    <w:semiHidden/>
    <w:rsid w:val="00144EBC"/>
    <w:pPr>
      <w:spacing w:after="120"/>
      <w:ind w:left="849"/>
      <w:contextualSpacing/>
    </w:pPr>
  </w:style>
  <w:style w:type="paragraph" w:styleId="ListContinue4">
    <w:name w:val="List Continue 4"/>
    <w:basedOn w:val="Normal"/>
    <w:uiPriority w:val="98"/>
    <w:semiHidden/>
    <w:rsid w:val="00144EBC"/>
    <w:pPr>
      <w:spacing w:after="120"/>
      <w:ind w:left="1132"/>
      <w:contextualSpacing/>
    </w:pPr>
  </w:style>
  <w:style w:type="paragraph" w:styleId="ListContinue5">
    <w:name w:val="List Continue 5"/>
    <w:basedOn w:val="Normal"/>
    <w:uiPriority w:val="98"/>
    <w:semiHidden/>
    <w:rsid w:val="00144EBC"/>
    <w:pPr>
      <w:spacing w:after="120"/>
      <w:ind w:left="1415"/>
      <w:contextualSpacing/>
    </w:pPr>
  </w:style>
  <w:style w:type="paragraph" w:styleId="ListNumber">
    <w:name w:val="List Number"/>
    <w:basedOn w:val="Normal"/>
    <w:uiPriority w:val="98"/>
    <w:semiHidden/>
    <w:rsid w:val="00144EBC"/>
    <w:pPr>
      <w:numPr>
        <w:numId w:val="16"/>
      </w:numPr>
      <w:contextualSpacing/>
    </w:pPr>
  </w:style>
  <w:style w:type="paragraph" w:styleId="ListNumber2">
    <w:name w:val="List Number 2"/>
    <w:basedOn w:val="Normal"/>
    <w:uiPriority w:val="98"/>
    <w:semiHidden/>
    <w:rsid w:val="00144EBC"/>
    <w:pPr>
      <w:numPr>
        <w:numId w:val="17"/>
      </w:numPr>
      <w:contextualSpacing/>
    </w:pPr>
  </w:style>
  <w:style w:type="paragraph" w:styleId="ListNumber3">
    <w:name w:val="List Number 3"/>
    <w:basedOn w:val="Normal"/>
    <w:uiPriority w:val="98"/>
    <w:semiHidden/>
    <w:rsid w:val="00144EBC"/>
    <w:pPr>
      <w:numPr>
        <w:numId w:val="18"/>
      </w:numPr>
      <w:contextualSpacing/>
    </w:pPr>
  </w:style>
  <w:style w:type="paragraph" w:styleId="ListNumber4">
    <w:name w:val="List Number 4"/>
    <w:basedOn w:val="Normal"/>
    <w:uiPriority w:val="98"/>
    <w:semiHidden/>
    <w:rsid w:val="00144EBC"/>
    <w:pPr>
      <w:numPr>
        <w:numId w:val="19"/>
      </w:numPr>
      <w:contextualSpacing/>
    </w:pPr>
  </w:style>
  <w:style w:type="paragraph" w:styleId="ListNumber5">
    <w:name w:val="List Number 5"/>
    <w:basedOn w:val="Normal"/>
    <w:uiPriority w:val="98"/>
    <w:semiHidden/>
    <w:rsid w:val="00144EBC"/>
    <w:pPr>
      <w:numPr>
        <w:numId w:val="20"/>
      </w:numPr>
      <w:contextualSpacing/>
    </w:pPr>
  </w:style>
  <w:style w:type="paragraph" w:styleId="MacroText">
    <w:name w:val="macro"/>
    <w:link w:val="MacroTextChar"/>
    <w:uiPriority w:val="98"/>
    <w:semiHidden/>
    <w:rsid w:val="00144EB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144EBC"/>
    <w:rPr>
      <w:rFonts w:ascii="Consolas" w:eastAsiaTheme="minorEastAsia" w:hAnsi="Consolas" w:cs="Consolas"/>
      <w:sz w:val="20"/>
      <w:szCs w:val="20"/>
    </w:rPr>
  </w:style>
  <w:style w:type="table" w:styleId="MediumGrid1">
    <w:name w:val="Medium Grid 1"/>
    <w:basedOn w:val="TableNormal"/>
    <w:uiPriority w:val="67"/>
    <w:semiHidden/>
    <w:rsid w:val="00144EB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144EB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144EB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144EBC"/>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144EB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144EB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144EB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144EBC"/>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144EBC"/>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144EBC"/>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144EBC"/>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144EBC"/>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144EBC"/>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144EBC"/>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144EB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144EB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144EB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144EBC"/>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144EB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144EB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144EB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144EB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144EBC"/>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144EBC"/>
    <w:rPr>
      <w:rFonts w:ascii="Times New Roman" w:hAnsi="Times New Roman" w:cs="Times New Roman"/>
    </w:rPr>
  </w:style>
  <w:style w:type="paragraph" w:styleId="NormalIndent">
    <w:name w:val="Normal Indent"/>
    <w:basedOn w:val="Normal"/>
    <w:uiPriority w:val="98"/>
    <w:semiHidden/>
    <w:rsid w:val="00144EBC"/>
    <w:pPr>
      <w:ind w:left="720"/>
    </w:pPr>
  </w:style>
  <w:style w:type="table" w:customStyle="1" w:styleId="ECHRTableNoLines">
    <w:name w:val="ECHR_Table_No_Lines"/>
    <w:basedOn w:val="TableNormal"/>
    <w:uiPriority w:val="99"/>
    <w:rsid w:val="00144EBC"/>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SimpleBox">
    <w:name w:val="ECHR_Table_Simple_Box"/>
    <w:basedOn w:val="TableNormal"/>
    <w:uiPriority w:val="99"/>
    <w:rsid w:val="00144EBC"/>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character" w:styleId="PlaceholderText">
    <w:name w:val="Placeholder Text"/>
    <w:basedOn w:val="DefaultParagraphFont"/>
    <w:uiPriority w:val="98"/>
    <w:semiHidden/>
    <w:rsid w:val="00144EBC"/>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144EBC"/>
    <w:rPr>
      <w:rFonts w:ascii="Consolas" w:hAnsi="Consolas" w:cs="Consolas"/>
      <w:sz w:val="21"/>
      <w:szCs w:val="21"/>
    </w:rPr>
  </w:style>
  <w:style w:type="character" w:customStyle="1" w:styleId="PlainTextChar">
    <w:name w:val="Plain Text Char"/>
    <w:basedOn w:val="DefaultParagraphFont"/>
    <w:link w:val="PlainText"/>
    <w:uiPriority w:val="98"/>
    <w:semiHidden/>
    <w:rsid w:val="00144EBC"/>
    <w:rPr>
      <w:rFonts w:ascii="Consolas" w:hAnsi="Consolas" w:cs="Consolas"/>
      <w:sz w:val="21"/>
      <w:szCs w:val="21"/>
      <w:lang w:val="ro-RO"/>
    </w:rPr>
  </w:style>
  <w:style w:type="paragraph" w:styleId="Salutation">
    <w:name w:val="Salutation"/>
    <w:basedOn w:val="Normal"/>
    <w:next w:val="Normal"/>
    <w:link w:val="SalutationChar"/>
    <w:uiPriority w:val="98"/>
    <w:semiHidden/>
    <w:rsid w:val="00144EBC"/>
  </w:style>
  <w:style w:type="character" w:customStyle="1" w:styleId="SalutationChar">
    <w:name w:val="Salutation Char"/>
    <w:basedOn w:val="DefaultParagraphFont"/>
    <w:link w:val="Salutation"/>
    <w:uiPriority w:val="98"/>
    <w:semiHidden/>
    <w:rsid w:val="00144EBC"/>
    <w:rPr>
      <w:sz w:val="24"/>
      <w:szCs w:val="24"/>
      <w:lang w:val="ro-RO"/>
    </w:rPr>
  </w:style>
  <w:style w:type="paragraph" w:styleId="Signature">
    <w:name w:val="Signature"/>
    <w:basedOn w:val="Normal"/>
    <w:link w:val="SignatureChar"/>
    <w:uiPriority w:val="98"/>
    <w:semiHidden/>
    <w:rsid w:val="00144EBC"/>
    <w:pPr>
      <w:ind w:left="4252"/>
    </w:pPr>
  </w:style>
  <w:style w:type="character" w:customStyle="1" w:styleId="SignatureChar">
    <w:name w:val="Signature Char"/>
    <w:basedOn w:val="DefaultParagraphFont"/>
    <w:link w:val="Signature"/>
    <w:uiPriority w:val="98"/>
    <w:semiHidden/>
    <w:rsid w:val="00144EBC"/>
    <w:rPr>
      <w:sz w:val="24"/>
      <w:szCs w:val="24"/>
      <w:lang w:val="ro-RO"/>
    </w:rPr>
  </w:style>
  <w:style w:type="table" w:styleId="Table3Deffects1">
    <w:name w:val="Table 3D effects 1"/>
    <w:basedOn w:val="TableNormal"/>
    <w:uiPriority w:val="99"/>
    <w:semiHidden/>
    <w:unhideWhenUsed/>
    <w:rsid w:val="00144EBC"/>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44EBC"/>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44EBC"/>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44EBC"/>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44EBC"/>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44EBC"/>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44EBC"/>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44EBC"/>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44EBC"/>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44EBC"/>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44EBC"/>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44EBC"/>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44EBC"/>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44EBC"/>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44EBC"/>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44EBC"/>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44EBC"/>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144EBC"/>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144EB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44EBC"/>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44EBC"/>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44EBC"/>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44EB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44EBC"/>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44EBC"/>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44EBC"/>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44EBC"/>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44EBC"/>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44EBC"/>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44EB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44EB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44EB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44EBC"/>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44EB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144EBC"/>
    <w:pPr>
      <w:ind w:left="240" w:hanging="240"/>
    </w:pPr>
  </w:style>
  <w:style w:type="paragraph" w:styleId="TableofFigures">
    <w:name w:val="table of figures"/>
    <w:basedOn w:val="Normal"/>
    <w:next w:val="Normal"/>
    <w:uiPriority w:val="98"/>
    <w:semiHidden/>
    <w:rsid w:val="00144EBC"/>
  </w:style>
  <w:style w:type="table" w:styleId="TableProfessional">
    <w:name w:val="Table Professional"/>
    <w:basedOn w:val="TableNormal"/>
    <w:uiPriority w:val="99"/>
    <w:semiHidden/>
    <w:unhideWhenUsed/>
    <w:rsid w:val="00144EB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44EBC"/>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44EBC"/>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44EBC"/>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44EBC"/>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44EBC"/>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44EBC"/>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44EBC"/>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44EBC"/>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44EBC"/>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8"/>
    <w:semiHidden/>
    <w:rsid w:val="00144EBC"/>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TOC1">
    <w:name w:val="toc 1"/>
    <w:basedOn w:val="Normal"/>
    <w:next w:val="Normal"/>
    <w:autoRedefine/>
    <w:uiPriority w:val="98"/>
    <w:semiHidden/>
    <w:rsid w:val="00144EBC"/>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144EBC"/>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144EBC"/>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144EBC"/>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144EBC"/>
    <w:pPr>
      <w:tabs>
        <w:tab w:val="right" w:leader="dot" w:pos="7371"/>
      </w:tabs>
      <w:spacing w:after="60" w:line="240" w:lineRule="exact"/>
      <w:ind w:left="1701" w:right="567" w:hanging="340"/>
    </w:pPr>
    <w:rPr>
      <w:sz w:val="20"/>
    </w:rPr>
  </w:style>
  <w:style w:type="paragraph" w:styleId="TOC6">
    <w:name w:val="toc 6"/>
    <w:basedOn w:val="Normal"/>
    <w:next w:val="Normal"/>
    <w:autoRedefine/>
    <w:uiPriority w:val="98"/>
    <w:semiHidden/>
    <w:rsid w:val="00144EBC"/>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144EBC"/>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144EBC"/>
    <w:pPr>
      <w:spacing w:after="100"/>
      <w:ind w:left="1680"/>
    </w:pPr>
  </w:style>
  <w:style w:type="paragraph" w:styleId="TOC9">
    <w:name w:val="toc 9"/>
    <w:basedOn w:val="Normal"/>
    <w:next w:val="Normal"/>
    <w:autoRedefine/>
    <w:uiPriority w:val="98"/>
    <w:semiHidden/>
    <w:rsid w:val="00144EBC"/>
    <w:pPr>
      <w:spacing w:after="100"/>
      <w:ind w:left="1920"/>
    </w:pPr>
  </w:style>
  <w:style w:type="paragraph" w:customStyle="1" w:styleId="ECHRFooter">
    <w:name w:val="ECHR_Footer"/>
    <w:aliases w:val="Footer_ECHR"/>
    <w:basedOn w:val="Footer"/>
    <w:uiPriority w:val="57"/>
    <w:semiHidden/>
    <w:rsid w:val="00987A64"/>
    <w:rPr>
      <w:sz w:val="8"/>
    </w:rPr>
  </w:style>
  <w:style w:type="paragraph" w:customStyle="1" w:styleId="Footer0">
    <w:name w:val="_Footer"/>
    <w:aliases w:val="Footer_"/>
    <w:basedOn w:val="Footer"/>
    <w:uiPriority w:val="57"/>
    <w:semiHidden/>
    <w:rsid w:val="000D61E7"/>
    <w:rPr>
      <w:sz w:val="8"/>
    </w:rPr>
  </w:style>
  <w:style w:type="paragraph" w:styleId="Footer">
    <w:name w:val="footer"/>
    <w:basedOn w:val="Normal"/>
    <w:link w:val="FooterChar"/>
    <w:uiPriority w:val="98"/>
    <w:semiHidden/>
    <w:rsid w:val="00144EBC"/>
    <w:pPr>
      <w:tabs>
        <w:tab w:val="center" w:pos="3686"/>
        <w:tab w:val="right" w:pos="7371"/>
      </w:tabs>
    </w:pPr>
  </w:style>
  <w:style w:type="character" w:customStyle="1" w:styleId="FooterChar">
    <w:name w:val="Footer Char"/>
    <w:basedOn w:val="DefaultParagraphFont"/>
    <w:link w:val="Footer"/>
    <w:uiPriority w:val="98"/>
    <w:semiHidden/>
    <w:rsid w:val="00144EBC"/>
    <w:rPr>
      <w:sz w:val="24"/>
      <w:szCs w:val="24"/>
      <w:lang w:val="ro-RO"/>
    </w:rPr>
  </w:style>
  <w:style w:type="paragraph" w:customStyle="1" w:styleId="ECHRFooterLine">
    <w:name w:val="ECHR_Footer_Line"/>
    <w:aliases w:val="_Footer_Line"/>
    <w:basedOn w:val="Normal"/>
    <w:next w:val="Normal"/>
    <w:uiPriority w:val="30"/>
    <w:semiHidden/>
    <w:rsid w:val="00144EBC"/>
    <w:pPr>
      <w:pBdr>
        <w:top w:val="single" w:sz="6" w:space="1" w:color="5F5F5F"/>
      </w:pBdr>
      <w:tabs>
        <w:tab w:val="center" w:pos="3686"/>
        <w:tab w:val="right" w:pos="7371"/>
      </w:tabs>
      <w:ind w:left="-1474" w:right="-1474"/>
    </w:pPr>
    <w:rPr>
      <w:color w:val="5F5F5F"/>
    </w:rPr>
  </w:style>
  <w:style w:type="table" w:customStyle="1" w:styleId="ECHRListTable">
    <w:name w:val="ECHR_List_Table"/>
    <w:basedOn w:val="TableNormal"/>
    <w:uiPriority w:val="99"/>
    <w:rsid w:val="00144EBC"/>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JuCase">
    <w:name w:val="Ju_Case"/>
    <w:aliases w:val="_Case_Name"/>
    <w:basedOn w:val="Normal"/>
    <w:next w:val="JuPara"/>
    <w:uiPriority w:val="32"/>
    <w:rsid w:val="00144EBC"/>
    <w:pPr>
      <w:ind w:firstLine="284"/>
      <w:jc w:val="both"/>
    </w:pPr>
    <w:rPr>
      <w:b/>
    </w:rPr>
  </w:style>
  <w:style w:type="paragraph" w:styleId="NoteHeading">
    <w:name w:val="Note Heading"/>
    <w:basedOn w:val="Normal"/>
    <w:next w:val="Normal"/>
    <w:link w:val="NoteHeadingChar"/>
    <w:uiPriority w:val="98"/>
    <w:semiHidden/>
    <w:rsid w:val="00144EBC"/>
  </w:style>
  <w:style w:type="character" w:customStyle="1" w:styleId="NoteHeadingChar">
    <w:name w:val="Note Heading Char"/>
    <w:basedOn w:val="DefaultParagraphFont"/>
    <w:link w:val="NoteHeading"/>
    <w:uiPriority w:val="98"/>
    <w:semiHidden/>
    <w:rsid w:val="00144EBC"/>
    <w:rPr>
      <w:sz w:val="24"/>
      <w:szCs w:val="24"/>
      <w:lang w:val="ro-RO"/>
    </w:rPr>
  </w:style>
  <w:style w:type="paragraph" w:customStyle="1" w:styleId="ECHRHeaderLandscape">
    <w:name w:val="ECHR_Header_Landscape"/>
    <w:aliases w:val="_Header_Landscape"/>
    <w:basedOn w:val="JuHeader"/>
    <w:uiPriority w:val="29"/>
    <w:semiHidden/>
    <w:rsid w:val="00144EBC"/>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144EBC"/>
    <w:pPr>
      <w:numPr>
        <w:numId w:val="7"/>
      </w:numPr>
      <w:spacing w:before="60" w:after="60"/>
    </w:pPr>
  </w:style>
  <w:style w:type="paragraph" w:customStyle="1" w:styleId="ECHRBullet2">
    <w:name w:val="ECHR_Bullet_2"/>
    <w:aliases w:val="_Bul_2"/>
    <w:basedOn w:val="ECHRBullet1"/>
    <w:uiPriority w:val="23"/>
    <w:semiHidden/>
    <w:rsid w:val="00144EBC"/>
    <w:pPr>
      <w:numPr>
        <w:ilvl w:val="1"/>
      </w:numPr>
    </w:pPr>
  </w:style>
  <w:style w:type="paragraph" w:customStyle="1" w:styleId="ECHRBullet3">
    <w:name w:val="ECHR_Bullet_3"/>
    <w:aliases w:val="_Bul_3"/>
    <w:basedOn w:val="ECHRBullet2"/>
    <w:uiPriority w:val="23"/>
    <w:semiHidden/>
    <w:rsid w:val="00144EBC"/>
    <w:pPr>
      <w:numPr>
        <w:ilvl w:val="2"/>
      </w:numPr>
    </w:pPr>
  </w:style>
  <w:style w:type="paragraph" w:customStyle="1" w:styleId="ECHRBullet4">
    <w:name w:val="ECHR_Bullet_4"/>
    <w:aliases w:val="_Bul_4"/>
    <w:basedOn w:val="ECHRBullet3"/>
    <w:uiPriority w:val="23"/>
    <w:semiHidden/>
    <w:rsid w:val="00144EBC"/>
    <w:pPr>
      <w:numPr>
        <w:ilvl w:val="3"/>
      </w:numPr>
    </w:pPr>
  </w:style>
  <w:style w:type="paragraph" w:customStyle="1" w:styleId="ECHRConfidential">
    <w:name w:val="ECHR_Confidential"/>
    <w:aliases w:val="_Confidential"/>
    <w:basedOn w:val="Normal"/>
    <w:next w:val="Normal"/>
    <w:uiPriority w:val="42"/>
    <w:semiHidden/>
    <w:qFormat/>
    <w:rsid w:val="00144EBC"/>
    <w:pPr>
      <w:jc w:val="right"/>
    </w:pPr>
    <w:rPr>
      <w:color w:val="C00000"/>
      <w:sz w:val="20"/>
    </w:rPr>
  </w:style>
  <w:style w:type="paragraph" w:customStyle="1" w:styleId="ECHRDecisionBody">
    <w:name w:val="ECHR_Decision_Body"/>
    <w:aliases w:val="_Decision_Body"/>
    <w:basedOn w:val="NormalJustified"/>
    <w:uiPriority w:val="54"/>
    <w:semiHidden/>
    <w:rsid w:val="00144EBC"/>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144EBC"/>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144EBC"/>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144EBC"/>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144EBC"/>
    <w:pPr>
      <w:jc w:val="right"/>
    </w:pPr>
    <w:rPr>
      <w:sz w:val="20"/>
    </w:rPr>
  </w:style>
  <w:style w:type="paragraph" w:customStyle="1" w:styleId="ECHRHeaderRefIt">
    <w:name w:val="ECHR_Header_Ref_It"/>
    <w:aliases w:val="_Ref_Ital"/>
    <w:basedOn w:val="Normal"/>
    <w:next w:val="ECHRHeaderDate"/>
    <w:uiPriority w:val="43"/>
    <w:semiHidden/>
    <w:qFormat/>
    <w:rsid w:val="00144EBC"/>
    <w:pPr>
      <w:jc w:val="right"/>
    </w:pPr>
    <w:rPr>
      <w:i/>
      <w:sz w:val="20"/>
    </w:rPr>
  </w:style>
  <w:style w:type="paragraph" w:customStyle="1" w:styleId="ECHRHeading9">
    <w:name w:val="ECHR_Heading_9"/>
    <w:aliases w:val="_Head_9"/>
    <w:basedOn w:val="Heading9"/>
    <w:uiPriority w:val="17"/>
    <w:semiHidden/>
    <w:rsid w:val="00144EBC"/>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144EBC"/>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144EBC"/>
    <w:pPr>
      <w:numPr>
        <w:numId w:val="8"/>
      </w:numPr>
      <w:spacing w:before="60" w:after="60"/>
    </w:pPr>
  </w:style>
  <w:style w:type="paragraph" w:customStyle="1" w:styleId="ECHRNumberedList2">
    <w:name w:val="ECHR_Numbered_List_2"/>
    <w:aliases w:val="_Num_2"/>
    <w:basedOn w:val="ECHRNumberedList1"/>
    <w:uiPriority w:val="23"/>
    <w:semiHidden/>
    <w:rsid w:val="00144EBC"/>
    <w:pPr>
      <w:numPr>
        <w:ilvl w:val="1"/>
      </w:numPr>
    </w:pPr>
  </w:style>
  <w:style w:type="paragraph" w:customStyle="1" w:styleId="ECHRNumberedList3">
    <w:name w:val="ECHR_Numbered_List_3"/>
    <w:aliases w:val="_Num_3"/>
    <w:basedOn w:val="ECHRNumberedList2"/>
    <w:uiPriority w:val="23"/>
    <w:semiHidden/>
    <w:rsid w:val="00144EBC"/>
    <w:pPr>
      <w:numPr>
        <w:ilvl w:val="2"/>
      </w:numPr>
    </w:pPr>
  </w:style>
  <w:style w:type="paragraph" w:customStyle="1" w:styleId="ECHRParaHanging">
    <w:name w:val="ECHR_Para_Hanging"/>
    <w:aliases w:val="_Hanging"/>
    <w:basedOn w:val="Normal"/>
    <w:uiPriority w:val="8"/>
    <w:semiHidden/>
    <w:qFormat/>
    <w:rsid w:val="00144EBC"/>
    <w:pPr>
      <w:ind w:left="567" w:hanging="567"/>
      <w:jc w:val="both"/>
    </w:pPr>
  </w:style>
  <w:style w:type="paragraph" w:customStyle="1" w:styleId="ECHRParaIndent">
    <w:name w:val="ECHR_Para_Indent"/>
    <w:aliases w:val="_Indent"/>
    <w:basedOn w:val="Normal"/>
    <w:uiPriority w:val="7"/>
    <w:semiHidden/>
    <w:qFormat/>
    <w:rsid w:val="00144EBC"/>
    <w:pPr>
      <w:spacing w:before="120" w:after="120"/>
      <w:ind w:left="284"/>
      <w:jc w:val="both"/>
    </w:pPr>
  </w:style>
  <w:style w:type="character" w:customStyle="1" w:styleId="ECHRRed">
    <w:name w:val="ECHR_Red"/>
    <w:aliases w:val="_Red"/>
    <w:basedOn w:val="DefaultParagraphFont"/>
    <w:uiPriority w:val="15"/>
    <w:semiHidden/>
    <w:qFormat/>
    <w:rsid w:val="00144EBC"/>
    <w:rPr>
      <w:color w:val="C00000" w:themeColor="accent2"/>
    </w:rPr>
  </w:style>
  <w:style w:type="paragraph" w:customStyle="1" w:styleId="DecList">
    <w:name w:val="Dec_List"/>
    <w:aliases w:val="_List"/>
    <w:basedOn w:val="JuList"/>
    <w:uiPriority w:val="22"/>
    <w:rsid w:val="00144EBC"/>
    <w:pPr>
      <w:numPr>
        <w:numId w:val="0"/>
      </w:numPr>
      <w:ind w:left="284"/>
    </w:pPr>
  </w:style>
  <w:style w:type="table" w:customStyle="1" w:styleId="ECHRTable">
    <w:name w:val="ECHR_Table"/>
    <w:basedOn w:val="TableNormal"/>
    <w:rsid w:val="00144EBC"/>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144EBC"/>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44EBC"/>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144EBC"/>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144EBC"/>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144EBC"/>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144EBC"/>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144EBC"/>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144EBC"/>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144EBC"/>
    <w:pPr>
      <w:outlineLvl w:val="0"/>
    </w:pPr>
  </w:style>
  <w:style w:type="paragraph" w:customStyle="1" w:styleId="ECHRTitleTOC1">
    <w:name w:val="ECHR_Title_TOC_1"/>
    <w:aliases w:val="_Title_L_TOC"/>
    <w:basedOn w:val="ECHRTitle1"/>
    <w:next w:val="Normal"/>
    <w:uiPriority w:val="27"/>
    <w:semiHidden/>
    <w:qFormat/>
    <w:rsid w:val="00144EBC"/>
    <w:pPr>
      <w:outlineLvl w:val="0"/>
    </w:pPr>
  </w:style>
  <w:style w:type="table" w:customStyle="1" w:styleId="LtrTableAddress">
    <w:name w:val="Ltr_Table_Address"/>
    <w:aliases w:val="ECHR_Ltr_Table_Address"/>
    <w:basedOn w:val="TableNormal"/>
    <w:uiPriority w:val="99"/>
    <w:rsid w:val="00144EBC"/>
    <w:rPr>
      <w:sz w:val="24"/>
      <w:szCs w:val="24"/>
    </w:rPr>
    <w:tblPr>
      <w:tblInd w:w="5103" w:type="dxa"/>
    </w:tblPr>
  </w:style>
  <w:style w:type="table" w:customStyle="1" w:styleId="PCFTableStyle">
    <w:name w:val="PCF_Table_Style"/>
    <w:aliases w:val="ECHR_PCF_Table_Style"/>
    <w:basedOn w:val="TableNormal"/>
    <w:uiPriority w:val="99"/>
    <w:rsid w:val="00144EBC"/>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144EBC"/>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44EBC"/>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ECHRPlaceholder">
    <w:name w:val="ECHR_Placeholder"/>
    <w:aliases w:val="_Placeholder"/>
    <w:basedOn w:val="JuSigned"/>
    <w:uiPriority w:val="31"/>
    <w:rsid w:val="00144EBC"/>
    <w:rPr>
      <w:color w:val="FFFFFF"/>
    </w:rPr>
  </w:style>
  <w:style w:type="paragraph" w:customStyle="1" w:styleId="ECHRSpacer">
    <w:name w:val="ECHR_Spacer"/>
    <w:aliases w:val="_Spacer"/>
    <w:basedOn w:val="Normal"/>
    <w:uiPriority w:val="45"/>
    <w:semiHidden/>
    <w:rsid w:val="00144EBC"/>
    <w:rPr>
      <w:sz w:val="4"/>
    </w:rPr>
  </w:style>
  <w:style w:type="table" w:customStyle="1" w:styleId="ECHRTableGrey">
    <w:name w:val="ECHR_Table_Grey"/>
    <w:basedOn w:val="TableNormal"/>
    <w:uiPriority w:val="99"/>
    <w:rsid w:val="00144EBC"/>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OddBanded">
    <w:name w:val="ECHR_Table_Odd_Banded"/>
    <w:basedOn w:val="TableNormal"/>
    <w:uiPriority w:val="99"/>
    <w:rsid w:val="00144EBC"/>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character" w:customStyle="1" w:styleId="UnresolvedMention1">
    <w:name w:val="Unresolved Mention1"/>
    <w:basedOn w:val="DefaultParagraphFont"/>
    <w:uiPriority w:val="99"/>
    <w:semiHidden/>
    <w:unhideWhenUsed/>
    <w:rsid w:val="00CB3BD9"/>
    <w:rPr>
      <w:color w:val="605E5C"/>
      <w:shd w:val="clear" w:color="auto" w:fill="E1DFDD"/>
    </w:rPr>
  </w:style>
  <w:style w:type="character" w:customStyle="1" w:styleId="JuParaChar">
    <w:name w:val="Ju_Para Char"/>
    <w:aliases w:val="_Para Char"/>
    <w:link w:val="JuPara"/>
    <w:uiPriority w:val="4"/>
    <w:rsid w:val="00472871"/>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38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C316EE-A23E-4892-9A2F-F0531122D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255606-81A4-4AFD-BDAB-1BB139BE7D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9E8A58-A1C1-4BDD-91E1-68492F5D908C}">
  <ds:schemaRefs>
    <ds:schemaRef ds:uri="http://schemas.openxmlformats.org/officeDocument/2006/bibliography"/>
  </ds:schemaRefs>
</ds:datastoreItem>
</file>

<file path=customXml/itemProps4.xml><?xml version="1.0" encoding="utf-8"?>
<ds:datastoreItem xmlns:ds="http://schemas.openxmlformats.org/officeDocument/2006/customXml" ds:itemID="{58103C6F-688F-4E51-AAD7-7D17F53B96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1987</Words>
  <Characters>11531</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dcterms:created xsi:type="dcterms:W3CDTF">2022-12-15T13:39:00Z</dcterms:created>
  <dcterms:modified xsi:type="dcterms:W3CDTF">2023-02-01T11:34:00Z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502/15</vt:lpwstr>
  </property>
  <property fmtid="{D5CDD505-2E9C-101B-9397-08002B2CF9AE}" pid="4" name="CASEID">
    <vt:lpwstr>1100860</vt:lpwstr>
  </property>
  <property fmtid="{D5CDD505-2E9C-101B-9397-08002B2CF9AE}" pid="5" name="ContentTypeId">
    <vt:lpwstr>0x010100558EB02BDB9E204AB350EDD385B68E10</vt:lpwstr>
  </property>
</Properties>
</file>