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oter5.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5F282" w14:textId="77777777" w:rsidR="00C879FB" w:rsidRPr="00564DC7" w:rsidRDefault="00C879FB" w:rsidP="00690186">
      <w:pPr>
        <w:widowControl w:val="0"/>
        <w:autoSpaceDE w:val="0"/>
        <w:autoSpaceDN w:val="0"/>
        <w:adjustRightInd w:val="0"/>
        <w:jc w:val="center"/>
        <w:rPr>
          <w:rFonts w:asciiTheme="minorHAnsi" w:hAnsiTheme="minorHAnsi" w:cstheme="minorHAnsi"/>
          <w:b/>
          <w:sz w:val="24"/>
          <w:szCs w:val="24"/>
        </w:rPr>
      </w:pPr>
    </w:p>
    <w:p w14:paraId="351546A2" w14:textId="77777777" w:rsidR="00C879FB" w:rsidRPr="00564DC7" w:rsidRDefault="00C879FB" w:rsidP="00690186">
      <w:pPr>
        <w:widowControl w:val="0"/>
        <w:autoSpaceDE w:val="0"/>
        <w:autoSpaceDN w:val="0"/>
        <w:adjustRightInd w:val="0"/>
        <w:jc w:val="center"/>
        <w:rPr>
          <w:rFonts w:asciiTheme="minorHAnsi" w:hAnsiTheme="minorHAnsi" w:cstheme="minorHAnsi"/>
          <w:b/>
          <w:sz w:val="24"/>
          <w:szCs w:val="24"/>
        </w:rPr>
      </w:pPr>
    </w:p>
    <w:p w14:paraId="7F4F9692" w14:textId="77777777" w:rsidR="00F2303F" w:rsidRPr="00564DC7" w:rsidRDefault="00F2303F" w:rsidP="00690186">
      <w:pPr>
        <w:tabs>
          <w:tab w:val="center" w:pos="4848"/>
          <w:tab w:val="left" w:pos="8850"/>
          <w:tab w:val="right" w:pos="9697"/>
        </w:tabs>
        <w:spacing w:before="2400"/>
        <w:jc w:val="center"/>
        <w:rPr>
          <w:rFonts w:asciiTheme="minorHAnsi" w:hAnsiTheme="minorHAnsi" w:cstheme="minorHAnsi"/>
          <w:b/>
          <w:sz w:val="56"/>
          <w:szCs w:val="56"/>
        </w:rPr>
      </w:pPr>
      <w:r w:rsidRPr="00564DC7">
        <w:rPr>
          <w:rFonts w:asciiTheme="minorHAnsi" w:hAnsiTheme="minorHAnsi" w:cstheme="minorHAnsi"/>
          <w:b/>
          <w:sz w:val="56"/>
          <w:szCs w:val="56"/>
        </w:rPr>
        <w:t>R A P O R T</w:t>
      </w:r>
    </w:p>
    <w:p w14:paraId="2B506AC8" w14:textId="77777777" w:rsidR="00F2303F" w:rsidRPr="00564DC7" w:rsidRDefault="00F2303F" w:rsidP="00690186">
      <w:pPr>
        <w:jc w:val="center"/>
        <w:rPr>
          <w:rFonts w:asciiTheme="minorHAnsi" w:hAnsiTheme="minorHAnsi" w:cstheme="minorHAnsi"/>
          <w:b/>
          <w:sz w:val="20"/>
        </w:rPr>
      </w:pPr>
    </w:p>
    <w:p w14:paraId="471D4B5B" w14:textId="77777777" w:rsidR="00F2303F" w:rsidRPr="00564DC7" w:rsidRDefault="00F2303F" w:rsidP="00690186">
      <w:pPr>
        <w:jc w:val="center"/>
        <w:rPr>
          <w:rFonts w:asciiTheme="minorHAnsi" w:hAnsiTheme="minorHAnsi" w:cstheme="minorHAnsi"/>
          <w:b/>
          <w:sz w:val="42"/>
          <w:szCs w:val="42"/>
        </w:rPr>
      </w:pPr>
      <w:r w:rsidRPr="00564DC7">
        <w:rPr>
          <w:rFonts w:asciiTheme="minorHAnsi" w:hAnsiTheme="minorHAnsi" w:cstheme="minorHAnsi"/>
          <w:b/>
          <w:sz w:val="42"/>
          <w:szCs w:val="42"/>
        </w:rPr>
        <w:t xml:space="preserve">PRIVIND ACTIVITATEA </w:t>
      </w:r>
    </w:p>
    <w:p w14:paraId="49E0AD96" w14:textId="77777777" w:rsidR="00F2303F" w:rsidRPr="00564DC7" w:rsidRDefault="00F2303F" w:rsidP="00690186">
      <w:pPr>
        <w:jc w:val="center"/>
        <w:rPr>
          <w:rFonts w:asciiTheme="minorHAnsi" w:hAnsiTheme="minorHAnsi" w:cstheme="minorHAnsi"/>
          <w:b/>
          <w:sz w:val="42"/>
          <w:szCs w:val="42"/>
        </w:rPr>
      </w:pPr>
      <w:r w:rsidRPr="00564DC7">
        <w:rPr>
          <w:rFonts w:asciiTheme="minorHAnsi" w:hAnsiTheme="minorHAnsi" w:cstheme="minorHAnsi"/>
          <w:b/>
          <w:sz w:val="42"/>
          <w:szCs w:val="42"/>
        </w:rPr>
        <w:t xml:space="preserve">CONSILIULUI SUPERIOR AL MAGISTRATURII </w:t>
      </w:r>
    </w:p>
    <w:p w14:paraId="4B7030ED" w14:textId="5610A3AB" w:rsidR="00F2303F" w:rsidRPr="00564DC7" w:rsidRDefault="00F2303F" w:rsidP="00690186">
      <w:pPr>
        <w:jc w:val="center"/>
        <w:rPr>
          <w:rFonts w:asciiTheme="minorHAnsi" w:hAnsiTheme="minorHAnsi" w:cstheme="minorHAnsi"/>
          <w:b/>
          <w:sz w:val="42"/>
          <w:szCs w:val="42"/>
        </w:rPr>
      </w:pPr>
      <w:r w:rsidRPr="00564DC7">
        <w:rPr>
          <w:rFonts w:asciiTheme="minorHAnsi" w:hAnsiTheme="minorHAnsi" w:cstheme="minorHAnsi"/>
          <w:b/>
          <w:sz w:val="42"/>
          <w:szCs w:val="42"/>
        </w:rPr>
        <w:t>ÎN ANUL 202</w:t>
      </w:r>
      <w:r w:rsidR="005A7F42" w:rsidRPr="00564DC7">
        <w:rPr>
          <w:rFonts w:asciiTheme="minorHAnsi" w:hAnsiTheme="minorHAnsi" w:cstheme="minorHAnsi"/>
          <w:b/>
          <w:sz w:val="42"/>
          <w:szCs w:val="42"/>
        </w:rPr>
        <w:t>3</w:t>
      </w:r>
    </w:p>
    <w:p w14:paraId="2A11E158" w14:textId="77777777" w:rsidR="00F2303F" w:rsidRPr="00564DC7" w:rsidRDefault="00F2303F" w:rsidP="00690186">
      <w:pPr>
        <w:tabs>
          <w:tab w:val="left" w:pos="525"/>
          <w:tab w:val="left" w:pos="1320"/>
          <w:tab w:val="center" w:pos="5102"/>
        </w:tabs>
        <w:ind w:firstLine="284"/>
        <w:jc w:val="center"/>
        <w:rPr>
          <w:rFonts w:asciiTheme="minorHAnsi" w:hAnsiTheme="minorHAnsi" w:cstheme="minorHAnsi"/>
        </w:rPr>
      </w:pPr>
      <w:r w:rsidRPr="00564DC7">
        <w:rPr>
          <w:rFonts w:asciiTheme="minorHAnsi" w:hAnsiTheme="minorHAnsi" w:cstheme="minorHAnsi"/>
          <w:b/>
          <w:noProof/>
          <w:sz w:val="56"/>
          <w:szCs w:val="56"/>
          <w:lang w:val="en-GB" w:eastAsia="en-GB"/>
        </w:rPr>
        <w:drawing>
          <wp:inline distT="0" distB="0" distL="0" distR="0" wp14:anchorId="034A34A0" wp14:editId="50D19F9D">
            <wp:extent cx="3139440" cy="3139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9440" cy="3139440"/>
                    </a:xfrm>
                    <a:prstGeom prst="rect">
                      <a:avLst/>
                    </a:prstGeom>
                    <a:noFill/>
                    <a:ln>
                      <a:noFill/>
                    </a:ln>
                  </pic:spPr>
                </pic:pic>
              </a:graphicData>
            </a:graphic>
          </wp:inline>
        </w:drawing>
      </w:r>
    </w:p>
    <w:p w14:paraId="0AFEC05E" w14:textId="77777777" w:rsidR="00F2303F" w:rsidRPr="00564DC7" w:rsidRDefault="00F2303F" w:rsidP="00690186">
      <w:pPr>
        <w:jc w:val="both"/>
        <w:rPr>
          <w:rFonts w:asciiTheme="minorHAnsi" w:hAnsiTheme="minorHAnsi" w:cstheme="minorHAnsi"/>
        </w:rPr>
      </w:pPr>
    </w:p>
    <w:p w14:paraId="6A268FFE" w14:textId="77777777" w:rsidR="00F2303F" w:rsidRPr="00564DC7" w:rsidRDefault="00F2303F" w:rsidP="00690186">
      <w:pPr>
        <w:jc w:val="both"/>
        <w:rPr>
          <w:rFonts w:asciiTheme="minorHAnsi" w:hAnsiTheme="minorHAnsi" w:cstheme="minorHAnsi"/>
        </w:rPr>
      </w:pPr>
    </w:p>
    <w:p w14:paraId="646EE5CD" w14:textId="77777777" w:rsidR="00F2303F" w:rsidRPr="00564DC7" w:rsidRDefault="00F2303F" w:rsidP="00690186">
      <w:pPr>
        <w:tabs>
          <w:tab w:val="left" w:pos="1215"/>
        </w:tabs>
        <w:jc w:val="both"/>
        <w:rPr>
          <w:rFonts w:asciiTheme="minorHAnsi" w:hAnsiTheme="minorHAnsi" w:cstheme="minorHAnsi"/>
        </w:rPr>
      </w:pPr>
      <w:r w:rsidRPr="00564DC7">
        <w:rPr>
          <w:rFonts w:asciiTheme="minorHAnsi" w:hAnsiTheme="minorHAnsi" w:cstheme="minorHAnsi"/>
        </w:rPr>
        <w:tab/>
      </w:r>
    </w:p>
    <w:p w14:paraId="0D72E435" w14:textId="77777777" w:rsidR="00F2303F" w:rsidRPr="00564DC7" w:rsidRDefault="00F2303F" w:rsidP="00690186">
      <w:pPr>
        <w:tabs>
          <w:tab w:val="left" w:pos="1215"/>
        </w:tabs>
        <w:jc w:val="both"/>
        <w:rPr>
          <w:rFonts w:asciiTheme="minorHAnsi" w:hAnsiTheme="minorHAnsi" w:cstheme="minorHAnsi"/>
        </w:rPr>
      </w:pPr>
      <w:r w:rsidRPr="00564DC7">
        <w:rPr>
          <w:rFonts w:asciiTheme="minorHAnsi" w:hAnsiTheme="minorHAnsi" w:cstheme="minorHAnsi"/>
        </w:rPr>
        <w:tab/>
      </w:r>
    </w:p>
    <w:p w14:paraId="0BA98CF7" w14:textId="77777777" w:rsidR="00F2303F" w:rsidRPr="00564DC7" w:rsidRDefault="00F2303F" w:rsidP="00690186">
      <w:pPr>
        <w:tabs>
          <w:tab w:val="left" w:pos="1215"/>
        </w:tabs>
        <w:jc w:val="both"/>
        <w:rPr>
          <w:rFonts w:asciiTheme="minorHAnsi" w:hAnsiTheme="minorHAnsi" w:cstheme="minorHAnsi"/>
        </w:rPr>
      </w:pPr>
    </w:p>
    <w:p w14:paraId="376C4601" w14:textId="77777777" w:rsidR="00F2303F" w:rsidRPr="00564DC7" w:rsidRDefault="00F2303F" w:rsidP="00690186">
      <w:pPr>
        <w:tabs>
          <w:tab w:val="left" w:pos="1215"/>
        </w:tabs>
        <w:jc w:val="both"/>
        <w:rPr>
          <w:rFonts w:asciiTheme="minorHAnsi" w:hAnsiTheme="minorHAnsi" w:cstheme="minorHAnsi"/>
        </w:rPr>
      </w:pPr>
    </w:p>
    <w:p w14:paraId="4FC658FF" w14:textId="77777777" w:rsidR="00F2303F" w:rsidRPr="00564DC7" w:rsidRDefault="00F2303F" w:rsidP="00690186">
      <w:pPr>
        <w:tabs>
          <w:tab w:val="left" w:pos="1215"/>
        </w:tabs>
        <w:jc w:val="both"/>
        <w:rPr>
          <w:rFonts w:asciiTheme="minorHAnsi" w:hAnsiTheme="minorHAnsi" w:cstheme="minorHAnsi"/>
        </w:rPr>
      </w:pPr>
    </w:p>
    <w:p w14:paraId="0751172A" w14:textId="77777777" w:rsidR="00F2303F" w:rsidRPr="00564DC7" w:rsidRDefault="00F2303F" w:rsidP="00690186">
      <w:pPr>
        <w:jc w:val="both"/>
        <w:rPr>
          <w:rFonts w:asciiTheme="minorHAnsi" w:hAnsiTheme="minorHAnsi" w:cstheme="minorHAnsi"/>
        </w:rPr>
      </w:pPr>
    </w:p>
    <w:p w14:paraId="4CF268A5" w14:textId="77777777" w:rsidR="00F2303F" w:rsidRPr="00564DC7" w:rsidRDefault="00F2303F" w:rsidP="00690186">
      <w:pPr>
        <w:tabs>
          <w:tab w:val="center" w:pos="4536"/>
          <w:tab w:val="right" w:pos="9072"/>
        </w:tabs>
        <w:jc w:val="center"/>
        <w:rPr>
          <w:rFonts w:asciiTheme="minorHAnsi" w:hAnsiTheme="minorHAnsi" w:cstheme="minorHAnsi"/>
        </w:rPr>
      </w:pPr>
      <w:r w:rsidRPr="00564DC7">
        <w:rPr>
          <w:rFonts w:asciiTheme="minorHAnsi" w:hAnsiTheme="minorHAnsi" w:cstheme="minorHAnsi"/>
        </w:rPr>
        <w:t>Adresa: Bucureşti, Calea Plevnei, Nr. 141 B, Sector 6</w:t>
      </w:r>
    </w:p>
    <w:p w14:paraId="0AA5593D" w14:textId="77777777" w:rsidR="00F2303F" w:rsidRPr="00564DC7" w:rsidRDefault="00F2303F" w:rsidP="00690186">
      <w:pPr>
        <w:tabs>
          <w:tab w:val="center" w:pos="4536"/>
          <w:tab w:val="right" w:pos="9072"/>
        </w:tabs>
        <w:jc w:val="center"/>
        <w:rPr>
          <w:rFonts w:asciiTheme="minorHAnsi" w:hAnsiTheme="minorHAnsi" w:cstheme="minorHAnsi"/>
        </w:rPr>
      </w:pPr>
      <w:r w:rsidRPr="00564DC7">
        <w:rPr>
          <w:rFonts w:asciiTheme="minorHAnsi" w:hAnsiTheme="minorHAnsi" w:cstheme="minorHAnsi"/>
        </w:rPr>
        <w:t>Tel 311 69 33; Fax 311 69 42</w:t>
      </w:r>
    </w:p>
    <w:p w14:paraId="565D2106" w14:textId="3BAE95C2" w:rsidR="00C879FB" w:rsidRPr="00564DC7" w:rsidRDefault="00F2303F" w:rsidP="00690186">
      <w:pPr>
        <w:tabs>
          <w:tab w:val="center" w:pos="4536"/>
          <w:tab w:val="right" w:pos="9072"/>
        </w:tabs>
        <w:jc w:val="center"/>
        <w:rPr>
          <w:rFonts w:asciiTheme="minorHAnsi" w:hAnsiTheme="minorHAnsi" w:cstheme="minorHAnsi"/>
          <w:u w:val="single"/>
        </w:rPr>
      </w:pPr>
      <w:r w:rsidRPr="00564DC7">
        <w:rPr>
          <w:rFonts w:asciiTheme="minorHAnsi" w:hAnsiTheme="minorHAnsi" w:cstheme="minorHAnsi"/>
        </w:rPr>
        <w:t xml:space="preserve">Web: </w:t>
      </w:r>
      <w:hyperlink r:id="rId9" w:history="1">
        <w:r w:rsidR="00EC6B7B" w:rsidRPr="00EC6B7B">
          <w:rPr>
            <w:rStyle w:val="Hyperlink"/>
            <w:rFonts w:asciiTheme="minorHAnsi" w:hAnsiTheme="minorHAnsi" w:cstheme="minorHAnsi"/>
          </w:rPr>
          <w:t>www.csm1909.ro</w:t>
        </w:r>
      </w:hyperlink>
    </w:p>
    <w:p w14:paraId="25DE2DD8" w14:textId="77777777" w:rsidR="000B3441" w:rsidRPr="00564DC7" w:rsidRDefault="000B3441" w:rsidP="00690186">
      <w:pPr>
        <w:tabs>
          <w:tab w:val="center" w:pos="4536"/>
          <w:tab w:val="right" w:pos="9072"/>
        </w:tabs>
        <w:jc w:val="center"/>
        <w:rPr>
          <w:rFonts w:asciiTheme="minorHAnsi" w:hAnsiTheme="minorHAnsi" w:cstheme="minorHAnsi"/>
          <w:u w:val="single"/>
        </w:rPr>
      </w:pPr>
    </w:p>
    <w:p w14:paraId="225CFC4F" w14:textId="77777777" w:rsidR="00712FF3" w:rsidRPr="00564DC7" w:rsidRDefault="00712FF3" w:rsidP="00690186">
      <w:pPr>
        <w:widowControl w:val="0"/>
        <w:autoSpaceDE w:val="0"/>
        <w:autoSpaceDN w:val="0"/>
        <w:adjustRightInd w:val="0"/>
        <w:ind w:firstLine="851"/>
        <w:jc w:val="center"/>
        <w:rPr>
          <w:rFonts w:asciiTheme="minorHAnsi" w:hAnsiTheme="minorHAnsi" w:cstheme="minorHAnsi"/>
          <w:b/>
          <w:sz w:val="26"/>
          <w:szCs w:val="26"/>
        </w:rPr>
        <w:sectPr w:rsidR="00712FF3" w:rsidRPr="00564DC7" w:rsidSect="00A3761E">
          <w:footerReference w:type="default" r:id="rId10"/>
          <w:pgSz w:w="11906" w:h="16838" w:code="9"/>
          <w:pgMar w:top="567" w:right="851" w:bottom="567" w:left="851" w:header="567" w:footer="284" w:gutter="0"/>
          <w:cols w:space="708"/>
          <w:docGrid w:linePitch="381"/>
        </w:sectPr>
      </w:pPr>
    </w:p>
    <w:p w14:paraId="046FE232" w14:textId="77777777" w:rsidR="00712FF3" w:rsidRDefault="00712FF3" w:rsidP="00690186">
      <w:pPr>
        <w:widowControl w:val="0"/>
        <w:autoSpaceDE w:val="0"/>
        <w:autoSpaceDN w:val="0"/>
        <w:adjustRightInd w:val="0"/>
        <w:ind w:firstLine="851"/>
        <w:jc w:val="center"/>
        <w:rPr>
          <w:rFonts w:asciiTheme="minorHAnsi" w:hAnsiTheme="minorHAnsi" w:cstheme="minorHAnsi"/>
          <w:b/>
          <w:sz w:val="26"/>
          <w:szCs w:val="26"/>
        </w:rPr>
      </w:pPr>
    </w:p>
    <w:p w14:paraId="15897A06" w14:textId="77777777" w:rsidR="008C03E4" w:rsidRDefault="008C03E4" w:rsidP="00690186">
      <w:pPr>
        <w:widowControl w:val="0"/>
        <w:autoSpaceDE w:val="0"/>
        <w:autoSpaceDN w:val="0"/>
        <w:adjustRightInd w:val="0"/>
        <w:ind w:firstLine="851"/>
        <w:jc w:val="center"/>
        <w:rPr>
          <w:rFonts w:asciiTheme="minorHAnsi" w:hAnsiTheme="minorHAnsi" w:cstheme="minorHAnsi"/>
          <w:b/>
          <w:sz w:val="26"/>
          <w:szCs w:val="26"/>
        </w:rPr>
      </w:pPr>
    </w:p>
    <w:p w14:paraId="4C343B37" w14:textId="07C1782B" w:rsidR="003175C4" w:rsidRDefault="003175C4" w:rsidP="00690186">
      <w:pPr>
        <w:widowControl w:val="0"/>
        <w:autoSpaceDE w:val="0"/>
        <w:autoSpaceDN w:val="0"/>
        <w:adjustRightInd w:val="0"/>
        <w:jc w:val="center"/>
        <w:rPr>
          <w:rFonts w:asciiTheme="minorHAnsi" w:hAnsiTheme="minorHAnsi" w:cstheme="minorHAnsi"/>
          <w:b/>
          <w:sz w:val="26"/>
          <w:szCs w:val="26"/>
        </w:rPr>
      </w:pPr>
      <w:r w:rsidRPr="00564DC7">
        <w:rPr>
          <w:rFonts w:asciiTheme="minorHAnsi" w:hAnsiTheme="minorHAnsi" w:cstheme="minorHAnsi"/>
          <w:b/>
          <w:sz w:val="26"/>
          <w:szCs w:val="26"/>
        </w:rPr>
        <w:t>CUPRINS</w:t>
      </w:r>
    </w:p>
    <w:p w14:paraId="64A34A92" w14:textId="77777777" w:rsidR="008C03E4" w:rsidRPr="00564DC7" w:rsidRDefault="008C03E4" w:rsidP="00690186">
      <w:pPr>
        <w:widowControl w:val="0"/>
        <w:autoSpaceDE w:val="0"/>
        <w:autoSpaceDN w:val="0"/>
        <w:adjustRightInd w:val="0"/>
        <w:jc w:val="center"/>
        <w:rPr>
          <w:rFonts w:asciiTheme="minorHAnsi" w:hAnsiTheme="minorHAnsi" w:cstheme="minorHAnsi"/>
          <w:b/>
          <w:sz w:val="26"/>
          <w:szCs w:val="26"/>
        </w:rPr>
      </w:pPr>
    </w:p>
    <w:sdt>
      <w:sdtPr>
        <w:rPr>
          <w:rFonts w:ascii="Arial" w:eastAsia="Times New Roman" w:hAnsi="Arial" w:cstheme="minorHAnsi"/>
          <w:b w:val="0"/>
          <w:color w:val="auto"/>
          <w:szCs w:val="20"/>
          <w:lang w:val="ro-RO"/>
        </w:rPr>
        <w:id w:val="117108643"/>
        <w:docPartObj>
          <w:docPartGallery w:val="Table of Contents"/>
          <w:docPartUnique/>
        </w:docPartObj>
      </w:sdtPr>
      <w:sdtEndPr>
        <w:rPr>
          <w:bCs/>
        </w:rPr>
      </w:sdtEndPr>
      <w:sdtContent>
        <w:p w14:paraId="24506C4B" w14:textId="3BAF5B4D" w:rsidR="005625CB" w:rsidRPr="00564DC7" w:rsidRDefault="005625CB" w:rsidP="00690186">
          <w:pPr>
            <w:pStyle w:val="TOCHeading"/>
            <w:spacing w:line="240" w:lineRule="auto"/>
            <w:rPr>
              <w:rFonts w:cstheme="minorHAnsi"/>
              <w:color w:val="auto"/>
              <w:lang w:val="ro-RO"/>
            </w:rPr>
          </w:pPr>
        </w:p>
        <w:p w14:paraId="4DAF41B8" w14:textId="25509765" w:rsidR="00F8687F" w:rsidRDefault="005625CB">
          <w:pPr>
            <w:pStyle w:val="TOC1"/>
            <w:rPr>
              <w:rFonts w:asciiTheme="minorHAnsi" w:eastAsiaTheme="minorEastAsia" w:hAnsiTheme="minorHAnsi" w:cstheme="minorBidi"/>
              <w:b w:val="0"/>
              <w:noProof/>
              <w:kern w:val="2"/>
              <w:sz w:val="22"/>
              <w:szCs w:val="22"/>
              <w:lang w:val="en-GB" w:eastAsia="en-GB"/>
              <w14:ligatures w14:val="standardContextual"/>
            </w:rPr>
          </w:pPr>
          <w:r w:rsidRPr="00564DC7">
            <w:rPr>
              <w:rFonts w:asciiTheme="minorHAnsi" w:hAnsiTheme="minorHAnsi" w:cstheme="minorHAnsi"/>
              <w:szCs w:val="26"/>
            </w:rPr>
            <w:fldChar w:fldCharType="begin"/>
          </w:r>
          <w:r w:rsidRPr="00564DC7">
            <w:rPr>
              <w:rFonts w:asciiTheme="minorHAnsi" w:hAnsiTheme="minorHAnsi" w:cstheme="minorHAnsi"/>
              <w:szCs w:val="26"/>
            </w:rPr>
            <w:instrText xml:space="preserve"> TOC \o "1-3" \h \z \u </w:instrText>
          </w:r>
          <w:r w:rsidRPr="00564DC7">
            <w:rPr>
              <w:rFonts w:asciiTheme="minorHAnsi" w:hAnsiTheme="minorHAnsi" w:cstheme="minorHAnsi"/>
              <w:szCs w:val="26"/>
            </w:rPr>
            <w:fldChar w:fldCharType="separate"/>
          </w:r>
          <w:hyperlink w:anchor="_Toc155267857" w:history="1">
            <w:r w:rsidR="00F8687F" w:rsidRPr="005527CE">
              <w:rPr>
                <w:rStyle w:val="Hyperlink"/>
                <w:rFonts w:cstheme="minorHAnsi"/>
                <w:noProof/>
              </w:rPr>
              <w:t>Cuvânt înainte al preşedintelui Consiliului Superior al Magistraturii</w:t>
            </w:r>
            <w:r w:rsidR="00F8687F">
              <w:rPr>
                <w:noProof/>
                <w:webHidden/>
              </w:rPr>
              <w:tab/>
            </w:r>
            <w:r w:rsidR="00F8687F">
              <w:rPr>
                <w:noProof/>
                <w:webHidden/>
              </w:rPr>
              <w:fldChar w:fldCharType="begin"/>
            </w:r>
            <w:r w:rsidR="00F8687F">
              <w:rPr>
                <w:noProof/>
                <w:webHidden/>
              </w:rPr>
              <w:instrText xml:space="preserve"> PAGEREF _Toc155267857 \h </w:instrText>
            </w:r>
            <w:r w:rsidR="00F8687F">
              <w:rPr>
                <w:noProof/>
                <w:webHidden/>
              </w:rPr>
            </w:r>
            <w:r w:rsidR="00F8687F">
              <w:rPr>
                <w:noProof/>
                <w:webHidden/>
              </w:rPr>
              <w:fldChar w:fldCharType="separate"/>
            </w:r>
            <w:r w:rsidR="00F8687F">
              <w:rPr>
                <w:noProof/>
                <w:webHidden/>
              </w:rPr>
              <w:t>1</w:t>
            </w:r>
            <w:r w:rsidR="00F8687F">
              <w:rPr>
                <w:noProof/>
                <w:webHidden/>
              </w:rPr>
              <w:fldChar w:fldCharType="end"/>
            </w:r>
          </w:hyperlink>
        </w:p>
        <w:p w14:paraId="577901BD" w14:textId="00D1EAF9"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58" w:history="1">
            <w:r w:rsidR="00F8687F" w:rsidRPr="005527CE">
              <w:rPr>
                <w:rStyle w:val="Hyperlink"/>
                <w:rFonts w:cstheme="minorHAnsi"/>
                <w:noProof/>
              </w:rPr>
              <w:t>CAPITOLUL I</w:t>
            </w:r>
          </w:hyperlink>
        </w:p>
        <w:p w14:paraId="58449DF4" w14:textId="312EF583"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59" w:history="1">
            <w:r w:rsidR="00F8687F" w:rsidRPr="005527CE">
              <w:rPr>
                <w:rStyle w:val="Hyperlink"/>
                <w:rFonts w:cstheme="minorHAnsi"/>
                <w:noProof/>
              </w:rPr>
              <w:t>Îndeplinirea rolului constituţional de garant al independenţei justiţiei</w:t>
            </w:r>
            <w:r w:rsidR="00F8687F">
              <w:rPr>
                <w:noProof/>
                <w:webHidden/>
              </w:rPr>
              <w:tab/>
            </w:r>
            <w:r w:rsidR="00F8687F">
              <w:rPr>
                <w:noProof/>
                <w:webHidden/>
              </w:rPr>
              <w:fldChar w:fldCharType="begin"/>
            </w:r>
            <w:r w:rsidR="00F8687F">
              <w:rPr>
                <w:noProof/>
                <w:webHidden/>
              </w:rPr>
              <w:instrText xml:space="preserve"> PAGEREF _Toc155267859 \h </w:instrText>
            </w:r>
            <w:r w:rsidR="00F8687F">
              <w:rPr>
                <w:noProof/>
                <w:webHidden/>
              </w:rPr>
            </w:r>
            <w:r w:rsidR="00F8687F">
              <w:rPr>
                <w:noProof/>
                <w:webHidden/>
              </w:rPr>
              <w:fldChar w:fldCharType="separate"/>
            </w:r>
            <w:r w:rsidR="00F8687F">
              <w:rPr>
                <w:noProof/>
                <w:webHidden/>
              </w:rPr>
              <w:t>1</w:t>
            </w:r>
            <w:r w:rsidR="00F8687F">
              <w:rPr>
                <w:noProof/>
                <w:webHidden/>
              </w:rPr>
              <w:fldChar w:fldCharType="end"/>
            </w:r>
          </w:hyperlink>
        </w:p>
        <w:p w14:paraId="5B6C81DD" w14:textId="5D01C206"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0" w:history="1">
            <w:r w:rsidR="00F8687F" w:rsidRPr="005527CE">
              <w:rPr>
                <w:rStyle w:val="Hyperlink"/>
                <w:rFonts w:cstheme="minorHAnsi"/>
                <w:noProof/>
              </w:rPr>
              <w:t>I.1.  Procedurile derulate privind ocuparea celor mai înalte funcţii din cadrul Înaltei Curţi de Casaţie şi Justiţie</w:t>
            </w:r>
            <w:r w:rsidR="00F8687F">
              <w:rPr>
                <w:noProof/>
                <w:webHidden/>
              </w:rPr>
              <w:tab/>
            </w:r>
            <w:r w:rsidR="00F8687F">
              <w:rPr>
                <w:noProof/>
                <w:webHidden/>
              </w:rPr>
              <w:fldChar w:fldCharType="begin"/>
            </w:r>
            <w:r w:rsidR="00F8687F">
              <w:rPr>
                <w:noProof/>
                <w:webHidden/>
              </w:rPr>
              <w:instrText xml:space="preserve"> PAGEREF _Toc155267860 \h </w:instrText>
            </w:r>
            <w:r w:rsidR="00F8687F">
              <w:rPr>
                <w:noProof/>
                <w:webHidden/>
              </w:rPr>
            </w:r>
            <w:r w:rsidR="00F8687F">
              <w:rPr>
                <w:noProof/>
                <w:webHidden/>
              </w:rPr>
              <w:fldChar w:fldCharType="separate"/>
            </w:r>
            <w:r w:rsidR="00F8687F">
              <w:rPr>
                <w:noProof/>
                <w:webHidden/>
              </w:rPr>
              <w:t>1</w:t>
            </w:r>
            <w:r w:rsidR="00F8687F">
              <w:rPr>
                <w:noProof/>
                <w:webHidden/>
              </w:rPr>
              <w:fldChar w:fldCharType="end"/>
            </w:r>
          </w:hyperlink>
        </w:p>
        <w:p w14:paraId="6CBEEE86" w14:textId="0FDA2EAB"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1" w:history="1">
            <w:r w:rsidR="00F8687F" w:rsidRPr="005527CE">
              <w:rPr>
                <w:rStyle w:val="Hyperlink"/>
                <w:rFonts w:cstheme="minorHAnsi"/>
                <w:noProof/>
              </w:rPr>
              <w:t>I.2.  Procedurile derulate privind ocuparea celor mai înalte funcţii din cadrul Parchetului de pe lângă Înalta Curte de Casaţie şi Justiţie</w:t>
            </w:r>
            <w:r w:rsidR="00F8687F">
              <w:rPr>
                <w:noProof/>
                <w:webHidden/>
              </w:rPr>
              <w:tab/>
            </w:r>
            <w:r w:rsidR="00F8687F">
              <w:rPr>
                <w:noProof/>
                <w:webHidden/>
              </w:rPr>
              <w:fldChar w:fldCharType="begin"/>
            </w:r>
            <w:r w:rsidR="00F8687F">
              <w:rPr>
                <w:noProof/>
                <w:webHidden/>
              </w:rPr>
              <w:instrText xml:space="preserve"> PAGEREF _Toc155267861 \h </w:instrText>
            </w:r>
            <w:r w:rsidR="00F8687F">
              <w:rPr>
                <w:noProof/>
                <w:webHidden/>
              </w:rPr>
            </w:r>
            <w:r w:rsidR="00F8687F">
              <w:rPr>
                <w:noProof/>
                <w:webHidden/>
              </w:rPr>
              <w:fldChar w:fldCharType="separate"/>
            </w:r>
            <w:r w:rsidR="00F8687F">
              <w:rPr>
                <w:noProof/>
                <w:webHidden/>
              </w:rPr>
              <w:t>1</w:t>
            </w:r>
            <w:r w:rsidR="00F8687F">
              <w:rPr>
                <w:noProof/>
                <w:webHidden/>
              </w:rPr>
              <w:fldChar w:fldCharType="end"/>
            </w:r>
          </w:hyperlink>
        </w:p>
        <w:p w14:paraId="73D17274" w14:textId="15341443"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2" w:history="1">
            <w:r w:rsidR="00F8687F" w:rsidRPr="005527CE">
              <w:rPr>
                <w:rStyle w:val="Hyperlink"/>
                <w:rFonts w:cstheme="minorHAnsi"/>
                <w:noProof/>
              </w:rPr>
              <w:t>I.3. Demersuri pentru consolidarea capacităţii instituţionale a Consiliului Superior al Magistraturii</w:t>
            </w:r>
            <w:r w:rsidR="00F8687F">
              <w:rPr>
                <w:noProof/>
                <w:webHidden/>
              </w:rPr>
              <w:tab/>
            </w:r>
            <w:r w:rsidR="00F8687F">
              <w:rPr>
                <w:noProof/>
                <w:webHidden/>
              </w:rPr>
              <w:fldChar w:fldCharType="begin"/>
            </w:r>
            <w:r w:rsidR="00F8687F">
              <w:rPr>
                <w:noProof/>
                <w:webHidden/>
              </w:rPr>
              <w:instrText xml:space="preserve"> PAGEREF _Toc155267862 \h </w:instrText>
            </w:r>
            <w:r w:rsidR="00F8687F">
              <w:rPr>
                <w:noProof/>
                <w:webHidden/>
              </w:rPr>
            </w:r>
            <w:r w:rsidR="00F8687F">
              <w:rPr>
                <w:noProof/>
                <w:webHidden/>
              </w:rPr>
              <w:fldChar w:fldCharType="separate"/>
            </w:r>
            <w:r w:rsidR="00F8687F">
              <w:rPr>
                <w:noProof/>
                <w:webHidden/>
              </w:rPr>
              <w:t>2</w:t>
            </w:r>
            <w:r w:rsidR="00F8687F">
              <w:rPr>
                <w:noProof/>
                <w:webHidden/>
              </w:rPr>
              <w:fldChar w:fldCharType="end"/>
            </w:r>
          </w:hyperlink>
        </w:p>
        <w:p w14:paraId="4520BC02" w14:textId="5E71087C"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3" w:history="1">
            <w:r w:rsidR="00F8687F" w:rsidRPr="005527CE">
              <w:rPr>
                <w:rStyle w:val="Hyperlink"/>
                <w:rFonts w:eastAsia="Calibri" w:cstheme="minorHAnsi"/>
                <w:bCs/>
                <w:noProof/>
              </w:rPr>
              <w:t>I.3.1. Structura Consiliului Superior al Magistraturii</w:t>
            </w:r>
            <w:r w:rsidR="00F8687F">
              <w:rPr>
                <w:noProof/>
                <w:webHidden/>
              </w:rPr>
              <w:tab/>
            </w:r>
            <w:r w:rsidR="00F8687F">
              <w:rPr>
                <w:noProof/>
                <w:webHidden/>
              </w:rPr>
              <w:fldChar w:fldCharType="begin"/>
            </w:r>
            <w:r w:rsidR="00F8687F">
              <w:rPr>
                <w:noProof/>
                <w:webHidden/>
              </w:rPr>
              <w:instrText xml:space="preserve"> PAGEREF _Toc155267863 \h </w:instrText>
            </w:r>
            <w:r w:rsidR="00F8687F">
              <w:rPr>
                <w:noProof/>
                <w:webHidden/>
              </w:rPr>
            </w:r>
            <w:r w:rsidR="00F8687F">
              <w:rPr>
                <w:noProof/>
                <w:webHidden/>
              </w:rPr>
              <w:fldChar w:fldCharType="separate"/>
            </w:r>
            <w:r w:rsidR="00F8687F">
              <w:rPr>
                <w:noProof/>
                <w:webHidden/>
              </w:rPr>
              <w:t>2</w:t>
            </w:r>
            <w:r w:rsidR="00F8687F">
              <w:rPr>
                <w:noProof/>
                <w:webHidden/>
              </w:rPr>
              <w:fldChar w:fldCharType="end"/>
            </w:r>
          </w:hyperlink>
        </w:p>
        <w:p w14:paraId="13D979E9" w14:textId="7014E1E0"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4" w:history="1">
            <w:r w:rsidR="00F8687F" w:rsidRPr="005527CE">
              <w:rPr>
                <w:rStyle w:val="Hyperlink"/>
                <w:rFonts w:cstheme="minorHAnsi"/>
                <w:bCs/>
                <w:noProof/>
              </w:rPr>
              <w:t>I.3.2. Proceduri pentru ocuparea funcţiilor de execuţie şi de conducere din aparatul propriu al Consiliului Superior al Magistraturii</w:t>
            </w:r>
            <w:r w:rsidR="00F8687F">
              <w:rPr>
                <w:noProof/>
                <w:webHidden/>
              </w:rPr>
              <w:tab/>
            </w:r>
            <w:r w:rsidR="00F8687F">
              <w:rPr>
                <w:noProof/>
                <w:webHidden/>
              </w:rPr>
              <w:fldChar w:fldCharType="begin"/>
            </w:r>
            <w:r w:rsidR="00F8687F">
              <w:rPr>
                <w:noProof/>
                <w:webHidden/>
              </w:rPr>
              <w:instrText xml:space="preserve"> PAGEREF _Toc155267864 \h </w:instrText>
            </w:r>
            <w:r w:rsidR="00F8687F">
              <w:rPr>
                <w:noProof/>
                <w:webHidden/>
              </w:rPr>
            </w:r>
            <w:r w:rsidR="00F8687F">
              <w:rPr>
                <w:noProof/>
                <w:webHidden/>
              </w:rPr>
              <w:fldChar w:fldCharType="separate"/>
            </w:r>
            <w:r w:rsidR="00F8687F">
              <w:rPr>
                <w:noProof/>
                <w:webHidden/>
              </w:rPr>
              <w:t>3</w:t>
            </w:r>
            <w:r w:rsidR="00F8687F">
              <w:rPr>
                <w:noProof/>
                <w:webHidden/>
              </w:rPr>
              <w:fldChar w:fldCharType="end"/>
            </w:r>
          </w:hyperlink>
        </w:p>
        <w:p w14:paraId="1926A9AD" w14:textId="19A152CC"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5" w:history="1">
            <w:r w:rsidR="00F8687F" w:rsidRPr="005527CE">
              <w:rPr>
                <w:rStyle w:val="Hyperlink"/>
                <w:rFonts w:cstheme="minorHAnsi"/>
                <w:bCs/>
                <w:noProof/>
              </w:rPr>
              <w:t>I.3.2.1. Posturi de execuţie</w:t>
            </w:r>
            <w:r w:rsidR="00F8687F">
              <w:rPr>
                <w:noProof/>
                <w:webHidden/>
              </w:rPr>
              <w:tab/>
            </w:r>
            <w:r w:rsidR="00F8687F">
              <w:rPr>
                <w:noProof/>
                <w:webHidden/>
              </w:rPr>
              <w:fldChar w:fldCharType="begin"/>
            </w:r>
            <w:r w:rsidR="00F8687F">
              <w:rPr>
                <w:noProof/>
                <w:webHidden/>
              </w:rPr>
              <w:instrText xml:space="preserve"> PAGEREF _Toc155267865 \h </w:instrText>
            </w:r>
            <w:r w:rsidR="00F8687F">
              <w:rPr>
                <w:noProof/>
                <w:webHidden/>
              </w:rPr>
            </w:r>
            <w:r w:rsidR="00F8687F">
              <w:rPr>
                <w:noProof/>
                <w:webHidden/>
              </w:rPr>
              <w:fldChar w:fldCharType="separate"/>
            </w:r>
            <w:r w:rsidR="00F8687F">
              <w:rPr>
                <w:noProof/>
                <w:webHidden/>
              </w:rPr>
              <w:t>3</w:t>
            </w:r>
            <w:r w:rsidR="00F8687F">
              <w:rPr>
                <w:noProof/>
                <w:webHidden/>
              </w:rPr>
              <w:fldChar w:fldCharType="end"/>
            </w:r>
          </w:hyperlink>
        </w:p>
        <w:p w14:paraId="7B481701" w14:textId="434A295B"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6" w:history="1">
            <w:r w:rsidR="00F8687F" w:rsidRPr="005527CE">
              <w:rPr>
                <w:rStyle w:val="Hyperlink"/>
                <w:rFonts w:cstheme="minorHAnsi"/>
                <w:bCs/>
                <w:noProof/>
              </w:rPr>
              <w:t>I.3.2.2. Funcţii de conducere</w:t>
            </w:r>
            <w:r w:rsidR="00F8687F">
              <w:rPr>
                <w:noProof/>
                <w:webHidden/>
              </w:rPr>
              <w:tab/>
            </w:r>
            <w:r w:rsidR="00F8687F">
              <w:rPr>
                <w:noProof/>
                <w:webHidden/>
              </w:rPr>
              <w:fldChar w:fldCharType="begin"/>
            </w:r>
            <w:r w:rsidR="00F8687F">
              <w:rPr>
                <w:noProof/>
                <w:webHidden/>
              </w:rPr>
              <w:instrText xml:space="preserve"> PAGEREF _Toc155267866 \h </w:instrText>
            </w:r>
            <w:r w:rsidR="00F8687F">
              <w:rPr>
                <w:noProof/>
                <w:webHidden/>
              </w:rPr>
            </w:r>
            <w:r w:rsidR="00F8687F">
              <w:rPr>
                <w:noProof/>
                <w:webHidden/>
              </w:rPr>
              <w:fldChar w:fldCharType="separate"/>
            </w:r>
            <w:r w:rsidR="00F8687F">
              <w:rPr>
                <w:noProof/>
                <w:webHidden/>
              </w:rPr>
              <w:t>4</w:t>
            </w:r>
            <w:r w:rsidR="00F8687F">
              <w:rPr>
                <w:noProof/>
                <w:webHidden/>
              </w:rPr>
              <w:fldChar w:fldCharType="end"/>
            </w:r>
          </w:hyperlink>
        </w:p>
        <w:p w14:paraId="17A7744E" w14:textId="7E5F7BEE"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7" w:history="1">
            <w:r w:rsidR="00F8687F" w:rsidRPr="005527CE">
              <w:rPr>
                <w:rStyle w:val="Hyperlink"/>
                <w:rFonts w:cstheme="minorHAnsi"/>
                <w:noProof/>
              </w:rPr>
              <w:t>I.4. Demersuri pentru dezvoltarea capacităţii Institutului Naţional al Magistraturii şi a Şcolii Naţionale de Grefieri</w:t>
            </w:r>
            <w:r w:rsidR="00F8687F">
              <w:rPr>
                <w:noProof/>
                <w:webHidden/>
              </w:rPr>
              <w:tab/>
            </w:r>
            <w:r w:rsidR="00F8687F">
              <w:rPr>
                <w:noProof/>
                <w:webHidden/>
              </w:rPr>
              <w:fldChar w:fldCharType="begin"/>
            </w:r>
            <w:r w:rsidR="00F8687F">
              <w:rPr>
                <w:noProof/>
                <w:webHidden/>
              </w:rPr>
              <w:instrText xml:space="preserve"> PAGEREF _Toc155267867 \h </w:instrText>
            </w:r>
            <w:r w:rsidR="00F8687F">
              <w:rPr>
                <w:noProof/>
                <w:webHidden/>
              </w:rPr>
            </w:r>
            <w:r w:rsidR="00F8687F">
              <w:rPr>
                <w:noProof/>
                <w:webHidden/>
              </w:rPr>
              <w:fldChar w:fldCharType="separate"/>
            </w:r>
            <w:r w:rsidR="00F8687F">
              <w:rPr>
                <w:noProof/>
                <w:webHidden/>
              </w:rPr>
              <w:t>4</w:t>
            </w:r>
            <w:r w:rsidR="00F8687F">
              <w:rPr>
                <w:noProof/>
                <w:webHidden/>
              </w:rPr>
              <w:fldChar w:fldCharType="end"/>
            </w:r>
          </w:hyperlink>
        </w:p>
        <w:p w14:paraId="0E25A064" w14:textId="62AAA160"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8" w:history="1">
            <w:r w:rsidR="00F8687F" w:rsidRPr="005527CE">
              <w:rPr>
                <w:rStyle w:val="Hyperlink"/>
                <w:rFonts w:cstheme="minorHAnsi"/>
                <w:bCs/>
                <w:noProof/>
              </w:rPr>
              <w:t>I.4.1. Consolidarea capacității instituționale</w:t>
            </w:r>
            <w:r w:rsidR="00F8687F">
              <w:rPr>
                <w:noProof/>
                <w:webHidden/>
              </w:rPr>
              <w:tab/>
            </w:r>
            <w:r w:rsidR="00F8687F">
              <w:rPr>
                <w:noProof/>
                <w:webHidden/>
              </w:rPr>
              <w:fldChar w:fldCharType="begin"/>
            </w:r>
            <w:r w:rsidR="00F8687F">
              <w:rPr>
                <w:noProof/>
                <w:webHidden/>
              </w:rPr>
              <w:instrText xml:space="preserve"> PAGEREF _Toc155267868 \h </w:instrText>
            </w:r>
            <w:r w:rsidR="00F8687F">
              <w:rPr>
                <w:noProof/>
                <w:webHidden/>
              </w:rPr>
            </w:r>
            <w:r w:rsidR="00F8687F">
              <w:rPr>
                <w:noProof/>
                <w:webHidden/>
              </w:rPr>
              <w:fldChar w:fldCharType="separate"/>
            </w:r>
            <w:r w:rsidR="00F8687F">
              <w:rPr>
                <w:noProof/>
                <w:webHidden/>
              </w:rPr>
              <w:t>4</w:t>
            </w:r>
            <w:r w:rsidR="00F8687F">
              <w:rPr>
                <w:noProof/>
                <w:webHidden/>
              </w:rPr>
              <w:fldChar w:fldCharType="end"/>
            </w:r>
          </w:hyperlink>
        </w:p>
        <w:p w14:paraId="5486DDD1" w14:textId="7929190A"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69" w:history="1">
            <w:r w:rsidR="00F8687F" w:rsidRPr="005527CE">
              <w:rPr>
                <w:rStyle w:val="Hyperlink"/>
                <w:rFonts w:cstheme="minorHAnsi"/>
                <w:bCs/>
                <w:noProof/>
              </w:rPr>
              <w:t>I.4.2. Consolidarea corpului personalului de instruire</w:t>
            </w:r>
            <w:r w:rsidR="00F8687F">
              <w:rPr>
                <w:noProof/>
                <w:webHidden/>
              </w:rPr>
              <w:tab/>
            </w:r>
            <w:r w:rsidR="00F8687F">
              <w:rPr>
                <w:noProof/>
                <w:webHidden/>
              </w:rPr>
              <w:fldChar w:fldCharType="begin"/>
            </w:r>
            <w:r w:rsidR="00F8687F">
              <w:rPr>
                <w:noProof/>
                <w:webHidden/>
              </w:rPr>
              <w:instrText xml:space="preserve"> PAGEREF _Toc155267869 \h </w:instrText>
            </w:r>
            <w:r w:rsidR="00F8687F">
              <w:rPr>
                <w:noProof/>
                <w:webHidden/>
              </w:rPr>
            </w:r>
            <w:r w:rsidR="00F8687F">
              <w:rPr>
                <w:noProof/>
                <w:webHidden/>
              </w:rPr>
              <w:fldChar w:fldCharType="separate"/>
            </w:r>
            <w:r w:rsidR="00F8687F">
              <w:rPr>
                <w:noProof/>
                <w:webHidden/>
              </w:rPr>
              <w:t>4</w:t>
            </w:r>
            <w:r w:rsidR="00F8687F">
              <w:rPr>
                <w:noProof/>
                <w:webHidden/>
              </w:rPr>
              <w:fldChar w:fldCharType="end"/>
            </w:r>
          </w:hyperlink>
        </w:p>
        <w:p w14:paraId="54F86B53" w14:textId="2B070BEE"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0" w:history="1">
            <w:r w:rsidR="00F8687F" w:rsidRPr="005527CE">
              <w:rPr>
                <w:rStyle w:val="Hyperlink"/>
                <w:rFonts w:cstheme="minorHAnsi"/>
                <w:bCs/>
                <w:noProof/>
              </w:rPr>
              <w:t>I.4.3. Proiecte cu finanțare externă în care INM are calitatea de partener sau beneficiar</w:t>
            </w:r>
            <w:r w:rsidR="00F8687F">
              <w:rPr>
                <w:noProof/>
                <w:webHidden/>
              </w:rPr>
              <w:tab/>
            </w:r>
            <w:r w:rsidR="00F8687F">
              <w:rPr>
                <w:noProof/>
                <w:webHidden/>
              </w:rPr>
              <w:fldChar w:fldCharType="begin"/>
            </w:r>
            <w:r w:rsidR="00F8687F">
              <w:rPr>
                <w:noProof/>
                <w:webHidden/>
              </w:rPr>
              <w:instrText xml:space="preserve"> PAGEREF _Toc155267870 \h </w:instrText>
            </w:r>
            <w:r w:rsidR="00F8687F">
              <w:rPr>
                <w:noProof/>
                <w:webHidden/>
              </w:rPr>
            </w:r>
            <w:r w:rsidR="00F8687F">
              <w:rPr>
                <w:noProof/>
                <w:webHidden/>
              </w:rPr>
              <w:fldChar w:fldCharType="separate"/>
            </w:r>
            <w:r w:rsidR="00F8687F">
              <w:rPr>
                <w:noProof/>
                <w:webHidden/>
              </w:rPr>
              <w:t>6</w:t>
            </w:r>
            <w:r w:rsidR="00F8687F">
              <w:rPr>
                <w:noProof/>
                <w:webHidden/>
              </w:rPr>
              <w:fldChar w:fldCharType="end"/>
            </w:r>
          </w:hyperlink>
        </w:p>
        <w:p w14:paraId="593A252B" w14:textId="4F9CEACA"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1" w:history="1">
            <w:r w:rsidR="00F8687F" w:rsidRPr="005527CE">
              <w:rPr>
                <w:rStyle w:val="Hyperlink"/>
                <w:rFonts w:cstheme="minorHAnsi"/>
                <w:bCs/>
                <w:noProof/>
              </w:rPr>
              <w:t>I.4.4. Protocoale de colaborare încheiate de INM cu diverse instituții</w:t>
            </w:r>
            <w:r w:rsidR="00F8687F">
              <w:rPr>
                <w:noProof/>
                <w:webHidden/>
              </w:rPr>
              <w:tab/>
            </w:r>
            <w:r w:rsidR="00F8687F">
              <w:rPr>
                <w:noProof/>
                <w:webHidden/>
              </w:rPr>
              <w:fldChar w:fldCharType="begin"/>
            </w:r>
            <w:r w:rsidR="00F8687F">
              <w:rPr>
                <w:noProof/>
                <w:webHidden/>
              </w:rPr>
              <w:instrText xml:space="preserve"> PAGEREF _Toc155267871 \h </w:instrText>
            </w:r>
            <w:r w:rsidR="00F8687F">
              <w:rPr>
                <w:noProof/>
                <w:webHidden/>
              </w:rPr>
            </w:r>
            <w:r w:rsidR="00F8687F">
              <w:rPr>
                <w:noProof/>
                <w:webHidden/>
              </w:rPr>
              <w:fldChar w:fldCharType="separate"/>
            </w:r>
            <w:r w:rsidR="00F8687F">
              <w:rPr>
                <w:noProof/>
                <w:webHidden/>
              </w:rPr>
              <w:t>7</w:t>
            </w:r>
            <w:r w:rsidR="00F8687F">
              <w:rPr>
                <w:noProof/>
                <w:webHidden/>
              </w:rPr>
              <w:fldChar w:fldCharType="end"/>
            </w:r>
          </w:hyperlink>
        </w:p>
        <w:p w14:paraId="26B0D08B" w14:textId="3D2915EB"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2" w:history="1">
            <w:r w:rsidR="00F8687F" w:rsidRPr="005527CE">
              <w:rPr>
                <w:rStyle w:val="Hyperlink"/>
                <w:rFonts w:cstheme="minorHAnsi"/>
                <w:bCs/>
                <w:noProof/>
              </w:rPr>
              <w:t>I.5. Contribuţia la dezvoltarea spaţiului judiciar comun european</w:t>
            </w:r>
            <w:r w:rsidR="00F8687F">
              <w:rPr>
                <w:noProof/>
                <w:webHidden/>
              </w:rPr>
              <w:tab/>
            </w:r>
            <w:r w:rsidR="00F8687F">
              <w:rPr>
                <w:noProof/>
                <w:webHidden/>
              </w:rPr>
              <w:fldChar w:fldCharType="begin"/>
            </w:r>
            <w:r w:rsidR="00F8687F">
              <w:rPr>
                <w:noProof/>
                <w:webHidden/>
              </w:rPr>
              <w:instrText xml:space="preserve"> PAGEREF _Toc155267872 \h </w:instrText>
            </w:r>
            <w:r w:rsidR="00F8687F">
              <w:rPr>
                <w:noProof/>
                <w:webHidden/>
              </w:rPr>
            </w:r>
            <w:r w:rsidR="00F8687F">
              <w:rPr>
                <w:noProof/>
                <w:webHidden/>
              </w:rPr>
              <w:fldChar w:fldCharType="separate"/>
            </w:r>
            <w:r w:rsidR="00F8687F">
              <w:rPr>
                <w:noProof/>
                <w:webHidden/>
              </w:rPr>
              <w:t>9</w:t>
            </w:r>
            <w:r w:rsidR="00F8687F">
              <w:rPr>
                <w:noProof/>
                <w:webHidden/>
              </w:rPr>
              <w:fldChar w:fldCharType="end"/>
            </w:r>
          </w:hyperlink>
        </w:p>
        <w:p w14:paraId="683D29E1" w14:textId="13E1A1DE"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3" w:history="1">
            <w:r w:rsidR="00F8687F" w:rsidRPr="005527CE">
              <w:rPr>
                <w:rStyle w:val="Hyperlink"/>
                <w:rFonts w:cstheme="minorHAnsi"/>
                <w:bCs/>
                <w:noProof/>
              </w:rPr>
              <w:t>I.5.1. Contribuția instituțională a INM în cadrul Rețelei Europene de Formare Judiciară (EJTN / REFJ)</w:t>
            </w:r>
            <w:r w:rsidR="00F8687F">
              <w:rPr>
                <w:noProof/>
                <w:webHidden/>
              </w:rPr>
              <w:tab/>
            </w:r>
            <w:r w:rsidR="00F8687F">
              <w:rPr>
                <w:noProof/>
                <w:webHidden/>
              </w:rPr>
              <w:fldChar w:fldCharType="begin"/>
            </w:r>
            <w:r w:rsidR="00F8687F">
              <w:rPr>
                <w:noProof/>
                <w:webHidden/>
              </w:rPr>
              <w:instrText xml:space="preserve"> PAGEREF _Toc155267873 \h </w:instrText>
            </w:r>
            <w:r w:rsidR="00F8687F">
              <w:rPr>
                <w:noProof/>
                <w:webHidden/>
              </w:rPr>
            </w:r>
            <w:r w:rsidR="00F8687F">
              <w:rPr>
                <w:noProof/>
                <w:webHidden/>
              </w:rPr>
              <w:fldChar w:fldCharType="separate"/>
            </w:r>
            <w:r w:rsidR="00F8687F">
              <w:rPr>
                <w:noProof/>
                <w:webHidden/>
              </w:rPr>
              <w:t>11</w:t>
            </w:r>
            <w:r w:rsidR="00F8687F">
              <w:rPr>
                <w:noProof/>
                <w:webHidden/>
              </w:rPr>
              <w:fldChar w:fldCharType="end"/>
            </w:r>
          </w:hyperlink>
        </w:p>
        <w:p w14:paraId="0D7C7E39" w14:textId="1967A1CE"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4" w:history="1">
            <w:r w:rsidR="00F8687F" w:rsidRPr="005527CE">
              <w:rPr>
                <w:rStyle w:val="Hyperlink"/>
                <w:rFonts w:cstheme="minorHAnsi"/>
                <w:bCs/>
                <w:noProof/>
              </w:rPr>
              <w:t>I.5.2. Activități derulate în cadrul componentei de formare inițială</w:t>
            </w:r>
            <w:r w:rsidR="00F8687F">
              <w:rPr>
                <w:noProof/>
                <w:webHidden/>
              </w:rPr>
              <w:tab/>
            </w:r>
            <w:r w:rsidR="00F8687F">
              <w:rPr>
                <w:noProof/>
                <w:webHidden/>
              </w:rPr>
              <w:fldChar w:fldCharType="begin"/>
            </w:r>
            <w:r w:rsidR="00F8687F">
              <w:rPr>
                <w:noProof/>
                <w:webHidden/>
              </w:rPr>
              <w:instrText xml:space="preserve"> PAGEREF _Toc155267874 \h </w:instrText>
            </w:r>
            <w:r w:rsidR="00F8687F">
              <w:rPr>
                <w:noProof/>
                <w:webHidden/>
              </w:rPr>
            </w:r>
            <w:r w:rsidR="00F8687F">
              <w:rPr>
                <w:noProof/>
                <w:webHidden/>
              </w:rPr>
              <w:fldChar w:fldCharType="separate"/>
            </w:r>
            <w:r w:rsidR="00F8687F">
              <w:rPr>
                <w:noProof/>
                <w:webHidden/>
              </w:rPr>
              <w:t>11</w:t>
            </w:r>
            <w:r w:rsidR="00F8687F">
              <w:rPr>
                <w:noProof/>
                <w:webHidden/>
              </w:rPr>
              <w:fldChar w:fldCharType="end"/>
            </w:r>
          </w:hyperlink>
        </w:p>
        <w:p w14:paraId="7C03103E" w14:textId="474137A0"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5" w:history="1">
            <w:r w:rsidR="00F8687F" w:rsidRPr="005527CE">
              <w:rPr>
                <w:rStyle w:val="Hyperlink"/>
                <w:rFonts w:cstheme="minorHAnsi"/>
                <w:bCs/>
                <w:noProof/>
              </w:rPr>
              <w:t>I.5.3. Contribuția la asigurarea componentei internaționale a formării judecătorilor și procurorilor</w:t>
            </w:r>
            <w:r w:rsidR="00F8687F">
              <w:rPr>
                <w:noProof/>
                <w:webHidden/>
              </w:rPr>
              <w:tab/>
            </w:r>
            <w:r w:rsidR="00F8687F">
              <w:rPr>
                <w:noProof/>
                <w:webHidden/>
              </w:rPr>
              <w:fldChar w:fldCharType="begin"/>
            </w:r>
            <w:r w:rsidR="00F8687F">
              <w:rPr>
                <w:noProof/>
                <w:webHidden/>
              </w:rPr>
              <w:instrText xml:space="preserve"> PAGEREF _Toc155267875 \h </w:instrText>
            </w:r>
            <w:r w:rsidR="00F8687F">
              <w:rPr>
                <w:noProof/>
                <w:webHidden/>
              </w:rPr>
            </w:r>
            <w:r w:rsidR="00F8687F">
              <w:rPr>
                <w:noProof/>
                <w:webHidden/>
              </w:rPr>
              <w:fldChar w:fldCharType="separate"/>
            </w:r>
            <w:r w:rsidR="00F8687F">
              <w:rPr>
                <w:noProof/>
                <w:webHidden/>
              </w:rPr>
              <w:t>12</w:t>
            </w:r>
            <w:r w:rsidR="00F8687F">
              <w:rPr>
                <w:noProof/>
                <w:webHidden/>
              </w:rPr>
              <w:fldChar w:fldCharType="end"/>
            </w:r>
          </w:hyperlink>
        </w:p>
        <w:p w14:paraId="1C931BED" w14:textId="04A33374"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6" w:history="1">
            <w:r w:rsidR="00F8687F" w:rsidRPr="005527CE">
              <w:rPr>
                <w:rStyle w:val="Hyperlink"/>
                <w:rFonts w:cstheme="minorHAnsi"/>
                <w:bCs/>
                <w:noProof/>
              </w:rPr>
              <w:t>I.5.4. Cooperarea cu Institutul Naţional al Justiţiei din Republica Moldova</w:t>
            </w:r>
            <w:r w:rsidR="00F8687F">
              <w:rPr>
                <w:noProof/>
                <w:webHidden/>
              </w:rPr>
              <w:tab/>
            </w:r>
            <w:r w:rsidR="00F8687F">
              <w:rPr>
                <w:noProof/>
                <w:webHidden/>
              </w:rPr>
              <w:fldChar w:fldCharType="begin"/>
            </w:r>
            <w:r w:rsidR="00F8687F">
              <w:rPr>
                <w:noProof/>
                <w:webHidden/>
              </w:rPr>
              <w:instrText xml:space="preserve"> PAGEREF _Toc155267876 \h </w:instrText>
            </w:r>
            <w:r w:rsidR="00F8687F">
              <w:rPr>
                <w:noProof/>
                <w:webHidden/>
              </w:rPr>
            </w:r>
            <w:r w:rsidR="00F8687F">
              <w:rPr>
                <w:noProof/>
                <w:webHidden/>
              </w:rPr>
              <w:fldChar w:fldCharType="separate"/>
            </w:r>
            <w:r w:rsidR="00F8687F">
              <w:rPr>
                <w:noProof/>
                <w:webHidden/>
              </w:rPr>
              <w:t>15</w:t>
            </w:r>
            <w:r w:rsidR="00F8687F">
              <w:rPr>
                <w:noProof/>
                <w:webHidden/>
              </w:rPr>
              <w:fldChar w:fldCharType="end"/>
            </w:r>
          </w:hyperlink>
        </w:p>
        <w:p w14:paraId="52A3213F" w14:textId="1A100814"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7" w:history="1">
            <w:r w:rsidR="00F8687F" w:rsidRPr="005527CE">
              <w:rPr>
                <w:rStyle w:val="Hyperlink"/>
                <w:rFonts w:cstheme="minorHAnsi"/>
                <w:bCs/>
                <w:noProof/>
              </w:rPr>
              <w:t>I.5.5. Alte activități internaționale</w:t>
            </w:r>
            <w:r w:rsidR="00F8687F">
              <w:rPr>
                <w:noProof/>
                <w:webHidden/>
              </w:rPr>
              <w:tab/>
            </w:r>
            <w:r w:rsidR="00F8687F">
              <w:rPr>
                <w:noProof/>
                <w:webHidden/>
              </w:rPr>
              <w:fldChar w:fldCharType="begin"/>
            </w:r>
            <w:r w:rsidR="00F8687F">
              <w:rPr>
                <w:noProof/>
                <w:webHidden/>
              </w:rPr>
              <w:instrText xml:space="preserve"> PAGEREF _Toc155267877 \h </w:instrText>
            </w:r>
            <w:r w:rsidR="00F8687F">
              <w:rPr>
                <w:noProof/>
                <w:webHidden/>
              </w:rPr>
            </w:r>
            <w:r w:rsidR="00F8687F">
              <w:rPr>
                <w:noProof/>
                <w:webHidden/>
              </w:rPr>
              <w:fldChar w:fldCharType="separate"/>
            </w:r>
            <w:r w:rsidR="00F8687F">
              <w:rPr>
                <w:noProof/>
                <w:webHidden/>
              </w:rPr>
              <w:t>15</w:t>
            </w:r>
            <w:r w:rsidR="00F8687F">
              <w:rPr>
                <w:noProof/>
                <w:webHidden/>
              </w:rPr>
              <w:fldChar w:fldCharType="end"/>
            </w:r>
          </w:hyperlink>
        </w:p>
        <w:p w14:paraId="573F5908" w14:textId="5FF9DEDF"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8" w:history="1">
            <w:r w:rsidR="00F8687F" w:rsidRPr="005527CE">
              <w:rPr>
                <w:rStyle w:val="Hyperlink"/>
                <w:rFonts w:cstheme="minorHAnsi"/>
                <w:noProof/>
              </w:rPr>
              <w:t>I.6. Apărarea independenţei, imparţialităţii şi a reputaţiei profesionale</w:t>
            </w:r>
            <w:r w:rsidR="00F8687F">
              <w:rPr>
                <w:noProof/>
                <w:webHidden/>
              </w:rPr>
              <w:tab/>
            </w:r>
            <w:r w:rsidR="00F8687F">
              <w:rPr>
                <w:noProof/>
                <w:webHidden/>
              </w:rPr>
              <w:fldChar w:fldCharType="begin"/>
            </w:r>
            <w:r w:rsidR="00F8687F">
              <w:rPr>
                <w:noProof/>
                <w:webHidden/>
              </w:rPr>
              <w:instrText xml:space="preserve"> PAGEREF _Toc155267878 \h </w:instrText>
            </w:r>
            <w:r w:rsidR="00F8687F">
              <w:rPr>
                <w:noProof/>
                <w:webHidden/>
              </w:rPr>
            </w:r>
            <w:r w:rsidR="00F8687F">
              <w:rPr>
                <w:noProof/>
                <w:webHidden/>
              </w:rPr>
              <w:fldChar w:fldCharType="separate"/>
            </w:r>
            <w:r w:rsidR="00F8687F">
              <w:rPr>
                <w:noProof/>
                <w:webHidden/>
              </w:rPr>
              <w:t>20</w:t>
            </w:r>
            <w:r w:rsidR="00F8687F">
              <w:rPr>
                <w:noProof/>
                <w:webHidden/>
              </w:rPr>
              <w:fldChar w:fldCharType="end"/>
            </w:r>
          </w:hyperlink>
        </w:p>
        <w:p w14:paraId="34477E5E" w14:textId="3EEF6E7E"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79" w:history="1">
            <w:r w:rsidR="00F8687F" w:rsidRPr="005527CE">
              <w:rPr>
                <w:rStyle w:val="Hyperlink"/>
                <w:rFonts w:cstheme="minorHAnsi"/>
                <w:noProof/>
              </w:rPr>
              <w:t>I.7.  Raporturile Consiliului Superior al Magistraturii cu puterea legislativă şi cea  executivă</w:t>
            </w:r>
            <w:r w:rsidR="00F8687F">
              <w:rPr>
                <w:noProof/>
                <w:webHidden/>
              </w:rPr>
              <w:tab/>
            </w:r>
            <w:r w:rsidR="00F8687F">
              <w:rPr>
                <w:noProof/>
                <w:webHidden/>
              </w:rPr>
              <w:fldChar w:fldCharType="begin"/>
            </w:r>
            <w:r w:rsidR="00F8687F">
              <w:rPr>
                <w:noProof/>
                <w:webHidden/>
              </w:rPr>
              <w:instrText xml:space="preserve"> PAGEREF _Toc155267879 \h </w:instrText>
            </w:r>
            <w:r w:rsidR="00F8687F">
              <w:rPr>
                <w:noProof/>
                <w:webHidden/>
              </w:rPr>
            </w:r>
            <w:r w:rsidR="00F8687F">
              <w:rPr>
                <w:noProof/>
                <w:webHidden/>
              </w:rPr>
              <w:fldChar w:fldCharType="separate"/>
            </w:r>
            <w:r w:rsidR="00F8687F">
              <w:rPr>
                <w:noProof/>
                <w:webHidden/>
              </w:rPr>
              <w:t>22</w:t>
            </w:r>
            <w:r w:rsidR="00F8687F">
              <w:rPr>
                <w:noProof/>
                <w:webHidden/>
              </w:rPr>
              <w:fldChar w:fldCharType="end"/>
            </w:r>
          </w:hyperlink>
        </w:p>
        <w:p w14:paraId="35C7BCA8" w14:textId="6544815F"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0" w:history="1">
            <w:r w:rsidR="00F8687F" w:rsidRPr="005527CE">
              <w:rPr>
                <w:rStyle w:val="Hyperlink"/>
                <w:rFonts w:cstheme="minorHAnsi"/>
                <w:noProof/>
              </w:rPr>
              <w:t>Relația cu celelalte profesii juridice</w:t>
            </w:r>
            <w:r w:rsidR="00F8687F">
              <w:rPr>
                <w:noProof/>
                <w:webHidden/>
              </w:rPr>
              <w:tab/>
            </w:r>
            <w:r w:rsidR="00F8687F">
              <w:rPr>
                <w:noProof/>
                <w:webHidden/>
              </w:rPr>
              <w:fldChar w:fldCharType="begin"/>
            </w:r>
            <w:r w:rsidR="00F8687F">
              <w:rPr>
                <w:noProof/>
                <w:webHidden/>
              </w:rPr>
              <w:instrText xml:space="preserve"> PAGEREF _Toc155267880 \h </w:instrText>
            </w:r>
            <w:r w:rsidR="00F8687F">
              <w:rPr>
                <w:noProof/>
                <w:webHidden/>
              </w:rPr>
            </w:r>
            <w:r w:rsidR="00F8687F">
              <w:rPr>
                <w:noProof/>
                <w:webHidden/>
              </w:rPr>
              <w:fldChar w:fldCharType="separate"/>
            </w:r>
            <w:r w:rsidR="00F8687F">
              <w:rPr>
                <w:noProof/>
                <w:webHidden/>
              </w:rPr>
              <w:t>39</w:t>
            </w:r>
            <w:r w:rsidR="00F8687F">
              <w:rPr>
                <w:noProof/>
                <w:webHidden/>
              </w:rPr>
              <w:fldChar w:fldCharType="end"/>
            </w:r>
          </w:hyperlink>
        </w:p>
        <w:p w14:paraId="4A9D5112" w14:textId="78525402"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1" w:history="1">
            <w:r w:rsidR="00F8687F" w:rsidRPr="005527CE">
              <w:rPr>
                <w:rStyle w:val="Hyperlink"/>
                <w:rFonts w:cstheme="minorHAnsi"/>
                <w:noProof/>
              </w:rPr>
              <w:t>Educație juridică</w:t>
            </w:r>
            <w:r w:rsidR="00F8687F">
              <w:rPr>
                <w:noProof/>
                <w:webHidden/>
              </w:rPr>
              <w:tab/>
            </w:r>
            <w:r w:rsidR="00F8687F">
              <w:rPr>
                <w:noProof/>
                <w:webHidden/>
              </w:rPr>
              <w:fldChar w:fldCharType="begin"/>
            </w:r>
            <w:r w:rsidR="00F8687F">
              <w:rPr>
                <w:noProof/>
                <w:webHidden/>
              </w:rPr>
              <w:instrText xml:space="preserve"> PAGEREF _Toc155267881 \h </w:instrText>
            </w:r>
            <w:r w:rsidR="00F8687F">
              <w:rPr>
                <w:noProof/>
                <w:webHidden/>
              </w:rPr>
            </w:r>
            <w:r w:rsidR="00F8687F">
              <w:rPr>
                <w:noProof/>
                <w:webHidden/>
              </w:rPr>
              <w:fldChar w:fldCharType="separate"/>
            </w:r>
            <w:r w:rsidR="00F8687F">
              <w:rPr>
                <w:noProof/>
                <w:webHidden/>
              </w:rPr>
              <w:t>40</w:t>
            </w:r>
            <w:r w:rsidR="00F8687F">
              <w:rPr>
                <w:noProof/>
                <w:webHidden/>
              </w:rPr>
              <w:fldChar w:fldCharType="end"/>
            </w:r>
          </w:hyperlink>
        </w:p>
        <w:p w14:paraId="103C09CA" w14:textId="05B479C6"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2" w:history="1">
            <w:r w:rsidR="00F8687F" w:rsidRPr="005527CE">
              <w:rPr>
                <w:rStyle w:val="Hyperlink"/>
                <w:rFonts w:cstheme="minorHAnsi"/>
                <w:noProof/>
              </w:rPr>
              <w:t>Activitatea membrilor aleși, reprezentanți ai societății civile</w:t>
            </w:r>
            <w:r w:rsidR="00F8687F">
              <w:rPr>
                <w:noProof/>
                <w:webHidden/>
              </w:rPr>
              <w:tab/>
            </w:r>
            <w:r w:rsidR="00F8687F">
              <w:rPr>
                <w:noProof/>
                <w:webHidden/>
              </w:rPr>
              <w:fldChar w:fldCharType="begin"/>
            </w:r>
            <w:r w:rsidR="00F8687F">
              <w:rPr>
                <w:noProof/>
                <w:webHidden/>
              </w:rPr>
              <w:instrText xml:space="preserve"> PAGEREF _Toc155267882 \h </w:instrText>
            </w:r>
            <w:r w:rsidR="00F8687F">
              <w:rPr>
                <w:noProof/>
                <w:webHidden/>
              </w:rPr>
            </w:r>
            <w:r w:rsidR="00F8687F">
              <w:rPr>
                <w:noProof/>
                <w:webHidden/>
              </w:rPr>
              <w:fldChar w:fldCharType="separate"/>
            </w:r>
            <w:r w:rsidR="00F8687F">
              <w:rPr>
                <w:noProof/>
                <w:webHidden/>
              </w:rPr>
              <w:t>41</w:t>
            </w:r>
            <w:r w:rsidR="00F8687F">
              <w:rPr>
                <w:noProof/>
                <w:webHidden/>
              </w:rPr>
              <w:fldChar w:fldCharType="end"/>
            </w:r>
          </w:hyperlink>
        </w:p>
        <w:p w14:paraId="6A505396" w14:textId="57FDC859"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83" w:history="1">
            <w:r w:rsidR="00F8687F" w:rsidRPr="005527CE">
              <w:rPr>
                <w:rStyle w:val="Hyperlink"/>
                <w:rFonts w:cstheme="minorHAnsi"/>
                <w:noProof/>
              </w:rPr>
              <w:t>CAPITOLUL II</w:t>
            </w:r>
          </w:hyperlink>
        </w:p>
        <w:p w14:paraId="26A38D17" w14:textId="32BCADF4"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84" w:history="1">
            <w:r w:rsidR="00F8687F" w:rsidRPr="005527CE">
              <w:rPr>
                <w:rStyle w:val="Hyperlink"/>
                <w:rFonts w:cstheme="minorHAnsi"/>
                <w:noProof/>
              </w:rPr>
              <w:t>Activităţi derulate în legătură cu atribuţiile administrative ale Consiliului Superior al Magistraturii</w:t>
            </w:r>
            <w:r w:rsidR="00F8687F">
              <w:rPr>
                <w:noProof/>
                <w:webHidden/>
              </w:rPr>
              <w:tab/>
            </w:r>
            <w:r w:rsidR="00F8687F">
              <w:rPr>
                <w:noProof/>
                <w:webHidden/>
              </w:rPr>
              <w:fldChar w:fldCharType="begin"/>
            </w:r>
            <w:r w:rsidR="00F8687F">
              <w:rPr>
                <w:noProof/>
                <w:webHidden/>
              </w:rPr>
              <w:instrText xml:space="preserve"> PAGEREF _Toc155267884 \h </w:instrText>
            </w:r>
            <w:r w:rsidR="00F8687F">
              <w:rPr>
                <w:noProof/>
                <w:webHidden/>
              </w:rPr>
            </w:r>
            <w:r w:rsidR="00F8687F">
              <w:rPr>
                <w:noProof/>
                <w:webHidden/>
              </w:rPr>
              <w:fldChar w:fldCharType="separate"/>
            </w:r>
            <w:r w:rsidR="00F8687F">
              <w:rPr>
                <w:noProof/>
                <w:webHidden/>
              </w:rPr>
              <w:t>42</w:t>
            </w:r>
            <w:r w:rsidR="00F8687F">
              <w:rPr>
                <w:noProof/>
                <w:webHidden/>
              </w:rPr>
              <w:fldChar w:fldCharType="end"/>
            </w:r>
          </w:hyperlink>
        </w:p>
        <w:p w14:paraId="6B687EE6" w14:textId="11F144E2"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5" w:history="1">
            <w:r w:rsidR="00F8687F" w:rsidRPr="005527CE">
              <w:rPr>
                <w:rStyle w:val="Hyperlink"/>
                <w:rFonts w:cstheme="minorHAnsi"/>
                <w:noProof/>
              </w:rPr>
              <w:t>II.1. Gestionarea carierei profesionale a judecătorilor și procurorilor</w:t>
            </w:r>
            <w:r w:rsidR="00F8687F">
              <w:rPr>
                <w:noProof/>
                <w:webHidden/>
              </w:rPr>
              <w:tab/>
            </w:r>
            <w:r w:rsidR="00F8687F">
              <w:rPr>
                <w:noProof/>
                <w:webHidden/>
              </w:rPr>
              <w:fldChar w:fldCharType="begin"/>
            </w:r>
            <w:r w:rsidR="00F8687F">
              <w:rPr>
                <w:noProof/>
                <w:webHidden/>
              </w:rPr>
              <w:instrText xml:space="preserve"> PAGEREF _Toc155267885 \h </w:instrText>
            </w:r>
            <w:r w:rsidR="00F8687F">
              <w:rPr>
                <w:noProof/>
                <w:webHidden/>
              </w:rPr>
            </w:r>
            <w:r w:rsidR="00F8687F">
              <w:rPr>
                <w:noProof/>
                <w:webHidden/>
              </w:rPr>
              <w:fldChar w:fldCharType="separate"/>
            </w:r>
            <w:r w:rsidR="00F8687F">
              <w:rPr>
                <w:noProof/>
                <w:webHidden/>
              </w:rPr>
              <w:t>42</w:t>
            </w:r>
            <w:r w:rsidR="00F8687F">
              <w:rPr>
                <w:noProof/>
                <w:webHidden/>
              </w:rPr>
              <w:fldChar w:fldCharType="end"/>
            </w:r>
          </w:hyperlink>
        </w:p>
        <w:p w14:paraId="22D92BB4" w14:textId="2299884A"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6" w:history="1">
            <w:r w:rsidR="00F8687F" w:rsidRPr="005527CE">
              <w:rPr>
                <w:rStyle w:val="Hyperlink"/>
                <w:rFonts w:cstheme="minorHAnsi"/>
                <w:noProof/>
              </w:rPr>
              <w:t>II.2. Organizarea instanţelor judecătoreşti şi a parchetelor</w:t>
            </w:r>
            <w:r w:rsidR="00F8687F">
              <w:rPr>
                <w:noProof/>
                <w:webHidden/>
              </w:rPr>
              <w:tab/>
            </w:r>
            <w:r w:rsidR="00F8687F">
              <w:rPr>
                <w:noProof/>
                <w:webHidden/>
              </w:rPr>
              <w:fldChar w:fldCharType="begin"/>
            </w:r>
            <w:r w:rsidR="00F8687F">
              <w:rPr>
                <w:noProof/>
                <w:webHidden/>
              </w:rPr>
              <w:instrText xml:space="preserve"> PAGEREF _Toc155267886 \h </w:instrText>
            </w:r>
            <w:r w:rsidR="00F8687F">
              <w:rPr>
                <w:noProof/>
                <w:webHidden/>
              </w:rPr>
            </w:r>
            <w:r w:rsidR="00F8687F">
              <w:rPr>
                <w:noProof/>
                <w:webHidden/>
              </w:rPr>
              <w:fldChar w:fldCharType="separate"/>
            </w:r>
            <w:r w:rsidR="00F8687F">
              <w:rPr>
                <w:noProof/>
                <w:webHidden/>
              </w:rPr>
              <w:t>51</w:t>
            </w:r>
            <w:r w:rsidR="00F8687F">
              <w:rPr>
                <w:noProof/>
                <w:webHidden/>
              </w:rPr>
              <w:fldChar w:fldCharType="end"/>
            </w:r>
          </w:hyperlink>
        </w:p>
        <w:p w14:paraId="006E4C78" w14:textId="7BBE5CAE"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7" w:history="1">
            <w:r w:rsidR="00F8687F" w:rsidRPr="005527CE">
              <w:rPr>
                <w:rStyle w:val="Hyperlink"/>
                <w:rFonts w:cstheme="minorHAnsi"/>
                <w:noProof/>
              </w:rPr>
              <w:t>II.2.1. Instanţe</w:t>
            </w:r>
            <w:r w:rsidR="00F8687F">
              <w:rPr>
                <w:noProof/>
                <w:webHidden/>
              </w:rPr>
              <w:tab/>
            </w:r>
            <w:r w:rsidR="00F8687F">
              <w:rPr>
                <w:noProof/>
                <w:webHidden/>
              </w:rPr>
              <w:fldChar w:fldCharType="begin"/>
            </w:r>
            <w:r w:rsidR="00F8687F">
              <w:rPr>
                <w:noProof/>
                <w:webHidden/>
              </w:rPr>
              <w:instrText xml:space="preserve"> PAGEREF _Toc155267887 \h </w:instrText>
            </w:r>
            <w:r w:rsidR="00F8687F">
              <w:rPr>
                <w:noProof/>
                <w:webHidden/>
              </w:rPr>
            </w:r>
            <w:r w:rsidR="00F8687F">
              <w:rPr>
                <w:noProof/>
                <w:webHidden/>
              </w:rPr>
              <w:fldChar w:fldCharType="separate"/>
            </w:r>
            <w:r w:rsidR="00F8687F">
              <w:rPr>
                <w:noProof/>
                <w:webHidden/>
              </w:rPr>
              <w:t>51</w:t>
            </w:r>
            <w:r w:rsidR="00F8687F">
              <w:rPr>
                <w:noProof/>
                <w:webHidden/>
              </w:rPr>
              <w:fldChar w:fldCharType="end"/>
            </w:r>
          </w:hyperlink>
        </w:p>
        <w:p w14:paraId="2278544A" w14:textId="252E1D10"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8" w:history="1">
            <w:r w:rsidR="00F8687F" w:rsidRPr="005527CE">
              <w:rPr>
                <w:rStyle w:val="Hyperlink"/>
                <w:rFonts w:cstheme="minorHAnsi"/>
                <w:noProof/>
              </w:rPr>
              <w:t>II.2.2. Parchete</w:t>
            </w:r>
            <w:r w:rsidR="00F8687F">
              <w:rPr>
                <w:noProof/>
                <w:webHidden/>
              </w:rPr>
              <w:tab/>
            </w:r>
            <w:r w:rsidR="00F8687F">
              <w:rPr>
                <w:noProof/>
                <w:webHidden/>
              </w:rPr>
              <w:fldChar w:fldCharType="begin"/>
            </w:r>
            <w:r w:rsidR="00F8687F">
              <w:rPr>
                <w:noProof/>
                <w:webHidden/>
              </w:rPr>
              <w:instrText xml:space="preserve"> PAGEREF _Toc155267888 \h </w:instrText>
            </w:r>
            <w:r w:rsidR="00F8687F">
              <w:rPr>
                <w:noProof/>
                <w:webHidden/>
              </w:rPr>
            </w:r>
            <w:r w:rsidR="00F8687F">
              <w:rPr>
                <w:noProof/>
                <w:webHidden/>
              </w:rPr>
              <w:fldChar w:fldCharType="separate"/>
            </w:r>
            <w:r w:rsidR="00F8687F">
              <w:rPr>
                <w:noProof/>
                <w:webHidden/>
              </w:rPr>
              <w:t>52</w:t>
            </w:r>
            <w:r w:rsidR="00F8687F">
              <w:rPr>
                <w:noProof/>
                <w:webHidden/>
              </w:rPr>
              <w:fldChar w:fldCharType="end"/>
            </w:r>
          </w:hyperlink>
        </w:p>
        <w:p w14:paraId="7D46534D" w14:textId="743F4294"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89" w:history="1">
            <w:r w:rsidR="00F8687F" w:rsidRPr="005527CE">
              <w:rPr>
                <w:rStyle w:val="Hyperlink"/>
                <w:rFonts w:cstheme="minorHAnsi"/>
                <w:noProof/>
              </w:rPr>
              <w:t>II.3. Activitatea în domeniul formării profesionale a magistraţilor şi a personalului auxiliar</w:t>
            </w:r>
            <w:r w:rsidR="00F8687F">
              <w:rPr>
                <w:noProof/>
                <w:webHidden/>
              </w:rPr>
              <w:tab/>
            </w:r>
            <w:r w:rsidR="00F8687F">
              <w:rPr>
                <w:noProof/>
                <w:webHidden/>
              </w:rPr>
              <w:fldChar w:fldCharType="begin"/>
            </w:r>
            <w:r w:rsidR="00F8687F">
              <w:rPr>
                <w:noProof/>
                <w:webHidden/>
              </w:rPr>
              <w:instrText xml:space="preserve"> PAGEREF _Toc155267889 \h </w:instrText>
            </w:r>
            <w:r w:rsidR="00F8687F">
              <w:rPr>
                <w:noProof/>
                <w:webHidden/>
              </w:rPr>
            </w:r>
            <w:r w:rsidR="00F8687F">
              <w:rPr>
                <w:noProof/>
                <w:webHidden/>
              </w:rPr>
              <w:fldChar w:fldCharType="separate"/>
            </w:r>
            <w:r w:rsidR="00F8687F">
              <w:rPr>
                <w:noProof/>
                <w:webHidden/>
              </w:rPr>
              <w:t>52</w:t>
            </w:r>
            <w:r w:rsidR="00F8687F">
              <w:rPr>
                <w:noProof/>
                <w:webHidden/>
              </w:rPr>
              <w:fldChar w:fldCharType="end"/>
            </w:r>
          </w:hyperlink>
        </w:p>
        <w:p w14:paraId="0DF6B410" w14:textId="3D3FF61F"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90" w:history="1">
            <w:r w:rsidR="00F8687F" w:rsidRPr="005527CE">
              <w:rPr>
                <w:rStyle w:val="Hyperlink"/>
                <w:rFonts w:cstheme="minorHAnsi"/>
                <w:noProof/>
              </w:rPr>
              <w:t>II.3.1. Formarea profesională inițială a viitorilor judecători și procurori în cadrul INM</w:t>
            </w:r>
            <w:r w:rsidR="00F8687F">
              <w:rPr>
                <w:noProof/>
                <w:webHidden/>
              </w:rPr>
              <w:tab/>
            </w:r>
            <w:r w:rsidR="00F8687F">
              <w:rPr>
                <w:noProof/>
                <w:webHidden/>
              </w:rPr>
              <w:fldChar w:fldCharType="begin"/>
            </w:r>
            <w:r w:rsidR="00F8687F">
              <w:rPr>
                <w:noProof/>
                <w:webHidden/>
              </w:rPr>
              <w:instrText xml:space="preserve"> PAGEREF _Toc155267890 \h </w:instrText>
            </w:r>
            <w:r w:rsidR="00F8687F">
              <w:rPr>
                <w:noProof/>
                <w:webHidden/>
              </w:rPr>
            </w:r>
            <w:r w:rsidR="00F8687F">
              <w:rPr>
                <w:noProof/>
                <w:webHidden/>
              </w:rPr>
              <w:fldChar w:fldCharType="separate"/>
            </w:r>
            <w:r w:rsidR="00F8687F">
              <w:rPr>
                <w:noProof/>
                <w:webHidden/>
              </w:rPr>
              <w:t>54</w:t>
            </w:r>
            <w:r w:rsidR="00F8687F">
              <w:rPr>
                <w:noProof/>
                <w:webHidden/>
              </w:rPr>
              <w:fldChar w:fldCharType="end"/>
            </w:r>
          </w:hyperlink>
        </w:p>
        <w:p w14:paraId="4C668814" w14:textId="3CE0023F"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91" w:history="1">
            <w:r w:rsidR="00F8687F" w:rsidRPr="005527CE">
              <w:rPr>
                <w:rStyle w:val="Hyperlink"/>
                <w:rFonts w:cstheme="minorHAnsi"/>
                <w:noProof/>
              </w:rPr>
              <w:t>II.3.2. Formarea profesională continuă a judecătorilor și procurorilor în cadrul INM</w:t>
            </w:r>
            <w:r w:rsidR="00F8687F">
              <w:rPr>
                <w:noProof/>
                <w:webHidden/>
              </w:rPr>
              <w:tab/>
            </w:r>
            <w:r w:rsidR="00F8687F">
              <w:rPr>
                <w:noProof/>
                <w:webHidden/>
              </w:rPr>
              <w:fldChar w:fldCharType="begin"/>
            </w:r>
            <w:r w:rsidR="00F8687F">
              <w:rPr>
                <w:noProof/>
                <w:webHidden/>
              </w:rPr>
              <w:instrText xml:space="preserve"> PAGEREF _Toc155267891 \h </w:instrText>
            </w:r>
            <w:r w:rsidR="00F8687F">
              <w:rPr>
                <w:noProof/>
                <w:webHidden/>
              </w:rPr>
            </w:r>
            <w:r w:rsidR="00F8687F">
              <w:rPr>
                <w:noProof/>
                <w:webHidden/>
              </w:rPr>
              <w:fldChar w:fldCharType="separate"/>
            </w:r>
            <w:r w:rsidR="00F8687F">
              <w:rPr>
                <w:noProof/>
                <w:webHidden/>
              </w:rPr>
              <w:t>57</w:t>
            </w:r>
            <w:r w:rsidR="00F8687F">
              <w:rPr>
                <w:noProof/>
                <w:webHidden/>
              </w:rPr>
              <w:fldChar w:fldCharType="end"/>
            </w:r>
          </w:hyperlink>
        </w:p>
        <w:p w14:paraId="147F3EEF" w14:textId="073D21CA"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92" w:history="1">
            <w:r w:rsidR="00F8687F" w:rsidRPr="005527CE">
              <w:rPr>
                <w:rStyle w:val="Hyperlink"/>
                <w:rFonts w:cstheme="minorHAnsi"/>
                <w:noProof/>
              </w:rPr>
              <w:t>II.3.3.  Şcoala Naţională de Grefieri</w:t>
            </w:r>
            <w:r w:rsidR="00F8687F">
              <w:rPr>
                <w:noProof/>
                <w:webHidden/>
              </w:rPr>
              <w:tab/>
            </w:r>
            <w:r w:rsidR="00F8687F">
              <w:rPr>
                <w:noProof/>
                <w:webHidden/>
              </w:rPr>
              <w:fldChar w:fldCharType="begin"/>
            </w:r>
            <w:r w:rsidR="00F8687F">
              <w:rPr>
                <w:noProof/>
                <w:webHidden/>
              </w:rPr>
              <w:instrText xml:space="preserve"> PAGEREF _Toc155267892 \h </w:instrText>
            </w:r>
            <w:r w:rsidR="00F8687F">
              <w:rPr>
                <w:noProof/>
                <w:webHidden/>
              </w:rPr>
            </w:r>
            <w:r w:rsidR="00F8687F">
              <w:rPr>
                <w:noProof/>
                <w:webHidden/>
              </w:rPr>
              <w:fldChar w:fldCharType="separate"/>
            </w:r>
            <w:r w:rsidR="00F8687F">
              <w:rPr>
                <w:noProof/>
                <w:webHidden/>
              </w:rPr>
              <w:t>60</w:t>
            </w:r>
            <w:r w:rsidR="00F8687F">
              <w:rPr>
                <w:noProof/>
                <w:webHidden/>
              </w:rPr>
              <w:fldChar w:fldCharType="end"/>
            </w:r>
          </w:hyperlink>
        </w:p>
        <w:p w14:paraId="709E1E3A" w14:textId="5FC38743"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93" w:history="1">
            <w:r w:rsidR="00F8687F" w:rsidRPr="005527CE">
              <w:rPr>
                <w:rStyle w:val="Hyperlink"/>
                <w:rFonts w:cstheme="minorHAnsi"/>
                <w:noProof/>
              </w:rPr>
              <w:t>II.4. Evaluarea profesională a magistraţilor</w:t>
            </w:r>
            <w:r w:rsidR="00F8687F">
              <w:rPr>
                <w:noProof/>
                <w:webHidden/>
              </w:rPr>
              <w:tab/>
            </w:r>
            <w:r w:rsidR="00F8687F">
              <w:rPr>
                <w:noProof/>
                <w:webHidden/>
              </w:rPr>
              <w:fldChar w:fldCharType="begin"/>
            </w:r>
            <w:r w:rsidR="00F8687F">
              <w:rPr>
                <w:noProof/>
                <w:webHidden/>
              </w:rPr>
              <w:instrText xml:space="preserve"> PAGEREF _Toc155267893 \h </w:instrText>
            </w:r>
            <w:r w:rsidR="00F8687F">
              <w:rPr>
                <w:noProof/>
                <w:webHidden/>
              </w:rPr>
            </w:r>
            <w:r w:rsidR="00F8687F">
              <w:rPr>
                <w:noProof/>
                <w:webHidden/>
              </w:rPr>
              <w:fldChar w:fldCharType="separate"/>
            </w:r>
            <w:r w:rsidR="00F8687F">
              <w:rPr>
                <w:noProof/>
                <w:webHidden/>
              </w:rPr>
              <w:t>63</w:t>
            </w:r>
            <w:r w:rsidR="00F8687F">
              <w:rPr>
                <w:noProof/>
                <w:webHidden/>
              </w:rPr>
              <w:fldChar w:fldCharType="end"/>
            </w:r>
          </w:hyperlink>
        </w:p>
        <w:p w14:paraId="7CFA9B3E" w14:textId="102FFB4C"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94" w:history="1">
            <w:r w:rsidR="00F8687F" w:rsidRPr="005527CE">
              <w:rPr>
                <w:rStyle w:val="Hyperlink"/>
                <w:rFonts w:cstheme="minorHAnsi"/>
                <w:noProof/>
              </w:rPr>
              <w:t>CAPITOLUL III</w:t>
            </w:r>
          </w:hyperlink>
        </w:p>
        <w:p w14:paraId="35228340" w14:textId="5F16F133"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95" w:history="1">
            <w:r w:rsidR="00F8687F" w:rsidRPr="005527CE">
              <w:rPr>
                <w:rStyle w:val="Hyperlink"/>
                <w:rFonts w:cstheme="minorHAnsi"/>
                <w:noProof/>
              </w:rPr>
              <w:t>Activităţi derulate în legătură cu atribuţiile în materie legislativă ale Consiliului Superior al Magistraturii</w:t>
            </w:r>
            <w:r w:rsidR="00F8687F">
              <w:rPr>
                <w:noProof/>
                <w:webHidden/>
              </w:rPr>
              <w:tab/>
            </w:r>
            <w:r w:rsidR="00F8687F">
              <w:rPr>
                <w:noProof/>
                <w:webHidden/>
              </w:rPr>
              <w:fldChar w:fldCharType="begin"/>
            </w:r>
            <w:r w:rsidR="00F8687F">
              <w:rPr>
                <w:noProof/>
                <w:webHidden/>
              </w:rPr>
              <w:instrText xml:space="preserve"> PAGEREF _Toc155267895 \h </w:instrText>
            </w:r>
            <w:r w:rsidR="00F8687F">
              <w:rPr>
                <w:noProof/>
                <w:webHidden/>
              </w:rPr>
            </w:r>
            <w:r w:rsidR="00F8687F">
              <w:rPr>
                <w:noProof/>
                <w:webHidden/>
              </w:rPr>
              <w:fldChar w:fldCharType="separate"/>
            </w:r>
            <w:r w:rsidR="00F8687F">
              <w:rPr>
                <w:noProof/>
                <w:webHidden/>
              </w:rPr>
              <w:t>65</w:t>
            </w:r>
            <w:r w:rsidR="00F8687F">
              <w:rPr>
                <w:noProof/>
                <w:webHidden/>
              </w:rPr>
              <w:fldChar w:fldCharType="end"/>
            </w:r>
          </w:hyperlink>
        </w:p>
        <w:p w14:paraId="0811ED1E" w14:textId="2F544866"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96" w:history="1">
            <w:r w:rsidR="00F8687F" w:rsidRPr="005527CE">
              <w:rPr>
                <w:rStyle w:val="Hyperlink"/>
                <w:rFonts w:cstheme="minorHAnsi"/>
                <w:noProof/>
              </w:rPr>
              <w:t>III.1. Avizarea unor proiecte de acte normative</w:t>
            </w:r>
            <w:r w:rsidR="00F8687F">
              <w:rPr>
                <w:noProof/>
                <w:webHidden/>
              </w:rPr>
              <w:tab/>
            </w:r>
            <w:r w:rsidR="00F8687F">
              <w:rPr>
                <w:noProof/>
                <w:webHidden/>
              </w:rPr>
              <w:fldChar w:fldCharType="begin"/>
            </w:r>
            <w:r w:rsidR="00F8687F">
              <w:rPr>
                <w:noProof/>
                <w:webHidden/>
              </w:rPr>
              <w:instrText xml:space="preserve"> PAGEREF _Toc155267896 \h </w:instrText>
            </w:r>
            <w:r w:rsidR="00F8687F">
              <w:rPr>
                <w:noProof/>
                <w:webHidden/>
              </w:rPr>
            </w:r>
            <w:r w:rsidR="00F8687F">
              <w:rPr>
                <w:noProof/>
                <w:webHidden/>
              </w:rPr>
              <w:fldChar w:fldCharType="separate"/>
            </w:r>
            <w:r w:rsidR="00F8687F">
              <w:rPr>
                <w:noProof/>
                <w:webHidden/>
              </w:rPr>
              <w:t>65</w:t>
            </w:r>
            <w:r w:rsidR="00F8687F">
              <w:rPr>
                <w:noProof/>
                <w:webHidden/>
              </w:rPr>
              <w:fldChar w:fldCharType="end"/>
            </w:r>
          </w:hyperlink>
        </w:p>
        <w:p w14:paraId="32C25A96" w14:textId="5C0F5A38"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897" w:history="1">
            <w:r w:rsidR="00F8687F" w:rsidRPr="005527CE">
              <w:rPr>
                <w:rStyle w:val="Hyperlink"/>
                <w:rFonts w:cstheme="minorHAnsi"/>
                <w:noProof/>
              </w:rPr>
              <w:t>III.2. Elaborarea legislaţiei secundare</w:t>
            </w:r>
            <w:r w:rsidR="00F8687F">
              <w:rPr>
                <w:noProof/>
                <w:webHidden/>
              </w:rPr>
              <w:tab/>
            </w:r>
            <w:r w:rsidR="00F8687F">
              <w:rPr>
                <w:noProof/>
                <w:webHidden/>
              </w:rPr>
              <w:fldChar w:fldCharType="begin"/>
            </w:r>
            <w:r w:rsidR="00F8687F">
              <w:rPr>
                <w:noProof/>
                <w:webHidden/>
              </w:rPr>
              <w:instrText xml:space="preserve"> PAGEREF _Toc155267897 \h </w:instrText>
            </w:r>
            <w:r w:rsidR="00F8687F">
              <w:rPr>
                <w:noProof/>
                <w:webHidden/>
              </w:rPr>
            </w:r>
            <w:r w:rsidR="00F8687F">
              <w:rPr>
                <w:noProof/>
                <w:webHidden/>
              </w:rPr>
              <w:fldChar w:fldCharType="separate"/>
            </w:r>
            <w:r w:rsidR="00F8687F">
              <w:rPr>
                <w:noProof/>
                <w:webHidden/>
              </w:rPr>
              <w:t>65</w:t>
            </w:r>
            <w:r w:rsidR="00F8687F">
              <w:rPr>
                <w:noProof/>
                <w:webHidden/>
              </w:rPr>
              <w:fldChar w:fldCharType="end"/>
            </w:r>
          </w:hyperlink>
        </w:p>
        <w:p w14:paraId="6519F94B" w14:textId="35A48E27"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98" w:history="1">
            <w:r w:rsidR="00F8687F" w:rsidRPr="005527CE">
              <w:rPr>
                <w:rStyle w:val="Hyperlink"/>
                <w:rFonts w:cstheme="minorHAnsi"/>
                <w:noProof/>
              </w:rPr>
              <w:t>CAPITOLUL IV</w:t>
            </w:r>
          </w:hyperlink>
        </w:p>
        <w:p w14:paraId="307D930E" w14:textId="59E19974"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899" w:history="1">
            <w:r w:rsidR="00F8687F" w:rsidRPr="005527CE">
              <w:rPr>
                <w:rStyle w:val="Hyperlink"/>
                <w:rFonts w:cstheme="minorHAnsi"/>
                <w:noProof/>
              </w:rPr>
              <w:t>Activităţi derulate în legătură cu atribuţiile în materie disciplinară</w:t>
            </w:r>
            <w:r w:rsidR="00F8687F">
              <w:rPr>
                <w:noProof/>
                <w:webHidden/>
              </w:rPr>
              <w:tab/>
            </w:r>
            <w:r w:rsidR="00F8687F">
              <w:rPr>
                <w:noProof/>
                <w:webHidden/>
              </w:rPr>
              <w:fldChar w:fldCharType="begin"/>
            </w:r>
            <w:r w:rsidR="00F8687F">
              <w:rPr>
                <w:noProof/>
                <w:webHidden/>
              </w:rPr>
              <w:instrText xml:space="preserve"> PAGEREF _Toc155267899 \h </w:instrText>
            </w:r>
            <w:r w:rsidR="00F8687F">
              <w:rPr>
                <w:noProof/>
                <w:webHidden/>
              </w:rPr>
            </w:r>
            <w:r w:rsidR="00F8687F">
              <w:rPr>
                <w:noProof/>
                <w:webHidden/>
              </w:rPr>
              <w:fldChar w:fldCharType="separate"/>
            </w:r>
            <w:r w:rsidR="00F8687F">
              <w:rPr>
                <w:noProof/>
                <w:webHidden/>
              </w:rPr>
              <w:t>69</w:t>
            </w:r>
            <w:r w:rsidR="00F8687F">
              <w:rPr>
                <w:noProof/>
                <w:webHidden/>
              </w:rPr>
              <w:fldChar w:fldCharType="end"/>
            </w:r>
          </w:hyperlink>
        </w:p>
        <w:p w14:paraId="5C7F4DA3" w14:textId="399E7EDD"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00" w:history="1">
            <w:r w:rsidR="00F8687F" w:rsidRPr="005527CE">
              <w:rPr>
                <w:rStyle w:val="Hyperlink"/>
                <w:rFonts w:cstheme="minorHAnsi"/>
                <w:noProof/>
              </w:rPr>
              <w:t>IV.1. Activitatea Secţiilor Consiliului Superior al Magistraturii, ca instanţe de judecată în materie disciplinară</w:t>
            </w:r>
            <w:r w:rsidR="00F8687F">
              <w:rPr>
                <w:noProof/>
                <w:webHidden/>
              </w:rPr>
              <w:tab/>
            </w:r>
            <w:r w:rsidR="00F8687F">
              <w:rPr>
                <w:noProof/>
                <w:webHidden/>
              </w:rPr>
              <w:fldChar w:fldCharType="begin"/>
            </w:r>
            <w:r w:rsidR="00F8687F">
              <w:rPr>
                <w:noProof/>
                <w:webHidden/>
              </w:rPr>
              <w:instrText xml:space="preserve"> PAGEREF _Toc155267900 \h </w:instrText>
            </w:r>
            <w:r w:rsidR="00F8687F">
              <w:rPr>
                <w:noProof/>
                <w:webHidden/>
              </w:rPr>
            </w:r>
            <w:r w:rsidR="00F8687F">
              <w:rPr>
                <w:noProof/>
                <w:webHidden/>
              </w:rPr>
              <w:fldChar w:fldCharType="separate"/>
            </w:r>
            <w:r w:rsidR="00F8687F">
              <w:rPr>
                <w:noProof/>
                <w:webHidden/>
              </w:rPr>
              <w:t>69</w:t>
            </w:r>
            <w:r w:rsidR="00F8687F">
              <w:rPr>
                <w:noProof/>
                <w:webHidden/>
              </w:rPr>
              <w:fldChar w:fldCharType="end"/>
            </w:r>
          </w:hyperlink>
        </w:p>
        <w:p w14:paraId="1AD23FFB" w14:textId="04EE4949"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901" w:history="1">
            <w:r w:rsidR="00F8687F" w:rsidRPr="005527CE">
              <w:rPr>
                <w:rStyle w:val="Hyperlink"/>
                <w:rFonts w:cstheme="minorHAnsi"/>
                <w:noProof/>
              </w:rPr>
              <w:t>CAPITOLUL V</w:t>
            </w:r>
          </w:hyperlink>
        </w:p>
        <w:p w14:paraId="0EED4AE4" w14:textId="203A4D72"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902" w:history="1">
            <w:r w:rsidR="00F8687F" w:rsidRPr="005527CE">
              <w:rPr>
                <w:rStyle w:val="Hyperlink"/>
                <w:rFonts w:cstheme="minorHAnsi"/>
                <w:noProof/>
              </w:rPr>
              <w:t>Bugetul Consiliului Superior al Magistraturii</w:t>
            </w:r>
            <w:r w:rsidR="00F8687F">
              <w:rPr>
                <w:noProof/>
                <w:webHidden/>
              </w:rPr>
              <w:tab/>
            </w:r>
            <w:r w:rsidR="00F8687F">
              <w:rPr>
                <w:noProof/>
                <w:webHidden/>
              </w:rPr>
              <w:fldChar w:fldCharType="begin"/>
            </w:r>
            <w:r w:rsidR="00F8687F">
              <w:rPr>
                <w:noProof/>
                <w:webHidden/>
              </w:rPr>
              <w:instrText xml:space="preserve"> PAGEREF _Toc155267902 \h </w:instrText>
            </w:r>
            <w:r w:rsidR="00F8687F">
              <w:rPr>
                <w:noProof/>
                <w:webHidden/>
              </w:rPr>
            </w:r>
            <w:r w:rsidR="00F8687F">
              <w:rPr>
                <w:noProof/>
                <w:webHidden/>
              </w:rPr>
              <w:fldChar w:fldCharType="separate"/>
            </w:r>
            <w:r w:rsidR="00F8687F">
              <w:rPr>
                <w:noProof/>
                <w:webHidden/>
              </w:rPr>
              <w:t>74</w:t>
            </w:r>
            <w:r w:rsidR="00F8687F">
              <w:rPr>
                <w:noProof/>
                <w:webHidden/>
              </w:rPr>
              <w:fldChar w:fldCharType="end"/>
            </w:r>
          </w:hyperlink>
        </w:p>
        <w:p w14:paraId="405EC3FA" w14:textId="044EA2CC"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03" w:history="1">
            <w:r w:rsidR="00F8687F" w:rsidRPr="005527CE">
              <w:rPr>
                <w:rStyle w:val="Hyperlink"/>
                <w:rFonts w:cstheme="minorHAnsi"/>
                <w:noProof/>
              </w:rPr>
              <w:t>V.1. Dinamica bugetului 2022 - 2023 şi perspectiva pentru anul 2024</w:t>
            </w:r>
            <w:r w:rsidR="00F8687F">
              <w:rPr>
                <w:noProof/>
                <w:webHidden/>
              </w:rPr>
              <w:tab/>
            </w:r>
            <w:r w:rsidR="00F8687F">
              <w:rPr>
                <w:noProof/>
                <w:webHidden/>
              </w:rPr>
              <w:fldChar w:fldCharType="begin"/>
            </w:r>
            <w:r w:rsidR="00F8687F">
              <w:rPr>
                <w:noProof/>
                <w:webHidden/>
              </w:rPr>
              <w:instrText xml:space="preserve"> PAGEREF _Toc155267903 \h </w:instrText>
            </w:r>
            <w:r w:rsidR="00F8687F">
              <w:rPr>
                <w:noProof/>
                <w:webHidden/>
              </w:rPr>
            </w:r>
            <w:r w:rsidR="00F8687F">
              <w:rPr>
                <w:noProof/>
                <w:webHidden/>
              </w:rPr>
              <w:fldChar w:fldCharType="separate"/>
            </w:r>
            <w:r w:rsidR="00F8687F">
              <w:rPr>
                <w:noProof/>
                <w:webHidden/>
              </w:rPr>
              <w:t>74</w:t>
            </w:r>
            <w:r w:rsidR="00F8687F">
              <w:rPr>
                <w:noProof/>
                <w:webHidden/>
              </w:rPr>
              <w:fldChar w:fldCharType="end"/>
            </w:r>
          </w:hyperlink>
        </w:p>
        <w:p w14:paraId="0E911BAD" w14:textId="69010F8F"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04" w:history="1">
            <w:r w:rsidR="00F8687F" w:rsidRPr="005527CE">
              <w:rPr>
                <w:rStyle w:val="Hyperlink"/>
                <w:rFonts w:cstheme="minorHAnsi"/>
                <w:noProof/>
              </w:rPr>
              <w:t>V.2. Structura bugetului pe anul 2023</w:t>
            </w:r>
            <w:r w:rsidR="00F8687F">
              <w:rPr>
                <w:noProof/>
                <w:webHidden/>
              </w:rPr>
              <w:tab/>
            </w:r>
            <w:r w:rsidR="00F8687F">
              <w:rPr>
                <w:noProof/>
                <w:webHidden/>
              </w:rPr>
              <w:fldChar w:fldCharType="begin"/>
            </w:r>
            <w:r w:rsidR="00F8687F">
              <w:rPr>
                <w:noProof/>
                <w:webHidden/>
              </w:rPr>
              <w:instrText xml:space="preserve"> PAGEREF _Toc155267904 \h </w:instrText>
            </w:r>
            <w:r w:rsidR="00F8687F">
              <w:rPr>
                <w:noProof/>
                <w:webHidden/>
              </w:rPr>
            </w:r>
            <w:r w:rsidR="00F8687F">
              <w:rPr>
                <w:noProof/>
                <w:webHidden/>
              </w:rPr>
              <w:fldChar w:fldCharType="separate"/>
            </w:r>
            <w:r w:rsidR="00F8687F">
              <w:rPr>
                <w:noProof/>
                <w:webHidden/>
              </w:rPr>
              <w:t>80</w:t>
            </w:r>
            <w:r w:rsidR="00F8687F">
              <w:rPr>
                <w:noProof/>
                <w:webHidden/>
              </w:rPr>
              <w:fldChar w:fldCharType="end"/>
            </w:r>
          </w:hyperlink>
        </w:p>
        <w:p w14:paraId="6FDF64C2" w14:textId="201B6A0C"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05" w:history="1">
            <w:r w:rsidR="00F8687F" w:rsidRPr="005527CE">
              <w:rPr>
                <w:rStyle w:val="Hyperlink"/>
                <w:rFonts w:cstheme="minorHAnsi"/>
                <w:noProof/>
              </w:rPr>
              <w:t>V.3. Ponderea bugetelor Institutului Naţional al Magistraturii, Şcolii Naţionale de Grefieri şi Consiliului Superior al Magistraturii – aparatul propriu în bugetul total al Consiliului Superior al Magistraturii</w:t>
            </w:r>
            <w:r w:rsidR="00F8687F">
              <w:rPr>
                <w:noProof/>
                <w:webHidden/>
              </w:rPr>
              <w:tab/>
            </w:r>
            <w:r w:rsidR="00F8687F">
              <w:rPr>
                <w:noProof/>
                <w:webHidden/>
              </w:rPr>
              <w:fldChar w:fldCharType="begin"/>
            </w:r>
            <w:r w:rsidR="00F8687F">
              <w:rPr>
                <w:noProof/>
                <w:webHidden/>
              </w:rPr>
              <w:instrText xml:space="preserve"> PAGEREF _Toc155267905 \h </w:instrText>
            </w:r>
            <w:r w:rsidR="00F8687F">
              <w:rPr>
                <w:noProof/>
                <w:webHidden/>
              </w:rPr>
            </w:r>
            <w:r w:rsidR="00F8687F">
              <w:rPr>
                <w:noProof/>
                <w:webHidden/>
              </w:rPr>
              <w:fldChar w:fldCharType="separate"/>
            </w:r>
            <w:r w:rsidR="00F8687F">
              <w:rPr>
                <w:noProof/>
                <w:webHidden/>
              </w:rPr>
              <w:t>85</w:t>
            </w:r>
            <w:r w:rsidR="00F8687F">
              <w:rPr>
                <w:noProof/>
                <w:webHidden/>
              </w:rPr>
              <w:fldChar w:fldCharType="end"/>
            </w:r>
          </w:hyperlink>
        </w:p>
        <w:p w14:paraId="6829470F" w14:textId="447E2433"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906" w:history="1">
            <w:r w:rsidR="00F8687F" w:rsidRPr="005527CE">
              <w:rPr>
                <w:rStyle w:val="Hyperlink"/>
                <w:rFonts w:cstheme="minorHAnsi"/>
                <w:noProof/>
              </w:rPr>
              <w:t>CAPITOLUL VI</w:t>
            </w:r>
          </w:hyperlink>
        </w:p>
        <w:p w14:paraId="1297E989" w14:textId="1158F7C0"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907" w:history="1">
            <w:r w:rsidR="00F8687F" w:rsidRPr="005527CE">
              <w:rPr>
                <w:rStyle w:val="Hyperlink"/>
                <w:rFonts w:cstheme="minorHAnsi"/>
                <w:noProof/>
              </w:rPr>
              <w:t>Alte aspecte privind activitatea aparatului propriu de asigurare a suportului tehnic pentru îndeplinirea atribuţiilor Consiliului Superior al Magistraturii</w:t>
            </w:r>
            <w:r w:rsidR="00F8687F">
              <w:rPr>
                <w:noProof/>
                <w:webHidden/>
              </w:rPr>
              <w:tab/>
            </w:r>
            <w:r w:rsidR="00F8687F">
              <w:rPr>
                <w:noProof/>
                <w:webHidden/>
              </w:rPr>
              <w:fldChar w:fldCharType="begin"/>
            </w:r>
            <w:r w:rsidR="00F8687F">
              <w:rPr>
                <w:noProof/>
                <w:webHidden/>
              </w:rPr>
              <w:instrText xml:space="preserve"> PAGEREF _Toc155267907 \h </w:instrText>
            </w:r>
            <w:r w:rsidR="00F8687F">
              <w:rPr>
                <w:noProof/>
                <w:webHidden/>
              </w:rPr>
            </w:r>
            <w:r w:rsidR="00F8687F">
              <w:rPr>
                <w:noProof/>
                <w:webHidden/>
              </w:rPr>
              <w:fldChar w:fldCharType="separate"/>
            </w:r>
            <w:r w:rsidR="00F8687F">
              <w:rPr>
                <w:noProof/>
                <w:webHidden/>
              </w:rPr>
              <w:t>88</w:t>
            </w:r>
            <w:r w:rsidR="00F8687F">
              <w:rPr>
                <w:noProof/>
                <w:webHidden/>
              </w:rPr>
              <w:fldChar w:fldCharType="end"/>
            </w:r>
          </w:hyperlink>
        </w:p>
        <w:p w14:paraId="68E6F380" w14:textId="623486C7" w:rsidR="00F8687F" w:rsidRDefault="00000000">
          <w:pPr>
            <w:pStyle w:val="TOC2"/>
            <w:tabs>
              <w:tab w:val="left" w:pos="1100"/>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08" w:history="1">
            <w:r w:rsidR="00F8687F" w:rsidRPr="005527CE">
              <w:rPr>
                <w:rStyle w:val="Hyperlink"/>
                <w:rFonts w:cstheme="minorHAnsi"/>
                <w:noProof/>
              </w:rPr>
              <w:t>VI.1.</w:t>
            </w:r>
            <w:r w:rsidR="00F8687F">
              <w:rPr>
                <w:rFonts w:asciiTheme="minorHAnsi" w:eastAsiaTheme="minorEastAsia" w:hAnsiTheme="minorHAnsi" w:cstheme="minorBidi"/>
                <w:noProof/>
                <w:kern w:val="2"/>
                <w:sz w:val="22"/>
                <w:szCs w:val="22"/>
                <w:lang w:val="en-GB" w:eastAsia="en-GB"/>
                <w14:ligatures w14:val="standardContextual"/>
              </w:rPr>
              <w:tab/>
            </w:r>
            <w:r w:rsidR="00F8687F" w:rsidRPr="005527CE">
              <w:rPr>
                <w:rStyle w:val="Hyperlink"/>
                <w:rFonts w:cstheme="minorHAnsi"/>
                <w:noProof/>
              </w:rPr>
              <w:t>Activitatea Direcţiei resurse umane şi organizare</w:t>
            </w:r>
            <w:r w:rsidR="00F8687F">
              <w:rPr>
                <w:noProof/>
                <w:webHidden/>
              </w:rPr>
              <w:tab/>
            </w:r>
            <w:r w:rsidR="00F8687F">
              <w:rPr>
                <w:noProof/>
                <w:webHidden/>
              </w:rPr>
              <w:fldChar w:fldCharType="begin"/>
            </w:r>
            <w:r w:rsidR="00F8687F">
              <w:rPr>
                <w:noProof/>
                <w:webHidden/>
              </w:rPr>
              <w:instrText xml:space="preserve"> PAGEREF _Toc155267908 \h </w:instrText>
            </w:r>
            <w:r w:rsidR="00F8687F">
              <w:rPr>
                <w:noProof/>
                <w:webHidden/>
              </w:rPr>
            </w:r>
            <w:r w:rsidR="00F8687F">
              <w:rPr>
                <w:noProof/>
                <w:webHidden/>
              </w:rPr>
              <w:fldChar w:fldCharType="separate"/>
            </w:r>
            <w:r w:rsidR="00F8687F">
              <w:rPr>
                <w:noProof/>
                <w:webHidden/>
              </w:rPr>
              <w:t>88</w:t>
            </w:r>
            <w:r w:rsidR="00F8687F">
              <w:rPr>
                <w:noProof/>
                <w:webHidden/>
              </w:rPr>
              <w:fldChar w:fldCharType="end"/>
            </w:r>
          </w:hyperlink>
        </w:p>
        <w:p w14:paraId="7F186151" w14:textId="55B34652"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09" w:history="1">
            <w:r w:rsidR="00F8687F" w:rsidRPr="005527CE">
              <w:rPr>
                <w:rStyle w:val="Hyperlink"/>
                <w:rFonts w:cstheme="minorHAnsi"/>
                <w:noProof/>
              </w:rPr>
              <w:t>VI.2. Activitatea Direcţiei legislaţie, documentare şi contencios</w:t>
            </w:r>
            <w:r w:rsidR="00F8687F">
              <w:rPr>
                <w:noProof/>
                <w:webHidden/>
              </w:rPr>
              <w:tab/>
            </w:r>
            <w:r w:rsidR="00F8687F">
              <w:rPr>
                <w:noProof/>
                <w:webHidden/>
              </w:rPr>
              <w:fldChar w:fldCharType="begin"/>
            </w:r>
            <w:r w:rsidR="00F8687F">
              <w:rPr>
                <w:noProof/>
                <w:webHidden/>
              </w:rPr>
              <w:instrText xml:space="preserve"> PAGEREF _Toc155267909 \h </w:instrText>
            </w:r>
            <w:r w:rsidR="00F8687F">
              <w:rPr>
                <w:noProof/>
                <w:webHidden/>
              </w:rPr>
            </w:r>
            <w:r w:rsidR="00F8687F">
              <w:rPr>
                <w:noProof/>
                <w:webHidden/>
              </w:rPr>
              <w:fldChar w:fldCharType="separate"/>
            </w:r>
            <w:r w:rsidR="00F8687F">
              <w:rPr>
                <w:noProof/>
                <w:webHidden/>
              </w:rPr>
              <w:t>91</w:t>
            </w:r>
            <w:r w:rsidR="00F8687F">
              <w:rPr>
                <w:noProof/>
                <w:webHidden/>
              </w:rPr>
              <w:fldChar w:fldCharType="end"/>
            </w:r>
          </w:hyperlink>
        </w:p>
        <w:p w14:paraId="655A6F3D" w14:textId="708FE9FD"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0" w:history="1">
            <w:r w:rsidR="00F8687F" w:rsidRPr="005527CE">
              <w:rPr>
                <w:rStyle w:val="Hyperlink"/>
                <w:rFonts w:cstheme="minorHAnsi"/>
                <w:noProof/>
              </w:rPr>
              <w:t>VI.3. Activitatea Direcţiei afaceri europene, relaţii internaţionale şi programe</w:t>
            </w:r>
            <w:r w:rsidR="00F8687F">
              <w:rPr>
                <w:noProof/>
                <w:webHidden/>
              </w:rPr>
              <w:tab/>
            </w:r>
            <w:r w:rsidR="00F8687F">
              <w:rPr>
                <w:noProof/>
                <w:webHidden/>
              </w:rPr>
              <w:fldChar w:fldCharType="begin"/>
            </w:r>
            <w:r w:rsidR="00F8687F">
              <w:rPr>
                <w:noProof/>
                <w:webHidden/>
              </w:rPr>
              <w:instrText xml:space="preserve"> PAGEREF _Toc155267910 \h </w:instrText>
            </w:r>
            <w:r w:rsidR="00F8687F">
              <w:rPr>
                <w:noProof/>
                <w:webHidden/>
              </w:rPr>
            </w:r>
            <w:r w:rsidR="00F8687F">
              <w:rPr>
                <w:noProof/>
                <w:webHidden/>
              </w:rPr>
              <w:fldChar w:fldCharType="separate"/>
            </w:r>
            <w:r w:rsidR="00F8687F">
              <w:rPr>
                <w:noProof/>
                <w:webHidden/>
              </w:rPr>
              <w:t>94</w:t>
            </w:r>
            <w:r w:rsidR="00F8687F">
              <w:rPr>
                <w:noProof/>
                <w:webHidden/>
              </w:rPr>
              <w:fldChar w:fldCharType="end"/>
            </w:r>
          </w:hyperlink>
        </w:p>
        <w:p w14:paraId="596A5917" w14:textId="719319F9"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1" w:history="1">
            <w:r w:rsidR="00F8687F" w:rsidRPr="005527CE">
              <w:rPr>
                <w:rStyle w:val="Hyperlink"/>
                <w:rFonts w:cstheme="minorHAnsi"/>
                <w:noProof/>
              </w:rPr>
              <w:t xml:space="preserve">VI.3.1. </w:t>
            </w:r>
            <w:r w:rsidR="00F8687F" w:rsidRPr="005527CE">
              <w:rPr>
                <w:rStyle w:val="Hyperlink"/>
                <w:rFonts w:cstheme="minorHAnsi"/>
                <w:bCs/>
                <w:noProof/>
              </w:rPr>
              <w:t>Activitatea referitoare la Mecanismul european  privind statul de drept</w:t>
            </w:r>
            <w:r w:rsidR="00F8687F">
              <w:rPr>
                <w:noProof/>
                <w:webHidden/>
              </w:rPr>
              <w:tab/>
            </w:r>
            <w:r w:rsidR="00F8687F">
              <w:rPr>
                <w:noProof/>
                <w:webHidden/>
              </w:rPr>
              <w:fldChar w:fldCharType="begin"/>
            </w:r>
            <w:r w:rsidR="00F8687F">
              <w:rPr>
                <w:noProof/>
                <w:webHidden/>
              </w:rPr>
              <w:instrText xml:space="preserve"> PAGEREF _Toc155267911 \h </w:instrText>
            </w:r>
            <w:r w:rsidR="00F8687F">
              <w:rPr>
                <w:noProof/>
                <w:webHidden/>
              </w:rPr>
            </w:r>
            <w:r w:rsidR="00F8687F">
              <w:rPr>
                <w:noProof/>
                <w:webHidden/>
              </w:rPr>
              <w:fldChar w:fldCharType="separate"/>
            </w:r>
            <w:r w:rsidR="00F8687F">
              <w:rPr>
                <w:noProof/>
                <w:webHidden/>
              </w:rPr>
              <w:t>95</w:t>
            </w:r>
            <w:r w:rsidR="00F8687F">
              <w:rPr>
                <w:noProof/>
                <w:webHidden/>
              </w:rPr>
              <w:fldChar w:fldCharType="end"/>
            </w:r>
          </w:hyperlink>
        </w:p>
        <w:p w14:paraId="5FE8B0B4" w14:textId="7A7836BB"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2" w:history="1">
            <w:r w:rsidR="00F8687F" w:rsidRPr="005527CE">
              <w:rPr>
                <w:rStyle w:val="Hyperlink"/>
                <w:rFonts w:cstheme="minorHAnsi"/>
                <w:noProof/>
              </w:rPr>
              <w:t>VI.3.2. Dezvoltarea dialogului bilateral</w:t>
            </w:r>
            <w:r w:rsidR="00F8687F">
              <w:rPr>
                <w:noProof/>
                <w:webHidden/>
              </w:rPr>
              <w:tab/>
            </w:r>
            <w:r w:rsidR="00F8687F">
              <w:rPr>
                <w:noProof/>
                <w:webHidden/>
              </w:rPr>
              <w:fldChar w:fldCharType="begin"/>
            </w:r>
            <w:r w:rsidR="00F8687F">
              <w:rPr>
                <w:noProof/>
                <w:webHidden/>
              </w:rPr>
              <w:instrText xml:space="preserve"> PAGEREF _Toc155267912 \h </w:instrText>
            </w:r>
            <w:r w:rsidR="00F8687F">
              <w:rPr>
                <w:noProof/>
                <w:webHidden/>
              </w:rPr>
            </w:r>
            <w:r w:rsidR="00F8687F">
              <w:rPr>
                <w:noProof/>
                <w:webHidden/>
              </w:rPr>
              <w:fldChar w:fldCharType="separate"/>
            </w:r>
            <w:r w:rsidR="00F8687F">
              <w:rPr>
                <w:noProof/>
                <w:webHidden/>
              </w:rPr>
              <w:t>96</w:t>
            </w:r>
            <w:r w:rsidR="00F8687F">
              <w:rPr>
                <w:noProof/>
                <w:webHidden/>
              </w:rPr>
              <w:fldChar w:fldCharType="end"/>
            </w:r>
          </w:hyperlink>
        </w:p>
        <w:p w14:paraId="7CCFD210" w14:textId="5B2C66D3"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3" w:history="1">
            <w:r w:rsidR="00F8687F" w:rsidRPr="005527CE">
              <w:rPr>
                <w:rStyle w:val="Hyperlink"/>
                <w:rFonts w:cstheme="minorHAnsi"/>
                <w:noProof/>
              </w:rPr>
              <w:t>VI.3.3. Alte activităţi în domeniul relaţiilor externe</w:t>
            </w:r>
            <w:r w:rsidR="00F8687F">
              <w:rPr>
                <w:noProof/>
                <w:webHidden/>
              </w:rPr>
              <w:tab/>
            </w:r>
            <w:r w:rsidR="00F8687F">
              <w:rPr>
                <w:noProof/>
                <w:webHidden/>
              </w:rPr>
              <w:fldChar w:fldCharType="begin"/>
            </w:r>
            <w:r w:rsidR="00F8687F">
              <w:rPr>
                <w:noProof/>
                <w:webHidden/>
              </w:rPr>
              <w:instrText xml:space="preserve"> PAGEREF _Toc155267913 \h </w:instrText>
            </w:r>
            <w:r w:rsidR="00F8687F">
              <w:rPr>
                <w:noProof/>
                <w:webHidden/>
              </w:rPr>
            </w:r>
            <w:r w:rsidR="00F8687F">
              <w:rPr>
                <w:noProof/>
                <w:webHidden/>
              </w:rPr>
              <w:fldChar w:fldCharType="separate"/>
            </w:r>
            <w:r w:rsidR="00F8687F">
              <w:rPr>
                <w:noProof/>
                <w:webHidden/>
              </w:rPr>
              <w:t>98</w:t>
            </w:r>
            <w:r w:rsidR="00F8687F">
              <w:rPr>
                <w:noProof/>
                <w:webHidden/>
              </w:rPr>
              <w:fldChar w:fldCharType="end"/>
            </w:r>
          </w:hyperlink>
        </w:p>
        <w:p w14:paraId="4BBAA680" w14:textId="4273A844"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4" w:history="1">
            <w:r w:rsidR="00F8687F" w:rsidRPr="005527CE">
              <w:rPr>
                <w:rStyle w:val="Hyperlink"/>
                <w:rFonts w:cstheme="minorHAnsi"/>
                <w:noProof/>
              </w:rPr>
              <w:t>VI.3.4. Activitatea în domeniul programelor cu finanţare europeană şi internaţională</w:t>
            </w:r>
            <w:r w:rsidR="00F8687F">
              <w:rPr>
                <w:noProof/>
                <w:webHidden/>
              </w:rPr>
              <w:tab/>
            </w:r>
            <w:r w:rsidR="00F8687F">
              <w:rPr>
                <w:noProof/>
                <w:webHidden/>
              </w:rPr>
              <w:fldChar w:fldCharType="begin"/>
            </w:r>
            <w:r w:rsidR="00F8687F">
              <w:rPr>
                <w:noProof/>
                <w:webHidden/>
              </w:rPr>
              <w:instrText xml:space="preserve"> PAGEREF _Toc155267914 \h </w:instrText>
            </w:r>
            <w:r w:rsidR="00F8687F">
              <w:rPr>
                <w:noProof/>
                <w:webHidden/>
              </w:rPr>
            </w:r>
            <w:r w:rsidR="00F8687F">
              <w:rPr>
                <w:noProof/>
                <w:webHidden/>
              </w:rPr>
              <w:fldChar w:fldCharType="separate"/>
            </w:r>
            <w:r w:rsidR="00F8687F">
              <w:rPr>
                <w:noProof/>
                <w:webHidden/>
              </w:rPr>
              <w:t>101</w:t>
            </w:r>
            <w:r w:rsidR="00F8687F">
              <w:rPr>
                <w:noProof/>
                <w:webHidden/>
              </w:rPr>
              <w:fldChar w:fldCharType="end"/>
            </w:r>
          </w:hyperlink>
        </w:p>
        <w:p w14:paraId="52924B8C" w14:textId="408F7C39"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5" w:history="1">
            <w:r w:rsidR="00F8687F" w:rsidRPr="005527CE">
              <w:rPr>
                <w:rStyle w:val="Hyperlink"/>
                <w:rFonts w:cstheme="minorHAnsi"/>
                <w:noProof/>
              </w:rPr>
              <w:t>VI.4. Activitatea Serviciului sinteze şi pregătirea lucrărilor şedinţelor Consiliului Superior al Magistraturii</w:t>
            </w:r>
            <w:r w:rsidR="00F8687F">
              <w:rPr>
                <w:noProof/>
                <w:webHidden/>
              </w:rPr>
              <w:tab/>
            </w:r>
            <w:r w:rsidR="00F8687F">
              <w:rPr>
                <w:noProof/>
                <w:webHidden/>
              </w:rPr>
              <w:fldChar w:fldCharType="begin"/>
            </w:r>
            <w:r w:rsidR="00F8687F">
              <w:rPr>
                <w:noProof/>
                <w:webHidden/>
              </w:rPr>
              <w:instrText xml:space="preserve"> PAGEREF _Toc155267915 \h </w:instrText>
            </w:r>
            <w:r w:rsidR="00F8687F">
              <w:rPr>
                <w:noProof/>
                <w:webHidden/>
              </w:rPr>
            </w:r>
            <w:r w:rsidR="00F8687F">
              <w:rPr>
                <w:noProof/>
                <w:webHidden/>
              </w:rPr>
              <w:fldChar w:fldCharType="separate"/>
            </w:r>
            <w:r w:rsidR="00F8687F">
              <w:rPr>
                <w:noProof/>
                <w:webHidden/>
              </w:rPr>
              <w:t>108</w:t>
            </w:r>
            <w:r w:rsidR="00F8687F">
              <w:rPr>
                <w:noProof/>
                <w:webHidden/>
              </w:rPr>
              <w:fldChar w:fldCharType="end"/>
            </w:r>
          </w:hyperlink>
        </w:p>
        <w:p w14:paraId="51692BE6" w14:textId="33357FD7"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6" w:history="1">
            <w:r w:rsidR="00F8687F" w:rsidRPr="005527CE">
              <w:rPr>
                <w:rStyle w:val="Hyperlink"/>
                <w:rFonts w:cstheme="minorHAnsi"/>
                <w:noProof/>
              </w:rPr>
              <w:t>VI.5. Activitatea Biroului grefa secțiilor</w:t>
            </w:r>
            <w:r w:rsidR="00F8687F">
              <w:rPr>
                <w:noProof/>
                <w:webHidden/>
              </w:rPr>
              <w:tab/>
            </w:r>
            <w:r w:rsidR="00F8687F">
              <w:rPr>
                <w:noProof/>
                <w:webHidden/>
              </w:rPr>
              <w:fldChar w:fldCharType="begin"/>
            </w:r>
            <w:r w:rsidR="00F8687F">
              <w:rPr>
                <w:noProof/>
                <w:webHidden/>
              </w:rPr>
              <w:instrText xml:space="preserve"> PAGEREF _Toc155267916 \h </w:instrText>
            </w:r>
            <w:r w:rsidR="00F8687F">
              <w:rPr>
                <w:noProof/>
                <w:webHidden/>
              </w:rPr>
            </w:r>
            <w:r w:rsidR="00F8687F">
              <w:rPr>
                <w:noProof/>
                <w:webHidden/>
              </w:rPr>
              <w:fldChar w:fldCharType="separate"/>
            </w:r>
            <w:r w:rsidR="00F8687F">
              <w:rPr>
                <w:noProof/>
                <w:webHidden/>
              </w:rPr>
              <w:t>110</w:t>
            </w:r>
            <w:r w:rsidR="00F8687F">
              <w:rPr>
                <w:noProof/>
                <w:webHidden/>
              </w:rPr>
              <w:fldChar w:fldCharType="end"/>
            </w:r>
          </w:hyperlink>
        </w:p>
        <w:p w14:paraId="4AC601ED" w14:textId="47939110"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7" w:history="1">
            <w:r w:rsidR="00F8687F" w:rsidRPr="005527CE">
              <w:rPr>
                <w:rStyle w:val="Hyperlink"/>
                <w:rFonts w:cstheme="minorHAnsi"/>
                <w:noProof/>
              </w:rPr>
              <w:t>VI.6. Activitatea Serviciului de relaţii cu publicul, registratură, secretariat şi arhivă</w:t>
            </w:r>
            <w:r w:rsidR="00F8687F">
              <w:rPr>
                <w:noProof/>
                <w:webHidden/>
              </w:rPr>
              <w:tab/>
            </w:r>
            <w:r w:rsidR="00F8687F">
              <w:rPr>
                <w:noProof/>
                <w:webHidden/>
              </w:rPr>
              <w:fldChar w:fldCharType="begin"/>
            </w:r>
            <w:r w:rsidR="00F8687F">
              <w:rPr>
                <w:noProof/>
                <w:webHidden/>
              </w:rPr>
              <w:instrText xml:space="preserve"> PAGEREF _Toc155267917 \h </w:instrText>
            </w:r>
            <w:r w:rsidR="00F8687F">
              <w:rPr>
                <w:noProof/>
                <w:webHidden/>
              </w:rPr>
            </w:r>
            <w:r w:rsidR="00F8687F">
              <w:rPr>
                <w:noProof/>
                <w:webHidden/>
              </w:rPr>
              <w:fldChar w:fldCharType="separate"/>
            </w:r>
            <w:r w:rsidR="00F8687F">
              <w:rPr>
                <w:noProof/>
                <w:webHidden/>
              </w:rPr>
              <w:t>111</w:t>
            </w:r>
            <w:r w:rsidR="00F8687F">
              <w:rPr>
                <w:noProof/>
                <w:webHidden/>
              </w:rPr>
              <w:fldChar w:fldCharType="end"/>
            </w:r>
          </w:hyperlink>
        </w:p>
        <w:p w14:paraId="2944C61A" w14:textId="5B0A02E4"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8" w:history="1">
            <w:r w:rsidR="00F8687F" w:rsidRPr="005527CE">
              <w:rPr>
                <w:rStyle w:val="Hyperlink"/>
                <w:rFonts w:cstheme="minorHAnsi"/>
                <w:noProof/>
              </w:rPr>
              <w:t>VI.6.1. Activitatea Biroului relaţii cu publicul</w:t>
            </w:r>
            <w:r w:rsidR="00F8687F">
              <w:rPr>
                <w:noProof/>
                <w:webHidden/>
              </w:rPr>
              <w:tab/>
            </w:r>
            <w:r w:rsidR="00F8687F">
              <w:rPr>
                <w:noProof/>
                <w:webHidden/>
              </w:rPr>
              <w:fldChar w:fldCharType="begin"/>
            </w:r>
            <w:r w:rsidR="00F8687F">
              <w:rPr>
                <w:noProof/>
                <w:webHidden/>
              </w:rPr>
              <w:instrText xml:space="preserve"> PAGEREF _Toc155267918 \h </w:instrText>
            </w:r>
            <w:r w:rsidR="00F8687F">
              <w:rPr>
                <w:noProof/>
                <w:webHidden/>
              </w:rPr>
            </w:r>
            <w:r w:rsidR="00F8687F">
              <w:rPr>
                <w:noProof/>
                <w:webHidden/>
              </w:rPr>
              <w:fldChar w:fldCharType="separate"/>
            </w:r>
            <w:r w:rsidR="00F8687F">
              <w:rPr>
                <w:noProof/>
                <w:webHidden/>
              </w:rPr>
              <w:t>111</w:t>
            </w:r>
            <w:r w:rsidR="00F8687F">
              <w:rPr>
                <w:noProof/>
                <w:webHidden/>
              </w:rPr>
              <w:fldChar w:fldCharType="end"/>
            </w:r>
          </w:hyperlink>
        </w:p>
        <w:p w14:paraId="4E70A797" w14:textId="2C2281CA"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19" w:history="1">
            <w:r w:rsidR="00F8687F" w:rsidRPr="005527CE">
              <w:rPr>
                <w:rStyle w:val="Hyperlink"/>
                <w:rFonts w:cstheme="minorHAnsi"/>
                <w:noProof/>
              </w:rPr>
              <w:t>VI.6.2. Activitatea de registratură, secretariat şi arhivă</w:t>
            </w:r>
            <w:r w:rsidR="00F8687F">
              <w:rPr>
                <w:noProof/>
                <w:webHidden/>
              </w:rPr>
              <w:tab/>
            </w:r>
            <w:r w:rsidR="00F8687F">
              <w:rPr>
                <w:noProof/>
                <w:webHidden/>
              </w:rPr>
              <w:fldChar w:fldCharType="begin"/>
            </w:r>
            <w:r w:rsidR="00F8687F">
              <w:rPr>
                <w:noProof/>
                <w:webHidden/>
              </w:rPr>
              <w:instrText xml:space="preserve"> PAGEREF _Toc155267919 \h </w:instrText>
            </w:r>
            <w:r w:rsidR="00F8687F">
              <w:rPr>
                <w:noProof/>
                <w:webHidden/>
              </w:rPr>
            </w:r>
            <w:r w:rsidR="00F8687F">
              <w:rPr>
                <w:noProof/>
                <w:webHidden/>
              </w:rPr>
              <w:fldChar w:fldCharType="separate"/>
            </w:r>
            <w:r w:rsidR="00F8687F">
              <w:rPr>
                <w:noProof/>
                <w:webHidden/>
              </w:rPr>
              <w:t>112</w:t>
            </w:r>
            <w:r w:rsidR="00F8687F">
              <w:rPr>
                <w:noProof/>
                <w:webHidden/>
              </w:rPr>
              <w:fldChar w:fldCharType="end"/>
            </w:r>
          </w:hyperlink>
        </w:p>
        <w:p w14:paraId="52DA2505" w14:textId="04747087"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0" w:history="1">
            <w:r w:rsidR="00F8687F" w:rsidRPr="005527CE">
              <w:rPr>
                <w:rStyle w:val="Hyperlink"/>
                <w:rFonts w:cstheme="minorHAnsi"/>
                <w:noProof/>
              </w:rPr>
              <w:t>VI.7. Activitatea Biroului de informare publică şi relaţii cu mass-media</w:t>
            </w:r>
            <w:r w:rsidR="00F8687F">
              <w:rPr>
                <w:noProof/>
                <w:webHidden/>
              </w:rPr>
              <w:tab/>
            </w:r>
            <w:r w:rsidR="00F8687F">
              <w:rPr>
                <w:noProof/>
                <w:webHidden/>
              </w:rPr>
              <w:fldChar w:fldCharType="begin"/>
            </w:r>
            <w:r w:rsidR="00F8687F">
              <w:rPr>
                <w:noProof/>
                <w:webHidden/>
              </w:rPr>
              <w:instrText xml:space="preserve"> PAGEREF _Toc155267920 \h </w:instrText>
            </w:r>
            <w:r w:rsidR="00F8687F">
              <w:rPr>
                <w:noProof/>
                <w:webHidden/>
              </w:rPr>
            </w:r>
            <w:r w:rsidR="00F8687F">
              <w:rPr>
                <w:noProof/>
                <w:webHidden/>
              </w:rPr>
              <w:fldChar w:fldCharType="separate"/>
            </w:r>
            <w:r w:rsidR="00F8687F">
              <w:rPr>
                <w:noProof/>
                <w:webHidden/>
              </w:rPr>
              <w:t>113</w:t>
            </w:r>
            <w:r w:rsidR="00F8687F">
              <w:rPr>
                <w:noProof/>
                <w:webHidden/>
              </w:rPr>
              <w:fldChar w:fldCharType="end"/>
            </w:r>
          </w:hyperlink>
        </w:p>
        <w:p w14:paraId="15CB1081" w14:textId="124D4CC8"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1" w:history="1">
            <w:r w:rsidR="00F8687F" w:rsidRPr="005527CE">
              <w:rPr>
                <w:rStyle w:val="Hyperlink"/>
                <w:rFonts w:cstheme="minorHAnsi"/>
                <w:noProof/>
              </w:rPr>
              <w:t>VI.8. Activitatea Biroului de achiziţii publice şi protocol</w:t>
            </w:r>
            <w:r w:rsidR="00F8687F">
              <w:rPr>
                <w:noProof/>
                <w:webHidden/>
              </w:rPr>
              <w:tab/>
            </w:r>
            <w:r w:rsidR="00F8687F">
              <w:rPr>
                <w:noProof/>
                <w:webHidden/>
              </w:rPr>
              <w:fldChar w:fldCharType="begin"/>
            </w:r>
            <w:r w:rsidR="00F8687F">
              <w:rPr>
                <w:noProof/>
                <w:webHidden/>
              </w:rPr>
              <w:instrText xml:space="preserve"> PAGEREF _Toc155267921 \h </w:instrText>
            </w:r>
            <w:r w:rsidR="00F8687F">
              <w:rPr>
                <w:noProof/>
                <w:webHidden/>
              </w:rPr>
            </w:r>
            <w:r w:rsidR="00F8687F">
              <w:rPr>
                <w:noProof/>
                <w:webHidden/>
              </w:rPr>
              <w:fldChar w:fldCharType="separate"/>
            </w:r>
            <w:r w:rsidR="00F8687F">
              <w:rPr>
                <w:noProof/>
                <w:webHidden/>
              </w:rPr>
              <w:t>116</w:t>
            </w:r>
            <w:r w:rsidR="00F8687F">
              <w:rPr>
                <w:noProof/>
                <w:webHidden/>
              </w:rPr>
              <w:fldChar w:fldCharType="end"/>
            </w:r>
          </w:hyperlink>
        </w:p>
        <w:p w14:paraId="2A44D69E" w14:textId="3AB63361"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2" w:history="1">
            <w:r w:rsidR="00F8687F" w:rsidRPr="005527CE">
              <w:rPr>
                <w:rStyle w:val="Hyperlink"/>
                <w:rFonts w:cstheme="minorHAnsi"/>
                <w:noProof/>
              </w:rPr>
              <w:t>VI.9. Activitatea Serviciului informatică şi statistică judiciară</w:t>
            </w:r>
            <w:r w:rsidR="00F8687F">
              <w:rPr>
                <w:noProof/>
                <w:webHidden/>
              </w:rPr>
              <w:tab/>
            </w:r>
            <w:r w:rsidR="00F8687F">
              <w:rPr>
                <w:noProof/>
                <w:webHidden/>
              </w:rPr>
              <w:fldChar w:fldCharType="begin"/>
            </w:r>
            <w:r w:rsidR="00F8687F">
              <w:rPr>
                <w:noProof/>
                <w:webHidden/>
              </w:rPr>
              <w:instrText xml:space="preserve"> PAGEREF _Toc155267922 \h </w:instrText>
            </w:r>
            <w:r w:rsidR="00F8687F">
              <w:rPr>
                <w:noProof/>
                <w:webHidden/>
              </w:rPr>
            </w:r>
            <w:r w:rsidR="00F8687F">
              <w:rPr>
                <w:noProof/>
                <w:webHidden/>
              </w:rPr>
              <w:fldChar w:fldCharType="separate"/>
            </w:r>
            <w:r w:rsidR="00F8687F">
              <w:rPr>
                <w:noProof/>
                <w:webHidden/>
              </w:rPr>
              <w:t>117</w:t>
            </w:r>
            <w:r w:rsidR="00F8687F">
              <w:rPr>
                <w:noProof/>
                <w:webHidden/>
              </w:rPr>
              <w:fldChar w:fldCharType="end"/>
            </w:r>
          </w:hyperlink>
        </w:p>
        <w:p w14:paraId="2DEA3641" w14:textId="2AE736AA"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3" w:history="1">
            <w:r w:rsidR="00F8687F" w:rsidRPr="005527CE">
              <w:rPr>
                <w:rStyle w:val="Hyperlink"/>
                <w:rFonts w:cstheme="minorHAnsi"/>
                <w:noProof/>
              </w:rPr>
              <w:t>VI.9.1. Activitatea Compartimentului statistică judiciară</w:t>
            </w:r>
            <w:r w:rsidR="00F8687F">
              <w:rPr>
                <w:noProof/>
                <w:webHidden/>
              </w:rPr>
              <w:tab/>
            </w:r>
            <w:r w:rsidR="00F8687F">
              <w:rPr>
                <w:noProof/>
                <w:webHidden/>
              </w:rPr>
              <w:fldChar w:fldCharType="begin"/>
            </w:r>
            <w:r w:rsidR="00F8687F">
              <w:rPr>
                <w:noProof/>
                <w:webHidden/>
              </w:rPr>
              <w:instrText xml:space="preserve"> PAGEREF _Toc155267923 \h </w:instrText>
            </w:r>
            <w:r w:rsidR="00F8687F">
              <w:rPr>
                <w:noProof/>
                <w:webHidden/>
              </w:rPr>
            </w:r>
            <w:r w:rsidR="00F8687F">
              <w:rPr>
                <w:noProof/>
                <w:webHidden/>
              </w:rPr>
              <w:fldChar w:fldCharType="separate"/>
            </w:r>
            <w:r w:rsidR="00F8687F">
              <w:rPr>
                <w:noProof/>
                <w:webHidden/>
              </w:rPr>
              <w:t>117</w:t>
            </w:r>
            <w:r w:rsidR="00F8687F">
              <w:rPr>
                <w:noProof/>
                <w:webHidden/>
              </w:rPr>
              <w:fldChar w:fldCharType="end"/>
            </w:r>
          </w:hyperlink>
        </w:p>
        <w:p w14:paraId="0D3020B3" w14:textId="1A83914D" w:rsidR="00F8687F" w:rsidRDefault="00000000">
          <w:pPr>
            <w:pStyle w:val="TOC3"/>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4" w:history="1">
            <w:r w:rsidR="00F8687F" w:rsidRPr="005527CE">
              <w:rPr>
                <w:rStyle w:val="Hyperlink"/>
                <w:rFonts w:cstheme="minorHAnsi"/>
                <w:noProof/>
              </w:rPr>
              <w:t>VI.9.2. Activitatea Biroului informatică</w:t>
            </w:r>
            <w:r w:rsidR="00F8687F">
              <w:rPr>
                <w:noProof/>
                <w:webHidden/>
              </w:rPr>
              <w:tab/>
            </w:r>
            <w:r w:rsidR="00F8687F">
              <w:rPr>
                <w:noProof/>
                <w:webHidden/>
              </w:rPr>
              <w:fldChar w:fldCharType="begin"/>
            </w:r>
            <w:r w:rsidR="00F8687F">
              <w:rPr>
                <w:noProof/>
                <w:webHidden/>
              </w:rPr>
              <w:instrText xml:space="preserve"> PAGEREF _Toc155267924 \h </w:instrText>
            </w:r>
            <w:r w:rsidR="00F8687F">
              <w:rPr>
                <w:noProof/>
                <w:webHidden/>
              </w:rPr>
            </w:r>
            <w:r w:rsidR="00F8687F">
              <w:rPr>
                <w:noProof/>
                <w:webHidden/>
              </w:rPr>
              <w:fldChar w:fldCharType="separate"/>
            </w:r>
            <w:r w:rsidR="00F8687F">
              <w:rPr>
                <w:noProof/>
                <w:webHidden/>
              </w:rPr>
              <w:t>119</w:t>
            </w:r>
            <w:r w:rsidR="00F8687F">
              <w:rPr>
                <w:noProof/>
                <w:webHidden/>
              </w:rPr>
              <w:fldChar w:fldCharType="end"/>
            </w:r>
          </w:hyperlink>
        </w:p>
        <w:p w14:paraId="0A6338A4" w14:textId="059A0707"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5" w:history="1">
            <w:r w:rsidR="00F8687F" w:rsidRPr="005527CE">
              <w:rPr>
                <w:rStyle w:val="Hyperlink"/>
                <w:rFonts w:cstheme="minorHAnsi"/>
                <w:noProof/>
              </w:rPr>
              <w:t>VI.10. Activitatea Compartimentului de audit public intern</w:t>
            </w:r>
            <w:r w:rsidR="00F8687F">
              <w:rPr>
                <w:noProof/>
                <w:webHidden/>
              </w:rPr>
              <w:tab/>
            </w:r>
            <w:r w:rsidR="00F8687F">
              <w:rPr>
                <w:noProof/>
                <w:webHidden/>
              </w:rPr>
              <w:fldChar w:fldCharType="begin"/>
            </w:r>
            <w:r w:rsidR="00F8687F">
              <w:rPr>
                <w:noProof/>
                <w:webHidden/>
              </w:rPr>
              <w:instrText xml:space="preserve"> PAGEREF _Toc155267925 \h </w:instrText>
            </w:r>
            <w:r w:rsidR="00F8687F">
              <w:rPr>
                <w:noProof/>
                <w:webHidden/>
              </w:rPr>
            </w:r>
            <w:r w:rsidR="00F8687F">
              <w:rPr>
                <w:noProof/>
                <w:webHidden/>
              </w:rPr>
              <w:fldChar w:fldCharType="separate"/>
            </w:r>
            <w:r w:rsidR="00F8687F">
              <w:rPr>
                <w:noProof/>
                <w:webHidden/>
              </w:rPr>
              <w:t>122</w:t>
            </w:r>
            <w:r w:rsidR="00F8687F">
              <w:rPr>
                <w:noProof/>
                <w:webHidden/>
              </w:rPr>
              <w:fldChar w:fldCharType="end"/>
            </w:r>
          </w:hyperlink>
        </w:p>
        <w:p w14:paraId="1B80953E" w14:textId="20654A0D" w:rsidR="00F8687F" w:rsidRDefault="00000000">
          <w:pPr>
            <w:pStyle w:val="TOC2"/>
            <w:tabs>
              <w:tab w:val="right" w:leader="dot" w:pos="10194"/>
            </w:tabs>
            <w:rPr>
              <w:rFonts w:asciiTheme="minorHAnsi" w:eastAsiaTheme="minorEastAsia" w:hAnsiTheme="minorHAnsi" w:cstheme="minorBidi"/>
              <w:noProof/>
              <w:kern w:val="2"/>
              <w:sz w:val="22"/>
              <w:szCs w:val="22"/>
              <w:lang w:val="en-GB" w:eastAsia="en-GB"/>
              <w14:ligatures w14:val="standardContextual"/>
            </w:rPr>
          </w:pPr>
          <w:hyperlink w:anchor="_Toc155267926" w:history="1">
            <w:r w:rsidR="00F8687F" w:rsidRPr="005527CE">
              <w:rPr>
                <w:rStyle w:val="Hyperlink"/>
                <w:rFonts w:cstheme="minorHAnsi"/>
                <w:noProof/>
              </w:rPr>
              <w:t>VI.11. Compartimentul de psihologie a personalului</w:t>
            </w:r>
            <w:r w:rsidR="00F8687F">
              <w:rPr>
                <w:noProof/>
                <w:webHidden/>
              </w:rPr>
              <w:tab/>
            </w:r>
            <w:r w:rsidR="00F8687F">
              <w:rPr>
                <w:noProof/>
                <w:webHidden/>
              </w:rPr>
              <w:fldChar w:fldCharType="begin"/>
            </w:r>
            <w:r w:rsidR="00F8687F">
              <w:rPr>
                <w:noProof/>
                <w:webHidden/>
              </w:rPr>
              <w:instrText xml:space="preserve"> PAGEREF _Toc155267926 \h </w:instrText>
            </w:r>
            <w:r w:rsidR="00F8687F">
              <w:rPr>
                <w:noProof/>
                <w:webHidden/>
              </w:rPr>
            </w:r>
            <w:r w:rsidR="00F8687F">
              <w:rPr>
                <w:noProof/>
                <w:webHidden/>
              </w:rPr>
              <w:fldChar w:fldCharType="separate"/>
            </w:r>
            <w:r w:rsidR="00F8687F">
              <w:rPr>
                <w:noProof/>
                <w:webHidden/>
              </w:rPr>
              <w:t>123</w:t>
            </w:r>
            <w:r w:rsidR="00F8687F">
              <w:rPr>
                <w:noProof/>
                <w:webHidden/>
              </w:rPr>
              <w:fldChar w:fldCharType="end"/>
            </w:r>
          </w:hyperlink>
        </w:p>
        <w:p w14:paraId="2EEA1EB3" w14:textId="363F9896"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927" w:history="1">
            <w:r w:rsidR="00F8687F" w:rsidRPr="005527CE">
              <w:rPr>
                <w:rStyle w:val="Hyperlink"/>
                <w:rFonts w:cstheme="minorHAnsi"/>
                <w:noProof/>
              </w:rPr>
              <w:t>CAPITOLUL VII</w:t>
            </w:r>
          </w:hyperlink>
        </w:p>
        <w:p w14:paraId="66A89530" w14:textId="5987D0B3" w:rsidR="00F8687F" w:rsidRDefault="00000000">
          <w:pPr>
            <w:pStyle w:val="TOC1"/>
            <w:rPr>
              <w:rFonts w:asciiTheme="minorHAnsi" w:eastAsiaTheme="minorEastAsia" w:hAnsiTheme="minorHAnsi" w:cstheme="minorBidi"/>
              <w:b w:val="0"/>
              <w:noProof/>
              <w:kern w:val="2"/>
              <w:sz w:val="22"/>
              <w:szCs w:val="22"/>
              <w:lang w:val="en-GB" w:eastAsia="en-GB"/>
              <w14:ligatures w14:val="standardContextual"/>
            </w:rPr>
          </w:pPr>
          <w:hyperlink w:anchor="_Toc155267928" w:history="1">
            <w:r w:rsidR="00F8687F" w:rsidRPr="005527CE">
              <w:rPr>
                <w:rStyle w:val="Hyperlink"/>
                <w:rFonts w:cstheme="minorHAnsi"/>
                <w:noProof/>
              </w:rPr>
              <w:t>Concluzii</w:t>
            </w:r>
            <w:r w:rsidR="00F8687F">
              <w:rPr>
                <w:noProof/>
                <w:webHidden/>
              </w:rPr>
              <w:tab/>
            </w:r>
            <w:r w:rsidR="00F8687F">
              <w:rPr>
                <w:noProof/>
                <w:webHidden/>
              </w:rPr>
              <w:fldChar w:fldCharType="begin"/>
            </w:r>
            <w:r w:rsidR="00F8687F">
              <w:rPr>
                <w:noProof/>
                <w:webHidden/>
              </w:rPr>
              <w:instrText xml:space="preserve"> PAGEREF _Toc155267928 \h </w:instrText>
            </w:r>
            <w:r w:rsidR="00F8687F">
              <w:rPr>
                <w:noProof/>
                <w:webHidden/>
              </w:rPr>
            </w:r>
            <w:r w:rsidR="00F8687F">
              <w:rPr>
                <w:noProof/>
                <w:webHidden/>
              </w:rPr>
              <w:fldChar w:fldCharType="separate"/>
            </w:r>
            <w:r w:rsidR="00F8687F">
              <w:rPr>
                <w:noProof/>
                <w:webHidden/>
              </w:rPr>
              <w:t>132</w:t>
            </w:r>
            <w:r w:rsidR="00F8687F">
              <w:rPr>
                <w:noProof/>
                <w:webHidden/>
              </w:rPr>
              <w:fldChar w:fldCharType="end"/>
            </w:r>
          </w:hyperlink>
        </w:p>
        <w:p w14:paraId="3C574DD7" w14:textId="6C703C4F" w:rsidR="005625CB" w:rsidRPr="00564DC7" w:rsidRDefault="005625CB" w:rsidP="00690186">
          <w:pPr>
            <w:rPr>
              <w:rFonts w:asciiTheme="minorHAnsi" w:hAnsiTheme="minorHAnsi" w:cstheme="minorHAnsi"/>
            </w:rPr>
          </w:pPr>
          <w:r w:rsidRPr="00564DC7">
            <w:rPr>
              <w:rFonts w:asciiTheme="minorHAnsi" w:hAnsiTheme="minorHAnsi" w:cstheme="minorHAnsi"/>
              <w:b/>
              <w:bCs/>
              <w:sz w:val="26"/>
              <w:szCs w:val="26"/>
            </w:rPr>
            <w:fldChar w:fldCharType="end"/>
          </w:r>
        </w:p>
      </w:sdtContent>
    </w:sdt>
    <w:p w14:paraId="490C905F" w14:textId="77777777" w:rsidR="000B3441" w:rsidRPr="00564DC7" w:rsidRDefault="000B3441" w:rsidP="00690186">
      <w:pPr>
        <w:widowControl w:val="0"/>
        <w:autoSpaceDE w:val="0"/>
        <w:autoSpaceDN w:val="0"/>
        <w:adjustRightInd w:val="0"/>
        <w:ind w:firstLine="851"/>
        <w:rPr>
          <w:rFonts w:asciiTheme="minorHAnsi" w:hAnsiTheme="minorHAnsi" w:cstheme="minorHAnsi"/>
          <w:b/>
          <w:sz w:val="24"/>
          <w:szCs w:val="24"/>
        </w:rPr>
        <w:sectPr w:rsidR="000B3441" w:rsidRPr="00564DC7" w:rsidSect="00A3761E">
          <w:footerReference w:type="default" r:id="rId11"/>
          <w:pgSz w:w="11906" w:h="16838" w:code="9"/>
          <w:pgMar w:top="567" w:right="851" w:bottom="567" w:left="851" w:header="567" w:footer="284" w:gutter="0"/>
          <w:cols w:space="708"/>
          <w:docGrid w:linePitch="381"/>
        </w:sectPr>
      </w:pPr>
    </w:p>
    <w:p w14:paraId="0B4E11C4" w14:textId="77777777" w:rsidR="00712FF3" w:rsidRPr="00564DC7" w:rsidRDefault="00712FF3" w:rsidP="00690186">
      <w:pPr>
        <w:widowControl w:val="0"/>
        <w:autoSpaceDE w:val="0"/>
        <w:autoSpaceDN w:val="0"/>
        <w:adjustRightInd w:val="0"/>
        <w:ind w:firstLine="851"/>
        <w:rPr>
          <w:rFonts w:asciiTheme="minorHAnsi" w:hAnsiTheme="minorHAnsi" w:cstheme="minorHAnsi"/>
          <w:b/>
          <w:sz w:val="24"/>
          <w:szCs w:val="24"/>
        </w:rPr>
      </w:pPr>
    </w:p>
    <w:p w14:paraId="6AFC52FA" w14:textId="77777777" w:rsidR="000B3441" w:rsidRPr="00564DC7" w:rsidRDefault="000B3441" w:rsidP="00690186">
      <w:pPr>
        <w:rPr>
          <w:rFonts w:asciiTheme="minorHAnsi" w:hAnsiTheme="minorHAnsi" w:cstheme="minorHAnsi"/>
          <w:sz w:val="24"/>
          <w:szCs w:val="24"/>
        </w:rPr>
      </w:pPr>
    </w:p>
    <w:p w14:paraId="6DA857E5" w14:textId="77777777" w:rsidR="000B3441" w:rsidRPr="00564DC7" w:rsidRDefault="000B3441" w:rsidP="00690186">
      <w:pPr>
        <w:rPr>
          <w:rFonts w:asciiTheme="minorHAnsi" w:hAnsiTheme="minorHAnsi" w:cstheme="minorHAnsi"/>
          <w:b/>
          <w:sz w:val="24"/>
          <w:szCs w:val="24"/>
        </w:rPr>
      </w:pPr>
    </w:p>
    <w:p w14:paraId="43D06970" w14:textId="77777777" w:rsidR="000B3441" w:rsidRPr="00564DC7" w:rsidRDefault="000B3441" w:rsidP="00690186">
      <w:pPr>
        <w:widowControl w:val="0"/>
        <w:autoSpaceDE w:val="0"/>
        <w:autoSpaceDN w:val="0"/>
        <w:adjustRightInd w:val="0"/>
        <w:ind w:firstLine="706"/>
        <w:jc w:val="both"/>
        <w:rPr>
          <w:rFonts w:asciiTheme="minorHAnsi" w:hAnsiTheme="minorHAnsi" w:cstheme="minorHAnsi"/>
          <w:b/>
          <w:sz w:val="26"/>
          <w:szCs w:val="26"/>
        </w:rPr>
      </w:pPr>
      <w:r w:rsidRPr="00564DC7">
        <w:rPr>
          <w:rFonts w:asciiTheme="minorHAnsi" w:hAnsiTheme="minorHAnsi" w:cstheme="minorHAnsi"/>
          <w:b/>
          <w:sz w:val="24"/>
          <w:szCs w:val="24"/>
        </w:rPr>
        <w:tab/>
      </w:r>
      <w:r w:rsidRPr="00564DC7">
        <w:rPr>
          <w:rFonts w:asciiTheme="minorHAnsi" w:hAnsiTheme="minorHAnsi" w:cstheme="minorHAnsi"/>
          <w:b/>
          <w:sz w:val="26"/>
          <w:szCs w:val="26"/>
        </w:rPr>
        <w:t>Lista abrevierilor</w:t>
      </w:r>
    </w:p>
    <w:p w14:paraId="2D69B937" w14:textId="77777777" w:rsidR="000B3441" w:rsidRPr="00564DC7" w:rsidRDefault="000B3441" w:rsidP="00690186">
      <w:pPr>
        <w:widowControl w:val="0"/>
        <w:autoSpaceDE w:val="0"/>
        <w:autoSpaceDN w:val="0"/>
        <w:adjustRightInd w:val="0"/>
        <w:ind w:firstLine="706"/>
        <w:jc w:val="both"/>
        <w:rPr>
          <w:rFonts w:asciiTheme="minorHAnsi" w:hAnsiTheme="minorHAnsi" w:cstheme="minorHAnsi"/>
          <w:b/>
          <w:sz w:val="26"/>
          <w:szCs w:val="26"/>
        </w:rPr>
      </w:pPr>
    </w:p>
    <w:p w14:paraId="4BF3506A"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art./Art. - articol</w:t>
      </w:r>
    </w:p>
    <w:p w14:paraId="5060DFC1"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B.I.P.R.M.M. - Biroul de Informare Publică şi Relaţii cu Mass Media</w:t>
      </w:r>
    </w:p>
    <w:p w14:paraId="2F74C283"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C.C.J.E. - Consiliul Consultativ al Judecătorilor Europeni</w:t>
      </w:r>
    </w:p>
    <w:p w14:paraId="2D56D570"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C.E. - Comisia Europeană</w:t>
      </w:r>
    </w:p>
    <w:p w14:paraId="7746E5DA"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 xml:space="preserve">C.E.D.O. - Curtea Europeană a Drepturilor Omului </w:t>
      </w:r>
    </w:p>
    <w:p w14:paraId="75ECD6ED"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C.E.P.E.J. - Comisia Europeană pentru Eficienţa Justiţiei</w:t>
      </w:r>
    </w:p>
    <w:p w14:paraId="19FE3052"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C.J.U.E. - Curtea de Justiţie a Uniunii Europene</w:t>
      </w:r>
    </w:p>
    <w:p w14:paraId="479074C2" w14:textId="77777777" w:rsidR="000B3441" w:rsidRPr="00564DC7" w:rsidRDefault="000B3441" w:rsidP="00690186">
      <w:pPr>
        <w:tabs>
          <w:tab w:val="left" w:pos="684"/>
        </w:tabs>
        <w:ind w:left="708"/>
        <w:jc w:val="both"/>
        <w:rPr>
          <w:rFonts w:asciiTheme="minorHAnsi" w:hAnsiTheme="minorHAnsi" w:cstheme="minorHAnsi"/>
          <w:sz w:val="26"/>
          <w:szCs w:val="26"/>
        </w:rPr>
      </w:pPr>
      <w:r w:rsidRPr="00564DC7">
        <w:rPr>
          <w:rFonts w:asciiTheme="minorHAnsi" w:hAnsiTheme="minorHAnsi" w:cstheme="minorHAnsi"/>
          <w:sz w:val="26"/>
          <w:szCs w:val="26"/>
        </w:rPr>
        <w:t>C.S.M. - Consiliul Superior al Magistraturii</w:t>
      </w:r>
    </w:p>
    <w:p w14:paraId="0BDC0E72"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D.A.E.R.I.P. - Direcţia Afaceri Europene, relaţii internaţionale, programe</w:t>
      </w:r>
    </w:p>
    <w:p w14:paraId="1422E855"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D.I.I.C.O.T. - Direcţia de Investigare a Infracţiunilor de Criminalitate Organizată şi Terorism</w:t>
      </w:r>
    </w:p>
    <w:p w14:paraId="1A37D235"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D.L.D.C. - Direcţia legislaţie, documentare şi contencios</w:t>
      </w:r>
    </w:p>
    <w:p w14:paraId="6A88001C" w14:textId="77777777" w:rsidR="000B3441" w:rsidRPr="00564DC7" w:rsidRDefault="000B3441" w:rsidP="00690186">
      <w:pPr>
        <w:tabs>
          <w:tab w:val="center" w:pos="5202"/>
        </w:tabs>
        <w:ind w:left="708"/>
        <w:jc w:val="both"/>
        <w:rPr>
          <w:rFonts w:asciiTheme="minorHAnsi" w:hAnsiTheme="minorHAnsi" w:cstheme="minorHAnsi"/>
          <w:sz w:val="26"/>
          <w:szCs w:val="26"/>
        </w:rPr>
      </w:pPr>
      <w:r w:rsidRPr="00564DC7">
        <w:rPr>
          <w:rFonts w:asciiTheme="minorHAnsi" w:hAnsiTheme="minorHAnsi" w:cstheme="minorHAnsi"/>
          <w:sz w:val="26"/>
          <w:szCs w:val="26"/>
        </w:rPr>
        <w:t>D.N.A. - Direcţia Naţională Anticorupţie</w:t>
      </w:r>
      <w:r w:rsidRPr="00564DC7">
        <w:rPr>
          <w:rFonts w:asciiTheme="minorHAnsi" w:hAnsiTheme="minorHAnsi" w:cstheme="minorHAnsi"/>
          <w:sz w:val="26"/>
          <w:szCs w:val="26"/>
        </w:rPr>
        <w:tab/>
      </w:r>
    </w:p>
    <w:p w14:paraId="7E792F99"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E.J.T.N./R.E.F.J. - Reţeaua Europeană de Formare Judiciară</w:t>
      </w:r>
    </w:p>
    <w:p w14:paraId="0A240356"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E.N.M. - Şcoala Naţională de Magistratură</w:t>
      </w:r>
    </w:p>
    <w:p w14:paraId="22A0AC5F"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E.R.A. - Academia de Drept European</w:t>
      </w:r>
    </w:p>
    <w:p w14:paraId="09017FD9"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H.G. - Hotărârea Guvernului României</w:t>
      </w:r>
    </w:p>
    <w:p w14:paraId="19925850"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Hot. - hotărâre</w:t>
      </w:r>
    </w:p>
    <w:p w14:paraId="1E52BC8C"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I.G.P.R. - Inspectoratul General al Poliţiei Române</w:t>
      </w:r>
    </w:p>
    <w:p w14:paraId="67180546"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I.J. - Inspecţia Judiciară</w:t>
      </w:r>
    </w:p>
    <w:p w14:paraId="1F8F3409"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I.N.E.C. - Institutul Naţional de Expertize Criminalistice</w:t>
      </w:r>
    </w:p>
    <w:p w14:paraId="53CBFC6F"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 xml:space="preserve">I.N.M. - Institutul Naţional al Magistraturii </w:t>
      </w:r>
    </w:p>
    <w:p w14:paraId="53A00CE2"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Î.C.C.J. - Înalta Curte de Casaţie şi Justiţie</w:t>
      </w:r>
    </w:p>
    <w:p w14:paraId="3E1B1CC8"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M.C.V. - Mecanismul de Cooperare şi Verificare</w:t>
      </w:r>
    </w:p>
    <w:p w14:paraId="312C06F7"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M.J. - Ministerul Justiţiei</w:t>
      </w:r>
    </w:p>
    <w:p w14:paraId="0113F133"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nr. - număr</w:t>
      </w:r>
    </w:p>
    <w:p w14:paraId="7518DF3B"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O.U.G. – Ordonanţa de Urgenţă a Guvernului</w:t>
      </w:r>
    </w:p>
    <w:p w14:paraId="5638D2FE"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P.Î.C.C.J. - Parchetul de pe lângă Înalta Curte de Casaţie şi Justiţie</w:t>
      </w:r>
    </w:p>
    <w:p w14:paraId="5D0349B1"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 xml:space="preserve">P.C.A. </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parchet de pe lângă curtea de apel</w:t>
      </w:r>
    </w:p>
    <w:p w14:paraId="622EE8F6"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P.O.C.A. - Programul Operaţional Capacitate Administrativă 2014-2020</w:t>
      </w:r>
    </w:p>
    <w:p w14:paraId="3CAC0128"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P.T. - parchet de pe lângă tribunal</w:t>
      </w:r>
    </w:p>
    <w:p w14:paraId="2DB52291"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P.J. - parchet de pe lângă judecătorie</w:t>
      </w:r>
    </w:p>
    <w:p w14:paraId="18FBCFA6"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R.E.C.J. - Reţeaua Europeană a Consiliilor Judiciare</w:t>
      </w:r>
    </w:p>
    <w:p w14:paraId="0F59C4E9"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S.A.E.R.I. - Serviciul afaceri europene şi relaţii internaţionale</w:t>
      </w:r>
    </w:p>
    <w:p w14:paraId="01E3DB91"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S.N.G. - Şcoala Naţională de Grefieri</w:t>
      </w:r>
    </w:p>
    <w:p w14:paraId="1D6AF0A4" w14:textId="77777777" w:rsidR="000B3441" w:rsidRPr="00564DC7" w:rsidRDefault="000B3441" w:rsidP="00690186">
      <w:pPr>
        <w:ind w:left="708"/>
        <w:jc w:val="both"/>
        <w:rPr>
          <w:rFonts w:asciiTheme="minorHAnsi" w:hAnsiTheme="minorHAnsi" w:cstheme="minorHAnsi"/>
          <w:sz w:val="26"/>
          <w:szCs w:val="26"/>
        </w:rPr>
      </w:pPr>
      <w:r w:rsidRPr="00564DC7">
        <w:rPr>
          <w:rFonts w:asciiTheme="minorHAnsi" w:hAnsiTheme="minorHAnsi" w:cstheme="minorHAnsi"/>
          <w:sz w:val="26"/>
          <w:szCs w:val="26"/>
        </w:rPr>
        <w:t>U.E. - Uniunea Europeană</w:t>
      </w:r>
    </w:p>
    <w:p w14:paraId="4C4F29B6" w14:textId="56D9CBCC" w:rsidR="000B3441" w:rsidRPr="00564DC7" w:rsidRDefault="000B3441" w:rsidP="00690186">
      <w:pPr>
        <w:tabs>
          <w:tab w:val="left" w:pos="1105"/>
        </w:tabs>
        <w:rPr>
          <w:rFonts w:asciiTheme="minorHAnsi" w:hAnsiTheme="minorHAnsi" w:cstheme="minorHAnsi"/>
          <w:b/>
          <w:sz w:val="24"/>
          <w:szCs w:val="24"/>
        </w:rPr>
      </w:pPr>
    </w:p>
    <w:p w14:paraId="644814F9" w14:textId="14001B70" w:rsidR="000B3441" w:rsidRPr="00564DC7" w:rsidRDefault="000B3441" w:rsidP="00690186">
      <w:pPr>
        <w:tabs>
          <w:tab w:val="left" w:pos="1105"/>
        </w:tabs>
        <w:rPr>
          <w:rFonts w:asciiTheme="minorHAnsi" w:hAnsiTheme="minorHAnsi" w:cstheme="minorHAnsi"/>
          <w:sz w:val="24"/>
          <w:szCs w:val="24"/>
        </w:rPr>
        <w:sectPr w:rsidR="000B3441" w:rsidRPr="00564DC7" w:rsidSect="00A3761E">
          <w:footerReference w:type="default" r:id="rId12"/>
          <w:pgSz w:w="11906" w:h="16838" w:code="9"/>
          <w:pgMar w:top="567" w:right="851" w:bottom="567" w:left="851" w:header="567" w:footer="284" w:gutter="0"/>
          <w:cols w:space="708"/>
          <w:docGrid w:linePitch="381"/>
        </w:sectPr>
      </w:pPr>
      <w:r w:rsidRPr="00564DC7">
        <w:rPr>
          <w:rFonts w:asciiTheme="minorHAnsi" w:hAnsiTheme="minorHAnsi" w:cstheme="minorHAnsi"/>
          <w:sz w:val="24"/>
          <w:szCs w:val="24"/>
        </w:rPr>
        <w:tab/>
      </w:r>
    </w:p>
    <w:p w14:paraId="7EC73B50" w14:textId="77777777" w:rsidR="003175C4" w:rsidRPr="00564DC7" w:rsidRDefault="003175C4" w:rsidP="00690186">
      <w:pPr>
        <w:widowControl w:val="0"/>
        <w:autoSpaceDE w:val="0"/>
        <w:autoSpaceDN w:val="0"/>
        <w:adjustRightInd w:val="0"/>
        <w:ind w:firstLine="851"/>
        <w:jc w:val="center"/>
        <w:rPr>
          <w:rFonts w:asciiTheme="minorHAnsi" w:hAnsiTheme="minorHAnsi" w:cstheme="minorHAnsi"/>
          <w:b/>
          <w:sz w:val="24"/>
          <w:szCs w:val="24"/>
        </w:rPr>
      </w:pPr>
    </w:p>
    <w:p w14:paraId="5173E5B2" w14:textId="77777777" w:rsidR="000B3441" w:rsidRPr="00564DC7" w:rsidRDefault="000B3441" w:rsidP="00690186">
      <w:pPr>
        <w:pStyle w:val="Heading1"/>
        <w:spacing w:line="240" w:lineRule="auto"/>
        <w:ind w:firstLine="0"/>
        <w:rPr>
          <w:rFonts w:cstheme="minorHAnsi"/>
          <w:color w:val="auto"/>
        </w:rPr>
      </w:pPr>
      <w:bookmarkStart w:id="0" w:name="_Toc94524070"/>
      <w:bookmarkStart w:id="1" w:name="_Toc155267857"/>
      <w:r w:rsidRPr="00564DC7">
        <w:rPr>
          <w:rFonts w:cstheme="minorHAnsi"/>
          <w:color w:val="auto"/>
        </w:rPr>
        <w:t>Cuvânt înainte al preşedintelui Consiliului Superior al Magistraturii</w:t>
      </w:r>
      <w:bookmarkEnd w:id="0"/>
      <w:bookmarkEnd w:id="1"/>
    </w:p>
    <w:p w14:paraId="6B4AB615"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Consiliul Superior al Magistraturii, în calitatea sa de garant al independenței justiției, exercită un rol esențial în arhitectura funcțională a sistemului judiciar din România, de care depinde funcționarea normală a justiției ca serviciu public.</w:t>
      </w:r>
    </w:p>
    <w:p w14:paraId="2C383346"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anul 2023, Consiliul a funcţionat într-o nouă componență, fiind începutul unui nou mandat pentru membrii aleși de către corpul magistraților în anul precedent. </w:t>
      </w:r>
    </w:p>
    <w:p w14:paraId="0313D0C9"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Având în vedere alegerea unui nou Consiliu, a fost esențială definirea direcțiilor de acțiune și a obiectivelor instituționale pentru mandatul 2023 - 2029, acestea fiind apărarea independenței justiției și a statutului judecătorilor și procurorilor, adoptarea unei politici coerente și eficiente de resurse umane, astfel încât să fie asigurat necesarul de personal, iar volumul de activitate să fie optim și echilibrat, organizarea și funcționarea sistemului judiciar din perspectiva asigurării resurselor materiale necesare funcționării justiției ca serviciu public, inclusiv din perspectiva nevoii de digitalizare, creșterea transparenței și îmbunătățirea comunicării instituționale, precum și consolidarea relațiilor interne și internaționale.</w:t>
      </w:r>
    </w:p>
    <w:p w14:paraId="2A3D6605"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Organizarea şi funcționarea corespunzătoare a instanțelor şi parchetelor, precum şi gestionarea corectă şi echilibrată a carierei judecătorilor şi procurorilor sunt repere esențiale în activitatea instituției, cu atât mai mult în condițiile unui deficit major de personal în instanțele judecătorești și parchetele de pe lângă acestea la nivelul anului 2023. Pentru atingerea acestui obiectiv, Consiliul a organizat concursurile de admitere la INM și în magistratură pentru persoanele cu vechime în profesiile juridice, sesiuni de reîncadrare a judecătorilor și procurorilor pensionați în ultimii 3 ani, sesiuni de transferuri, concursuri de promovare, precum și de numire în funcții de conducere la instanțele judecătorești și la parchetele de pe lângă acestea.</w:t>
      </w:r>
    </w:p>
    <w:p w14:paraId="107F8DBC"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Având în vedere deficitul mare de judecători la nivelul anului 2023, Secția pentru judecători a Consiliului Superior al Magistraturii a adoptat măsuri provizorii în vederea normării activității instanțelor, astfel încât acestea să își poată desfășura în continuare activitatea, urmând ca după o analiză aprofundată să fie adoptate măsuri detaliate cu privire la aceste aspecte. </w:t>
      </w:r>
    </w:p>
    <w:p w14:paraId="086D2D75"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Totodată, Consiliul a continuat linia demersurilor anterioare vizând asigurarea unui cadru normativ echilibrat şi predictibil, care să asigure premisele firești pentru funcționarea corespunzătoare a sistemului judiciar și care să garanteze statutul constituțional al judecătorilor și procurorilor. </w:t>
      </w:r>
    </w:p>
    <w:p w14:paraId="5F7591E8"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Inițiativele normative care au vizat fie statutul judecătorilor şi procurorilor sau organizarea şi funcționarea sistemului judiciar, fie alte aspecte esențiale în activitatea autorității judecătorești, au fost permanent urmărite de către Consiliul Superior al Magistraturii care, de fiecare dată, a intervenit activ în procedura legislativă, propunând soluții corespunzătoare. </w:t>
      </w:r>
    </w:p>
    <w:p w14:paraId="3C6B5829"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acest sens, Consiliul Superior al Magistraturii a susținut Înalta Curte de Casație de Justiție în demersul instanței supreme de a supune controlului de constituționalitate anterior promulgării mai multe acte normative.</w:t>
      </w:r>
    </w:p>
    <w:p w14:paraId="7D21DF6D"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Totodată, a fost sesizat Ministerul Justiției în vederea exercitării prerogativei de inițiativă legislativă în situațiile în care, în urma analizei Consiliului, a reieșit că se impune modificarea legislației.</w:t>
      </w:r>
    </w:p>
    <w:p w14:paraId="17856431" w14:textId="5FBF51CC" w:rsidR="005A7F42" w:rsidRPr="00564DC7" w:rsidRDefault="005A7F42" w:rsidP="00690186">
      <w:pPr>
        <w:ind w:firstLine="720"/>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rPr>
        <w:t xml:space="preserve">De asemenea, Consiliul Superior al Magistraturii a subliniat în mod public importanța ridicării Mecanismului de Cooperare și Verificare pentru România, acesta fiind un moment de referință pentru parcursul european al </w:t>
      </w:r>
      <w:r w:rsidR="00E84FF0">
        <w:rPr>
          <w:rFonts w:asciiTheme="minorHAnsi" w:hAnsiTheme="minorHAnsi" w:cstheme="minorHAnsi"/>
          <w:sz w:val="26"/>
          <w:szCs w:val="26"/>
        </w:rPr>
        <w:t>țării</w:t>
      </w:r>
      <w:r w:rsidRPr="00564DC7">
        <w:rPr>
          <w:rFonts w:asciiTheme="minorHAnsi" w:hAnsiTheme="minorHAnsi" w:cstheme="minorHAnsi"/>
          <w:sz w:val="26"/>
          <w:szCs w:val="26"/>
          <w:shd w:val="clear" w:color="auto" w:fill="FFFFFF"/>
        </w:rPr>
        <w:t xml:space="preserve"> și un reper esențial în recunoașterea progreselor sistemului judiciar român.</w:t>
      </w:r>
    </w:p>
    <w:p w14:paraId="73616E8F"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Consiliul a reacționat prompt la atacurile formulate la adresa sistemului judiciar, îndreptate împotriva corpului magistraților fie din zona politică, fie din zona opiniei publice și a mass - media, </w:t>
      </w:r>
      <w:r w:rsidRPr="00564DC7">
        <w:rPr>
          <w:rFonts w:asciiTheme="minorHAnsi" w:hAnsiTheme="minorHAnsi" w:cstheme="minorHAnsi"/>
          <w:sz w:val="26"/>
          <w:szCs w:val="26"/>
        </w:rPr>
        <w:lastRenderedPageBreak/>
        <w:t>folosind toate prerogativele legale pentru a proteja independența și statutul judecătorilor și procurorilor, comunicând public măsurile dispuse.</w:t>
      </w:r>
    </w:p>
    <w:p w14:paraId="7BDB5E14"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Totodată, prin modul în care au fost derulate și finalizate procedurile disciplinare declanșate împotriva magistraților care au săvârșit abateri disciplinare ori cele în care au fost necesare avizele acordate de Consiliu pentru derularea procedurilor penale, Consiliul Superior al Magistraturii a dovedit că are capacitatea de a regla situațiile punctuale în care conduita unor magistrați s-a abătut de la înaltele standarde profesionale impuse de dispozițiile legale.</w:t>
      </w:r>
    </w:p>
    <w:p w14:paraId="29B52877" w14:textId="1D85E680" w:rsidR="005A7F42" w:rsidRPr="00564DC7" w:rsidRDefault="005A7F42" w:rsidP="00690186">
      <w:pPr>
        <w:widowControl w:val="0"/>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În cursul anului 2023, dezvoltarea capacității instituționale a Institutului Național al Magistraturii și Școlii Naționale de Grefieri, prin consolidarea corpului formatorilor și colaboratorilor la nivelul instituțiilor coordonate</w:t>
      </w:r>
      <w:r w:rsidR="00F60E8E">
        <w:rPr>
          <w:rFonts w:asciiTheme="minorHAnsi" w:hAnsiTheme="minorHAnsi" w:cstheme="minorHAnsi"/>
          <w:sz w:val="26"/>
          <w:szCs w:val="26"/>
        </w:rPr>
        <w:t>,</w:t>
      </w:r>
      <w:r w:rsidRPr="00564DC7">
        <w:rPr>
          <w:rFonts w:asciiTheme="minorHAnsi" w:hAnsiTheme="minorHAnsi" w:cstheme="minorHAnsi"/>
          <w:sz w:val="26"/>
          <w:szCs w:val="26"/>
        </w:rPr>
        <w:t xml:space="preserve"> a fost esențială pentru implementarea, îmbunătățirea și valorificarea metodelor de formare care să asigure un viitor corp de profesioniști cu experiență și solide cunoștințe juridice.</w:t>
      </w:r>
    </w:p>
    <w:p w14:paraId="25DE392B" w14:textId="4162F004"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Consiliul Superior al Magistraturii a continuat derularea proiectelor cu finanțare externă demarate în anii anteriori, fiind finalizate în cursul anului mai multe proiecte implementate de instituție în domenii precum comunicarea publică și educația juridică,  creșterea performanței și calității instituționale prin îmbunătățirea sistemului de evaluare și asistență psihologică la nivelul sistemului judiciar, optimizarea managementului la nivelul sistemului judiciar, precum și al consolidării capacității organizaționale și administrative a Consiliului.</w:t>
      </w:r>
    </w:p>
    <w:p w14:paraId="5943FB97" w14:textId="77777777" w:rsidR="005A7F42" w:rsidRPr="00564DC7" w:rsidRDefault="005A7F42"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Anul 2023, prin provocările pe care le-a adus, în special în ceea ce privește modificarea statutului magistratului, a relevat importanța menținerii echilibrului constituțional din această perspectivă, precum şi faptul că toate demersurile în sensul salvgardării garanțiilor aferente statutului magistratului, inițiate de la nivelul Consiliului Superior al Magistraturii, trebuie să aibă în vedere, în egală măsură, vocea corpului profesional al judecătorilor şi procurorilor, precum şi asigurarea independenței sistemului judiciar.</w:t>
      </w:r>
    </w:p>
    <w:p w14:paraId="3CE560DF" w14:textId="505BC2BD" w:rsidR="000B3441" w:rsidRPr="00564DC7" w:rsidRDefault="007935BD"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w:t>
      </w:r>
    </w:p>
    <w:p w14:paraId="152C4094" w14:textId="482E8D09" w:rsidR="00F61A4B" w:rsidRPr="00564DC7" w:rsidRDefault="00F61A4B" w:rsidP="00690186">
      <w:pPr>
        <w:widowControl w:val="0"/>
        <w:autoSpaceDE w:val="0"/>
        <w:autoSpaceDN w:val="0"/>
        <w:adjustRightInd w:val="0"/>
        <w:ind w:firstLine="851"/>
        <w:jc w:val="both"/>
        <w:rPr>
          <w:rFonts w:asciiTheme="minorHAnsi" w:hAnsiTheme="minorHAnsi" w:cstheme="minorHAnsi"/>
          <w:b/>
          <w:sz w:val="26"/>
          <w:szCs w:val="26"/>
        </w:rPr>
        <w:sectPr w:rsidR="00F61A4B" w:rsidRPr="00564DC7" w:rsidSect="00A3761E">
          <w:footerReference w:type="default" r:id="rId13"/>
          <w:pgSz w:w="11906" w:h="16838" w:code="9"/>
          <w:pgMar w:top="567" w:right="851" w:bottom="567" w:left="851" w:header="567" w:footer="284" w:gutter="0"/>
          <w:pgNumType w:start="1"/>
          <w:cols w:space="708"/>
          <w:docGrid w:linePitch="381"/>
        </w:sectPr>
      </w:pPr>
    </w:p>
    <w:p w14:paraId="3BD4A479" w14:textId="77777777" w:rsidR="00C36995" w:rsidRPr="00564DC7" w:rsidRDefault="00C36995" w:rsidP="00C36995">
      <w:pPr>
        <w:tabs>
          <w:tab w:val="left" w:pos="5475"/>
        </w:tabs>
        <w:ind w:firstLine="709"/>
        <w:jc w:val="both"/>
        <w:rPr>
          <w:rFonts w:asciiTheme="minorHAnsi" w:hAnsiTheme="minorHAnsi" w:cstheme="minorHAnsi"/>
          <w:sz w:val="26"/>
          <w:szCs w:val="26"/>
        </w:rPr>
      </w:pPr>
      <w:bookmarkStart w:id="2" w:name="_Toc430867104"/>
    </w:p>
    <w:p w14:paraId="462614B4" w14:textId="3300B97C" w:rsidR="00B1514A" w:rsidRPr="000363DB" w:rsidRDefault="00B1514A" w:rsidP="000363DB">
      <w:pPr>
        <w:pStyle w:val="Heading1"/>
        <w:keepNext w:val="0"/>
        <w:keepLines w:val="0"/>
        <w:suppressLineNumbers/>
        <w:suppressAutoHyphens/>
        <w:spacing w:line="240" w:lineRule="auto"/>
        <w:ind w:firstLine="0"/>
        <w:rPr>
          <w:rFonts w:cstheme="minorHAnsi"/>
          <w:color w:val="auto"/>
          <w:szCs w:val="28"/>
        </w:rPr>
      </w:pPr>
      <w:bookmarkStart w:id="3" w:name="_Toc155267858"/>
      <w:r w:rsidRPr="000363DB">
        <w:rPr>
          <w:rFonts w:cstheme="minorHAnsi"/>
          <w:color w:val="auto"/>
          <w:szCs w:val="28"/>
        </w:rPr>
        <w:t>CAPITOLUL I</w:t>
      </w:r>
      <w:bookmarkEnd w:id="3"/>
    </w:p>
    <w:p w14:paraId="3DF50818" w14:textId="77777777" w:rsidR="00B1514A" w:rsidRPr="000363DB" w:rsidRDefault="00B1514A" w:rsidP="000363DB">
      <w:pPr>
        <w:pStyle w:val="Heading1"/>
        <w:keepNext w:val="0"/>
        <w:keepLines w:val="0"/>
        <w:suppressLineNumbers/>
        <w:suppressAutoHyphens/>
        <w:spacing w:line="240" w:lineRule="auto"/>
        <w:ind w:firstLine="0"/>
        <w:rPr>
          <w:rFonts w:cstheme="minorHAnsi"/>
          <w:color w:val="auto"/>
          <w:szCs w:val="28"/>
        </w:rPr>
      </w:pPr>
      <w:bookmarkStart w:id="4" w:name="_Toc155267859"/>
      <w:r w:rsidRPr="000363DB">
        <w:rPr>
          <w:rFonts w:cstheme="minorHAnsi"/>
          <w:color w:val="auto"/>
          <w:szCs w:val="28"/>
        </w:rPr>
        <w:t>Îndeplinirea rolului constituţional de garant al independenţei justiţiei</w:t>
      </w:r>
      <w:bookmarkEnd w:id="4"/>
    </w:p>
    <w:p w14:paraId="65DFCB48" w14:textId="5988DF15" w:rsidR="00B1514A" w:rsidRPr="000363DB" w:rsidRDefault="00B1514A" w:rsidP="000363DB">
      <w:pPr>
        <w:pStyle w:val="Heading2"/>
        <w:keepLines w:val="0"/>
        <w:spacing w:line="240" w:lineRule="auto"/>
        <w:rPr>
          <w:rFonts w:cstheme="minorHAnsi"/>
          <w:color w:val="auto"/>
          <w:lang w:val="ro-RO"/>
        </w:rPr>
      </w:pPr>
      <w:bookmarkStart w:id="5" w:name="_Toc430867105"/>
      <w:bookmarkStart w:id="6" w:name="_Toc155267860"/>
      <w:r w:rsidRPr="000363DB">
        <w:rPr>
          <w:rFonts w:cstheme="minorHAnsi"/>
          <w:color w:val="auto"/>
          <w:lang w:val="ro-RO"/>
        </w:rPr>
        <w:t>I.1</w:t>
      </w:r>
      <w:bookmarkEnd w:id="5"/>
      <w:r w:rsidRPr="000363DB">
        <w:rPr>
          <w:rFonts w:cstheme="minorHAnsi"/>
          <w:color w:val="auto"/>
          <w:lang w:val="ro-RO"/>
        </w:rPr>
        <w:t>.  Procedurile derulate privind ocuparea celor mai înalte funcţii din cadrul Înaltei Curţi de Casaţie şi Justiţie</w:t>
      </w:r>
      <w:bookmarkEnd w:id="6"/>
    </w:p>
    <w:p w14:paraId="55867EDE" w14:textId="77777777" w:rsidR="00B1514A" w:rsidRPr="00564DC7" w:rsidRDefault="00B1514A"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Activitatea anului 2023 a fost guvernată de prevederile Legii nr. 303/2022 privind statutul judecătorilor şi procurorilor, precum şi de cele ale Legii nr. 304/2022 privind organizarea judiciară.</w:t>
      </w:r>
    </w:p>
    <w:p w14:paraId="23BDF234" w14:textId="77777777" w:rsidR="00B1514A" w:rsidRPr="00564DC7" w:rsidRDefault="00B1514A"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acord cu dispoziţiile art. 21 din Legea nr. 304/2022,  la nivelul Înaltei Curţi de Casaţie şi Justiţie, care are un rol deosebit de important în cadrul sistemului judiciar şi se află la vârful structurii instanţelor judecătoreşti, sunt prevăzute un număr de 7 funcţii de conducere (preşedinte, doi vicepreşedinţi şi patru preşedinţi de secţie). </w:t>
      </w:r>
    </w:p>
    <w:p w14:paraId="4901696A" w14:textId="77777777" w:rsidR="00B1514A" w:rsidRPr="00564DC7" w:rsidRDefault="00B1514A"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Preşedintele, vicepreşedinţii şi preşedinţii de secţie ai Înaltei Curţi de Casaţie şi Justiţie sunt numiţi, pentru o perioadă de 3 ani, de către Secţia pentru judecători a Consiliului Superior al Magistraturii</w:t>
      </w:r>
      <w:r w:rsidRPr="00564DC7">
        <w:rPr>
          <w:rFonts w:asciiTheme="minorHAnsi" w:hAnsiTheme="minorHAnsi" w:cstheme="minorHAnsi"/>
          <w:b/>
          <w:i/>
          <w:sz w:val="26"/>
          <w:szCs w:val="26"/>
        </w:rPr>
        <w:t xml:space="preserve"> </w:t>
      </w:r>
      <w:r w:rsidRPr="00564DC7">
        <w:rPr>
          <w:rFonts w:asciiTheme="minorHAnsi" w:hAnsiTheme="minorHAnsi" w:cstheme="minorHAnsi"/>
          <w:sz w:val="26"/>
          <w:szCs w:val="26"/>
        </w:rPr>
        <w:t xml:space="preserve">dintre judecătorii Înaltei Curţi de Casaţie şi Justiţie care au funcţionat la această instanţă cel puţin 2 ani şi care nu au fost sancţionaţi disciplinar în ultimii 3 ani, potrivit dispoziţiilor art. 142 alin. (1) şi alin.(2) din Legea nr. 303/2022. </w:t>
      </w:r>
    </w:p>
    <w:p w14:paraId="5D03261E" w14:textId="77777777" w:rsidR="00633795" w:rsidRPr="00564DC7" w:rsidRDefault="00633795" w:rsidP="00633795">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cursul anului 2023, ca urmare a procedurii de ocupare a funcţiei de preşedinte al Secţiei de contencios administrativ şi fiscal, declanșată la data de 28 octombrie 2022, prin Hotărârea Secţiei pentru judecători a Consiliului Superior al Magistraturii nr. 3009/2022 s-a dispus numirea în funcţia de preşedinte al Secţiei de contencios administrativ şi fiscal </w:t>
      </w:r>
      <w:r>
        <w:rPr>
          <w:rFonts w:asciiTheme="minorHAnsi" w:hAnsiTheme="minorHAnsi" w:cstheme="minorHAnsi"/>
          <w:sz w:val="26"/>
          <w:szCs w:val="26"/>
        </w:rPr>
        <w:t xml:space="preserve">a Înaltei Curți de Casație și Justiție </w:t>
      </w:r>
      <w:r w:rsidRPr="00564DC7">
        <w:rPr>
          <w:rFonts w:asciiTheme="minorHAnsi" w:hAnsiTheme="minorHAnsi" w:cstheme="minorHAnsi"/>
          <w:sz w:val="26"/>
          <w:szCs w:val="26"/>
        </w:rPr>
        <w:t xml:space="preserve">a doamnei judecător Mariana Constantinescu, pe o perioadă de 3 ani, începând cu data de 7 ianuarie 2023. </w:t>
      </w:r>
    </w:p>
    <w:p w14:paraId="5CDA3D5D" w14:textId="77777777" w:rsidR="00633795" w:rsidRDefault="00633795" w:rsidP="005976E2">
      <w:pPr>
        <w:ind w:firstLine="708"/>
        <w:jc w:val="both"/>
        <w:rPr>
          <w:rFonts w:asciiTheme="minorHAnsi" w:hAnsiTheme="minorHAnsi" w:cstheme="minorHAnsi"/>
          <w:sz w:val="26"/>
          <w:szCs w:val="26"/>
        </w:rPr>
      </w:pPr>
      <w:r w:rsidRPr="00564DC7">
        <w:rPr>
          <w:rFonts w:asciiTheme="minorHAnsi" w:hAnsiTheme="minorHAnsi" w:cstheme="minorHAnsi"/>
          <w:sz w:val="26"/>
          <w:szCs w:val="26"/>
        </w:rPr>
        <w:t>Având în vedere procedura pentru ocuparea funcţiei vacante de vicepreşedinte declanşată la data de 24.04.2023, prin Hotărârea Secţiei pentru judecători nr. 1663/2023,  doamna judecător Mariana Constantinescu a fost numită în funcţia de vicepreşedinte</w:t>
      </w:r>
      <w:r w:rsidRPr="001D1F28">
        <w:rPr>
          <w:rFonts w:asciiTheme="minorHAnsi" w:hAnsiTheme="minorHAnsi" w:cstheme="minorHAnsi"/>
          <w:sz w:val="26"/>
          <w:szCs w:val="26"/>
        </w:rPr>
        <w:t xml:space="preserve"> </w:t>
      </w:r>
      <w:r>
        <w:rPr>
          <w:rFonts w:asciiTheme="minorHAnsi" w:hAnsiTheme="minorHAnsi" w:cstheme="minorHAnsi"/>
          <w:sz w:val="26"/>
          <w:szCs w:val="26"/>
        </w:rPr>
        <w:t>al Înaltei Curți de Casație și Justiție</w:t>
      </w:r>
      <w:r w:rsidRPr="00564DC7">
        <w:rPr>
          <w:rFonts w:asciiTheme="minorHAnsi" w:hAnsiTheme="minorHAnsi" w:cstheme="minorHAnsi"/>
          <w:sz w:val="26"/>
          <w:szCs w:val="26"/>
        </w:rPr>
        <w:t xml:space="preserve"> pe o perioadă de 3 ani, începând cu data de 10 iulie 2023, fiind eliberată cu aceeaşi dată din funcţia de preşedinte al Secţiei de contencios administrativ şi fiscal.</w:t>
      </w:r>
    </w:p>
    <w:p w14:paraId="78641846" w14:textId="539FFD75" w:rsidR="00B1514A" w:rsidRPr="0070404D" w:rsidRDefault="00B1514A" w:rsidP="005976E2">
      <w:pPr>
        <w:ind w:firstLine="708"/>
        <w:jc w:val="both"/>
        <w:rPr>
          <w:rFonts w:asciiTheme="minorHAnsi" w:hAnsiTheme="minorHAnsi" w:cstheme="minorHAnsi"/>
          <w:sz w:val="26"/>
          <w:szCs w:val="26"/>
        </w:rPr>
      </w:pPr>
      <w:r w:rsidRPr="0070404D">
        <w:rPr>
          <w:rFonts w:asciiTheme="minorHAnsi" w:hAnsiTheme="minorHAnsi" w:cstheme="minorHAnsi"/>
          <w:sz w:val="26"/>
          <w:szCs w:val="26"/>
        </w:rPr>
        <w:t>În prezent, la nivelul instanţei supreme sunt vacante funcţiile de preşedinte al Secţiei I civil</w:t>
      </w:r>
      <w:r w:rsidR="005404F8" w:rsidRPr="0070404D">
        <w:rPr>
          <w:rFonts w:asciiTheme="minorHAnsi" w:hAnsiTheme="minorHAnsi" w:cstheme="minorHAnsi"/>
          <w:sz w:val="26"/>
          <w:szCs w:val="26"/>
        </w:rPr>
        <w:t>ă, Secția a II-a civile</w:t>
      </w:r>
      <w:r w:rsidR="00794630" w:rsidRPr="0070404D">
        <w:rPr>
          <w:rFonts w:asciiTheme="minorHAnsi" w:hAnsiTheme="minorHAnsi" w:cstheme="minorHAnsi"/>
          <w:sz w:val="26"/>
          <w:szCs w:val="26"/>
        </w:rPr>
        <w:t xml:space="preserve"> </w:t>
      </w:r>
      <w:r w:rsidRPr="0070404D">
        <w:rPr>
          <w:rFonts w:asciiTheme="minorHAnsi" w:hAnsiTheme="minorHAnsi" w:cstheme="minorHAnsi"/>
          <w:sz w:val="26"/>
          <w:szCs w:val="26"/>
        </w:rPr>
        <w:t xml:space="preserve">şi </w:t>
      </w:r>
      <w:r w:rsidR="005404F8" w:rsidRPr="0070404D">
        <w:rPr>
          <w:rFonts w:asciiTheme="minorHAnsi" w:hAnsiTheme="minorHAnsi" w:cstheme="minorHAnsi"/>
          <w:sz w:val="26"/>
          <w:szCs w:val="26"/>
        </w:rPr>
        <w:t xml:space="preserve">președinte al </w:t>
      </w:r>
      <w:r w:rsidRPr="0070404D">
        <w:rPr>
          <w:rFonts w:asciiTheme="minorHAnsi" w:hAnsiTheme="minorHAnsi" w:cstheme="minorHAnsi"/>
          <w:sz w:val="26"/>
          <w:szCs w:val="26"/>
        </w:rPr>
        <w:t>Secţiei de contencios administrativ şi fiscal, ocupate însă prin delegare.</w:t>
      </w:r>
    </w:p>
    <w:p w14:paraId="22F426E3" w14:textId="582F2C7C" w:rsidR="00A05F24" w:rsidRPr="0070404D" w:rsidRDefault="00A05F24" w:rsidP="00794630">
      <w:pPr>
        <w:ind w:firstLine="708"/>
        <w:jc w:val="both"/>
        <w:rPr>
          <w:rFonts w:asciiTheme="minorHAnsi" w:hAnsiTheme="minorHAnsi" w:cstheme="minorHAnsi"/>
          <w:sz w:val="26"/>
          <w:szCs w:val="26"/>
        </w:rPr>
      </w:pPr>
      <w:r w:rsidRPr="0070404D">
        <w:rPr>
          <w:rFonts w:asciiTheme="minorHAnsi" w:hAnsiTheme="minorHAnsi" w:cstheme="minorHAnsi"/>
          <w:sz w:val="26"/>
          <w:szCs w:val="26"/>
        </w:rPr>
        <w:t xml:space="preserve">Astfel, prin hotărârea Secției pentru judecători nr. 2187/27.09.2023, doamna judecător Popoiag Elena-Carmen a fost delegată în funcția de președinte al Secției I civilă a Înaltei Curți de Casație și Justiție, iar prin hotărârea Secției pentru judecători </w:t>
      </w:r>
      <w:r w:rsidR="005404F8" w:rsidRPr="0070404D">
        <w:rPr>
          <w:rFonts w:asciiTheme="minorHAnsi" w:hAnsiTheme="minorHAnsi" w:cstheme="minorHAnsi"/>
          <w:sz w:val="26"/>
          <w:szCs w:val="26"/>
        </w:rPr>
        <w:t>nr. 3323/28.11.2023 a fost delegat în funcția de președinte al Secției a II-a civile domnul judecător Budă Marian.</w:t>
      </w:r>
      <w:r w:rsidR="00794630" w:rsidRPr="0070404D">
        <w:rPr>
          <w:rFonts w:asciiTheme="minorHAnsi" w:hAnsiTheme="minorHAnsi" w:cstheme="minorHAnsi"/>
          <w:sz w:val="26"/>
          <w:szCs w:val="26"/>
        </w:rPr>
        <w:t xml:space="preserve"> De asemenea, </w:t>
      </w:r>
      <w:r w:rsidR="005404F8" w:rsidRPr="0070404D">
        <w:rPr>
          <w:rFonts w:asciiTheme="minorHAnsi" w:hAnsiTheme="minorHAnsi" w:cstheme="minorHAnsi"/>
          <w:sz w:val="26"/>
          <w:szCs w:val="26"/>
        </w:rPr>
        <w:t xml:space="preserve">prin hotărârea Secției pentru judecători </w:t>
      </w:r>
      <w:r w:rsidRPr="0070404D">
        <w:rPr>
          <w:rFonts w:asciiTheme="minorHAnsi" w:hAnsiTheme="minorHAnsi" w:cstheme="minorHAnsi"/>
          <w:sz w:val="26"/>
          <w:szCs w:val="26"/>
        </w:rPr>
        <w:t xml:space="preserve">nr. 3418/19.12.2023 a fost prelungită delegarea domnului judecător Barbă Ionel în funcția </w:t>
      </w:r>
      <w:r w:rsidR="005404F8" w:rsidRPr="0070404D">
        <w:rPr>
          <w:rFonts w:asciiTheme="minorHAnsi" w:hAnsiTheme="minorHAnsi" w:cstheme="minorHAnsi"/>
          <w:sz w:val="26"/>
          <w:szCs w:val="26"/>
        </w:rPr>
        <w:t>de</w:t>
      </w:r>
      <w:r w:rsidRPr="0070404D">
        <w:rPr>
          <w:rFonts w:asciiTheme="minorHAnsi" w:hAnsiTheme="minorHAnsi" w:cstheme="minorHAnsi"/>
          <w:sz w:val="26"/>
          <w:szCs w:val="26"/>
        </w:rPr>
        <w:t xml:space="preserve"> președinte al Secției de contencios administrativ și fiscal a Înaltei Curți de Casație și Justiție.</w:t>
      </w:r>
    </w:p>
    <w:p w14:paraId="3FD00489" w14:textId="478EC808" w:rsidR="00B1514A" w:rsidRPr="000363DB" w:rsidRDefault="00B1514A" w:rsidP="000363DB">
      <w:pPr>
        <w:pStyle w:val="Heading2"/>
        <w:keepLines w:val="0"/>
        <w:spacing w:line="240" w:lineRule="auto"/>
        <w:rPr>
          <w:rFonts w:cstheme="minorHAnsi"/>
          <w:color w:val="auto"/>
          <w:lang w:val="ro-RO"/>
        </w:rPr>
      </w:pPr>
      <w:bookmarkStart w:id="7" w:name="_Toc155267861"/>
      <w:r w:rsidRPr="000363DB">
        <w:rPr>
          <w:rFonts w:cstheme="minorHAnsi"/>
          <w:color w:val="auto"/>
          <w:lang w:val="ro-RO"/>
        </w:rPr>
        <w:t>I.2.  Procedurile derulate privind ocuparea celor mai înalte funcţii din cadrul Parchetului de pe lângă Înalta Curte de Casaţie şi Justiţie</w:t>
      </w:r>
      <w:bookmarkEnd w:id="7"/>
    </w:p>
    <w:p w14:paraId="2A4ACF3E" w14:textId="77777777" w:rsidR="00B1514A" w:rsidRPr="00564DC7" w:rsidRDefault="00B1514A" w:rsidP="00690186">
      <w:pPr>
        <w:pStyle w:val="Default"/>
        <w:ind w:firstLine="720"/>
        <w:jc w:val="both"/>
        <w:rPr>
          <w:rFonts w:asciiTheme="minorHAnsi" w:hAnsiTheme="minorHAnsi" w:cstheme="minorHAnsi"/>
          <w:bCs/>
          <w:color w:val="auto"/>
          <w:sz w:val="26"/>
          <w:szCs w:val="26"/>
        </w:rPr>
      </w:pPr>
      <w:r w:rsidRPr="00564DC7">
        <w:rPr>
          <w:rFonts w:asciiTheme="minorHAnsi" w:hAnsiTheme="minorHAnsi" w:cstheme="minorHAnsi"/>
          <w:bCs/>
          <w:color w:val="auto"/>
          <w:sz w:val="26"/>
          <w:szCs w:val="26"/>
        </w:rPr>
        <w:t xml:space="preserve">În conformitate cu dispoziţiile art. 144 alin. (1) din Legea nr. 303/2022 privind statutul judecătorilor și procurorilor,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secție din cadrul acestor </w:t>
      </w:r>
      <w:r w:rsidRPr="00564DC7">
        <w:rPr>
          <w:rFonts w:asciiTheme="minorHAnsi" w:hAnsiTheme="minorHAnsi" w:cstheme="minorHAnsi"/>
          <w:bCs/>
          <w:color w:val="auto"/>
          <w:sz w:val="26"/>
          <w:szCs w:val="26"/>
        </w:rPr>
        <w:lastRenderedPageBreak/>
        <w:t>parchete sunt numiţi de Preşedintele României, la propunerea ministrului justiţiei, cu avizul Secției pentru procurori a Consiliului Superior al Magistraturii.</w:t>
      </w:r>
    </w:p>
    <w:p w14:paraId="12FD3E57" w14:textId="77777777" w:rsidR="00B1514A" w:rsidRPr="00564DC7" w:rsidRDefault="00B1514A" w:rsidP="00690186">
      <w:pPr>
        <w:pStyle w:val="Default"/>
        <w:ind w:firstLine="720"/>
        <w:jc w:val="both"/>
        <w:rPr>
          <w:rFonts w:asciiTheme="minorHAnsi" w:hAnsiTheme="minorHAnsi" w:cstheme="minorHAnsi"/>
          <w:bCs/>
          <w:color w:val="auto"/>
          <w:sz w:val="26"/>
          <w:szCs w:val="26"/>
        </w:rPr>
      </w:pPr>
      <w:r w:rsidRPr="00564DC7">
        <w:rPr>
          <w:rFonts w:asciiTheme="minorHAnsi" w:hAnsiTheme="minorHAnsi" w:cstheme="minorHAnsi"/>
          <w:bCs/>
          <w:color w:val="auto"/>
          <w:sz w:val="26"/>
          <w:szCs w:val="26"/>
        </w:rPr>
        <w:t>La data de 27 decembrie 2022, ministrul justiției a declanșat procedura vizând selecția procurorilor în vederea formulării către Președintele României a propunerilor de numire pentru ocuparea unor funcții din cadrul parchetelor, respectiv procuror general al Parchetului de pe lângă Înalta Curte de Casație și Justiție, procuror șef al Direcției Naționale Anticorupție și procuror șef al Direcției de Investigare a Infracțiunilor de Criminalitate Organizată și Terorism.</w:t>
      </w:r>
    </w:p>
    <w:p w14:paraId="408E0552" w14:textId="77777777" w:rsidR="00633795" w:rsidRDefault="00B1514A" w:rsidP="00633795">
      <w:pPr>
        <w:pStyle w:val="Default"/>
        <w:ind w:firstLine="720"/>
        <w:jc w:val="both"/>
        <w:rPr>
          <w:rFonts w:asciiTheme="minorHAnsi" w:hAnsiTheme="minorHAnsi" w:cstheme="minorHAnsi"/>
          <w:bCs/>
          <w:color w:val="auto"/>
          <w:sz w:val="26"/>
          <w:szCs w:val="26"/>
        </w:rPr>
      </w:pPr>
      <w:r w:rsidRPr="00564DC7">
        <w:rPr>
          <w:rFonts w:asciiTheme="minorHAnsi" w:hAnsiTheme="minorHAnsi" w:cstheme="minorHAnsi"/>
          <w:bCs/>
          <w:color w:val="auto"/>
          <w:sz w:val="26"/>
          <w:szCs w:val="26"/>
        </w:rPr>
        <w:t>Această procedură s-a finalizat prin numirea</w:t>
      </w:r>
      <w:r w:rsidR="00633795">
        <w:rPr>
          <w:rFonts w:asciiTheme="minorHAnsi" w:hAnsiTheme="minorHAnsi" w:cstheme="minorHAnsi"/>
          <w:bCs/>
          <w:color w:val="auto"/>
          <w:sz w:val="26"/>
          <w:szCs w:val="26"/>
        </w:rPr>
        <w:t>,</w:t>
      </w:r>
      <w:r w:rsidRPr="00564DC7">
        <w:rPr>
          <w:rFonts w:asciiTheme="minorHAnsi" w:hAnsiTheme="minorHAnsi" w:cstheme="minorHAnsi"/>
          <w:bCs/>
          <w:color w:val="auto"/>
          <w:sz w:val="26"/>
          <w:szCs w:val="26"/>
        </w:rPr>
        <w:t xml:space="preserve"> la data de 30.03.2023 a procurorului general al Parchetului de pe lângă Înalta Curte de Casație și Justiție și a procurorului șef al Direcției Naționale Anticorupție, iar la data de 13.04.2023 a procurorului șef al Direcției de Investigare a Infracțiunilor de Criminalitate Organizată și Terorism.</w:t>
      </w:r>
    </w:p>
    <w:p w14:paraId="67C2A669" w14:textId="3A453C42" w:rsidR="00B1514A" w:rsidRDefault="00B1514A" w:rsidP="00633795">
      <w:pPr>
        <w:pStyle w:val="Default"/>
        <w:ind w:firstLine="720"/>
        <w:jc w:val="both"/>
        <w:rPr>
          <w:rFonts w:asciiTheme="minorHAnsi" w:hAnsiTheme="minorHAnsi" w:cstheme="minorHAnsi"/>
          <w:bCs/>
          <w:sz w:val="26"/>
          <w:szCs w:val="26"/>
        </w:rPr>
      </w:pPr>
      <w:r w:rsidRPr="00564DC7">
        <w:rPr>
          <w:rFonts w:asciiTheme="minorHAnsi" w:hAnsiTheme="minorHAnsi" w:cstheme="minorHAnsi"/>
          <w:bCs/>
          <w:sz w:val="26"/>
          <w:szCs w:val="26"/>
        </w:rPr>
        <w:t xml:space="preserve">La data de 04.09.2023, ministrul justiției a declanșat procedura privind selecția procurorilor în vederea formulării către Președintele României a propunerilor de numire pentru ocuparea unor funcții de conducere vacante din cadrul parchetelor, respectiv de procuror-şef de secţie în cadrul Parchetului de pe lângă Înalta Curte de Casaţie şi Justiţie (4 funcții), procuror-şef de secţie în cadrul Direcţiei Naţionale Anticorupţie (3 funcții), procuror-şef adjunct direcţie (o funcție) şi procuror-şef de secţie în cadrul Direcţiei de Investigare a Infracţiunilor de Criminalitate Organizată şi Terorism (3 funcții). </w:t>
      </w:r>
    </w:p>
    <w:p w14:paraId="6F2DA459" w14:textId="5F8FC677" w:rsidR="00840ACB" w:rsidRDefault="001F1E8C" w:rsidP="00840ACB">
      <w:pPr>
        <w:pStyle w:val="Default"/>
        <w:ind w:firstLine="720"/>
        <w:jc w:val="both"/>
        <w:rPr>
          <w:rFonts w:asciiTheme="minorHAnsi" w:hAnsiTheme="minorHAnsi" w:cstheme="minorHAnsi"/>
          <w:color w:val="auto"/>
          <w:sz w:val="26"/>
          <w:szCs w:val="26"/>
        </w:rPr>
      </w:pPr>
      <w:r w:rsidRPr="00C203CB">
        <w:rPr>
          <w:rFonts w:asciiTheme="minorHAnsi" w:hAnsiTheme="minorHAnsi" w:cstheme="minorHAnsi"/>
          <w:sz w:val="26"/>
          <w:szCs w:val="26"/>
        </w:rPr>
        <w:t xml:space="preserve">Prin adresa nr. 95/56058/28.11.2023, ministrul justiției a înaintat Consiliului Superior al Magistraturii, în conformitate cu prevederile art. 147 alin. (2) din Legea nr. 303/2022 privind statutul judecătorilor și procurorilor, propunerile pentru numirea în 8 dintre funcțiile enumerate în paragraful anterior. Prin Hotărârea Secției pentru procurori nr. 1504/29.11.2023, a fost stabilit calendarul pentru susținerea de către candidați </w:t>
      </w:r>
      <w:r w:rsidR="00C203CB">
        <w:rPr>
          <w:rFonts w:asciiTheme="minorHAnsi" w:hAnsiTheme="minorHAnsi" w:cstheme="minorHAnsi"/>
          <w:sz w:val="26"/>
          <w:szCs w:val="26"/>
        </w:rPr>
        <w:t xml:space="preserve">a </w:t>
      </w:r>
      <w:r w:rsidRPr="00C203CB">
        <w:rPr>
          <w:rFonts w:asciiTheme="minorHAnsi" w:hAnsiTheme="minorHAnsi" w:cstheme="minorHAnsi"/>
          <w:sz w:val="26"/>
          <w:szCs w:val="26"/>
        </w:rPr>
        <w:t>interviului prevăzut de art. 147 alin. 3 raportat la art. 168 alin. 2 din Legea nr. 303/2022 privind statutul judecătorilor și procurorilor.</w:t>
      </w:r>
      <w:r w:rsidR="00840ACB">
        <w:rPr>
          <w:rFonts w:asciiTheme="minorHAnsi" w:hAnsiTheme="minorHAnsi" w:cstheme="minorHAnsi"/>
          <w:sz w:val="26"/>
          <w:szCs w:val="26"/>
        </w:rPr>
        <w:t xml:space="preserve"> </w:t>
      </w:r>
      <w:r w:rsidR="00840ACB" w:rsidRPr="00840ACB">
        <w:rPr>
          <w:rFonts w:asciiTheme="minorHAnsi" w:hAnsiTheme="minorHAnsi" w:cstheme="minorHAnsi"/>
          <w:color w:val="auto"/>
          <w:sz w:val="26"/>
          <w:szCs w:val="26"/>
        </w:rPr>
        <w:t>În ședințele din 05.12.2023, 12.12.2023 și 20.12.2023 au fost intervievați cei 8 candidați, Secția pentru procurori avizând favorabil șase dintre aceste propuneri.</w:t>
      </w:r>
    </w:p>
    <w:p w14:paraId="3B960F61" w14:textId="21126102" w:rsidR="00B1514A" w:rsidRPr="000363DB" w:rsidRDefault="00B1514A" w:rsidP="00633795">
      <w:pPr>
        <w:pStyle w:val="Heading2"/>
        <w:keepLines w:val="0"/>
        <w:spacing w:line="240" w:lineRule="auto"/>
        <w:jc w:val="both"/>
        <w:rPr>
          <w:rFonts w:cstheme="minorHAnsi"/>
          <w:color w:val="auto"/>
          <w:lang w:val="ro-RO"/>
        </w:rPr>
      </w:pPr>
      <w:bookmarkStart w:id="8" w:name="_Toc155267862"/>
      <w:bookmarkStart w:id="9" w:name="_Toc430867107"/>
      <w:r w:rsidRPr="000363DB">
        <w:rPr>
          <w:rFonts w:cstheme="minorHAnsi"/>
          <w:color w:val="auto"/>
          <w:lang w:val="ro-RO"/>
        </w:rPr>
        <w:t>I.3. Demersuri pentru consolidarea capacităţii instituţionale a Consiliului Superior al Magistraturii</w:t>
      </w:r>
      <w:bookmarkEnd w:id="8"/>
    </w:p>
    <w:p w14:paraId="06D8D75B" w14:textId="77777777" w:rsidR="00B1514A" w:rsidRPr="00564DC7" w:rsidRDefault="00B1514A" w:rsidP="00690186">
      <w:pPr>
        <w:pStyle w:val="Heading3"/>
        <w:spacing w:line="240" w:lineRule="auto"/>
        <w:ind w:firstLine="708"/>
        <w:rPr>
          <w:rFonts w:eastAsia="Calibri" w:cstheme="minorHAnsi"/>
          <w:b w:val="0"/>
          <w:bCs/>
          <w:color w:val="auto"/>
          <w:szCs w:val="26"/>
        </w:rPr>
      </w:pPr>
      <w:bookmarkStart w:id="10" w:name="_Toc126071105"/>
      <w:bookmarkStart w:id="11" w:name="_Toc155267863"/>
      <w:r w:rsidRPr="00564DC7">
        <w:rPr>
          <w:rFonts w:eastAsia="Calibri" w:cstheme="minorHAnsi"/>
          <w:bCs/>
          <w:color w:val="auto"/>
          <w:szCs w:val="26"/>
        </w:rPr>
        <w:t>I.3.1. Structura Consiliului Superior al Magistraturii</w:t>
      </w:r>
      <w:bookmarkEnd w:id="10"/>
      <w:bookmarkEnd w:id="11"/>
    </w:p>
    <w:p w14:paraId="47CA6CBD" w14:textId="400AF8FC" w:rsidR="00B1514A" w:rsidRPr="00564DC7" w:rsidRDefault="00B1514A" w:rsidP="00690186">
      <w:pPr>
        <w:pStyle w:val="NormalWeb"/>
        <w:tabs>
          <w:tab w:val="left" w:pos="8820"/>
        </w:tabs>
        <w:spacing w:before="0" w:beforeAutospacing="0" w:after="0" w:afterAutospacing="0"/>
        <w:ind w:firstLine="709"/>
        <w:jc w:val="both"/>
        <w:rPr>
          <w:rFonts w:asciiTheme="minorHAnsi" w:hAnsiTheme="minorHAnsi" w:cstheme="minorHAnsi"/>
          <w:sz w:val="26"/>
          <w:szCs w:val="26"/>
        </w:rPr>
      </w:pPr>
      <w:r w:rsidRPr="00564DC7">
        <w:rPr>
          <w:rFonts w:asciiTheme="minorHAnsi" w:hAnsiTheme="minorHAnsi" w:cstheme="minorHAnsi"/>
          <w:sz w:val="26"/>
          <w:szCs w:val="26"/>
        </w:rPr>
        <w:t>Informaţiile privind organigrama Consiliului Superior al Magistraturii şi persoanele c</w:t>
      </w:r>
      <w:r w:rsidR="00633795">
        <w:rPr>
          <w:rFonts w:asciiTheme="minorHAnsi" w:hAnsiTheme="minorHAnsi" w:cstheme="minorHAnsi"/>
          <w:sz w:val="26"/>
          <w:szCs w:val="26"/>
        </w:rPr>
        <w:t xml:space="preserve">are ocupă </w:t>
      </w:r>
      <w:r w:rsidRPr="00564DC7">
        <w:rPr>
          <w:rFonts w:asciiTheme="minorHAnsi" w:hAnsiTheme="minorHAnsi" w:cstheme="minorHAnsi"/>
          <w:sz w:val="26"/>
          <w:szCs w:val="26"/>
        </w:rPr>
        <w:t xml:space="preserve">funcţii de conducere se regăsesc pe pagina de internet a Consiliului, </w:t>
      </w:r>
      <w:r w:rsidR="00000000">
        <w:fldChar w:fldCharType="begin"/>
      </w:r>
      <w:r w:rsidR="00000000">
        <w:instrText>HYPERLINK "https://www.csm1909.ro"</w:instrText>
      </w:r>
      <w:r w:rsidR="00000000">
        <w:fldChar w:fldCharType="separate"/>
      </w:r>
      <w:r w:rsidRPr="007556D5">
        <w:rPr>
          <w:rStyle w:val="Hyperlink"/>
          <w:rFonts w:asciiTheme="minorHAnsi" w:hAnsiTheme="minorHAnsi" w:cstheme="minorHAnsi"/>
          <w:sz w:val="26"/>
          <w:szCs w:val="26"/>
        </w:rPr>
        <w:t>www.csm1909.ro</w:t>
      </w:r>
      <w:r w:rsidR="00000000">
        <w:rPr>
          <w:rStyle w:val="Hyperlink"/>
          <w:rFonts w:asciiTheme="minorHAnsi" w:hAnsiTheme="minorHAnsi" w:cstheme="minorHAnsi"/>
          <w:sz w:val="26"/>
          <w:szCs w:val="26"/>
        </w:rPr>
        <w:fldChar w:fldCharType="end"/>
      </w:r>
      <w:r w:rsidRPr="00564DC7">
        <w:rPr>
          <w:rFonts w:asciiTheme="minorHAnsi" w:hAnsiTheme="minorHAnsi" w:cstheme="minorHAnsi"/>
          <w:sz w:val="26"/>
          <w:szCs w:val="26"/>
        </w:rPr>
        <w:t>, la secţiunile „Organigrama” şi „Structura actuală a aparatului C.S.M.”.</w:t>
      </w:r>
    </w:p>
    <w:p w14:paraId="3BBA6EB8" w14:textId="15967ACA" w:rsidR="00B1514A" w:rsidRPr="00564DC7" w:rsidRDefault="000D44E1" w:rsidP="00690186">
      <w:pPr>
        <w:pStyle w:val="NormalWeb"/>
        <w:shd w:val="clear" w:color="auto" w:fill="FFFFFF"/>
        <w:tabs>
          <w:tab w:val="left" w:pos="3544"/>
        </w:tabs>
        <w:spacing w:before="0" w:beforeAutospacing="0" w:after="0" w:afterAutospacing="0"/>
        <w:jc w:val="center"/>
        <w:rPr>
          <w:rFonts w:asciiTheme="minorHAnsi" w:hAnsiTheme="minorHAnsi" w:cstheme="minorHAnsi"/>
          <w:sz w:val="26"/>
          <w:szCs w:val="26"/>
        </w:rPr>
      </w:pPr>
      <w:r w:rsidRPr="001270C8">
        <w:rPr>
          <w:rFonts w:asciiTheme="minorHAnsi" w:hAnsiTheme="minorHAnsi" w:cstheme="minorHAnsi"/>
          <w:noProof/>
          <w:color w:val="FF0000"/>
          <w:sz w:val="26"/>
          <w:szCs w:val="26"/>
          <w:lang w:val="en-US" w:eastAsia="en-US"/>
        </w:rPr>
        <w:drawing>
          <wp:inline distT="0" distB="0" distL="0" distR="0" wp14:anchorId="48F158B8" wp14:editId="053B73BD">
            <wp:extent cx="5803900" cy="2717800"/>
            <wp:effectExtent l="0" t="0" r="6350" b="6350"/>
            <wp:docPr id="1107339499" name="Chart 1107339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365D6F" w14:textId="77777777" w:rsidR="00B1514A" w:rsidRPr="00564DC7" w:rsidRDefault="00B1514A" w:rsidP="00690186">
      <w:pPr>
        <w:pStyle w:val="Heading3"/>
        <w:spacing w:line="240" w:lineRule="auto"/>
        <w:ind w:firstLine="708"/>
        <w:rPr>
          <w:rFonts w:cstheme="minorHAnsi"/>
          <w:b w:val="0"/>
          <w:bCs/>
          <w:color w:val="auto"/>
          <w:szCs w:val="26"/>
        </w:rPr>
      </w:pPr>
      <w:bookmarkStart w:id="12" w:name="_Toc26181276"/>
      <w:bookmarkStart w:id="13" w:name="_Toc57228193"/>
      <w:bookmarkStart w:id="14" w:name="_Toc126071106"/>
      <w:bookmarkStart w:id="15" w:name="_Toc155267864"/>
      <w:r w:rsidRPr="00564DC7">
        <w:rPr>
          <w:rFonts w:cstheme="minorHAnsi"/>
          <w:bCs/>
          <w:color w:val="auto"/>
          <w:szCs w:val="26"/>
        </w:rPr>
        <w:lastRenderedPageBreak/>
        <w:t>I.3.2. Proceduri pentru ocuparea funcţiilor de execuţie şi de conducere din aparatul propriu al Consiliului Superior al Magistraturii</w:t>
      </w:r>
      <w:bookmarkEnd w:id="12"/>
      <w:bookmarkEnd w:id="13"/>
      <w:bookmarkEnd w:id="14"/>
      <w:bookmarkEnd w:id="15"/>
    </w:p>
    <w:p w14:paraId="12AB6E4D" w14:textId="77777777" w:rsidR="00B1514A" w:rsidRPr="00564DC7" w:rsidRDefault="00B1514A" w:rsidP="00690186">
      <w:pPr>
        <w:pStyle w:val="Heading3"/>
        <w:spacing w:line="240" w:lineRule="auto"/>
        <w:ind w:firstLine="684"/>
        <w:rPr>
          <w:rFonts w:cstheme="minorHAnsi"/>
          <w:b w:val="0"/>
          <w:bCs/>
          <w:color w:val="auto"/>
          <w:szCs w:val="26"/>
        </w:rPr>
      </w:pPr>
      <w:bookmarkStart w:id="16" w:name="_Toc532479758"/>
      <w:bookmarkStart w:id="17" w:name="_Toc26181277"/>
      <w:bookmarkStart w:id="18" w:name="_Toc57228194"/>
      <w:bookmarkStart w:id="19" w:name="_Toc126071107"/>
      <w:bookmarkStart w:id="20" w:name="_Toc155267865"/>
      <w:r w:rsidRPr="00564DC7">
        <w:rPr>
          <w:rFonts w:cstheme="minorHAnsi"/>
          <w:bCs/>
          <w:color w:val="auto"/>
          <w:szCs w:val="26"/>
        </w:rPr>
        <w:t>I.3.2.1. Posturi de execuţie</w:t>
      </w:r>
      <w:bookmarkEnd w:id="16"/>
      <w:bookmarkEnd w:id="17"/>
      <w:bookmarkEnd w:id="18"/>
      <w:bookmarkEnd w:id="19"/>
      <w:bookmarkEnd w:id="20"/>
    </w:p>
    <w:p w14:paraId="55B346EE" w14:textId="77777777" w:rsidR="00B1514A" w:rsidRPr="00564DC7" w:rsidRDefault="00B1514A">
      <w:pPr>
        <w:keepNext/>
        <w:keepLines/>
        <w:numPr>
          <w:ilvl w:val="0"/>
          <w:numId w:val="15"/>
        </w:numPr>
        <w:tabs>
          <w:tab w:val="left" w:pos="993"/>
        </w:tabs>
        <w:ind w:left="0" w:firstLine="684"/>
        <w:jc w:val="both"/>
        <w:rPr>
          <w:rFonts w:asciiTheme="minorHAnsi" w:hAnsiTheme="minorHAnsi" w:cstheme="minorHAnsi"/>
          <w:sz w:val="26"/>
          <w:szCs w:val="26"/>
        </w:rPr>
      </w:pPr>
      <w:r w:rsidRPr="00564DC7">
        <w:rPr>
          <w:rFonts w:asciiTheme="minorHAnsi" w:hAnsiTheme="minorHAnsi" w:cstheme="minorHAnsi"/>
          <w:b/>
          <w:sz w:val="26"/>
          <w:szCs w:val="26"/>
        </w:rPr>
        <w:t>Proceduri pentru ocuparea posturilor de personal de specialitate juridică asimilat judecătorilor şi procurorilor</w:t>
      </w:r>
    </w:p>
    <w:p w14:paraId="0DD464BE" w14:textId="63CC0C1A" w:rsidR="00B1514A" w:rsidRPr="00564DC7" w:rsidRDefault="00B1514A" w:rsidP="00690186">
      <w:pPr>
        <w:ind w:firstLine="684"/>
        <w:jc w:val="both"/>
        <w:rPr>
          <w:rFonts w:asciiTheme="minorHAnsi" w:hAnsiTheme="minorHAnsi" w:cstheme="minorHAnsi"/>
          <w:sz w:val="26"/>
          <w:szCs w:val="26"/>
        </w:rPr>
      </w:pPr>
      <w:r w:rsidRPr="00564DC7">
        <w:rPr>
          <w:rFonts w:asciiTheme="minorHAnsi" w:hAnsiTheme="minorHAnsi" w:cstheme="minorHAnsi"/>
          <w:sz w:val="26"/>
          <w:szCs w:val="26"/>
        </w:rPr>
        <w:t>În cursul anului 2023, pentru ocuparea posturilor de personal de specialitate juridică asimilat judecătorilor şi procurorilor au fost avute în vedere toate procedurile de ocupare prevăzute de lege</w:t>
      </w:r>
      <w:r w:rsidR="004B6128">
        <w:rPr>
          <w:rFonts w:asciiTheme="minorHAnsi" w:hAnsiTheme="minorHAnsi" w:cstheme="minorHAnsi"/>
          <w:sz w:val="26"/>
          <w:szCs w:val="26"/>
        </w:rPr>
        <w:t xml:space="preserve">, respectiv detașarea judecătorilor și procurorilor, a magistraților-asistenți și a personalului </w:t>
      </w:r>
      <w:r w:rsidRPr="00564DC7">
        <w:rPr>
          <w:rFonts w:asciiTheme="minorHAnsi" w:hAnsiTheme="minorHAnsi" w:cstheme="minorHAnsi"/>
          <w:sz w:val="26"/>
          <w:szCs w:val="26"/>
        </w:rPr>
        <w:t xml:space="preserve">de specialitate juridică asimilat judecătorilor și procurorilor. </w:t>
      </w:r>
    </w:p>
    <w:p w14:paraId="28298991" w14:textId="104AF4F7" w:rsidR="00B1514A" w:rsidRPr="00564DC7" w:rsidRDefault="00B1514A" w:rsidP="00690186">
      <w:pPr>
        <w:ind w:firstLine="684"/>
        <w:jc w:val="both"/>
        <w:rPr>
          <w:rFonts w:asciiTheme="minorHAnsi" w:hAnsiTheme="minorHAnsi" w:cstheme="minorHAnsi"/>
          <w:sz w:val="26"/>
          <w:szCs w:val="26"/>
        </w:rPr>
      </w:pPr>
      <w:r w:rsidRPr="00564DC7">
        <w:rPr>
          <w:rFonts w:asciiTheme="minorHAnsi" w:hAnsiTheme="minorHAnsi" w:cstheme="minorHAnsi"/>
          <w:sz w:val="26"/>
          <w:szCs w:val="26"/>
        </w:rPr>
        <w:t>De asemenea, un post de personal de specialitate juridică asimilat judecătorilor şi procurorilor a fost ocupat ca urmare a concursului de admitere la Institutul Naţional al Magistraturii demarat în cursul anului 2022, iar alte două posturi de personal de specialitate juridică asimilat judecătorilor şi procurorilor au fost alocate la concursul de admitere la Institu</w:t>
      </w:r>
      <w:r w:rsidR="004B6128">
        <w:rPr>
          <w:rFonts w:asciiTheme="minorHAnsi" w:hAnsiTheme="minorHAnsi" w:cstheme="minorHAnsi"/>
          <w:sz w:val="26"/>
          <w:szCs w:val="26"/>
        </w:rPr>
        <w:t>t</w:t>
      </w:r>
      <w:r w:rsidRPr="00564DC7">
        <w:rPr>
          <w:rFonts w:asciiTheme="minorHAnsi" w:hAnsiTheme="minorHAnsi" w:cstheme="minorHAnsi"/>
          <w:sz w:val="26"/>
          <w:szCs w:val="26"/>
        </w:rPr>
        <w:t>ul Naţional al Magistraturii care se desfăşoară în perioada 07 iulie 2023 – 28 martie 2024 împreună cu posturile de auditor de justiţie, în conformitate cu prevederile art. 6 alin. (5) din Legea nr. 303/2022.</w:t>
      </w:r>
    </w:p>
    <w:p w14:paraId="5C8F5086" w14:textId="77777777" w:rsidR="00B1514A" w:rsidRPr="00564DC7" w:rsidRDefault="00B1514A">
      <w:pPr>
        <w:keepNext/>
        <w:numPr>
          <w:ilvl w:val="0"/>
          <w:numId w:val="15"/>
        </w:numPr>
        <w:tabs>
          <w:tab w:val="left" w:pos="993"/>
        </w:tabs>
        <w:ind w:left="0" w:firstLine="686"/>
        <w:jc w:val="both"/>
        <w:rPr>
          <w:rFonts w:asciiTheme="minorHAnsi" w:hAnsiTheme="minorHAnsi" w:cstheme="minorHAnsi"/>
          <w:b/>
          <w:bCs/>
          <w:sz w:val="26"/>
          <w:szCs w:val="26"/>
        </w:rPr>
      </w:pPr>
      <w:r w:rsidRPr="00564DC7">
        <w:rPr>
          <w:rFonts w:asciiTheme="minorHAnsi" w:hAnsiTheme="minorHAnsi" w:cstheme="minorHAnsi"/>
          <w:b/>
          <w:bCs/>
          <w:sz w:val="26"/>
          <w:szCs w:val="26"/>
        </w:rPr>
        <w:t>Proceduri pentru ocuparea posturilor de personal contractual şi funcţionari publici</w:t>
      </w:r>
    </w:p>
    <w:p w14:paraId="0110FE26" w14:textId="77777777" w:rsidR="00B1514A" w:rsidRPr="00261D6B" w:rsidRDefault="00B1514A" w:rsidP="00690186">
      <w:pPr>
        <w:pStyle w:val="NormalWeb"/>
        <w:spacing w:before="0" w:beforeAutospacing="0" w:after="0" w:afterAutospacing="0"/>
        <w:ind w:firstLine="686"/>
        <w:jc w:val="both"/>
        <w:rPr>
          <w:rFonts w:asciiTheme="minorHAnsi" w:hAnsiTheme="minorHAnsi" w:cstheme="minorHAnsi"/>
          <w:sz w:val="26"/>
          <w:szCs w:val="26"/>
          <w:lang w:val="fr-FR"/>
        </w:rPr>
      </w:pPr>
      <w:bookmarkStart w:id="21" w:name="_Toc532479759"/>
      <w:bookmarkStart w:id="22" w:name="_Toc26181278"/>
      <w:bookmarkStart w:id="23" w:name="_Toc57228195"/>
      <w:bookmarkStart w:id="24" w:name="_Toc126071108"/>
      <w:proofErr w:type="spellStart"/>
      <w:r w:rsidRPr="00261D6B">
        <w:rPr>
          <w:rFonts w:asciiTheme="minorHAnsi" w:hAnsiTheme="minorHAnsi" w:cstheme="minorHAnsi"/>
          <w:sz w:val="26"/>
          <w:szCs w:val="26"/>
          <w:lang w:val="fr-FR"/>
        </w:rPr>
        <w:t>În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cursul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anului</w:t>
      </w:r>
      <w:proofErr w:type="spellEnd"/>
      <w:r w:rsidRPr="00261D6B">
        <w:rPr>
          <w:rFonts w:asciiTheme="minorHAnsi" w:hAnsiTheme="minorHAnsi" w:cstheme="minorHAnsi"/>
          <w:sz w:val="26"/>
          <w:szCs w:val="26"/>
          <w:lang w:val="fr-FR"/>
        </w:rPr>
        <w:t xml:space="preserve"> 2023 au </w:t>
      </w:r>
      <w:proofErr w:type="spellStart"/>
      <w:r w:rsidRPr="00261D6B">
        <w:rPr>
          <w:rFonts w:asciiTheme="minorHAnsi" w:hAnsiTheme="minorHAnsi" w:cstheme="minorHAnsi"/>
          <w:sz w:val="26"/>
          <w:szCs w:val="26"/>
          <w:lang w:val="fr-FR"/>
        </w:rPr>
        <w:t>fost</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organizate</w:t>
      </w:r>
      <w:proofErr w:type="spellEnd"/>
      <w:r w:rsidRPr="00261D6B">
        <w:rPr>
          <w:rFonts w:asciiTheme="minorHAnsi" w:hAnsiTheme="minorHAnsi" w:cstheme="minorHAnsi"/>
          <w:sz w:val="26"/>
          <w:szCs w:val="26"/>
          <w:lang w:val="fr-FR"/>
        </w:rPr>
        <w:t xml:space="preserve"> 10 </w:t>
      </w:r>
      <w:proofErr w:type="spellStart"/>
      <w:r w:rsidRPr="00261D6B">
        <w:rPr>
          <w:rFonts w:asciiTheme="minorHAnsi" w:hAnsiTheme="minorHAnsi" w:cstheme="minorHAnsi"/>
          <w:sz w:val="26"/>
          <w:szCs w:val="26"/>
          <w:lang w:val="fr-FR"/>
        </w:rPr>
        <w:t>concursuri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pentru</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ocuparea</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unor</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funcţii</w:t>
      </w:r>
      <w:proofErr w:type="spellEnd"/>
      <w:r w:rsidRPr="00261D6B">
        <w:rPr>
          <w:rFonts w:asciiTheme="minorHAnsi" w:hAnsiTheme="minorHAnsi" w:cstheme="minorHAnsi"/>
          <w:sz w:val="26"/>
          <w:szCs w:val="26"/>
          <w:lang w:val="fr-FR"/>
        </w:rPr>
        <w:t xml:space="preserve"> vacante de </w:t>
      </w:r>
      <w:proofErr w:type="spellStart"/>
      <w:r w:rsidRPr="00261D6B">
        <w:rPr>
          <w:rFonts w:asciiTheme="minorHAnsi" w:hAnsiTheme="minorHAnsi" w:cstheme="minorHAnsi"/>
          <w:sz w:val="26"/>
          <w:szCs w:val="26"/>
          <w:lang w:val="fr-FR"/>
        </w:rPr>
        <w:t>funcţionar</w:t>
      </w:r>
      <w:proofErr w:type="spellEnd"/>
      <w:r w:rsidRPr="00261D6B">
        <w:rPr>
          <w:rFonts w:asciiTheme="minorHAnsi" w:hAnsiTheme="minorHAnsi" w:cstheme="minorHAnsi"/>
          <w:sz w:val="26"/>
          <w:szCs w:val="26"/>
          <w:lang w:val="fr-FR"/>
        </w:rPr>
        <w:t xml:space="preserve"> public </w:t>
      </w:r>
      <w:proofErr w:type="spellStart"/>
      <w:r w:rsidRPr="00261D6B">
        <w:rPr>
          <w:rFonts w:asciiTheme="minorHAnsi" w:hAnsiTheme="minorHAnsi" w:cstheme="minorHAnsi"/>
          <w:sz w:val="26"/>
          <w:szCs w:val="26"/>
          <w:lang w:val="fr-FR"/>
        </w:rPr>
        <w:t>şi</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personal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contractual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fiind</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ocupate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din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cele</w:t>
      </w:r>
      <w:proofErr w:type="spellEnd"/>
      <w:r w:rsidRPr="00261D6B">
        <w:rPr>
          <w:rFonts w:asciiTheme="minorHAnsi" w:hAnsiTheme="minorHAnsi" w:cstheme="minorHAnsi"/>
          <w:sz w:val="26"/>
          <w:szCs w:val="26"/>
          <w:lang w:val="fr-FR"/>
        </w:rPr>
        <w:t xml:space="preserve"> 14 </w:t>
      </w:r>
      <w:proofErr w:type="spellStart"/>
      <w:r w:rsidRPr="00261D6B">
        <w:rPr>
          <w:rFonts w:asciiTheme="minorHAnsi" w:hAnsiTheme="minorHAnsi" w:cstheme="minorHAnsi"/>
          <w:sz w:val="26"/>
          <w:szCs w:val="26"/>
          <w:lang w:val="fr-FR"/>
        </w:rPr>
        <w:t>posturi</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personal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contractual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doar</w:t>
      </w:r>
      <w:proofErr w:type="spellEnd"/>
      <w:r w:rsidRPr="00261D6B">
        <w:rPr>
          <w:rFonts w:asciiTheme="minorHAnsi" w:hAnsiTheme="minorHAnsi" w:cstheme="minorHAnsi"/>
          <w:sz w:val="26"/>
          <w:szCs w:val="26"/>
          <w:lang w:val="fr-FR"/>
        </w:rPr>
        <w:t xml:space="preserve"> 13 </w:t>
      </w:r>
      <w:proofErr w:type="spellStart"/>
      <w:r w:rsidRPr="00261D6B">
        <w:rPr>
          <w:rFonts w:asciiTheme="minorHAnsi" w:hAnsiTheme="minorHAnsi" w:cstheme="minorHAnsi"/>
          <w:sz w:val="26"/>
          <w:szCs w:val="26"/>
          <w:lang w:val="fr-FR"/>
        </w:rPr>
        <w:t>posturi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precum</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și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toate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cele</w:t>
      </w:r>
      <w:proofErr w:type="spellEnd"/>
      <w:r w:rsidRPr="00261D6B">
        <w:rPr>
          <w:rFonts w:asciiTheme="minorHAnsi" w:hAnsiTheme="minorHAnsi" w:cstheme="minorHAnsi"/>
          <w:sz w:val="26"/>
          <w:szCs w:val="26"/>
          <w:lang w:val="fr-FR"/>
        </w:rPr>
        <w:t xml:space="preserve"> 4 </w:t>
      </w:r>
      <w:proofErr w:type="spellStart"/>
      <w:r w:rsidRPr="00261D6B">
        <w:rPr>
          <w:rFonts w:asciiTheme="minorHAnsi" w:hAnsiTheme="minorHAnsi" w:cstheme="minorHAnsi"/>
          <w:sz w:val="26"/>
          <w:szCs w:val="26"/>
          <w:lang w:val="fr-FR"/>
        </w:rPr>
        <w:t>funcţii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publice</w:t>
      </w:r>
      <w:proofErr w:type="spellEnd"/>
      <w:r w:rsidRPr="00261D6B">
        <w:rPr>
          <w:rFonts w:asciiTheme="minorHAnsi" w:hAnsiTheme="minorHAnsi" w:cstheme="minorHAnsi"/>
          <w:sz w:val="26"/>
          <w:szCs w:val="26"/>
          <w:lang w:val="fr-FR"/>
        </w:rPr>
        <w:t xml:space="preserve"> vacante </w:t>
      </w:r>
      <w:proofErr w:type="spellStart"/>
      <w:r w:rsidRPr="00261D6B">
        <w:rPr>
          <w:rFonts w:asciiTheme="minorHAnsi" w:hAnsiTheme="minorHAnsi" w:cstheme="minorHAnsi"/>
          <w:sz w:val="26"/>
          <w:szCs w:val="26"/>
          <w:lang w:val="fr-FR"/>
        </w:rPr>
        <w:t>anunţate</w:t>
      </w:r>
      <w:proofErr w:type="spellEnd"/>
      <w:r w:rsidRPr="00261D6B">
        <w:rPr>
          <w:rFonts w:asciiTheme="minorHAnsi" w:hAnsiTheme="minorHAnsi" w:cstheme="minorHAnsi"/>
          <w:sz w:val="26"/>
          <w:szCs w:val="26"/>
          <w:lang w:val="fr-FR"/>
        </w:rPr>
        <w:t xml:space="preserve"> la </w:t>
      </w:r>
      <w:proofErr w:type="spellStart"/>
      <w:r w:rsidRPr="00261D6B">
        <w:rPr>
          <w:rFonts w:asciiTheme="minorHAnsi" w:hAnsiTheme="minorHAnsi" w:cstheme="minorHAnsi"/>
          <w:sz w:val="26"/>
          <w:szCs w:val="26"/>
          <w:lang w:val="fr-FR"/>
        </w:rPr>
        <w:t>concurs</w:t>
      </w:r>
      <w:proofErr w:type="spellEnd"/>
      <w:r w:rsidRPr="00261D6B">
        <w:rPr>
          <w:rFonts w:asciiTheme="minorHAnsi" w:hAnsiTheme="minorHAnsi" w:cstheme="minorHAnsi"/>
          <w:sz w:val="26"/>
          <w:szCs w:val="26"/>
          <w:lang w:val="fr-FR"/>
        </w:rPr>
        <w:t>.</w:t>
      </w:r>
    </w:p>
    <w:p w14:paraId="03F2A6A4" w14:textId="77777777" w:rsidR="00B1514A" w:rsidRPr="00261D6B" w:rsidRDefault="00B1514A" w:rsidP="00690186">
      <w:pPr>
        <w:pStyle w:val="NormalWeb"/>
        <w:spacing w:before="0" w:beforeAutospacing="0" w:after="0" w:afterAutospacing="0"/>
        <w:ind w:firstLine="686"/>
        <w:jc w:val="both"/>
        <w:rPr>
          <w:rFonts w:asciiTheme="minorHAnsi" w:hAnsiTheme="minorHAnsi" w:cstheme="minorHAnsi"/>
          <w:sz w:val="26"/>
          <w:szCs w:val="26"/>
          <w:lang w:val="fr-FR"/>
        </w:rPr>
      </w:pPr>
      <w:proofErr w:type="spellStart"/>
      <w:r w:rsidRPr="00261D6B">
        <w:rPr>
          <w:rFonts w:asciiTheme="minorHAnsi" w:hAnsiTheme="minorHAnsi" w:cstheme="minorHAnsi"/>
          <w:sz w:val="26"/>
          <w:szCs w:val="26"/>
          <w:lang w:val="fr-FR"/>
        </w:rPr>
        <w:t>Totodată</w:t>
      </w:r>
      <w:proofErr w:type="spellEnd"/>
      <w:r w:rsidRPr="00261D6B">
        <w:rPr>
          <w:rFonts w:asciiTheme="minorHAnsi" w:hAnsiTheme="minorHAnsi" w:cstheme="minorHAnsi"/>
          <w:sz w:val="26"/>
          <w:szCs w:val="26"/>
          <w:lang w:val="fr-FR"/>
        </w:rPr>
        <w:t xml:space="preserve">, au </w:t>
      </w:r>
      <w:proofErr w:type="spellStart"/>
      <w:r w:rsidRPr="00261D6B">
        <w:rPr>
          <w:rFonts w:asciiTheme="minorHAnsi" w:hAnsiTheme="minorHAnsi" w:cstheme="minorHAnsi"/>
          <w:sz w:val="26"/>
          <w:szCs w:val="26"/>
          <w:lang w:val="fr-FR"/>
        </w:rPr>
        <w:t>fost</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ocupate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prin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transfer</w:t>
      </w:r>
      <w:proofErr w:type="spellEnd"/>
      <w:r w:rsidRPr="00261D6B">
        <w:rPr>
          <w:rFonts w:asciiTheme="minorHAnsi" w:hAnsiTheme="minorHAnsi" w:cstheme="minorHAnsi"/>
          <w:sz w:val="26"/>
          <w:szCs w:val="26"/>
          <w:lang w:val="fr-FR"/>
        </w:rPr>
        <w:t xml:space="preserve"> 2 </w:t>
      </w:r>
      <w:proofErr w:type="spellStart"/>
      <w:r w:rsidRPr="00261D6B">
        <w:rPr>
          <w:rFonts w:asciiTheme="minorHAnsi" w:hAnsiTheme="minorHAnsi" w:cstheme="minorHAnsi"/>
          <w:sz w:val="26"/>
          <w:szCs w:val="26"/>
          <w:lang w:val="fr-FR"/>
        </w:rPr>
        <w:t>funcții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publice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din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cadrul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aparatului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propriu</w:t>
      </w:r>
      <w:proofErr w:type="spellEnd"/>
      <w:r w:rsidRPr="00261D6B">
        <w:rPr>
          <w:rFonts w:asciiTheme="minorHAnsi" w:hAnsiTheme="minorHAnsi" w:cstheme="minorHAnsi"/>
          <w:sz w:val="26"/>
          <w:szCs w:val="26"/>
          <w:lang w:val="fr-FR"/>
        </w:rPr>
        <w:t xml:space="preserve"> al </w:t>
      </w:r>
      <w:proofErr w:type="spellStart"/>
      <w:r w:rsidRPr="00261D6B">
        <w:rPr>
          <w:rFonts w:asciiTheme="minorHAnsi" w:hAnsiTheme="minorHAnsi" w:cstheme="minorHAnsi"/>
          <w:sz w:val="26"/>
          <w:szCs w:val="26"/>
          <w:lang w:val="fr-FR"/>
        </w:rPr>
        <w:t>Consiliului</w:t>
      </w:r>
      <w:proofErr w:type="spellEnd"/>
      <w:r w:rsidRPr="00261D6B">
        <w:rPr>
          <w:rFonts w:asciiTheme="minorHAnsi" w:hAnsiTheme="minorHAnsi" w:cstheme="minorHAnsi"/>
          <w:sz w:val="26"/>
          <w:szCs w:val="26"/>
          <w:lang w:val="fr-FR"/>
        </w:rPr>
        <w:t xml:space="preserve"> Superior al </w:t>
      </w:r>
      <w:proofErr w:type="spellStart"/>
      <w:r w:rsidRPr="00261D6B">
        <w:rPr>
          <w:rFonts w:asciiTheme="minorHAnsi" w:hAnsiTheme="minorHAnsi" w:cstheme="minorHAnsi"/>
          <w:sz w:val="26"/>
          <w:szCs w:val="26"/>
          <w:lang w:val="fr-FR"/>
        </w:rPr>
        <w:t>Magistraturii</w:t>
      </w:r>
      <w:proofErr w:type="spellEnd"/>
      <w:r w:rsidRPr="00261D6B">
        <w:rPr>
          <w:rFonts w:asciiTheme="minorHAnsi" w:hAnsiTheme="minorHAnsi" w:cstheme="minorHAnsi"/>
          <w:sz w:val="26"/>
          <w:szCs w:val="26"/>
          <w:lang w:val="fr-FR"/>
        </w:rPr>
        <w:t xml:space="preserve">.  </w:t>
      </w:r>
    </w:p>
    <w:p w14:paraId="0EEF82DA" w14:textId="77777777" w:rsidR="00B1514A" w:rsidRPr="00261D6B" w:rsidRDefault="00B1514A" w:rsidP="00690186">
      <w:pPr>
        <w:pStyle w:val="NormalWeb"/>
        <w:spacing w:before="0" w:beforeAutospacing="0" w:after="0" w:afterAutospacing="0"/>
        <w:ind w:firstLine="686"/>
        <w:jc w:val="both"/>
        <w:rPr>
          <w:rFonts w:asciiTheme="minorHAnsi" w:hAnsiTheme="minorHAnsi" w:cstheme="minorHAnsi"/>
          <w:sz w:val="26"/>
          <w:szCs w:val="26"/>
          <w:lang w:val="fr-FR"/>
        </w:rPr>
      </w:pPr>
      <w:proofErr w:type="spellStart"/>
      <w:r w:rsidRPr="00261D6B">
        <w:rPr>
          <w:rFonts w:asciiTheme="minorHAnsi" w:hAnsiTheme="minorHAnsi" w:cstheme="minorHAnsi"/>
          <w:sz w:val="26"/>
          <w:szCs w:val="26"/>
          <w:lang w:val="fr-FR"/>
        </w:rPr>
        <w:t>Pe</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altă</w:t>
      </w:r>
      <w:proofErr w:type="spellEnd"/>
      <w:r w:rsidRPr="00261D6B">
        <w:rPr>
          <w:rFonts w:asciiTheme="minorHAnsi" w:hAnsiTheme="minorHAnsi" w:cstheme="minorHAnsi"/>
          <w:sz w:val="26"/>
          <w:szCs w:val="26"/>
          <w:lang w:val="fr-FR"/>
        </w:rPr>
        <w:t xml:space="preserve"> parte, </w:t>
      </w:r>
      <w:proofErr w:type="spellStart"/>
      <w:r w:rsidRPr="00261D6B">
        <w:rPr>
          <w:rFonts w:asciiTheme="minorHAnsi" w:hAnsiTheme="minorHAnsi" w:cstheme="minorHAnsi"/>
          <w:sz w:val="26"/>
          <w:szCs w:val="26"/>
          <w:lang w:val="fr-FR"/>
        </w:rPr>
        <w:t>în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perioada</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referinţă</w:t>
      </w:r>
      <w:proofErr w:type="spellEnd"/>
      <w:r w:rsidRPr="00261D6B">
        <w:rPr>
          <w:rFonts w:asciiTheme="minorHAnsi" w:hAnsiTheme="minorHAnsi" w:cstheme="minorHAnsi"/>
          <w:sz w:val="26"/>
          <w:szCs w:val="26"/>
          <w:lang w:val="fr-FR"/>
        </w:rPr>
        <w:t xml:space="preserve">, 13 </w:t>
      </w:r>
      <w:proofErr w:type="spellStart"/>
      <w:r w:rsidRPr="00261D6B">
        <w:rPr>
          <w:rFonts w:asciiTheme="minorHAnsi" w:hAnsiTheme="minorHAnsi" w:cstheme="minorHAnsi"/>
          <w:sz w:val="26"/>
          <w:szCs w:val="26"/>
          <w:lang w:val="fr-FR"/>
        </w:rPr>
        <w:t>posturi</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personal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contractual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și</w:t>
      </w:r>
      <w:proofErr w:type="spellEnd"/>
      <w:r w:rsidRPr="00261D6B">
        <w:rPr>
          <w:rFonts w:asciiTheme="minorHAnsi" w:hAnsiTheme="minorHAnsi" w:cstheme="minorHAnsi"/>
          <w:sz w:val="26"/>
          <w:szCs w:val="26"/>
          <w:lang w:val="fr-FR"/>
        </w:rPr>
        <w:t xml:space="preserve"> 2 </w:t>
      </w:r>
      <w:proofErr w:type="spellStart"/>
      <w:r w:rsidRPr="00261D6B">
        <w:rPr>
          <w:rFonts w:asciiTheme="minorHAnsi" w:hAnsiTheme="minorHAnsi" w:cstheme="minorHAnsi"/>
          <w:sz w:val="26"/>
          <w:szCs w:val="26"/>
          <w:lang w:val="fr-FR"/>
        </w:rPr>
        <w:t>funcții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publice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din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cadrul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aparatului</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propriu</w:t>
      </w:r>
      <w:proofErr w:type="spellEnd"/>
      <w:r w:rsidRPr="00261D6B">
        <w:rPr>
          <w:rFonts w:asciiTheme="minorHAnsi" w:hAnsiTheme="minorHAnsi" w:cstheme="minorHAnsi"/>
          <w:sz w:val="26"/>
          <w:szCs w:val="26"/>
          <w:lang w:val="fr-FR"/>
        </w:rPr>
        <w:t xml:space="preserve"> au </w:t>
      </w:r>
      <w:proofErr w:type="spellStart"/>
      <w:r w:rsidRPr="00261D6B">
        <w:rPr>
          <w:rFonts w:asciiTheme="minorHAnsi" w:hAnsiTheme="minorHAnsi" w:cstheme="minorHAnsi"/>
          <w:sz w:val="26"/>
          <w:szCs w:val="26"/>
          <w:lang w:val="fr-FR"/>
        </w:rPr>
        <w:t>fost</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ocupate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prin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detaşare</w:t>
      </w:r>
      <w:proofErr w:type="spellEnd"/>
      <w:r w:rsidRPr="00261D6B">
        <w:rPr>
          <w:rFonts w:asciiTheme="minorHAnsi" w:hAnsiTheme="minorHAnsi" w:cstheme="minorHAnsi"/>
          <w:sz w:val="26"/>
          <w:szCs w:val="26"/>
          <w:lang w:val="fr-FR"/>
        </w:rPr>
        <w:t>.</w:t>
      </w:r>
    </w:p>
    <w:p w14:paraId="268B58CC" w14:textId="1AB2431D" w:rsidR="000D44E1" w:rsidRPr="000D44E1" w:rsidRDefault="000D44E1" w:rsidP="000D44E1">
      <w:pPr>
        <w:autoSpaceDE w:val="0"/>
        <w:autoSpaceDN w:val="0"/>
        <w:ind w:firstLine="708"/>
        <w:jc w:val="both"/>
        <w:rPr>
          <w:rFonts w:asciiTheme="minorHAnsi" w:hAnsiTheme="minorHAnsi" w:cstheme="minorHAnsi"/>
          <w:sz w:val="26"/>
          <w:szCs w:val="26"/>
        </w:rPr>
      </w:pPr>
      <w:r w:rsidRPr="00261D6B">
        <w:rPr>
          <w:rFonts w:asciiTheme="minorHAnsi" w:hAnsiTheme="minorHAnsi" w:cstheme="minorHAnsi"/>
          <w:sz w:val="26"/>
          <w:szCs w:val="26"/>
          <w:lang w:val="fr-FR"/>
        </w:rPr>
        <w:t xml:space="preserve">Un </w:t>
      </w:r>
      <w:proofErr w:type="spellStart"/>
      <w:r w:rsidRPr="00261D6B">
        <w:rPr>
          <w:rFonts w:asciiTheme="minorHAnsi" w:hAnsiTheme="minorHAnsi" w:cstheme="minorHAnsi"/>
          <w:sz w:val="26"/>
          <w:szCs w:val="26"/>
          <w:lang w:val="fr-FR"/>
        </w:rPr>
        <w:t>element</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referinţă</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în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ceea</w:t>
      </w:r>
      <w:proofErr w:type="spellEnd"/>
      <w:r w:rsidRPr="00261D6B">
        <w:rPr>
          <w:rFonts w:asciiTheme="minorHAnsi" w:hAnsiTheme="minorHAnsi" w:cstheme="minorHAnsi"/>
          <w:sz w:val="26"/>
          <w:szCs w:val="26"/>
          <w:lang w:val="fr-FR"/>
        </w:rPr>
        <w:t xml:space="preserve"> ce </w:t>
      </w:r>
      <w:proofErr w:type="spellStart"/>
      <w:r w:rsidRPr="00261D6B">
        <w:rPr>
          <w:rFonts w:asciiTheme="minorHAnsi" w:hAnsiTheme="minorHAnsi" w:cstheme="minorHAnsi"/>
          <w:sz w:val="26"/>
          <w:szCs w:val="26"/>
          <w:lang w:val="fr-FR"/>
        </w:rPr>
        <w:t>priveşte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situaţia</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posturilor</w:t>
      </w:r>
      <w:proofErr w:type="spellEnd"/>
      <w:r w:rsidRPr="00261D6B">
        <w:rPr>
          <w:rFonts w:asciiTheme="minorHAnsi" w:hAnsiTheme="minorHAnsi" w:cstheme="minorHAnsi"/>
          <w:sz w:val="26"/>
          <w:szCs w:val="26"/>
          <w:lang w:val="fr-FR"/>
        </w:rPr>
        <w:t xml:space="preserve"> la </w:t>
      </w:r>
      <w:proofErr w:type="spellStart"/>
      <w:r w:rsidRPr="00261D6B">
        <w:rPr>
          <w:rFonts w:asciiTheme="minorHAnsi" w:hAnsiTheme="minorHAnsi" w:cstheme="minorHAnsi"/>
          <w:sz w:val="26"/>
          <w:szCs w:val="26"/>
          <w:lang w:val="fr-FR"/>
        </w:rPr>
        <w:t>nivelul</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Consiliului</w:t>
      </w:r>
      <w:proofErr w:type="spellEnd"/>
      <w:r w:rsidRPr="00261D6B">
        <w:rPr>
          <w:rFonts w:asciiTheme="minorHAnsi" w:hAnsiTheme="minorHAnsi" w:cstheme="minorHAnsi"/>
          <w:sz w:val="26"/>
          <w:szCs w:val="26"/>
          <w:lang w:val="fr-FR"/>
        </w:rPr>
        <w:t xml:space="preserve"> Superior al </w:t>
      </w:r>
      <w:proofErr w:type="spellStart"/>
      <w:r w:rsidRPr="00261D6B">
        <w:rPr>
          <w:rFonts w:asciiTheme="minorHAnsi" w:hAnsiTheme="minorHAnsi" w:cstheme="minorHAnsi"/>
          <w:sz w:val="26"/>
          <w:szCs w:val="26"/>
          <w:lang w:val="fr-FR"/>
        </w:rPr>
        <w:t>Magistraturii</w:t>
      </w:r>
      <w:proofErr w:type="spellEnd"/>
      <w:r w:rsidRPr="00261D6B">
        <w:rPr>
          <w:rFonts w:asciiTheme="minorHAnsi" w:hAnsiTheme="minorHAnsi" w:cstheme="minorHAnsi"/>
          <w:sz w:val="26"/>
          <w:szCs w:val="26"/>
          <w:lang w:val="fr-FR"/>
        </w:rPr>
        <w:t xml:space="preserve"> este </w:t>
      </w:r>
      <w:proofErr w:type="spellStart"/>
      <w:r w:rsidRPr="00261D6B">
        <w:rPr>
          <w:rFonts w:asciiTheme="minorHAnsi" w:hAnsiTheme="minorHAnsi" w:cstheme="minorHAnsi"/>
          <w:sz w:val="26"/>
          <w:szCs w:val="26"/>
          <w:lang w:val="fr-FR"/>
        </w:rPr>
        <w:t>dat</w:t>
      </w:r>
      <w:proofErr w:type="spellEnd"/>
      <w:r w:rsidRPr="00261D6B">
        <w:rPr>
          <w:rFonts w:asciiTheme="minorHAnsi" w:hAnsiTheme="minorHAnsi" w:cstheme="minorHAnsi"/>
          <w:sz w:val="26"/>
          <w:szCs w:val="26"/>
          <w:lang w:val="fr-FR"/>
        </w:rPr>
        <w:t xml:space="preserve"> de </w:t>
      </w:r>
      <w:r w:rsidRPr="000D44E1">
        <w:rPr>
          <w:rFonts w:asciiTheme="minorHAnsi" w:hAnsiTheme="minorHAnsi" w:cstheme="minorHAnsi"/>
          <w:sz w:val="26"/>
          <w:szCs w:val="26"/>
        </w:rPr>
        <w:t xml:space="preserve">faptul că, </w:t>
      </w:r>
      <w:r w:rsidRPr="000D44E1">
        <w:rPr>
          <w:rFonts w:asciiTheme="minorHAnsi" w:hAnsiTheme="minorHAnsi" w:cstheme="minorHAnsi"/>
          <w:bCs/>
          <w:sz w:val="26"/>
          <w:szCs w:val="26"/>
        </w:rPr>
        <w:t>la data de 14 decembrie 2023, a fost publicată, în Monitorul Oficial al României – Partea I nr. 1132, Legea nr. 393/2023 privind statutul asistentului judecătorului</w:t>
      </w:r>
      <w:r w:rsidRPr="000D44E1">
        <w:rPr>
          <w:rFonts w:asciiTheme="minorHAnsi" w:hAnsiTheme="minorHAnsi" w:cstheme="minorHAnsi"/>
          <w:sz w:val="26"/>
          <w:szCs w:val="26"/>
        </w:rPr>
        <w:t>, act normativ în vigoare începând cu data de 17 decembrie 2023.</w:t>
      </w:r>
    </w:p>
    <w:p w14:paraId="372233FC" w14:textId="630205D4" w:rsidR="000D44E1" w:rsidRPr="000D44E1" w:rsidRDefault="000D44E1" w:rsidP="000D44E1">
      <w:pPr>
        <w:ind w:firstLine="684"/>
        <w:jc w:val="both"/>
        <w:rPr>
          <w:rFonts w:asciiTheme="minorHAnsi" w:hAnsiTheme="minorHAnsi" w:cstheme="minorHAnsi"/>
          <w:sz w:val="26"/>
          <w:szCs w:val="26"/>
        </w:rPr>
      </w:pPr>
      <w:r w:rsidRPr="000D44E1">
        <w:rPr>
          <w:rFonts w:asciiTheme="minorHAnsi" w:hAnsiTheme="minorHAnsi" w:cstheme="minorHAnsi"/>
          <w:sz w:val="26"/>
          <w:szCs w:val="26"/>
        </w:rPr>
        <w:t>Potrivit dispozițiilor art. 48 din Statut, „</w:t>
      </w:r>
      <w:r w:rsidRPr="000D44E1">
        <w:rPr>
          <w:rFonts w:asciiTheme="minorHAnsi" w:hAnsiTheme="minorHAnsi" w:cstheme="minorHAnsi"/>
          <w:i/>
          <w:iCs/>
          <w:sz w:val="26"/>
          <w:szCs w:val="26"/>
        </w:rPr>
        <w:t xml:space="preserve">începând cu data intrării în vigoare a prezentei legi, experții juriști încadrați la Consiliul Superior al Magistraturii, în conformitate cu dispozițiile Ordonanței de urgență a Guvernului nr. 127/2022 privind înființarea unor posturi de personal contractual în schema de personal a Consiliului Superior al Magistraturii, aprobată prin Legea nr. 384/2022, </w:t>
      </w:r>
      <w:r w:rsidRPr="000D44E1">
        <w:rPr>
          <w:rFonts w:asciiTheme="minorHAnsi" w:hAnsiTheme="minorHAnsi" w:cstheme="minorHAnsi"/>
          <w:b/>
          <w:bCs/>
          <w:sz w:val="26"/>
          <w:szCs w:val="26"/>
        </w:rPr>
        <w:t>sunt încadrați în cadrul curților de apel în a cărei circumscripție își desfășoară activitatea</w:t>
      </w:r>
      <w:r w:rsidRPr="000D44E1">
        <w:rPr>
          <w:rFonts w:asciiTheme="minorHAnsi" w:hAnsiTheme="minorHAnsi" w:cstheme="minorHAnsi"/>
          <w:sz w:val="26"/>
          <w:szCs w:val="26"/>
        </w:rPr>
        <w:t>.</w:t>
      </w:r>
      <w:r w:rsidRPr="000D44E1">
        <w:rPr>
          <w:rFonts w:asciiTheme="minorHAnsi" w:hAnsiTheme="minorHAnsi" w:cstheme="minorHAnsi"/>
          <w:i/>
          <w:iCs/>
          <w:sz w:val="26"/>
          <w:szCs w:val="26"/>
        </w:rPr>
        <w:t xml:space="preserve"> Președintele curții de apel stabilește, prin decizia de încadrare, instanțele judecătorești la care asistenții judecătorului își desfășoară activitatea</w:t>
      </w:r>
      <w:r w:rsidRPr="000D44E1">
        <w:rPr>
          <w:rFonts w:asciiTheme="minorHAnsi" w:hAnsiTheme="minorHAnsi" w:cstheme="minorHAnsi"/>
          <w:sz w:val="26"/>
          <w:szCs w:val="26"/>
        </w:rPr>
        <w:t>.” Acest act normativ prezintă relevanţă asupra evoluţiei posturilor la nivelul Consiliului.</w:t>
      </w:r>
    </w:p>
    <w:p w14:paraId="157B96AF" w14:textId="4BD2C6C6" w:rsidR="00B1514A" w:rsidRPr="00261D6B" w:rsidRDefault="00B1514A" w:rsidP="00690186">
      <w:pPr>
        <w:pStyle w:val="NormalWeb"/>
        <w:spacing w:before="0" w:beforeAutospacing="0" w:after="0" w:afterAutospacing="0"/>
        <w:ind w:firstLine="686"/>
        <w:jc w:val="both"/>
        <w:rPr>
          <w:rFonts w:asciiTheme="minorHAnsi" w:hAnsiTheme="minorHAnsi" w:cstheme="minorHAnsi"/>
          <w:sz w:val="26"/>
          <w:szCs w:val="26"/>
        </w:rPr>
      </w:pPr>
      <w:r w:rsidRPr="00261D6B">
        <w:rPr>
          <w:rFonts w:asciiTheme="minorHAnsi" w:hAnsiTheme="minorHAnsi" w:cstheme="minorHAnsi"/>
          <w:sz w:val="26"/>
          <w:szCs w:val="26"/>
        </w:rPr>
        <w:t>În raport cu procedurile de ocupare a posturilor vacante organizate în anul 2023 şi având în vedere fluctuaţia de personal din perioada de referinţă, la data de</w:t>
      </w:r>
      <w:r w:rsidR="00AE17B8" w:rsidRPr="00261D6B">
        <w:rPr>
          <w:rFonts w:asciiTheme="minorHAnsi" w:hAnsiTheme="minorHAnsi" w:cstheme="minorHAnsi"/>
          <w:sz w:val="26"/>
          <w:szCs w:val="26"/>
        </w:rPr>
        <w:t xml:space="preserve"> </w:t>
      </w:r>
      <w:r w:rsidR="000D44E1" w:rsidRPr="00261D6B">
        <w:rPr>
          <w:rFonts w:asciiTheme="minorHAnsi" w:hAnsiTheme="minorHAnsi" w:cstheme="minorHAnsi"/>
          <w:sz w:val="26"/>
          <w:szCs w:val="26"/>
        </w:rPr>
        <w:t xml:space="preserve">31 </w:t>
      </w:r>
      <w:r w:rsidR="00AE17B8" w:rsidRPr="00261D6B">
        <w:rPr>
          <w:rFonts w:asciiTheme="minorHAnsi" w:hAnsiTheme="minorHAnsi" w:cstheme="minorHAnsi"/>
          <w:sz w:val="26"/>
          <w:szCs w:val="26"/>
        </w:rPr>
        <w:t xml:space="preserve">decembrie </w:t>
      </w:r>
      <w:r w:rsidRPr="00261D6B">
        <w:rPr>
          <w:rFonts w:asciiTheme="minorHAnsi" w:hAnsiTheme="minorHAnsi" w:cstheme="minorHAnsi"/>
          <w:sz w:val="26"/>
          <w:szCs w:val="26"/>
        </w:rPr>
        <w:t xml:space="preserve">2023, în cadrul aparatului propriu al Consiliului Superior al Magistraturii erau ocupate </w:t>
      </w:r>
      <w:r w:rsidR="000D44E1" w:rsidRPr="00261D6B">
        <w:rPr>
          <w:rFonts w:asciiTheme="minorHAnsi" w:hAnsiTheme="minorHAnsi" w:cstheme="minorHAnsi"/>
          <w:sz w:val="26"/>
          <w:szCs w:val="26"/>
        </w:rPr>
        <w:t>228</w:t>
      </w:r>
      <w:r w:rsidRPr="00261D6B">
        <w:rPr>
          <w:rFonts w:asciiTheme="minorHAnsi" w:hAnsiTheme="minorHAnsi" w:cstheme="minorHAnsi"/>
          <w:sz w:val="26"/>
          <w:szCs w:val="26"/>
        </w:rPr>
        <w:t xml:space="preserve"> de posturi, din totalul de</w:t>
      </w:r>
      <w:r w:rsidR="000D44E1" w:rsidRPr="00261D6B">
        <w:rPr>
          <w:rFonts w:asciiTheme="minorHAnsi" w:hAnsiTheme="minorHAnsi" w:cstheme="minorHAnsi"/>
          <w:sz w:val="26"/>
          <w:szCs w:val="26"/>
        </w:rPr>
        <w:t xml:space="preserve"> 249 de</w:t>
      </w:r>
      <w:r w:rsidRPr="00261D6B">
        <w:rPr>
          <w:rFonts w:asciiTheme="minorHAnsi" w:hAnsiTheme="minorHAnsi" w:cstheme="minorHAnsi"/>
          <w:sz w:val="26"/>
          <w:szCs w:val="26"/>
        </w:rPr>
        <w:t xml:space="preserve"> posturi finanţate.</w:t>
      </w:r>
    </w:p>
    <w:p w14:paraId="41D218C1" w14:textId="7D73BD26" w:rsidR="001671DE" w:rsidRPr="00261D6B" w:rsidRDefault="001671DE" w:rsidP="00690186">
      <w:pPr>
        <w:pStyle w:val="NormalWeb"/>
        <w:spacing w:before="0" w:beforeAutospacing="0" w:after="0" w:afterAutospacing="0"/>
        <w:ind w:firstLine="686"/>
        <w:jc w:val="both"/>
        <w:rPr>
          <w:rFonts w:asciiTheme="minorHAnsi" w:hAnsiTheme="minorHAnsi" w:cstheme="minorHAnsi"/>
          <w:sz w:val="26"/>
          <w:szCs w:val="26"/>
          <w:lang w:val="fr-FR"/>
        </w:rPr>
      </w:pPr>
      <w:proofErr w:type="spellStart"/>
      <w:r w:rsidRPr="00261D6B">
        <w:rPr>
          <w:rFonts w:asciiTheme="minorHAnsi" w:hAnsiTheme="minorHAnsi" w:cstheme="minorHAnsi"/>
          <w:sz w:val="26"/>
          <w:szCs w:val="26"/>
          <w:lang w:val="fr-FR"/>
        </w:rPr>
        <w:t>Situaţia</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posturilor</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ocupate</w:t>
      </w:r>
      <w:proofErr w:type="spellEnd"/>
      <w:r w:rsidRPr="00261D6B">
        <w:rPr>
          <w:rFonts w:asciiTheme="minorHAnsi" w:hAnsiTheme="minorHAnsi" w:cstheme="minorHAnsi"/>
          <w:sz w:val="26"/>
          <w:szCs w:val="26"/>
          <w:lang w:val="fr-FR"/>
        </w:rPr>
        <w:t xml:space="preserve"> la data de </w:t>
      </w:r>
      <w:r w:rsidR="000D44E1" w:rsidRPr="00261D6B">
        <w:rPr>
          <w:rFonts w:asciiTheme="minorHAnsi" w:hAnsiTheme="minorHAnsi" w:cstheme="minorHAnsi"/>
          <w:sz w:val="26"/>
          <w:szCs w:val="26"/>
          <w:lang w:val="fr-FR"/>
        </w:rPr>
        <w:t>31</w:t>
      </w:r>
      <w:r w:rsidR="00AE17B8" w:rsidRPr="00261D6B">
        <w:rPr>
          <w:rFonts w:asciiTheme="minorHAnsi" w:hAnsiTheme="minorHAnsi" w:cstheme="minorHAnsi"/>
          <w:sz w:val="26"/>
          <w:szCs w:val="26"/>
          <w:lang w:val="fr-FR"/>
        </w:rPr>
        <w:t xml:space="preserve"> </w:t>
      </w:r>
      <w:proofErr w:type="spellStart"/>
      <w:r w:rsidR="00AE17B8" w:rsidRPr="00261D6B">
        <w:rPr>
          <w:rFonts w:asciiTheme="minorHAnsi" w:hAnsiTheme="minorHAnsi" w:cstheme="minorHAnsi"/>
          <w:sz w:val="26"/>
          <w:szCs w:val="26"/>
          <w:lang w:val="fr-FR"/>
        </w:rPr>
        <w:t>decembrie</w:t>
      </w:r>
      <w:proofErr w:type="spellEnd"/>
      <w:r w:rsidR="00AE17B8" w:rsidRPr="00261D6B">
        <w:rPr>
          <w:rFonts w:asciiTheme="minorHAnsi" w:hAnsiTheme="minorHAnsi" w:cstheme="minorHAnsi"/>
          <w:sz w:val="26"/>
          <w:szCs w:val="26"/>
          <w:lang w:val="fr-FR"/>
        </w:rPr>
        <w:t xml:space="preserve"> </w:t>
      </w:r>
      <w:r w:rsidRPr="00261D6B">
        <w:rPr>
          <w:rFonts w:asciiTheme="minorHAnsi" w:hAnsiTheme="minorHAnsi" w:cstheme="minorHAnsi"/>
          <w:sz w:val="26"/>
          <w:szCs w:val="26"/>
          <w:lang w:val="fr-FR"/>
        </w:rPr>
        <w:t xml:space="preserve">2023, </w:t>
      </w:r>
      <w:proofErr w:type="spellStart"/>
      <w:r w:rsidRPr="00261D6B">
        <w:rPr>
          <w:rFonts w:asciiTheme="minorHAnsi" w:hAnsiTheme="minorHAnsi" w:cstheme="minorHAnsi"/>
          <w:sz w:val="26"/>
          <w:szCs w:val="26"/>
          <w:lang w:val="fr-FR"/>
        </w:rPr>
        <w:t>pe</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categorii</w:t>
      </w:r>
      <w:proofErr w:type="spellEnd"/>
      <w:r w:rsidRPr="00261D6B">
        <w:rPr>
          <w:rFonts w:asciiTheme="minorHAnsi" w:hAnsiTheme="minorHAnsi" w:cstheme="minorHAnsi"/>
          <w:sz w:val="26"/>
          <w:szCs w:val="26"/>
          <w:lang w:val="fr-FR"/>
        </w:rPr>
        <w:t xml:space="preserve"> de </w:t>
      </w:r>
      <w:proofErr w:type="spellStart"/>
      <w:r w:rsidRPr="00261D6B">
        <w:rPr>
          <w:rFonts w:asciiTheme="minorHAnsi" w:hAnsiTheme="minorHAnsi" w:cstheme="minorHAnsi"/>
          <w:sz w:val="26"/>
          <w:szCs w:val="26"/>
          <w:lang w:val="fr-FR"/>
        </w:rPr>
        <w:t>personal</w:t>
      </w:r>
      <w:proofErr w:type="spellEnd"/>
      <w:r w:rsidRPr="00261D6B">
        <w:rPr>
          <w:rFonts w:asciiTheme="minorHAnsi" w:hAnsiTheme="minorHAnsi" w:cstheme="minorHAnsi"/>
          <w:sz w:val="26"/>
          <w:szCs w:val="26"/>
          <w:lang w:val="fr-FR"/>
        </w:rPr>
        <w:t xml:space="preserve">, este </w:t>
      </w:r>
      <w:proofErr w:type="spellStart"/>
      <w:r w:rsidRPr="00261D6B">
        <w:rPr>
          <w:rFonts w:asciiTheme="minorHAnsi" w:hAnsiTheme="minorHAnsi" w:cstheme="minorHAnsi"/>
          <w:sz w:val="26"/>
          <w:szCs w:val="26"/>
          <w:lang w:val="fr-FR"/>
        </w:rPr>
        <w:t>redată</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în</w:t>
      </w:r>
      <w:proofErr w:type="spellEnd"/>
      <w:r w:rsidRPr="00261D6B">
        <w:rPr>
          <w:rFonts w:asciiTheme="minorHAnsi" w:hAnsiTheme="minorHAnsi" w:cstheme="minorHAnsi"/>
          <w:sz w:val="26"/>
          <w:szCs w:val="26"/>
          <w:lang w:val="fr-FR"/>
        </w:rPr>
        <w:t xml:space="preserve"> </w:t>
      </w:r>
      <w:proofErr w:type="spellStart"/>
      <w:r w:rsidRPr="00261D6B">
        <w:rPr>
          <w:rFonts w:asciiTheme="minorHAnsi" w:hAnsiTheme="minorHAnsi" w:cstheme="minorHAnsi"/>
          <w:sz w:val="26"/>
          <w:szCs w:val="26"/>
          <w:lang w:val="fr-FR"/>
        </w:rPr>
        <w:t>tabelul</w:t>
      </w:r>
      <w:proofErr w:type="spellEnd"/>
      <w:r w:rsidRPr="00261D6B">
        <w:rPr>
          <w:rFonts w:asciiTheme="minorHAnsi" w:hAnsiTheme="minorHAnsi" w:cstheme="minorHAnsi"/>
          <w:sz w:val="26"/>
          <w:szCs w:val="26"/>
          <w:lang w:val="fr-FR"/>
        </w:rPr>
        <w:t xml:space="preserve"> de mai </w:t>
      </w:r>
      <w:proofErr w:type="spellStart"/>
      <w:proofErr w:type="gramStart"/>
      <w:r w:rsidRPr="00261D6B">
        <w:rPr>
          <w:rFonts w:asciiTheme="minorHAnsi" w:hAnsiTheme="minorHAnsi" w:cstheme="minorHAnsi"/>
          <w:sz w:val="26"/>
          <w:szCs w:val="26"/>
          <w:lang w:val="fr-FR"/>
        </w:rPr>
        <w:t>jos</w:t>
      </w:r>
      <w:proofErr w:type="spellEnd"/>
      <w:r w:rsidRPr="00261D6B">
        <w:rPr>
          <w:rFonts w:asciiTheme="minorHAnsi" w:hAnsiTheme="minorHAnsi" w:cstheme="minorHAnsi"/>
          <w:sz w:val="26"/>
          <w:szCs w:val="26"/>
          <w:lang w:val="fr-FR"/>
        </w:rPr>
        <w:t>:</w:t>
      </w:r>
      <w:proofErr w:type="gramEnd"/>
    </w:p>
    <w:tbl>
      <w:tblPr>
        <w:tblW w:w="4997" w:type="pct"/>
        <w:tblCellMar>
          <w:left w:w="0" w:type="dxa"/>
          <w:right w:w="0" w:type="dxa"/>
        </w:tblCellMar>
        <w:tblLook w:val="04A0" w:firstRow="1" w:lastRow="0" w:firstColumn="1" w:lastColumn="0" w:noHBand="0" w:noVBand="1"/>
      </w:tblPr>
      <w:tblGrid>
        <w:gridCol w:w="4841"/>
        <w:gridCol w:w="2426"/>
        <w:gridCol w:w="2911"/>
      </w:tblGrid>
      <w:tr w:rsidR="00564DC7" w:rsidRPr="00564DC7" w14:paraId="66D23F5B" w14:textId="77777777" w:rsidTr="001671DE">
        <w:trPr>
          <w:trHeight w:val="387"/>
          <w:tblHeader/>
        </w:trPr>
        <w:tc>
          <w:tcPr>
            <w:tcW w:w="2378"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40C79E8"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Natura funcţiei</w:t>
            </w:r>
          </w:p>
        </w:tc>
        <w:tc>
          <w:tcPr>
            <w:tcW w:w="2622"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DAD924B" w14:textId="3ABBD42B"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Situaţia posturilor la data</w:t>
            </w:r>
            <w:r w:rsidR="000D44E1">
              <w:rPr>
                <w:rFonts w:asciiTheme="minorHAnsi" w:hAnsiTheme="minorHAnsi" w:cstheme="minorHAnsi"/>
                <w:sz w:val="26"/>
                <w:szCs w:val="26"/>
              </w:rPr>
              <w:t xml:space="preserve"> 31</w:t>
            </w:r>
            <w:r w:rsidR="00AE17B8">
              <w:rPr>
                <w:rFonts w:asciiTheme="minorHAnsi" w:hAnsiTheme="minorHAnsi" w:cstheme="minorHAnsi"/>
                <w:sz w:val="26"/>
                <w:szCs w:val="26"/>
              </w:rPr>
              <w:t>.12</w:t>
            </w:r>
            <w:r w:rsidRPr="00564DC7">
              <w:rPr>
                <w:rFonts w:asciiTheme="minorHAnsi" w:hAnsiTheme="minorHAnsi" w:cstheme="minorHAnsi"/>
                <w:sz w:val="26"/>
                <w:szCs w:val="26"/>
              </w:rPr>
              <w:t>.2023</w:t>
            </w:r>
          </w:p>
        </w:tc>
      </w:tr>
      <w:tr w:rsidR="00564DC7" w:rsidRPr="00564DC7" w14:paraId="50C50CBB" w14:textId="77777777" w:rsidTr="001671DE">
        <w:trPr>
          <w:trHeight w:val="387"/>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AD5666B" w14:textId="77777777" w:rsidR="001671DE" w:rsidRPr="00564DC7" w:rsidRDefault="001671DE" w:rsidP="00690186">
            <w:pPr>
              <w:rPr>
                <w:rFonts w:asciiTheme="minorHAnsi" w:hAnsiTheme="minorHAnsi" w:cstheme="minorHAnsi"/>
                <w:sz w:val="26"/>
                <w:szCs w:val="26"/>
                <w:lang w:eastAsia="ro-RO"/>
              </w:rPr>
            </w:pP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7C6E0F9"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Posturi finanţate</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B1A2F4"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Posturi ocupate</w:t>
            </w:r>
          </w:p>
        </w:tc>
      </w:tr>
      <w:tr w:rsidR="00564DC7" w:rsidRPr="00564DC7" w14:paraId="015CC996" w14:textId="77777777" w:rsidTr="001671DE">
        <w:trPr>
          <w:trHeight w:val="759"/>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865493"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Personal de specialitate juridică asimilat judecătorilor şi procurorilor</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6761CB"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93</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F9325" w14:textId="62F259CE"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8</w:t>
            </w:r>
            <w:r w:rsidR="00AE17B8">
              <w:rPr>
                <w:rFonts w:asciiTheme="minorHAnsi" w:hAnsiTheme="minorHAnsi" w:cstheme="minorHAnsi"/>
                <w:sz w:val="26"/>
                <w:szCs w:val="26"/>
              </w:rPr>
              <w:t>3</w:t>
            </w:r>
          </w:p>
        </w:tc>
      </w:tr>
      <w:tr w:rsidR="00564DC7" w:rsidRPr="00564DC7" w14:paraId="13619069" w14:textId="77777777" w:rsidTr="001671DE">
        <w:trPr>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AE3C7B"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Funcţii publice</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533558"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57</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23D2C"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t>51</w:t>
            </w:r>
          </w:p>
        </w:tc>
      </w:tr>
      <w:tr w:rsidR="00564DC7" w:rsidRPr="00564DC7" w14:paraId="2AD9A9AC" w14:textId="77777777" w:rsidTr="001671DE">
        <w:trPr>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DD44D" w14:textId="77777777" w:rsidR="001671DE" w:rsidRPr="00564DC7" w:rsidRDefault="001671DE" w:rsidP="00690186">
            <w:pPr>
              <w:pStyle w:val="NormalWeb"/>
              <w:spacing w:before="0" w:beforeAutospacing="0" w:after="0" w:afterAutospacing="0"/>
              <w:jc w:val="center"/>
              <w:rPr>
                <w:rFonts w:asciiTheme="minorHAnsi" w:hAnsiTheme="minorHAnsi" w:cstheme="minorHAnsi"/>
                <w:sz w:val="26"/>
                <w:szCs w:val="26"/>
              </w:rPr>
            </w:pPr>
            <w:r w:rsidRPr="00564DC7">
              <w:rPr>
                <w:rFonts w:asciiTheme="minorHAnsi" w:hAnsiTheme="minorHAnsi" w:cstheme="minorHAnsi"/>
                <w:sz w:val="26"/>
                <w:szCs w:val="26"/>
              </w:rPr>
              <w:lastRenderedPageBreak/>
              <w:t>Personal contractual</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664BD" w14:textId="3674D3EA" w:rsidR="001671DE" w:rsidRPr="00564DC7" w:rsidRDefault="000D44E1" w:rsidP="00690186">
            <w:pPr>
              <w:pStyle w:val="NormalWeb"/>
              <w:spacing w:before="0" w:beforeAutospacing="0" w:after="0" w:afterAutospacing="0"/>
              <w:jc w:val="center"/>
              <w:rPr>
                <w:rFonts w:asciiTheme="minorHAnsi" w:hAnsiTheme="minorHAnsi" w:cstheme="minorHAnsi"/>
                <w:sz w:val="26"/>
                <w:szCs w:val="26"/>
              </w:rPr>
            </w:pPr>
            <w:r>
              <w:rPr>
                <w:rFonts w:asciiTheme="minorHAnsi" w:hAnsiTheme="minorHAnsi" w:cstheme="minorHAnsi"/>
                <w:sz w:val="26"/>
                <w:szCs w:val="26"/>
              </w:rPr>
              <w:t>99</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38D8A" w14:textId="7FFFF0AB" w:rsidR="001671DE" w:rsidRPr="00564DC7" w:rsidRDefault="000D44E1" w:rsidP="00690186">
            <w:pPr>
              <w:pStyle w:val="NormalWeb"/>
              <w:spacing w:before="0" w:beforeAutospacing="0" w:after="0" w:afterAutospacing="0"/>
              <w:jc w:val="center"/>
              <w:rPr>
                <w:rFonts w:asciiTheme="minorHAnsi" w:hAnsiTheme="minorHAnsi" w:cstheme="minorHAnsi"/>
                <w:sz w:val="26"/>
                <w:szCs w:val="26"/>
              </w:rPr>
            </w:pPr>
            <w:r>
              <w:rPr>
                <w:rFonts w:asciiTheme="minorHAnsi" w:hAnsiTheme="minorHAnsi" w:cstheme="minorHAnsi"/>
                <w:sz w:val="26"/>
                <w:szCs w:val="26"/>
              </w:rPr>
              <w:t>94</w:t>
            </w:r>
          </w:p>
        </w:tc>
      </w:tr>
      <w:tr w:rsidR="00564DC7" w:rsidRPr="00564DC7" w14:paraId="1EFF24F8" w14:textId="77777777" w:rsidTr="001671DE">
        <w:trPr>
          <w:trHeight w:val="387"/>
        </w:trPr>
        <w:tc>
          <w:tcPr>
            <w:tcW w:w="2378"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B4EEA59" w14:textId="77777777" w:rsidR="001671DE" w:rsidRPr="00564DC7" w:rsidRDefault="001671DE" w:rsidP="00690186">
            <w:pPr>
              <w:pStyle w:val="NormalWeb"/>
              <w:spacing w:before="0" w:beforeAutospacing="0" w:after="0" w:afterAutospacing="0"/>
              <w:jc w:val="center"/>
              <w:rPr>
                <w:rFonts w:asciiTheme="minorHAnsi" w:hAnsiTheme="minorHAnsi" w:cstheme="minorHAnsi"/>
                <w:b/>
                <w:bCs/>
                <w:sz w:val="26"/>
                <w:szCs w:val="26"/>
              </w:rPr>
            </w:pPr>
            <w:r w:rsidRPr="00564DC7">
              <w:rPr>
                <w:rFonts w:asciiTheme="minorHAnsi" w:hAnsiTheme="minorHAnsi" w:cstheme="minorHAnsi"/>
                <w:b/>
                <w:bCs/>
                <w:sz w:val="26"/>
                <w:szCs w:val="26"/>
              </w:rPr>
              <w:t>Total</w:t>
            </w: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D814162" w14:textId="19409222" w:rsidR="001671DE" w:rsidRPr="00564DC7" w:rsidRDefault="000D44E1" w:rsidP="00690186">
            <w:pPr>
              <w:pStyle w:val="NormalWeb"/>
              <w:spacing w:before="0" w:beforeAutospacing="0" w:after="0" w:afterAutospacing="0"/>
              <w:jc w:val="center"/>
              <w:rPr>
                <w:rFonts w:asciiTheme="minorHAnsi" w:hAnsiTheme="minorHAnsi" w:cstheme="minorHAnsi"/>
                <w:b/>
                <w:bCs/>
                <w:sz w:val="26"/>
                <w:szCs w:val="26"/>
              </w:rPr>
            </w:pPr>
            <w:r>
              <w:rPr>
                <w:rFonts w:asciiTheme="minorHAnsi" w:hAnsiTheme="minorHAnsi" w:cstheme="minorHAnsi"/>
                <w:b/>
                <w:bCs/>
                <w:sz w:val="26"/>
                <w:szCs w:val="26"/>
              </w:rPr>
              <w:t>249</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2B6198F" w14:textId="2FAFD43E" w:rsidR="001671DE" w:rsidRPr="00564DC7" w:rsidRDefault="000D44E1" w:rsidP="00690186">
            <w:pPr>
              <w:pStyle w:val="NormalWeb"/>
              <w:spacing w:before="0" w:beforeAutospacing="0" w:after="0" w:afterAutospacing="0"/>
              <w:jc w:val="center"/>
              <w:rPr>
                <w:rFonts w:asciiTheme="minorHAnsi" w:hAnsiTheme="minorHAnsi" w:cstheme="minorHAnsi"/>
                <w:b/>
                <w:bCs/>
                <w:sz w:val="26"/>
                <w:szCs w:val="26"/>
              </w:rPr>
            </w:pPr>
            <w:r>
              <w:rPr>
                <w:rFonts w:asciiTheme="minorHAnsi" w:hAnsiTheme="minorHAnsi" w:cstheme="minorHAnsi"/>
                <w:b/>
                <w:bCs/>
                <w:sz w:val="26"/>
                <w:szCs w:val="26"/>
              </w:rPr>
              <w:t>228</w:t>
            </w:r>
          </w:p>
        </w:tc>
      </w:tr>
    </w:tbl>
    <w:p w14:paraId="408CD7F2" w14:textId="77777777" w:rsidR="00B1514A" w:rsidRDefault="00B1514A" w:rsidP="00690186">
      <w:pPr>
        <w:pStyle w:val="Heading3"/>
        <w:spacing w:line="240" w:lineRule="auto"/>
        <w:ind w:firstLine="708"/>
        <w:rPr>
          <w:rFonts w:cstheme="minorHAnsi"/>
          <w:bCs/>
          <w:color w:val="auto"/>
          <w:szCs w:val="26"/>
        </w:rPr>
      </w:pPr>
      <w:bookmarkStart w:id="25" w:name="_Toc155267866"/>
      <w:r w:rsidRPr="00564DC7">
        <w:rPr>
          <w:rFonts w:cstheme="minorHAnsi"/>
          <w:bCs/>
          <w:color w:val="auto"/>
          <w:szCs w:val="26"/>
        </w:rPr>
        <w:t>I.3.2.2. Funcţii de conducere</w:t>
      </w:r>
      <w:bookmarkEnd w:id="21"/>
      <w:bookmarkEnd w:id="22"/>
      <w:bookmarkEnd w:id="23"/>
      <w:bookmarkEnd w:id="24"/>
      <w:bookmarkEnd w:id="25"/>
    </w:p>
    <w:p w14:paraId="2C9B7733" w14:textId="77777777" w:rsidR="00633795" w:rsidRPr="00564DC7" w:rsidRDefault="00633795" w:rsidP="00633795">
      <w:pPr>
        <w:pStyle w:val="Default"/>
        <w:ind w:firstLine="708"/>
        <w:jc w:val="both"/>
        <w:rPr>
          <w:rFonts w:asciiTheme="minorHAnsi" w:hAnsiTheme="minorHAnsi" w:cstheme="minorHAnsi"/>
          <w:color w:val="auto"/>
          <w:sz w:val="26"/>
          <w:szCs w:val="26"/>
        </w:rPr>
      </w:pPr>
      <w:r w:rsidRPr="00564DC7">
        <w:rPr>
          <w:rFonts w:asciiTheme="minorHAnsi" w:hAnsiTheme="minorHAnsi" w:cstheme="minorHAnsi"/>
          <w:color w:val="auto"/>
          <w:sz w:val="26"/>
          <w:szCs w:val="26"/>
        </w:rPr>
        <w:t>La data de 31 decembrie 2022, numărul funcţiilor de conducere prevăzute la nivelul aparatului propriu al Consiliului era de 29,</w:t>
      </w:r>
      <w:r>
        <w:rPr>
          <w:rFonts w:asciiTheme="minorHAnsi" w:hAnsiTheme="minorHAnsi" w:cstheme="minorHAnsi"/>
          <w:color w:val="auto"/>
          <w:sz w:val="26"/>
          <w:szCs w:val="26"/>
        </w:rPr>
        <w:t xml:space="preserve"> două</w:t>
      </w:r>
      <w:r w:rsidRPr="00564DC7">
        <w:rPr>
          <w:rFonts w:asciiTheme="minorHAnsi" w:hAnsiTheme="minorHAnsi" w:cstheme="minorHAnsi"/>
          <w:color w:val="auto"/>
          <w:sz w:val="26"/>
          <w:szCs w:val="26"/>
        </w:rPr>
        <w:t xml:space="preserve"> dintre acestea </w:t>
      </w:r>
      <w:r>
        <w:rPr>
          <w:rFonts w:asciiTheme="minorHAnsi" w:hAnsiTheme="minorHAnsi" w:cstheme="minorHAnsi"/>
          <w:color w:val="auto"/>
          <w:sz w:val="26"/>
          <w:szCs w:val="26"/>
        </w:rPr>
        <w:t>fiind</w:t>
      </w:r>
      <w:r w:rsidRPr="00564DC7">
        <w:rPr>
          <w:rFonts w:asciiTheme="minorHAnsi" w:hAnsiTheme="minorHAnsi" w:cstheme="minorHAnsi"/>
          <w:color w:val="auto"/>
          <w:sz w:val="26"/>
          <w:szCs w:val="26"/>
        </w:rPr>
        <w:t xml:space="preserve"> ocupate prin numire, 21 de funcţii prin delegare, iar 6 funcţii erau vacante, după cum urmează:</w:t>
      </w:r>
    </w:p>
    <w:p w14:paraId="56B94BA4"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 xml:space="preserve">director adjunct – Direcţia economică şi administrativ – </w:t>
      </w:r>
      <w:r w:rsidRPr="00564DC7">
        <w:rPr>
          <w:rFonts w:asciiTheme="minorHAnsi" w:hAnsiTheme="minorHAnsi" w:cstheme="minorHAnsi"/>
          <w:bCs/>
          <w:sz w:val="26"/>
          <w:szCs w:val="26"/>
        </w:rPr>
        <w:t>funcţie publică</w:t>
      </w:r>
    </w:p>
    <w:p w14:paraId="1D97B1F7"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șef serviciu – Serviciul resurse umane pentru parchete</w:t>
      </w:r>
    </w:p>
    <w:p w14:paraId="5F930CF9"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 xml:space="preserve">șef serviciu – Serviciul programe europene şi internaţionale – </w:t>
      </w:r>
      <w:r w:rsidRPr="00564DC7">
        <w:rPr>
          <w:rFonts w:asciiTheme="minorHAnsi" w:hAnsiTheme="minorHAnsi" w:cstheme="minorHAnsi"/>
          <w:bCs/>
          <w:sz w:val="26"/>
          <w:szCs w:val="26"/>
        </w:rPr>
        <w:t>funcţie publică</w:t>
      </w:r>
    </w:p>
    <w:p w14:paraId="276587CC"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şef birou – Biroul de informare publică şi relaţii cu mass-media</w:t>
      </w:r>
    </w:p>
    <w:p w14:paraId="7D1760B1"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şef birou – Biroul formare profesională</w:t>
      </w:r>
    </w:p>
    <w:p w14:paraId="04E5605D"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 xml:space="preserve">şef birou – Biroul contabilitate – </w:t>
      </w:r>
      <w:r w:rsidRPr="00564DC7">
        <w:rPr>
          <w:rFonts w:asciiTheme="minorHAnsi" w:hAnsiTheme="minorHAnsi" w:cstheme="minorHAnsi"/>
          <w:bCs/>
          <w:sz w:val="26"/>
          <w:szCs w:val="26"/>
        </w:rPr>
        <w:t>funcţie publică</w:t>
      </w:r>
      <w:r w:rsidRPr="00564DC7">
        <w:rPr>
          <w:rFonts w:asciiTheme="minorHAnsi" w:hAnsiTheme="minorHAnsi" w:cstheme="minorHAnsi"/>
          <w:sz w:val="26"/>
          <w:szCs w:val="26"/>
        </w:rPr>
        <w:t xml:space="preserve">. </w:t>
      </w:r>
    </w:p>
    <w:p w14:paraId="6EAE7F36" w14:textId="45D27945" w:rsidR="00B1514A" w:rsidRPr="00564DC7" w:rsidRDefault="00B1514A" w:rsidP="00690186">
      <w:pPr>
        <w:pStyle w:val="Default"/>
        <w:ind w:firstLine="708"/>
        <w:jc w:val="both"/>
        <w:rPr>
          <w:rFonts w:asciiTheme="minorHAnsi" w:hAnsiTheme="minorHAnsi" w:cstheme="minorHAnsi"/>
          <w:color w:val="auto"/>
          <w:sz w:val="26"/>
          <w:szCs w:val="26"/>
        </w:rPr>
      </w:pPr>
      <w:r w:rsidRPr="00564DC7">
        <w:rPr>
          <w:rFonts w:asciiTheme="minorHAnsi" w:hAnsiTheme="minorHAnsi" w:cstheme="minorHAnsi"/>
          <w:color w:val="auto"/>
          <w:sz w:val="26"/>
          <w:szCs w:val="26"/>
        </w:rPr>
        <w:t xml:space="preserve">La data de </w:t>
      </w:r>
      <w:r w:rsidR="008F4D36">
        <w:rPr>
          <w:rFonts w:asciiTheme="minorHAnsi" w:hAnsiTheme="minorHAnsi" w:cstheme="minorHAnsi"/>
          <w:color w:val="auto"/>
          <w:sz w:val="26"/>
          <w:szCs w:val="26"/>
        </w:rPr>
        <w:t xml:space="preserve">31 </w:t>
      </w:r>
      <w:r w:rsidR="002D02D1">
        <w:rPr>
          <w:rFonts w:asciiTheme="minorHAnsi" w:hAnsiTheme="minorHAnsi" w:cstheme="minorHAnsi"/>
          <w:color w:val="auto"/>
          <w:sz w:val="26"/>
          <w:szCs w:val="26"/>
        </w:rPr>
        <w:t>decembrie</w:t>
      </w:r>
      <w:r w:rsidRPr="00564DC7">
        <w:rPr>
          <w:rFonts w:asciiTheme="minorHAnsi" w:hAnsiTheme="minorHAnsi" w:cstheme="minorHAnsi"/>
          <w:color w:val="auto"/>
          <w:sz w:val="26"/>
          <w:szCs w:val="26"/>
        </w:rPr>
        <w:t xml:space="preserve"> 2023, numărul funcţiilor de conducere prevăzute la nivelul aparatului propriu al Consiliului Superior al Magistraturii era de 2</w:t>
      </w:r>
      <w:r w:rsidR="008F4D36">
        <w:rPr>
          <w:rFonts w:asciiTheme="minorHAnsi" w:hAnsiTheme="minorHAnsi" w:cstheme="minorHAnsi"/>
          <w:color w:val="auto"/>
          <w:sz w:val="26"/>
          <w:szCs w:val="26"/>
        </w:rPr>
        <w:t>8</w:t>
      </w:r>
      <w:r w:rsidRPr="00564DC7">
        <w:rPr>
          <w:rFonts w:asciiTheme="minorHAnsi" w:hAnsiTheme="minorHAnsi" w:cstheme="minorHAnsi"/>
          <w:color w:val="auto"/>
          <w:sz w:val="26"/>
          <w:szCs w:val="26"/>
        </w:rPr>
        <w:t xml:space="preserve"> de funcţii. Dintre acestea, 3 funcţii erau ocupate prin numire, 2</w:t>
      </w:r>
      <w:r w:rsidR="008F4D36">
        <w:rPr>
          <w:rFonts w:asciiTheme="minorHAnsi" w:hAnsiTheme="minorHAnsi" w:cstheme="minorHAnsi"/>
          <w:color w:val="auto"/>
          <w:sz w:val="26"/>
          <w:szCs w:val="26"/>
        </w:rPr>
        <w:t>0</w:t>
      </w:r>
      <w:r w:rsidRPr="00564DC7">
        <w:rPr>
          <w:rFonts w:asciiTheme="minorHAnsi" w:hAnsiTheme="minorHAnsi" w:cstheme="minorHAnsi"/>
          <w:color w:val="auto"/>
          <w:sz w:val="26"/>
          <w:szCs w:val="26"/>
        </w:rPr>
        <w:t xml:space="preserve"> de funcţii erau exercitate prin delegare, iar 5 funcţii erau vacante, după cum urmează:</w:t>
      </w:r>
    </w:p>
    <w:p w14:paraId="375339FF"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director adjunct – Direcţia resurse umane și organizare</w:t>
      </w:r>
    </w:p>
    <w:p w14:paraId="0EE4BD63"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director adjunct – Direcția legislație, documentare și contencios</w:t>
      </w:r>
    </w:p>
    <w:p w14:paraId="784238F5"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șef serviciu – Serviciul resurse umane pentru instanțele judecătorești</w:t>
      </w:r>
    </w:p>
    <w:p w14:paraId="1F8FFF79"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şef serviciu – Serviciul salarizare și buget – funcţie publică</w:t>
      </w:r>
    </w:p>
    <w:p w14:paraId="72489128" w14:textId="77777777" w:rsidR="00B1514A" w:rsidRPr="00564DC7" w:rsidRDefault="00B1514A">
      <w:pPr>
        <w:numPr>
          <w:ilvl w:val="0"/>
          <w:numId w:val="16"/>
        </w:numPr>
        <w:ind w:left="810"/>
        <w:rPr>
          <w:rFonts w:asciiTheme="minorHAnsi" w:hAnsiTheme="minorHAnsi" w:cstheme="minorHAnsi"/>
          <w:sz w:val="26"/>
          <w:szCs w:val="26"/>
        </w:rPr>
      </w:pPr>
      <w:r w:rsidRPr="00564DC7">
        <w:rPr>
          <w:rFonts w:asciiTheme="minorHAnsi" w:hAnsiTheme="minorHAnsi" w:cstheme="minorHAnsi"/>
          <w:sz w:val="26"/>
          <w:szCs w:val="26"/>
        </w:rPr>
        <w:t>şef birou – Biroul formare profesională.</w:t>
      </w:r>
    </w:p>
    <w:p w14:paraId="64F5A151" w14:textId="77777777" w:rsidR="00B1514A" w:rsidRPr="00564DC7" w:rsidRDefault="00B1514A" w:rsidP="00690186">
      <w:pPr>
        <w:pStyle w:val="NoSpacing"/>
        <w:tabs>
          <w:tab w:val="left" w:pos="851"/>
          <w:tab w:val="left" w:pos="1276"/>
        </w:tabs>
        <w:jc w:val="both"/>
        <w:rPr>
          <w:rFonts w:asciiTheme="minorHAnsi" w:hAnsiTheme="minorHAnsi" w:cstheme="minorHAnsi"/>
          <w:sz w:val="26"/>
          <w:szCs w:val="26"/>
          <w:lang w:val="ro-RO"/>
        </w:rPr>
      </w:pPr>
    </w:p>
    <w:p w14:paraId="3E3A8EF2" w14:textId="3926B0B8" w:rsidR="00B1514A" w:rsidRPr="000363DB" w:rsidRDefault="00B1514A" w:rsidP="000363DB">
      <w:pPr>
        <w:pStyle w:val="Heading2"/>
        <w:keepLines w:val="0"/>
        <w:spacing w:line="240" w:lineRule="auto"/>
        <w:rPr>
          <w:rFonts w:cstheme="minorHAnsi"/>
          <w:color w:val="auto"/>
          <w:lang w:val="ro-RO"/>
        </w:rPr>
      </w:pPr>
      <w:bookmarkStart w:id="26" w:name="_Toc430867108"/>
      <w:bookmarkStart w:id="27" w:name="_Toc155267867"/>
      <w:bookmarkEnd w:id="9"/>
      <w:r w:rsidRPr="000363DB">
        <w:rPr>
          <w:rFonts w:cstheme="minorHAnsi"/>
          <w:color w:val="auto"/>
          <w:lang w:val="ro-RO"/>
        </w:rPr>
        <w:t>I.4. Demersuri pentru dezvoltarea capacităţii Institutului Naţional al Magistraturii şi a Şcolii Naţionale de Grefieri</w:t>
      </w:r>
      <w:bookmarkEnd w:id="26"/>
      <w:bookmarkEnd w:id="27"/>
    </w:p>
    <w:p w14:paraId="4EA8EA16" w14:textId="195C377A" w:rsidR="00B1514A" w:rsidRPr="00564DC7" w:rsidRDefault="00B1514A" w:rsidP="00C36995">
      <w:pPr>
        <w:pStyle w:val="AddParagraf"/>
        <w:keepNext/>
        <w:spacing w:after="0"/>
        <w:ind w:right="0" w:firstLine="706"/>
        <w:rPr>
          <w:rFonts w:asciiTheme="minorHAnsi" w:hAnsiTheme="minorHAnsi" w:cstheme="minorHAnsi"/>
          <w:b/>
          <w:bCs/>
          <w:sz w:val="26"/>
          <w:szCs w:val="26"/>
        </w:rPr>
      </w:pPr>
      <w:r w:rsidRPr="00564DC7">
        <w:rPr>
          <w:rFonts w:asciiTheme="minorHAnsi" w:hAnsiTheme="minorHAnsi" w:cstheme="minorHAnsi"/>
          <w:b/>
          <w:bCs/>
          <w:sz w:val="26"/>
          <w:szCs w:val="26"/>
        </w:rPr>
        <w:t xml:space="preserve">Institutului Naţional al Magistraturii </w:t>
      </w:r>
    </w:p>
    <w:p w14:paraId="412936E4" w14:textId="77777777" w:rsidR="00B1514A" w:rsidRPr="00564DC7" w:rsidRDefault="00B1514A" w:rsidP="00C36995">
      <w:pPr>
        <w:pStyle w:val="AddParagraf"/>
        <w:keepNext/>
        <w:spacing w:after="0"/>
        <w:ind w:right="0" w:firstLine="706"/>
        <w:rPr>
          <w:rFonts w:asciiTheme="minorHAnsi" w:hAnsiTheme="minorHAnsi" w:cstheme="minorHAnsi"/>
          <w:sz w:val="26"/>
          <w:szCs w:val="26"/>
        </w:rPr>
      </w:pPr>
      <w:r w:rsidRPr="00564DC7">
        <w:rPr>
          <w:rFonts w:asciiTheme="minorHAnsi" w:hAnsiTheme="minorHAnsi" w:cstheme="minorHAnsi"/>
          <w:sz w:val="26"/>
          <w:szCs w:val="26"/>
        </w:rPr>
        <w:t>În cursul anului 2023, demersurile privind dezvoltarea capacității Institutului Național al Magistraturii (INM) au vizat:</w:t>
      </w:r>
    </w:p>
    <w:p w14:paraId="652BAE0E" w14:textId="77777777" w:rsidR="00B1514A" w:rsidRPr="0097656B" w:rsidRDefault="00B1514A" w:rsidP="0097656B">
      <w:pPr>
        <w:pStyle w:val="Heading3"/>
        <w:spacing w:line="240" w:lineRule="auto"/>
        <w:ind w:firstLine="708"/>
        <w:rPr>
          <w:rFonts w:cstheme="minorHAnsi"/>
          <w:bCs/>
          <w:color w:val="auto"/>
          <w:szCs w:val="26"/>
        </w:rPr>
      </w:pPr>
      <w:bookmarkStart w:id="28" w:name="_Toc155267868"/>
      <w:r w:rsidRPr="0097656B">
        <w:rPr>
          <w:rFonts w:cstheme="minorHAnsi"/>
          <w:bCs/>
          <w:color w:val="auto"/>
          <w:szCs w:val="26"/>
        </w:rPr>
        <w:t>I.4.1. Consolidarea capacității instituționale</w:t>
      </w:r>
      <w:bookmarkEnd w:id="28"/>
    </w:p>
    <w:p w14:paraId="57C13822" w14:textId="77777777" w:rsidR="00B1514A" w:rsidRPr="00564DC7" w:rsidRDefault="00B1514A" w:rsidP="00C36995">
      <w:pPr>
        <w:keepNext/>
        <w:ind w:right="43" w:firstLine="706"/>
        <w:jc w:val="both"/>
        <w:rPr>
          <w:rFonts w:asciiTheme="minorHAnsi" w:hAnsiTheme="minorHAnsi" w:cstheme="minorHAnsi"/>
          <w:sz w:val="26"/>
          <w:szCs w:val="26"/>
        </w:rPr>
      </w:pPr>
      <w:r w:rsidRPr="00564DC7">
        <w:rPr>
          <w:rFonts w:asciiTheme="minorHAnsi" w:hAnsiTheme="minorHAnsi" w:cstheme="minorHAnsi"/>
          <w:sz w:val="26"/>
          <w:szCs w:val="26"/>
        </w:rPr>
        <w:t>Având în vedere prevederile Legii nr. 303/2022 privind statutul judecătorilor și procurorilor și Legii nr. 304/2022 privind organizarea judiciară, a fost adoptat un nou Statut al personalului de instruire, aprobat prin decizia Directorului INM nr. 166/14 iulie 2023, în scopul implementării noilor dispoziții legale.</w:t>
      </w:r>
    </w:p>
    <w:p w14:paraId="2A936385" w14:textId="77777777" w:rsidR="00B1514A" w:rsidRPr="00564DC7" w:rsidRDefault="00B1514A" w:rsidP="00690186">
      <w:pPr>
        <w:ind w:right="43" w:firstLine="706"/>
        <w:jc w:val="both"/>
        <w:rPr>
          <w:rFonts w:asciiTheme="minorHAnsi" w:hAnsiTheme="minorHAnsi" w:cstheme="minorHAnsi"/>
          <w:sz w:val="26"/>
          <w:szCs w:val="26"/>
        </w:rPr>
      </w:pPr>
      <w:r w:rsidRPr="00564DC7">
        <w:rPr>
          <w:rFonts w:asciiTheme="minorHAnsi" w:hAnsiTheme="minorHAnsi" w:cstheme="minorHAnsi"/>
          <w:sz w:val="26"/>
          <w:szCs w:val="26"/>
        </w:rPr>
        <w:t xml:space="preserve">Cele mai importante modificări ale Statutului au vizat desfășurarea procedurilor de recrutare a personalului de instruire al INM și modalitatea de evaluare a personalului de instruire. </w:t>
      </w:r>
    </w:p>
    <w:p w14:paraId="69C6C963" w14:textId="77777777" w:rsidR="00B1514A" w:rsidRPr="0097656B" w:rsidRDefault="00B1514A" w:rsidP="0097656B">
      <w:pPr>
        <w:pStyle w:val="Heading3"/>
        <w:spacing w:line="240" w:lineRule="auto"/>
        <w:ind w:firstLine="708"/>
        <w:rPr>
          <w:rFonts w:cstheme="minorHAnsi"/>
          <w:bCs/>
          <w:color w:val="auto"/>
          <w:szCs w:val="26"/>
        </w:rPr>
      </w:pPr>
      <w:bookmarkStart w:id="29" w:name="_Toc155267869"/>
      <w:r w:rsidRPr="0097656B">
        <w:rPr>
          <w:rFonts w:cstheme="minorHAnsi"/>
          <w:bCs/>
          <w:color w:val="auto"/>
          <w:szCs w:val="26"/>
        </w:rPr>
        <w:t>I.4.2. Consolidarea corpului personalului de instruire</w:t>
      </w:r>
      <w:bookmarkEnd w:id="29"/>
    </w:p>
    <w:p w14:paraId="0A28DB2C" w14:textId="77777777" w:rsidR="00B1514A" w:rsidRPr="00564DC7" w:rsidRDefault="00B1514A" w:rsidP="00690186">
      <w:pPr>
        <w:pStyle w:val="ListParagraph"/>
        <w:numPr>
          <w:ilvl w:val="0"/>
          <w:numId w:val="1"/>
        </w:numPr>
        <w:tabs>
          <w:tab w:val="left" w:pos="1197"/>
        </w:tabs>
        <w:ind w:right="43"/>
        <w:jc w:val="both"/>
        <w:rPr>
          <w:rFonts w:asciiTheme="minorHAnsi" w:hAnsiTheme="minorHAnsi" w:cstheme="minorHAnsi"/>
          <w:sz w:val="26"/>
          <w:szCs w:val="26"/>
        </w:rPr>
      </w:pPr>
      <w:r w:rsidRPr="00564DC7">
        <w:rPr>
          <w:rFonts w:asciiTheme="minorHAnsi" w:hAnsiTheme="minorHAnsi" w:cstheme="minorHAnsi"/>
          <w:b/>
          <w:sz w:val="26"/>
          <w:szCs w:val="26"/>
        </w:rPr>
        <w:t>Formatori cu normă întreagă</w:t>
      </w:r>
    </w:p>
    <w:p w14:paraId="5C6CD24B" w14:textId="3DC745A3" w:rsidR="00B1514A" w:rsidRPr="00564DC7" w:rsidRDefault="00B1514A" w:rsidP="00690186">
      <w:pPr>
        <w:ind w:right="43" w:firstLine="706"/>
        <w:jc w:val="both"/>
        <w:rPr>
          <w:rFonts w:asciiTheme="minorHAnsi" w:hAnsiTheme="minorHAnsi" w:cstheme="minorHAnsi"/>
          <w:sz w:val="26"/>
          <w:szCs w:val="26"/>
        </w:rPr>
      </w:pPr>
      <w:r w:rsidRPr="00564DC7">
        <w:rPr>
          <w:rFonts w:asciiTheme="minorHAnsi" w:hAnsiTheme="minorHAnsi" w:cstheme="minorHAnsi"/>
          <w:sz w:val="26"/>
          <w:szCs w:val="26"/>
        </w:rPr>
        <w:t xml:space="preserve">În 2023 a fost completată echipa de formatori cu normă întreagă prin ocuparea unui post vacant de formator aflat în structura organizațională a INM, la disciplina CEDO. De asemenea, se află în desfășurare 3 proceduri de recrutare a unor formatori cu normă întreagă la disciplinele Drept civil și procesual civil (1 formator cu normă întreagă), Litigii cu profesioniștii (1 formator cu normă întreagă) și Drept penal și procesual penal (2 formatori cu normă întreagă). </w:t>
      </w:r>
    </w:p>
    <w:p w14:paraId="1CA41B71" w14:textId="77777777" w:rsidR="00B1514A" w:rsidRPr="00564DC7" w:rsidRDefault="00B1514A" w:rsidP="00690186">
      <w:pPr>
        <w:pStyle w:val="ListParagraph"/>
        <w:numPr>
          <w:ilvl w:val="0"/>
          <w:numId w:val="1"/>
        </w:numPr>
        <w:ind w:right="43"/>
        <w:jc w:val="both"/>
        <w:rPr>
          <w:rFonts w:asciiTheme="minorHAnsi" w:hAnsiTheme="minorHAnsi" w:cstheme="minorHAnsi"/>
          <w:b/>
          <w:sz w:val="26"/>
          <w:szCs w:val="26"/>
        </w:rPr>
      </w:pPr>
      <w:r w:rsidRPr="00564DC7">
        <w:rPr>
          <w:rFonts w:asciiTheme="minorHAnsi" w:hAnsiTheme="minorHAnsi" w:cstheme="minorHAnsi"/>
          <w:b/>
          <w:sz w:val="26"/>
          <w:szCs w:val="26"/>
        </w:rPr>
        <w:t>Formatori colaboratori</w:t>
      </w:r>
    </w:p>
    <w:p w14:paraId="5EBD89CD" w14:textId="77777777" w:rsidR="00B1514A" w:rsidRPr="00564DC7" w:rsidRDefault="00B1514A" w:rsidP="00690186">
      <w:pPr>
        <w:ind w:right="43" w:firstLine="706"/>
        <w:jc w:val="both"/>
        <w:rPr>
          <w:rFonts w:asciiTheme="minorHAnsi" w:hAnsiTheme="minorHAnsi" w:cstheme="minorHAnsi"/>
          <w:sz w:val="26"/>
          <w:szCs w:val="26"/>
        </w:rPr>
      </w:pPr>
      <w:r w:rsidRPr="00564DC7">
        <w:rPr>
          <w:rFonts w:asciiTheme="minorHAnsi" w:hAnsiTheme="minorHAnsi" w:cstheme="minorHAnsi"/>
          <w:sz w:val="26"/>
          <w:szCs w:val="26"/>
        </w:rPr>
        <w:lastRenderedPageBreak/>
        <w:t>În perioada de referință, INM a derulat 14 proceduri de selecție pentru recrutarea de formatori colaboratori în cadrul formării inițiale și continue, declanșate în 2023, la următoarele discipline, și a finalizat 2 proceduri de recrutare inițiate la finalul anului 2022:</w:t>
      </w:r>
    </w:p>
    <w:p w14:paraId="285C6FD1"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Infracțiuni silvice</w:t>
      </w:r>
    </w:p>
    <w:p w14:paraId="7D3A5F71"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Infracțiuni de mediu</w:t>
      </w:r>
    </w:p>
    <w:p w14:paraId="436C6CEF"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Administrarea probatoriului în cauzele cu minori</w:t>
      </w:r>
    </w:p>
    <w:p w14:paraId="319BE278"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CEDO</w:t>
      </w:r>
    </w:p>
    <w:p w14:paraId="444BE0AC"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 xml:space="preserve">Criminalistică </w:t>
      </w:r>
    </w:p>
    <w:p w14:paraId="2DF7007A"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 administrativ</w:t>
      </w:r>
    </w:p>
    <w:p w14:paraId="77DA0190"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Dreptul UE</w:t>
      </w:r>
    </w:p>
    <w:p w14:paraId="017AE8D4"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Etică și organizare judiciară</w:t>
      </w:r>
    </w:p>
    <w:p w14:paraId="6342B5B3"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Informatică (2 proceduri)</w:t>
      </w:r>
    </w:p>
    <w:p w14:paraId="11418613"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 xml:space="preserve">Drept penal și procesual penal </w:t>
      </w:r>
    </w:p>
    <w:p w14:paraId="19C13104"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 constituțional (2 proceduri)</w:t>
      </w:r>
    </w:p>
    <w:p w14:paraId="23821D14"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Dreptul familiei</w:t>
      </w:r>
    </w:p>
    <w:p w14:paraId="51A24BB3"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Administrarea probatoriului în procesul penal</w:t>
      </w:r>
    </w:p>
    <w:p w14:paraId="5A3EFE26"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Criminalitate informatică</w:t>
      </w:r>
    </w:p>
    <w:p w14:paraId="3DA8D5C4" w14:textId="20C75D14" w:rsidR="00B1514A" w:rsidRPr="00564DC7" w:rsidRDefault="00B1514A" w:rsidP="00690186">
      <w:pPr>
        <w:ind w:right="43" w:firstLine="706"/>
        <w:jc w:val="both"/>
        <w:rPr>
          <w:rFonts w:asciiTheme="minorHAnsi" w:hAnsiTheme="minorHAnsi" w:cstheme="minorHAnsi"/>
          <w:sz w:val="26"/>
          <w:szCs w:val="26"/>
        </w:rPr>
      </w:pPr>
      <w:r w:rsidRPr="00564DC7">
        <w:rPr>
          <w:rFonts w:asciiTheme="minorHAnsi" w:hAnsiTheme="minorHAnsi" w:cstheme="minorHAnsi"/>
          <w:sz w:val="26"/>
          <w:szCs w:val="26"/>
        </w:rPr>
        <w:t xml:space="preserve">În urma derulării procedurilor de selecție amintite, au fost propuși spre numire către CSM 4 formatori colaboratori în cadrul Departamentului de formare continuă, după cum urmează: un formator colaborator la disciplina Infracțiuni silvice, un formator colaborator la disciplina Infracțiuni de mediu, un formator colaborator la Criminalitate informatică și un formator colaborator la disciplina Administrarea probatoriului în procesul penal (Hot. CSM 142/2023). </w:t>
      </w:r>
    </w:p>
    <w:p w14:paraId="111D9181" w14:textId="77777777" w:rsidR="00B1514A" w:rsidRPr="00564DC7" w:rsidRDefault="00B1514A" w:rsidP="00690186">
      <w:pPr>
        <w:ind w:right="43" w:firstLine="706"/>
        <w:jc w:val="both"/>
        <w:rPr>
          <w:rFonts w:asciiTheme="minorHAnsi" w:hAnsiTheme="minorHAnsi" w:cstheme="minorHAnsi"/>
          <w:sz w:val="26"/>
          <w:szCs w:val="26"/>
        </w:rPr>
      </w:pPr>
      <w:r w:rsidRPr="00564DC7">
        <w:rPr>
          <w:rFonts w:asciiTheme="minorHAnsi" w:hAnsiTheme="minorHAnsi" w:cstheme="minorHAnsi"/>
          <w:sz w:val="26"/>
          <w:szCs w:val="26"/>
        </w:rPr>
        <w:t>În desfășurare se află următoarele proceduri de recrutare formatori colaboratori în cadrul Departamentului de formare inițială:</w:t>
      </w:r>
    </w:p>
    <w:p w14:paraId="3663B869"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Administrarea probatoriului în cauzele cu minori</w:t>
      </w:r>
    </w:p>
    <w:p w14:paraId="2AA676FA"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CEDO</w:t>
      </w:r>
    </w:p>
    <w:p w14:paraId="4F2F1EB3"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 xml:space="preserve">Criminalistică </w:t>
      </w:r>
    </w:p>
    <w:p w14:paraId="5DB9969C"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 administrativ</w:t>
      </w:r>
    </w:p>
    <w:p w14:paraId="33D3D9DB"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Dreptul UE</w:t>
      </w:r>
    </w:p>
    <w:p w14:paraId="615971B6"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Etică și organizare judiciară</w:t>
      </w:r>
    </w:p>
    <w:p w14:paraId="3F6C3413"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Informatică (2 proceduri)</w:t>
      </w:r>
    </w:p>
    <w:p w14:paraId="35169864"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 xml:space="preserve">Drept penal și procesual penal </w:t>
      </w:r>
    </w:p>
    <w:p w14:paraId="3EE105DA"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 constituțional (2 proceduri)</w:t>
      </w:r>
    </w:p>
    <w:p w14:paraId="59AA47A6" w14:textId="77777777" w:rsidR="00B1514A" w:rsidRPr="00564DC7" w:rsidRDefault="00B1514A" w:rsidP="00690186">
      <w:pPr>
        <w:pStyle w:val="ListParagraph"/>
        <w:numPr>
          <w:ilvl w:val="0"/>
          <w:numId w:val="2"/>
        </w:numPr>
        <w:ind w:right="43"/>
        <w:jc w:val="both"/>
        <w:rPr>
          <w:rFonts w:asciiTheme="minorHAnsi" w:hAnsiTheme="minorHAnsi" w:cstheme="minorHAnsi"/>
          <w:sz w:val="26"/>
          <w:szCs w:val="26"/>
        </w:rPr>
      </w:pPr>
      <w:r w:rsidRPr="00564DC7">
        <w:rPr>
          <w:rFonts w:asciiTheme="minorHAnsi" w:hAnsiTheme="minorHAnsi" w:cstheme="minorHAnsi"/>
          <w:sz w:val="26"/>
          <w:szCs w:val="26"/>
        </w:rPr>
        <w:t>Dreptul familiei</w:t>
      </w:r>
    </w:p>
    <w:p w14:paraId="26FE53EF" w14:textId="77777777" w:rsidR="00B1514A" w:rsidRPr="00564DC7" w:rsidRDefault="00B1514A" w:rsidP="00690186">
      <w:pPr>
        <w:pStyle w:val="Default"/>
        <w:numPr>
          <w:ilvl w:val="0"/>
          <w:numId w:val="1"/>
        </w:numPr>
        <w:ind w:right="43"/>
        <w:jc w:val="both"/>
        <w:rPr>
          <w:rFonts w:asciiTheme="minorHAnsi" w:hAnsiTheme="minorHAnsi" w:cstheme="minorHAnsi"/>
          <w:b/>
          <w:color w:val="auto"/>
          <w:sz w:val="26"/>
          <w:szCs w:val="26"/>
          <w:lang w:eastAsia="en-US"/>
        </w:rPr>
      </w:pPr>
      <w:r w:rsidRPr="00564DC7">
        <w:rPr>
          <w:rFonts w:asciiTheme="minorHAnsi" w:hAnsiTheme="minorHAnsi" w:cstheme="minorHAnsi"/>
          <w:b/>
          <w:color w:val="auto"/>
          <w:sz w:val="26"/>
          <w:szCs w:val="26"/>
          <w:lang w:eastAsia="en-US"/>
        </w:rPr>
        <w:t>Coordonatori de practică</w:t>
      </w:r>
    </w:p>
    <w:p w14:paraId="05E6CAEC" w14:textId="77777777" w:rsidR="00B1514A" w:rsidRPr="00564DC7" w:rsidRDefault="00B1514A" w:rsidP="00690186">
      <w:pPr>
        <w:pStyle w:val="Default"/>
        <w:ind w:right="43" w:firstLine="706"/>
        <w:jc w:val="both"/>
        <w:rPr>
          <w:rFonts w:asciiTheme="minorHAnsi" w:hAnsiTheme="minorHAnsi" w:cstheme="minorHAnsi"/>
          <w:color w:val="auto"/>
          <w:sz w:val="26"/>
          <w:szCs w:val="26"/>
          <w:lang w:eastAsia="en-US"/>
        </w:rPr>
      </w:pPr>
      <w:r w:rsidRPr="00564DC7">
        <w:rPr>
          <w:rFonts w:asciiTheme="minorHAnsi" w:hAnsiTheme="minorHAnsi" w:cstheme="minorHAnsi"/>
          <w:color w:val="auto"/>
          <w:sz w:val="26"/>
          <w:szCs w:val="26"/>
        </w:rPr>
        <w:t xml:space="preserve">În cursul anului 2023 </w:t>
      </w:r>
      <w:r w:rsidRPr="00564DC7">
        <w:rPr>
          <w:rFonts w:asciiTheme="minorHAnsi" w:hAnsiTheme="minorHAnsi" w:cstheme="minorHAnsi"/>
          <w:color w:val="auto"/>
          <w:sz w:val="26"/>
          <w:szCs w:val="26"/>
          <w:lang w:eastAsia="en-US"/>
        </w:rPr>
        <w:t xml:space="preserve">INM a declanșat 2 proceduri de selecție pentru recrutarea a 10 judecători și 4 procurori, coordonatori de practică, potrivit hotărârii CSM nr. 113/28 iunie 2023. </w:t>
      </w:r>
    </w:p>
    <w:p w14:paraId="02038413" w14:textId="4F5FE175" w:rsidR="00B1514A" w:rsidRPr="00564DC7" w:rsidRDefault="00B1514A" w:rsidP="00690186">
      <w:pPr>
        <w:pStyle w:val="Default"/>
        <w:ind w:right="43" w:firstLine="706"/>
        <w:jc w:val="both"/>
        <w:rPr>
          <w:rFonts w:asciiTheme="minorHAnsi" w:hAnsiTheme="minorHAnsi" w:cstheme="minorHAnsi"/>
          <w:color w:val="auto"/>
          <w:sz w:val="26"/>
          <w:szCs w:val="26"/>
          <w:lang w:eastAsia="en-US"/>
        </w:rPr>
      </w:pPr>
      <w:r w:rsidRPr="00564DC7">
        <w:rPr>
          <w:rFonts w:asciiTheme="minorHAnsi" w:hAnsiTheme="minorHAnsi" w:cstheme="minorHAnsi"/>
          <w:color w:val="auto"/>
          <w:sz w:val="26"/>
          <w:szCs w:val="26"/>
        </w:rPr>
        <w:t xml:space="preserve">De asemenea, </w:t>
      </w:r>
      <w:r w:rsidRPr="00564DC7">
        <w:rPr>
          <w:rFonts w:asciiTheme="minorHAnsi" w:hAnsiTheme="minorHAnsi" w:cstheme="minorHAnsi"/>
          <w:color w:val="auto"/>
          <w:sz w:val="26"/>
          <w:szCs w:val="26"/>
          <w:lang w:eastAsia="en-US"/>
        </w:rPr>
        <w:t>în martie 2023,</w:t>
      </w:r>
      <w:r w:rsidR="00633795">
        <w:rPr>
          <w:rFonts w:asciiTheme="minorHAnsi" w:hAnsiTheme="minorHAnsi" w:cstheme="minorHAnsi"/>
          <w:color w:val="auto"/>
          <w:sz w:val="26"/>
          <w:szCs w:val="26"/>
          <w:lang w:eastAsia="en-US"/>
        </w:rPr>
        <w:t xml:space="preserve"> </w:t>
      </w:r>
      <w:r w:rsidRPr="00564DC7">
        <w:rPr>
          <w:rFonts w:asciiTheme="minorHAnsi" w:hAnsiTheme="minorHAnsi" w:cstheme="minorHAnsi"/>
          <w:color w:val="auto"/>
          <w:sz w:val="26"/>
          <w:szCs w:val="26"/>
          <w:lang w:eastAsia="en-US"/>
        </w:rPr>
        <w:t>au fost finalizate 4 proceduri de selecție a unor coordonatori de practică, proceduri declanșate în noiembrie 2022, prin recrutarea a 27 de procurori și 27 de judecători pentru centrele de stagiu din București și din țară, potrivit hotărârii CSM nr. 68/27 aprilie 2023.</w:t>
      </w:r>
    </w:p>
    <w:p w14:paraId="65C5F1AC" w14:textId="77777777" w:rsidR="00B1514A" w:rsidRPr="00564DC7" w:rsidRDefault="00B1514A" w:rsidP="00690186">
      <w:pPr>
        <w:pStyle w:val="Default"/>
        <w:numPr>
          <w:ilvl w:val="0"/>
          <w:numId w:val="1"/>
        </w:numPr>
        <w:ind w:right="43"/>
        <w:jc w:val="both"/>
        <w:rPr>
          <w:rFonts w:asciiTheme="minorHAnsi" w:hAnsiTheme="minorHAnsi" w:cstheme="minorHAnsi"/>
          <w:b/>
          <w:color w:val="auto"/>
          <w:sz w:val="26"/>
          <w:szCs w:val="26"/>
          <w:lang w:eastAsia="en-US"/>
        </w:rPr>
      </w:pPr>
      <w:r w:rsidRPr="00564DC7">
        <w:rPr>
          <w:rFonts w:asciiTheme="minorHAnsi" w:hAnsiTheme="minorHAnsi" w:cstheme="minorHAnsi"/>
          <w:b/>
          <w:color w:val="auto"/>
          <w:sz w:val="26"/>
          <w:szCs w:val="26"/>
          <w:lang w:eastAsia="en-US"/>
        </w:rPr>
        <w:t>Formarea personalului de instruire al INM</w:t>
      </w:r>
    </w:p>
    <w:p w14:paraId="75D54047" w14:textId="77777777" w:rsidR="00B1514A" w:rsidRPr="000363DB" w:rsidRDefault="00B1514A" w:rsidP="000363DB">
      <w:pPr>
        <w:pStyle w:val="Default"/>
        <w:ind w:right="43" w:firstLine="706"/>
        <w:jc w:val="both"/>
        <w:rPr>
          <w:rFonts w:asciiTheme="minorHAnsi" w:hAnsiTheme="minorHAnsi" w:cstheme="minorHAnsi"/>
          <w:color w:val="auto"/>
          <w:sz w:val="26"/>
          <w:szCs w:val="26"/>
        </w:rPr>
      </w:pPr>
      <w:r w:rsidRPr="000363DB">
        <w:rPr>
          <w:rFonts w:asciiTheme="minorHAnsi" w:hAnsiTheme="minorHAnsi" w:cstheme="minorHAnsi"/>
          <w:color w:val="auto"/>
          <w:sz w:val="26"/>
          <w:szCs w:val="26"/>
        </w:rPr>
        <w:t xml:space="preserve">Până la acest moment au fost organizate, în cadrul proiectului „Justiția 2020: profesionalism și integritate”, cod SIPOCA 453/MySMIS2014+ 118978, cofinanțat din Fondul Social European (FSE) prin Programul Operațional Capacitate Administrativă (POCA), 3 sesiuni de formare a formatorilor, în cadrul cărora experți recrutați au asigurat pregătirea formatorilor invitați în domeniul celor mai noi tehnici de formare a adulților.  De asemenea, au fost organizate și 2 seminare de formare a formatorilor destinate coordonatorilor de practică judecători și </w:t>
      </w:r>
      <w:r w:rsidRPr="000363DB">
        <w:rPr>
          <w:rFonts w:asciiTheme="minorHAnsi" w:hAnsiTheme="minorHAnsi" w:cstheme="minorHAnsi"/>
          <w:color w:val="auto"/>
          <w:sz w:val="26"/>
          <w:szCs w:val="26"/>
        </w:rPr>
        <w:lastRenderedPageBreak/>
        <w:t>procurori, concepute în parteneriat cu un expert în educația adulților și un expert de specialitate (coordonator de practică cu experiență), ambii selectați în cadrul proiectului.</w:t>
      </w:r>
    </w:p>
    <w:p w14:paraId="282F1075" w14:textId="6B6E453F" w:rsidR="00B1514A" w:rsidRPr="0097656B" w:rsidRDefault="00B1514A" w:rsidP="0097656B">
      <w:pPr>
        <w:pStyle w:val="Heading3"/>
        <w:spacing w:line="240" w:lineRule="auto"/>
        <w:ind w:firstLine="708"/>
        <w:rPr>
          <w:rFonts w:cstheme="minorHAnsi"/>
          <w:bCs/>
          <w:color w:val="auto"/>
          <w:szCs w:val="26"/>
        </w:rPr>
      </w:pPr>
      <w:bookmarkStart w:id="30" w:name="_Toc155267870"/>
      <w:r w:rsidRPr="0097656B">
        <w:rPr>
          <w:rFonts w:cstheme="minorHAnsi"/>
          <w:bCs/>
          <w:color w:val="auto"/>
          <w:szCs w:val="26"/>
        </w:rPr>
        <w:t>I.4.3. Proiecte cu finanțare externă în care INM are calitatea de partener sau beneficiar</w:t>
      </w:r>
      <w:bookmarkEnd w:id="30"/>
      <w:r w:rsidRPr="0097656B">
        <w:rPr>
          <w:rFonts w:cstheme="minorHAnsi"/>
          <w:bCs/>
          <w:color w:val="auto"/>
          <w:szCs w:val="26"/>
        </w:rPr>
        <w:t xml:space="preserve"> </w:t>
      </w:r>
    </w:p>
    <w:p w14:paraId="30971965" w14:textId="77777777" w:rsidR="00B1514A" w:rsidRPr="000363DB" w:rsidRDefault="00B1514A" w:rsidP="000363DB">
      <w:pPr>
        <w:pStyle w:val="Default"/>
        <w:ind w:right="43" w:firstLine="706"/>
        <w:jc w:val="both"/>
        <w:rPr>
          <w:rFonts w:asciiTheme="minorHAnsi" w:hAnsiTheme="minorHAnsi" w:cstheme="minorHAnsi"/>
          <w:color w:val="auto"/>
          <w:sz w:val="26"/>
          <w:szCs w:val="26"/>
        </w:rPr>
      </w:pPr>
      <w:r w:rsidRPr="000363DB">
        <w:rPr>
          <w:rFonts w:asciiTheme="minorHAnsi" w:hAnsiTheme="minorHAnsi" w:cstheme="minorHAnsi"/>
          <w:color w:val="auto"/>
          <w:sz w:val="26"/>
          <w:szCs w:val="26"/>
        </w:rPr>
        <w:tab/>
        <w:t>Pe parcursul anului 2023 INM a fost implicat în activități privind implementarea următoarelor proiecte cu finanțare externă:</w:t>
      </w:r>
    </w:p>
    <w:p w14:paraId="2FB5F6B5"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97656B">
        <w:rPr>
          <w:rFonts w:asciiTheme="minorHAnsi" w:hAnsiTheme="minorHAnsi" w:cstheme="minorHAnsi"/>
          <w:sz w:val="26"/>
          <w:szCs w:val="26"/>
          <w:lang w:eastAsia="en-GB"/>
        </w:rPr>
        <w:t>Proiectul „Justiția 2020: profesionalism și integritate", cod SIPOCA 453, cod MySMIS2014+ 118978, cofinanțat din Fondul Social European (FSE) prin Programul Operațional Capacitate Administrativă (POCA);</w:t>
      </w:r>
    </w:p>
    <w:p w14:paraId="72C64E60"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Proiectul „Formarea și consolidarea capacității în sistemul judiciar” finanţat în cadrul Mecanismului Financiar Norvegian 2014-2021;</w:t>
      </w:r>
    </w:p>
    <w:p w14:paraId="3CB9A3CC"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 xml:space="preserve">Proiectul „CPCI – Creşterea performanţei şi calităţii instituţionale prin îmbunătăţirea sistemului de evaluare şi asistenţă psihologică la nivelul sistemului judiciar” cod  SIPOCA/MySMIS 762/135456, </w:t>
      </w:r>
      <w:r w:rsidRPr="0097656B">
        <w:rPr>
          <w:rFonts w:asciiTheme="minorHAnsi" w:hAnsiTheme="minorHAnsi" w:cstheme="minorHAnsi"/>
          <w:sz w:val="26"/>
          <w:szCs w:val="26"/>
          <w:lang w:eastAsia="en-GB"/>
        </w:rPr>
        <w:t>cofinanțat din Fondul Social European (FSE) prin Programul Operațional Capacitate Administrativă (POCA);</w:t>
      </w:r>
    </w:p>
    <w:p w14:paraId="38CDAABE"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97656B">
        <w:rPr>
          <w:rFonts w:asciiTheme="minorHAnsi" w:hAnsiTheme="minorHAnsi" w:cstheme="minorHAnsi"/>
          <w:sz w:val="26"/>
          <w:szCs w:val="26"/>
          <w:lang w:eastAsia="en-GB"/>
        </w:rPr>
        <w:t>Proiectul „Transparență, accesibilitate și educație juridică prin îmbunătățirea comunicării publice la nivelul sistemului judiciar”- cod MySMIS2014 + 118765/SIPOCA 454, cofinanțat din Fondul Social European (FSE) prin Programul Operațional Capacitate Administrativă (POCA);</w:t>
      </w:r>
    </w:p>
    <w:p w14:paraId="451C0880"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97656B">
        <w:rPr>
          <w:rFonts w:asciiTheme="minorHAnsi" w:hAnsiTheme="minorHAnsi" w:cstheme="minorHAnsi"/>
          <w:sz w:val="26"/>
          <w:szCs w:val="26"/>
          <w:lang w:eastAsia="en-GB"/>
        </w:rPr>
        <w:t xml:space="preserve">Programul Uniunii Europene și al Consiliului Europei </w:t>
      </w:r>
      <w:r w:rsidRPr="00564DC7">
        <w:rPr>
          <w:rFonts w:asciiTheme="minorHAnsi" w:hAnsiTheme="minorHAnsi" w:cstheme="minorHAnsi"/>
          <w:sz w:val="26"/>
          <w:szCs w:val="26"/>
          <w:lang w:eastAsia="en-GB"/>
        </w:rPr>
        <w:t>„HELP in the EU III”, având ca promotor de proiect Programul HELP al Consiliului Europei;</w:t>
      </w:r>
    </w:p>
    <w:p w14:paraId="5F7EE94B"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97656B">
        <w:rPr>
          <w:rFonts w:asciiTheme="minorHAnsi" w:hAnsiTheme="minorHAnsi" w:cstheme="minorHAnsi"/>
          <w:sz w:val="26"/>
          <w:szCs w:val="26"/>
          <w:lang w:eastAsia="en-GB"/>
        </w:rPr>
        <w:t>Proiectul „</w:t>
      </w:r>
      <w:r w:rsidRPr="0097656B">
        <w:rPr>
          <w:rFonts w:asciiTheme="minorHAnsi" w:hAnsiTheme="minorHAnsi" w:cstheme="minorHAnsi"/>
          <w:i/>
          <w:iCs/>
          <w:sz w:val="26"/>
          <w:szCs w:val="26"/>
          <w:lang w:eastAsia="en-GB"/>
        </w:rPr>
        <w:t>Consolidarea sistemului de justiție prin organizarea unor misiuni de transfer de expertiză adresate judecătorilor şi procurorilor din Republica Moldova</w:t>
      </w:r>
      <w:r w:rsidRPr="0097656B">
        <w:rPr>
          <w:rFonts w:asciiTheme="minorHAnsi" w:hAnsiTheme="minorHAnsi" w:cstheme="minorHAnsi"/>
          <w:sz w:val="26"/>
          <w:szCs w:val="26"/>
          <w:lang w:eastAsia="en-GB"/>
        </w:rPr>
        <w:t>”, implementat de Agenția de Cooperare Internațională pentru Dezvoltare (RoAid)</w:t>
      </w:r>
      <w:r w:rsidRPr="00564DC7">
        <w:rPr>
          <w:rFonts w:asciiTheme="minorHAnsi" w:hAnsiTheme="minorHAnsi" w:cstheme="minorHAnsi"/>
          <w:sz w:val="26"/>
          <w:szCs w:val="26"/>
          <w:lang w:eastAsia="en-GB"/>
        </w:rPr>
        <w:t xml:space="preserve"> din subordinea Ministerului Afacerilor Externe</w:t>
      </w:r>
      <w:r w:rsidRPr="0097656B">
        <w:rPr>
          <w:rFonts w:asciiTheme="minorHAnsi" w:hAnsiTheme="minorHAnsi" w:cstheme="minorHAnsi"/>
          <w:sz w:val="26"/>
          <w:szCs w:val="26"/>
          <w:lang w:eastAsia="en-GB"/>
        </w:rPr>
        <w:t>;</w:t>
      </w:r>
    </w:p>
    <w:p w14:paraId="22C8D770"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97656B">
        <w:rPr>
          <w:rFonts w:asciiTheme="minorHAnsi" w:hAnsiTheme="minorHAnsi" w:cstheme="minorHAnsi"/>
          <w:sz w:val="26"/>
          <w:szCs w:val="26"/>
          <w:lang w:eastAsia="en-GB"/>
        </w:rPr>
        <w:t>Proiectul „</w:t>
      </w:r>
      <w:r w:rsidRPr="0097656B">
        <w:rPr>
          <w:rFonts w:asciiTheme="minorHAnsi" w:hAnsiTheme="minorHAnsi" w:cstheme="minorHAnsi"/>
          <w:i/>
          <w:iCs/>
          <w:sz w:val="26"/>
          <w:szCs w:val="26"/>
          <w:lang w:eastAsia="en-GB"/>
        </w:rPr>
        <w:t>Advanced Training in EU Law for Court Coordinators: 2 nd Edition</w:t>
      </w:r>
      <w:r w:rsidRPr="0097656B">
        <w:rPr>
          <w:rFonts w:asciiTheme="minorHAnsi" w:hAnsiTheme="minorHAnsi" w:cstheme="minorHAnsi"/>
          <w:sz w:val="26"/>
          <w:szCs w:val="26"/>
          <w:lang w:eastAsia="en-GB"/>
        </w:rPr>
        <w:t xml:space="preserve">”, </w:t>
      </w:r>
      <w:r w:rsidRPr="00564DC7">
        <w:rPr>
          <w:rFonts w:asciiTheme="minorHAnsi" w:hAnsiTheme="minorHAnsi" w:cstheme="minorHAnsi"/>
          <w:sz w:val="26"/>
          <w:szCs w:val="26"/>
          <w:lang w:eastAsia="en-GB"/>
        </w:rPr>
        <w:t>co-finanțat în cadrul Programului “Justiție” al Uniunii Europene (2021-2027), cu promotor de proiect Academia de Drept European de la Trier (ERA);</w:t>
      </w:r>
    </w:p>
    <w:p w14:paraId="0DFD9A77"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 xml:space="preserve">Asistență tehnică - Formare în domeniul egalității de gen și antidiscriminării, în cadrul Programului „Cetăţeni, egalitate, drepturi şi valori” </w:t>
      </w:r>
      <w:r w:rsidRPr="0097656B">
        <w:rPr>
          <w:rFonts w:asciiTheme="minorHAnsi" w:hAnsiTheme="minorHAnsi" w:cstheme="minorHAnsi"/>
          <w:sz w:val="26"/>
          <w:szCs w:val="26"/>
          <w:lang w:eastAsia="en-GB"/>
        </w:rPr>
        <w:t xml:space="preserve">2021-2027 </w:t>
      </w:r>
      <w:r w:rsidRPr="00564DC7">
        <w:rPr>
          <w:rFonts w:asciiTheme="minorHAnsi" w:hAnsiTheme="minorHAnsi" w:cstheme="minorHAnsi"/>
          <w:sz w:val="26"/>
          <w:szCs w:val="26"/>
          <w:lang w:eastAsia="en-GB"/>
        </w:rPr>
        <w:t>al Uniunii Europene -  cu promotor de proiect ERA;</w:t>
      </w:r>
      <w:bookmarkStart w:id="31" w:name="_Hlk129198292"/>
      <w:r w:rsidRPr="0097656B">
        <w:rPr>
          <w:rFonts w:asciiTheme="minorHAnsi" w:hAnsiTheme="minorHAnsi" w:cstheme="minorHAnsi"/>
          <w:sz w:val="26"/>
          <w:szCs w:val="26"/>
          <w:lang w:eastAsia="en-GB"/>
        </w:rPr>
        <w:t xml:space="preserve"> </w:t>
      </w:r>
      <w:bookmarkStart w:id="32" w:name="_Hlk147830223"/>
      <w:bookmarkEnd w:id="31"/>
    </w:p>
    <w:p w14:paraId="551B723D"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 xml:space="preserve">Proiectul </w:t>
      </w:r>
      <w:r w:rsidRPr="0097656B">
        <w:rPr>
          <w:rFonts w:asciiTheme="minorHAnsi" w:hAnsiTheme="minorHAnsi" w:cstheme="minorHAnsi"/>
          <w:sz w:val="26"/>
          <w:szCs w:val="26"/>
          <w:lang w:eastAsia="en-GB"/>
        </w:rPr>
        <w:t>„</w:t>
      </w:r>
      <w:r w:rsidRPr="0097656B">
        <w:rPr>
          <w:rFonts w:asciiTheme="minorHAnsi" w:hAnsiTheme="minorHAnsi" w:cstheme="minorHAnsi"/>
          <w:i/>
          <w:iCs/>
          <w:sz w:val="26"/>
          <w:szCs w:val="26"/>
          <w:lang w:eastAsia="en-GB"/>
        </w:rPr>
        <w:t>Co-operation with national judges in the field of environmental law</w:t>
      </w:r>
      <w:r w:rsidRPr="0097656B">
        <w:rPr>
          <w:rFonts w:asciiTheme="minorHAnsi" w:hAnsiTheme="minorHAnsi" w:cstheme="minorHAnsi"/>
          <w:sz w:val="26"/>
          <w:szCs w:val="26"/>
          <w:lang w:eastAsia="en-GB"/>
        </w:rPr>
        <w:t xml:space="preserve">”, cu promotor de proiect ERA; </w:t>
      </w:r>
    </w:p>
    <w:bookmarkEnd w:id="32"/>
    <w:p w14:paraId="18FA720B"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Proiectul</w:t>
      </w:r>
      <w:r w:rsidRPr="0097656B">
        <w:rPr>
          <w:rFonts w:asciiTheme="minorHAnsi" w:hAnsiTheme="minorHAnsi" w:cstheme="minorHAnsi"/>
          <w:sz w:val="26"/>
          <w:szCs w:val="26"/>
          <w:lang w:eastAsia="en-GB"/>
        </w:rPr>
        <w:t xml:space="preserve"> „</w:t>
      </w:r>
      <w:r w:rsidRPr="0097656B">
        <w:rPr>
          <w:rFonts w:asciiTheme="minorHAnsi" w:hAnsiTheme="minorHAnsi" w:cstheme="minorHAnsi"/>
          <w:i/>
          <w:iCs/>
          <w:sz w:val="26"/>
          <w:szCs w:val="26"/>
          <w:lang w:eastAsia="en-GB"/>
        </w:rPr>
        <w:t>Preventing and detecting fraud: Special toolkits of (new) investigation techniques to better protect the EU financial interests</w:t>
      </w:r>
      <w:r w:rsidRPr="0097656B">
        <w:rPr>
          <w:rFonts w:asciiTheme="minorHAnsi" w:hAnsiTheme="minorHAnsi" w:cstheme="minorHAnsi"/>
          <w:sz w:val="26"/>
          <w:szCs w:val="26"/>
          <w:lang w:eastAsia="en-GB"/>
        </w:rPr>
        <w:t xml:space="preserve">”, </w:t>
      </w:r>
      <w:r w:rsidRPr="00564DC7">
        <w:rPr>
          <w:rFonts w:asciiTheme="minorHAnsi" w:hAnsiTheme="minorHAnsi" w:cstheme="minorHAnsi"/>
          <w:sz w:val="26"/>
          <w:szCs w:val="26"/>
          <w:lang w:eastAsia="en-GB"/>
        </w:rPr>
        <w:t>finanțat în cadrul Cererii de Proiecte OLAF Anti-Fraud Call 2021, implementat de ERA</w:t>
      </w:r>
      <w:r w:rsidRPr="0097656B">
        <w:rPr>
          <w:rFonts w:asciiTheme="minorHAnsi" w:hAnsiTheme="minorHAnsi" w:cstheme="minorHAnsi"/>
          <w:sz w:val="26"/>
          <w:szCs w:val="26"/>
          <w:lang w:eastAsia="en-GB"/>
        </w:rPr>
        <w:t>;</w:t>
      </w:r>
    </w:p>
    <w:p w14:paraId="5AF5C857" w14:textId="77777777" w:rsidR="00B1514A" w:rsidRPr="00564DC7" w:rsidRDefault="00B1514A">
      <w:pPr>
        <w:pStyle w:val="ListParagraph"/>
        <w:numPr>
          <w:ilvl w:val="0"/>
          <w:numId w:val="19"/>
        </w:numPr>
        <w:spacing w:after="160"/>
        <w:ind w:left="644"/>
        <w:jc w:val="both"/>
        <w:rPr>
          <w:rFonts w:asciiTheme="minorHAnsi" w:hAnsiTheme="minorHAnsi" w:cstheme="minorHAnsi"/>
          <w:sz w:val="26"/>
          <w:szCs w:val="26"/>
          <w:shd w:val="clear" w:color="auto" w:fill="FFFFFF"/>
        </w:rPr>
      </w:pPr>
      <w:bookmarkStart w:id="33" w:name="_Toc129208407"/>
      <w:r w:rsidRPr="00564DC7">
        <w:rPr>
          <w:rFonts w:asciiTheme="minorHAnsi" w:hAnsiTheme="minorHAnsi" w:cstheme="minorHAnsi"/>
          <w:bCs/>
          <w:sz w:val="26"/>
          <w:szCs w:val="26"/>
        </w:rPr>
        <w:t>Proiectul „</w:t>
      </w:r>
      <w:r w:rsidRPr="00564DC7">
        <w:rPr>
          <w:rFonts w:asciiTheme="minorHAnsi" w:hAnsiTheme="minorHAnsi" w:cstheme="minorHAnsi"/>
          <w:bCs/>
          <w:i/>
          <w:iCs/>
          <w:sz w:val="26"/>
          <w:szCs w:val="26"/>
        </w:rPr>
        <w:t xml:space="preserve">Judicial training on the legal protection of </w:t>
      </w:r>
      <w:bookmarkStart w:id="34" w:name="_Hlk115784584"/>
      <w:r w:rsidRPr="00564DC7">
        <w:rPr>
          <w:rFonts w:asciiTheme="minorHAnsi" w:hAnsiTheme="minorHAnsi" w:cstheme="minorHAnsi"/>
          <w:bCs/>
          <w:i/>
          <w:iCs/>
          <w:sz w:val="26"/>
          <w:szCs w:val="26"/>
        </w:rPr>
        <w:t>Intra-EU investment</w:t>
      </w:r>
      <w:bookmarkEnd w:id="34"/>
      <w:r w:rsidRPr="00564DC7">
        <w:rPr>
          <w:rFonts w:asciiTheme="minorHAnsi" w:hAnsiTheme="minorHAnsi" w:cstheme="minorHAnsi"/>
          <w:sz w:val="26"/>
          <w:szCs w:val="26"/>
        </w:rPr>
        <w:t>”</w:t>
      </w:r>
      <w:r w:rsidRPr="00564DC7">
        <w:rPr>
          <w:rFonts w:asciiTheme="minorHAnsi" w:hAnsiTheme="minorHAnsi" w:cstheme="minorHAnsi"/>
          <w:bCs/>
          <w:sz w:val="26"/>
          <w:szCs w:val="26"/>
        </w:rPr>
        <w:t xml:space="preserve">, finanţat de Uniunea Europeană şi coordonat de </w:t>
      </w:r>
      <w:bookmarkEnd w:id="33"/>
      <w:r w:rsidRPr="00564DC7">
        <w:rPr>
          <w:rFonts w:asciiTheme="minorHAnsi" w:hAnsiTheme="minorHAnsi" w:cstheme="minorHAnsi"/>
          <w:sz w:val="26"/>
          <w:szCs w:val="26"/>
        </w:rPr>
        <w:t>ERA</w:t>
      </w:r>
      <w:r w:rsidRPr="00564DC7">
        <w:rPr>
          <w:rFonts w:asciiTheme="minorHAnsi" w:hAnsiTheme="minorHAnsi" w:cstheme="minorHAnsi"/>
          <w:bCs/>
          <w:sz w:val="26"/>
          <w:szCs w:val="26"/>
        </w:rPr>
        <w:t>;</w:t>
      </w:r>
      <w:bookmarkStart w:id="35" w:name="_Hlk147918055"/>
    </w:p>
    <w:p w14:paraId="2213A23A" w14:textId="77777777" w:rsidR="00B1514A" w:rsidRPr="00564DC7" w:rsidRDefault="00B1514A">
      <w:pPr>
        <w:pStyle w:val="ListParagraph"/>
        <w:numPr>
          <w:ilvl w:val="0"/>
          <w:numId w:val="19"/>
        </w:numPr>
        <w:spacing w:after="160"/>
        <w:ind w:left="644"/>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rPr>
        <w:t>Proiectul „</w:t>
      </w:r>
      <w:r w:rsidRPr="00564DC7">
        <w:rPr>
          <w:rFonts w:asciiTheme="minorHAnsi" w:hAnsiTheme="minorHAnsi" w:cstheme="minorHAnsi"/>
          <w:i/>
          <w:iCs/>
          <w:sz w:val="26"/>
          <w:szCs w:val="26"/>
        </w:rPr>
        <w:t>Mediation in the EU: Language, Law and Practice</w:t>
      </w:r>
      <w:r w:rsidRPr="00564DC7">
        <w:rPr>
          <w:rFonts w:asciiTheme="minorHAnsi" w:hAnsiTheme="minorHAnsi" w:cstheme="minorHAnsi"/>
          <w:sz w:val="26"/>
          <w:szCs w:val="26"/>
        </w:rPr>
        <w:t>”, co-finanțat în cadrul Programului “Justiție” al Uniunii Europene (2014-2020), cu promotor de proiect ERA;</w:t>
      </w:r>
    </w:p>
    <w:bookmarkEnd w:id="35"/>
    <w:p w14:paraId="66433EC5" w14:textId="77777777" w:rsidR="00B1514A" w:rsidRPr="0097656B" w:rsidRDefault="00B1514A">
      <w:pPr>
        <w:pStyle w:val="ListParagraph"/>
        <w:numPr>
          <w:ilvl w:val="0"/>
          <w:numId w:val="19"/>
        </w:numPr>
        <w:spacing w:after="160"/>
        <w:ind w:left="644"/>
        <w:jc w:val="both"/>
        <w:rPr>
          <w:rFonts w:asciiTheme="minorHAnsi" w:hAnsiTheme="minorHAnsi" w:cstheme="minorHAnsi"/>
          <w:sz w:val="26"/>
          <w:szCs w:val="26"/>
          <w:lang w:eastAsia="en-GB"/>
        </w:rPr>
      </w:pPr>
      <w:r w:rsidRPr="0097656B">
        <w:rPr>
          <w:rFonts w:asciiTheme="minorHAnsi" w:hAnsiTheme="minorHAnsi" w:cstheme="minorHAnsi"/>
          <w:sz w:val="26"/>
          <w:szCs w:val="26"/>
          <w:lang w:eastAsia="en-GB"/>
        </w:rPr>
        <w:t>Proiectul „</w:t>
      </w:r>
      <w:r w:rsidRPr="0097656B">
        <w:rPr>
          <w:rFonts w:asciiTheme="minorHAnsi" w:hAnsiTheme="minorHAnsi" w:cstheme="minorHAnsi"/>
          <w:i/>
          <w:iCs/>
          <w:sz w:val="26"/>
          <w:szCs w:val="26"/>
          <w:lang w:eastAsia="en-GB"/>
        </w:rPr>
        <w:t>The place of victims in criminal proceedings with a substantial number of victims</w:t>
      </w:r>
      <w:r w:rsidRPr="0097656B">
        <w:rPr>
          <w:rFonts w:asciiTheme="minorHAnsi" w:hAnsiTheme="minorHAnsi" w:cstheme="minorHAnsi"/>
          <w:sz w:val="26"/>
          <w:szCs w:val="26"/>
          <w:lang w:eastAsia="en-GB"/>
        </w:rPr>
        <w:t>” (VICTI), proiect finanțat de Uniunea Europeană, ce are ca promotor Şcoala Naţională de Magistratură din Franţa (ENM);</w:t>
      </w:r>
    </w:p>
    <w:p w14:paraId="3CCBF225" w14:textId="77777777" w:rsidR="00B1514A" w:rsidRPr="00564DC7" w:rsidRDefault="00B1514A">
      <w:pPr>
        <w:pStyle w:val="ListParagraph"/>
        <w:numPr>
          <w:ilvl w:val="0"/>
          <w:numId w:val="19"/>
        </w:numPr>
        <w:spacing w:after="160"/>
        <w:ind w:left="644"/>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lang w:eastAsia="en-GB"/>
        </w:rPr>
        <w:t>Proiectul JuLIA (</w:t>
      </w:r>
      <w:r w:rsidRPr="00564DC7">
        <w:rPr>
          <w:rFonts w:asciiTheme="minorHAnsi" w:hAnsiTheme="minorHAnsi" w:cstheme="minorHAnsi"/>
          <w:bCs/>
          <w:i/>
          <w:iCs/>
          <w:sz w:val="26"/>
          <w:szCs w:val="26"/>
        </w:rPr>
        <w:t>Justice, Fundamental Rights and Artificial Intelligence</w:t>
      </w:r>
      <w:r w:rsidRPr="00564DC7">
        <w:rPr>
          <w:rFonts w:asciiTheme="minorHAnsi" w:hAnsiTheme="minorHAnsi" w:cstheme="minorHAnsi"/>
          <w:bCs/>
          <w:sz w:val="26"/>
          <w:szCs w:val="26"/>
        </w:rPr>
        <w:t>)</w:t>
      </w:r>
      <w:r w:rsidRPr="00564DC7">
        <w:rPr>
          <w:rFonts w:asciiTheme="minorHAnsi" w:hAnsiTheme="minorHAnsi" w:cstheme="minorHAnsi"/>
          <w:sz w:val="26"/>
          <w:szCs w:val="26"/>
          <w:lang w:eastAsia="en-GB"/>
        </w:rPr>
        <w:t xml:space="preserve">, </w:t>
      </w:r>
      <w:r w:rsidRPr="00564DC7">
        <w:rPr>
          <w:rFonts w:asciiTheme="minorHAnsi" w:hAnsiTheme="minorHAnsi" w:cstheme="minorHAnsi"/>
          <w:sz w:val="26"/>
          <w:szCs w:val="26"/>
          <w:shd w:val="clear" w:color="auto" w:fill="FFFFFF"/>
        </w:rPr>
        <w:t xml:space="preserve">proiect </w:t>
      </w:r>
      <w:r w:rsidRPr="00564DC7">
        <w:rPr>
          <w:rStyle w:val="Fontdeparagrafimplicit1"/>
          <w:rFonts w:asciiTheme="minorHAnsi" w:hAnsiTheme="minorHAnsi" w:cstheme="minorHAnsi"/>
          <w:sz w:val="26"/>
          <w:szCs w:val="26"/>
        </w:rPr>
        <w:t>finanțat de Uniunea Europeană</w:t>
      </w:r>
      <w:r w:rsidRPr="00564DC7">
        <w:rPr>
          <w:rFonts w:asciiTheme="minorHAnsi" w:hAnsiTheme="minorHAnsi" w:cstheme="minorHAnsi"/>
          <w:sz w:val="26"/>
          <w:szCs w:val="26"/>
          <w:shd w:val="clear" w:color="auto" w:fill="FFFFFF"/>
        </w:rPr>
        <w:t xml:space="preserve">, ce are ca promotor </w:t>
      </w:r>
      <w:r w:rsidRPr="00564DC7">
        <w:rPr>
          <w:rStyle w:val="Emphasis"/>
          <w:rFonts w:asciiTheme="minorHAnsi" w:eastAsiaTheme="majorEastAsia" w:hAnsiTheme="minorHAnsi" w:cstheme="minorHAnsi"/>
          <w:bCs/>
          <w:sz w:val="26"/>
          <w:szCs w:val="26"/>
          <w:shd w:val="clear" w:color="auto" w:fill="FFFFFF"/>
        </w:rPr>
        <w:t xml:space="preserve">Școala </w:t>
      </w:r>
      <w:r w:rsidRPr="00564DC7">
        <w:rPr>
          <w:rFonts w:asciiTheme="minorHAnsi" w:hAnsiTheme="minorHAnsi" w:cstheme="minorHAnsi"/>
          <w:bCs/>
          <w:sz w:val="26"/>
          <w:szCs w:val="26"/>
          <w:shd w:val="clear" w:color="auto" w:fill="FFFFFF"/>
        </w:rPr>
        <w:t>Superioară de </w:t>
      </w:r>
      <w:r w:rsidRPr="00564DC7">
        <w:rPr>
          <w:rStyle w:val="Emphasis"/>
          <w:rFonts w:asciiTheme="minorHAnsi" w:eastAsiaTheme="majorEastAsia" w:hAnsiTheme="minorHAnsi" w:cstheme="minorHAnsi"/>
          <w:bCs/>
          <w:sz w:val="26"/>
          <w:szCs w:val="26"/>
          <w:shd w:val="clear" w:color="auto" w:fill="FFFFFF"/>
        </w:rPr>
        <w:t>Magistratură</w:t>
      </w:r>
      <w:r w:rsidRPr="00564DC7">
        <w:rPr>
          <w:rFonts w:asciiTheme="minorHAnsi" w:hAnsiTheme="minorHAnsi" w:cstheme="minorHAnsi"/>
          <w:bCs/>
          <w:i/>
          <w:iCs/>
          <w:sz w:val="26"/>
          <w:szCs w:val="26"/>
          <w:shd w:val="clear" w:color="auto" w:fill="FFFFFF"/>
        </w:rPr>
        <w:t> (</w:t>
      </w:r>
      <w:r w:rsidRPr="00564DC7">
        <w:rPr>
          <w:rFonts w:asciiTheme="minorHAnsi" w:hAnsiTheme="minorHAnsi" w:cstheme="minorHAnsi"/>
          <w:bCs/>
          <w:sz w:val="26"/>
          <w:szCs w:val="26"/>
          <w:shd w:val="clear" w:color="auto" w:fill="FFFFFF"/>
        </w:rPr>
        <w:t>SSM) din </w:t>
      </w:r>
      <w:r w:rsidRPr="00564DC7">
        <w:rPr>
          <w:rStyle w:val="Emphasis"/>
          <w:rFonts w:asciiTheme="minorHAnsi" w:eastAsiaTheme="majorEastAsia" w:hAnsiTheme="minorHAnsi" w:cstheme="minorHAnsi"/>
          <w:bCs/>
          <w:sz w:val="26"/>
          <w:szCs w:val="26"/>
          <w:shd w:val="clear" w:color="auto" w:fill="FFFFFF"/>
        </w:rPr>
        <w:t>Italia</w:t>
      </w:r>
      <w:r w:rsidRPr="00564DC7">
        <w:rPr>
          <w:rFonts w:asciiTheme="minorHAnsi" w:hAnsiTheme="minorHAnsi" w:cstheme="minorHAnsi"/>
          <w:sz w:val="26"/>
          <w:szCs w:val="26"/>
          <w:shd w:val="clear" w:color="auto" w:fill="FFFFFF"/>
        </w:rPr>
        <w:t>.</w:t>
      </w:r>
    </w:p>
    <w:p w14:paraId="77154277" w14:textId="77777777" w:rsidR="00B1514A" w:rsidRPr="00564DC7" w:rsidRDefault="00B1514A">
      <w:pPr>
        <w:pStyle w:val="ListParagraph"/>
        <w:numPr>
          <w:ilvl w:val="0"/>
          <w:numId w:val="19"/>
        </w:numPr>
        <w:spacing w:after="160"/>
        <w:ind w:left="644"/>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lang w:eastAsia="en-GB"/>
        </w:rPr>
        <w:t xml:space="preserve">Proiectul </w:t>
      </w:r>
      <w:r w:rsidRPr="00564DC7">
        <w:rPr>
          <w:rFonts w:asciiTheme="minorHAnsi" w:hAnsiTheme="minorHAnsi" w:cstheme="minorHAnsi"/>
          <w:i/>
          <w:iCs/>
          <w:sz w:val="26"/>
          <w:szCs w:val="26"/>
          <w:lang w:eastAsia="en-GB"/>
        </w:rPr>
        <w:t>„</w:t>
      </w:r>
      <w:r w:rsidRPr="00564DC7">
        <w:rPr>
          <w:rFonts w:asciiTheme="minorHAnsi" w:eastAsiaTheme="minorHAnsi" w:hAnsiTheme="minorHAnsi" w:cstheme="minorHAnsi"/>
          <w:i/>
          <w:iCs/>
          <w:sz w:val="26"/>
          <w:szCs w:val="26"/>
          <w14:ligatures w14:val="standardContextual"/>
        </w:rPr>
        <w:t>UpJudCoop - Update on EU judicial cooperation instruments”</w:t>
      </w:r>
      <w:r w:rsidRPr="00564DC7">
        <w:rPr>
          <w:rFonts w:asciiTheme="minorHAnsi" w:eastAsiaTheme="minorHAnsi" w:hAnsiTheme="minorHAnsi" w:cstheme="minorHAnsi"/>
          <w:sz w:val="26"/>
          <w:szCs w:val="26"/>
          <w14:ligatures w14:val="standardContextual"/>
        </w:rPr>
        <w:t xml:space="preserve">, având ca promotor de proiect Institutul European de Administrație Publică </w:t>
      </w:r>
      <w:r w:rsidRPr="00564DC7">
        <w:rPr>
          <w:rFonts w:asciiTheme="minorHAnsi" w:eastAsiaTheme="minorHAnsi" w:hAnsiTheme="minorHAnsi" w:cstheme="minorHAnsi"/>
          <w:sz w:val="26"/>
          <w:szCs w:val="26"/>
          <w:lang w:val="en-GB"/>
          <w14:ligatures w14:val="standardContextual"/>
        </w:rPr>
        <w:t>(EIPA).</w:t>
      </w:r>
    </w:p>
    <w:p w14:paraId="54CFEA0E" w14:textId="6E56DA3E" w:rsidR="00B1514A" w:rsidRPr="0097656B" w:rsidRDefault="00B1514A" w:rsidP="0097656B">
      <w:pPr>
        <w:pStyle w:val="Heading3"/>
        <w:spacing w:line="240" w:lineRule="auto"/>
        <w:ind w:firstLine="708"/>
        <w:rPr>
          <w:rFonts w:cstheme="minorHAnsi"/>
          <w:bCs/>
          <w:color w:val="auto"/>
          <w:szCs w:val="26"/>
        </w:rPr>
      </w:pPr>
      <w:bookmarkStart w:id="36" w:name="_Toc155267871"/>
      <w:r w:rsidRPr="0097656B">
        <w:rPr>
          <w:rFonts w:cstheme="minorHAnsi"/>
          <w:bCs/>
          <w:color w:val="auto"/>
          <w:szCs w:val="26"/>
        </w:rPr>
        <w:lastRenderedPageBreak/>
        <w:t>I.4.4. Protocoale de colaborare încheiate de INM cu diverse instituții</w:t>
      </w:r>
      <w:bookmarkEnd w:id="36"/>
      <w:r w:rsidRPr="0097656B">
        <w:rPr>
          <w:rFonts w:cstheme="minorHAnsi"/>
          <w:bCs/>
          <w:color w:val="auto"/>
          <w:szCs w:val="26"/>
        </w:rPr>
        <w:t xml:space="preserve"> </w:t>
      </w:r>
    </w:p>
    <w:p w14:paraId="53E95534" w14:textId="59B7E54B" w:rsidR="00B1514A" w:rsidRPr="000363DB" w:rsidRDefault="00B1514A" w:rsidP="000363DB">
      <w:pPr>
        <w:ind w:firstLine="708"/>
        <w:jc w:val="both"/>
        <w:rPr>
          <w:rFonts w:asciiTheme="minorHAnsi" w:hAnsiTheme="minorHAnsi" w:cstheme="minorHAnsi"/>
          <w:sz w:val="26"/>
          <w:szCs w:val="26"/>
        </w:rPr>
      </w:pPr>
      <w:r w:rsidRPr="000363DB">
        <w:rPr>
          <w:rFonts w:asciiTheme="minorHAnsi" w:hAnsiTheme="minorHAnsi" w:cstheme="minorHAnsi"/>
          <w:sz w:val="26"/>
          <w:szCs w:val="26"/>
        </w:rPr>
        <w:t xml:space="preserve">La data de 24 februarie 2023, Institutul Național al Magistraturii a încheiat protocolul de colaborare cu Academia de Studii Economice - Facultatea de Drept, în vederea desfășurării stagiilor de practică prevăzute în planurile de învățământ ale programului de studii universitare de licență din cadrul Facultății de Drept, prin activități specifice domeniului și specializării de la care provin studenții. </w:t>
      </w:r>
    </w:p>
    <w:p w14:paraId="39768E6C" w14:textId="7EE456C4" w:rsidR="00B1514A" w:rsidRDefault="00B1514A" w:rsidP="000363DB">
      <w:pPr>
        <w:ind w:firstLine="708"/>
        <w:jc w:val="both"/>
        <w:rPr>
          <w:rFonts w:asciiTheme="minorHAnsi" w:hAnsiTheme="minorHAnsi" w:cstheme="minorHAnsi"/>
          <w:sz w:val="26"/>
          <w:szCs w:val="26"/>
        </w:rPr>
      </w:pPr>
      <w:r w:rsidRPr="00564DC7">
        <w:rPr>
          <w:rFonts w:asciiTheme="minorHAnsi" w:hAnsiTheme="minorHAnsi" w:cstheme="minorHAnsi"/>
          <w:sz w:val="26"/>
          <w:szCs w:val="26"/>
        </w:rPr>
        <w:t>La data de 21 aprilie 2023, Institutul Național al Magistraturii a încheiat un Acord cadru de parteneriat cu Agenția de Cooperare Internațională pentru Dezvoltare, având ca obiect cooperarea cu privire la implementarea în comun de programe și/sau proiecte în domeniul justiției.</w:t>
      </w:r>
    </w:p>
    <w:p w14:paraId="74DA44B2" w14:textId="77777777" w:rsidR="00633795" w:rsidRPr="00564DC7" w:rsidRDefault="00633795" w:rsidP="000363DB">
      <w:pPr>
        <w:ind w:firstLine="708"/>
        <w:jc w:val="both"/>
        <w:rPr>
          <w:rFonts w:asciiTheme="minorHAnsi" w:hAnsiTheme="minorHAnsi" w:cstheme="minorHAnsi"/>
          <w:sz w:val="26"/>
          <w:szCs w:val="26"/>
        </w:rPr>
      </w:pPr>
    </w:p>
    <w:p w14:paraId="1442999B" w14:textId="3FC3B3D0" w:rsidR="00B1514A" w:rsidRPr="00564DC7" w:rsidRDefault="00B1514A" w:rsidP="00690186">
      <w:pPr>
        <w:ind w:firstLine="720"/>
        <w:jc w:val="both"/>
        <w:rPr>
          <w:rFonts w:asciiTheme="minorHAnsi" w:hAnsiTheme="minorHAnsi" w:cstheme="minorHAnsi"/>
          <w:sz w:val="26"/>
          <w:szCs w:val="26"/>
        </w:rPr>
      </w:pPr>
      <w:r w:rsidRPr="00564DC7">
        <w:rPr>
          <w:rFonts w:asciiTheme="minorHAnsi" w:hAnsiTheme="minorHAnsi" w:cstheme="minorHAnsi"/>
          <w:b/>
          <w:sz w:val="26"/>
          <w:szCs w:val="26"/>
        </w:rPr>
        <w:t>Școala Națională de Grefieri</w:t>
      </w:r>
    </w:p>
    <w:p w14:paraId="5A0B9704" w14:textId="582448EB"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Consolidarea şi dezvoltarea capacităţii organizatorice şi instituţionale a </w:t>
      </w:r>
      <w:r w:rsidR="00633795">
        <w:rPr>
          <w:rFonts w:asciiTheme="minorHAnsi" w:hAnsiTheme="minorHAnsi" w:cstheme="minorHAnsi"/>
          <w:sz w:val="26"/>
          <w:szCs w:val="26"/>
        </w:rPr>
        <w:t>Școlii Naționale de Grefieri a</w:t>
      </w:r>
      <w:r w:rsidRPr="00564DC7">
        <w:rPr>
          <w:rFonts w:asciiTheme="minorHAnsi" w:hAnsiTheme="minorHAnsi" w:cstheme="minorHAnsi"/>
          <w:sz w:val="26"/>
          <w:szCs w:val="26"/>
        </w:rPr>
        <w:t xml:space="preserve"> reprezentat și în anul 2023 unul dintre obiectivele generale ale activității Școlii. </w:t>
      </w:r>
    </w:p>
    <w:p w14:paraId="09AD47C7" w14:textId="030E35EB"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ceea ce privește resursa umană, în perioada de referinţă, dezvoltarea capacității instituționale a urmărit, cu prioritate, consolidarea reţelei de formatori a SNG prin recrutarea de noi formatori în domenii actuale de interes pentru formarea personalului auxiliar din cadrul instanţelor şi parchetelor sau pentru disciplinele cu deficit de personal de instruire. În același timp, s-a urmărit consolidarea și perfecționarea corpului personalului propriu. </w:t>
      </w:r>
    </w:p>
    <w:p w14:paraId="57A7502B" w14:textId="533723FB"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Astfel, ca urmare a procedurilor derulate, în baza dispozițiilor referitoare la recrutarea personalului de instruire al Școlii prevăzute în Statutul personalului de instruire al Școlii Naționale de Grefieri, aprobat prin Hotărârea Plenului Consiliului Superior al Magistraturii nr. 1388/2016, modificate și completate prin Hotărârea Plenului Consiliului Superior al Magistraturii nr. 97/2019, au fost numiți 14 noi formatori colaboratori pentru formarea continuă, respectiv 4 judecători, 9 grefieri și 1 specialist în domeniul comunicării, la disciplinele Executări civile, Executări penale, Procedura insolvenței, Informații clasificate - instanțe, Informații clasificate - parchete, Organizare parchete, și Abilități non-juridice (prin </w:t>
      </w:r>
      <w:r w:rsidRPr="00564DC7">
        <w:rPr>
          <w:rFonts w:asciiTheme="minorHAnsi" w:hAnsiTheme="minorHAnsi" w:cstheme="minorHAnsi"/>
          <w:iCs/>
          <w:sz w:val="26"/>
          <w:szCs w:val="26"/>
        </w:rPr>
        <w:t>Hotărârea Plenului Consiliului Superior al Magistraturii nr. 30/07 martie 2023</w:t>
      </w:r>
      <w:r w:rsidRPr="00564DC7">
        <w:rPr>
          <w:rFonts w:asciiTheme="minorHAnsi" w:hAnsiTheme="minorHAnsi" w:cstheme="minorHAnsi"/>
          <w:sz w:val="26"/>
          <w:szCs w:val="26"/>
        </w:rPr>
        <w:t>).</w:t>
      </w:r>
    </w:p>
    <w:p w14:paraId="48BB6846" w14:textId="29854E11"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bCs/>
          <w:sz w:val="26"/>
          <w:szCs w:val="26"/>
        </w:rPr>
        <w:t xml:space="preserve">De asemenea, </w:t>
      </w:r>
      <w:r w:rsidRPr="00564DC7">
        <w:rPr>
          <w:rFonts w:asciiTheme="minorHAnsi" w:hAnsiTheme="minorHAnsi" w:cstheme="minorHAnsi"/>
          <w:sz w:val="26"/>
          <w:szCs w:val="26"/>
        </w:rPr>
        <w:t xml:space="preserve">având în vedere disciplinele din planul de învățământ propus pentru anul școlar 2023-2024, numărul total de ore alocat fiecăreia, forma de desfășurare și modalitatea de evaluare a acestora, ținând seama inclusiv de numărul posturilor aprobate pentru acest an școlar, superior celui din anul anterior, ca urmare a analizei necesarului de formatori pentru desfășurarea adecvată a acțiunilor de formare și evaluare, realizată în cadrul Departamentului de formare profesională inițială, s-a conturat necesitatea recrutării unor colaboratori externi pentru anumite </w:t>
      </w:r>
      <w:r w:rsidRPr="00564DC7">
        <w:rPr>
          <w:rFonts w:asciiTheme="minorHAnsi" w:hAnsiTheme="minorHAnsi" w:cstheme="minorHAnsi"/>
          <w:iCs/>
          <w:sz w:val="26"/>
          <w:szCs w:val="26"/>
        </w:rPr>
        <w:t xml:space="preserve">discipline. </w:t>
      </w:r>
      <w:r w:rsidRPr="00564DC7">
        <w:rPr>
          <w:rFonts w:asciiTheme="minorHAnsi" w:hAnsiTheme="minorHAnsi" w:cstheme="minorHAnsi"/>
          <w:sz w:val="26"/>
          <w:szCs w:val="26"/>
        </w:rPr>
        <w:t>Ca urmare a procedurilor derulate în acest sens, în baza dispozițiilor referitoare la recrutarea personalului de instruire al Școlii, au fost numiți</w:t>
      </w:r>
      <w:r w:rsidR="005B4FD1">
        <w:rPr>
          <w:rFonts w:asciiTheme="minorHAnsi" w:hAnsiTheme="minorHAnsi" w:cstheme="minorHAnsi"/>
          <w:sz w:val="26"/>
          <w:szCs w:val="26"/>
        </w:rPr>
        <w:t>,</w:t>
      </w:r>
      <w:r w:rsidRPr="00564DC7">
        <w:rPr>
          <w:rFonts w:asciiTheme="minorHAnsi" w:hAnsiTheme="minorHAnsi" w:cstheme="minorHAnsi"/>
          <w:sz w:val="26"/>
          <w:szCs w:val="26"/>
        </w:rPr>
        <w:t xml:space="preserve"> </w:t>
      </w:r>
      <w:r w:rsidR="005B4FD1" w:rsidRPr="00564DC7">
        <w:rPr>
          <w:rFonts w:asciiTheme="minorHAnsi" w:hAnsiTheme="minorHAnsi" w:cstheme="minorHAnsi"/>
          <w:sz w:val="26"/>
          <w:szCs w:val="26"/>
        </w:rPr>
        <w:t xml:space="preserve">prin </w:t>
      </w:r>
      <w:r w:rsidR="005B4FD1" w:rsidRPr="00564DC7">
        <w:rPr>
          <w:rFonts w:asciiTheme="minorHAnsi" w:hAnsiTheme="minorHAnsi" w:cstheme="minorHAnsi"/>
          <w:iCs/>
          <w:sz w:val="26"/>
          <w:szCs w:val="26"/>
        </w:rPr>
        <w:t>Hotărârea Plenului Consiliului Superior al Magistraturii nr. 137/24 august 2023</w:t>
      </w:r>
      <w:r w:rsidR="005B4FD1">
        <w:rPr>
          <w:rFonts w:asciiTheme="minorHAnsi" w:hAnsiTheme="minorHAnsi" w:cstheme="minorHAnsi"/>
          <w:iCs/>
          <w:sz w:val="26"/>
          <w:szCs w:val="26"/>
        </w:rPr>
        <w:t xml:space="preserve">, patru </w:t>
      </w:r>
      <w:r w:rsidRPr="00564DC7">
        <w:rPr>
          <w:rFonts w:asciiTheme="minorHAnsi" w:hAnsiTheme="minorHAnsi" w:cstheme="minorHAnsi"/>
          <w:sz w:val="26"/>
          <w:szCs w:val="26"/>
        </w:rPr>
        <w:t>noi formatori colaboratori pentru formarea inițială, respectiv 2 procurori la disciplina Procedură penală (parchete), 1 grefier la disciplina Managementul activității grefierului (parchete) și 1 grefier în calitate de îndrumător pentru Stagiu practic instanțe</w:t>
      </w:r>
      <w:r w:rsidR="005B4FD1">
        <w:rPr>
          <w:rFonts w:asciiTheme="minorHAnsi" w:hAnsiTheme="minorHAnsi" w:cstheme="minorHAnsi"/>
          <w:sz w:val="26"/>
          <w:szCs w:val="26"/>
        </w:rPr>
        <w:t>.</w:t>
      </w:r>
    </w:p>
    <w:p w14:paraId="589C196C" w14:textId="77777777"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Pentru ocuparea unor posturi de personal de instruire propriu (formatori cu normă întreagă) în cadrul departamentelor Școlii cu deficit de personal, ca urmare a procedurilor de selecție derulate în anul 2023 au fost numiți 4 noi formatori </w:t>
      </w:r>
      <w:r w:rsidRPr="00564DC7">
        <w:rPr>
          <w:rFonts w:asciiTheme="minorHAnsi" w:hAnsiTheme="minorHAnsi" w:cstheme="minorHAnsi"/>
          <w:iCs/>
          <w:sz w:val="26"/>
          <w:szCs w:val="26"/>
        </w:rPr>
        <w:t xml:space="preserve">(prin Hotărârile Plenului Consiliului Superior al Magistraturii nr. 78/18 mai 2023, nr. 100/15 iunie 2023 și, respectiv, nr. </w:t>
      </w:r>
      <w:r w:rsidRPr="00564DC7">
        <w:rPr>
          <w:rFonts w:asciiTheme="minorHAnsi" w:hAnsiTheme="minorHAnsi" w:cstheme="minorHAnsi"/>
          <w:sz w:val="26"/>
          <w:szCs w:val="26"/>
        </w:rPr>
        <w:t>70/27 aprilie 2023</w:t>
      </w:r>
      <w:r w:rsidRPr="00564DC7">
        <w:rPr>
          <w:rFonts w:asciiTheme="minorHAnsi" w:hAnsiTheme="minorHAnsi" w:cstheme="minorHAnsi"/>
          <w:iCs/>
          <w:sz w:val="26"/>
          <w:szCs w:val="26"/>
        </w:rPr>
        <w:t>)</w:t>
      </w:r>
      <w:r w:rsidRPr="00564DC7">
        <w:rPr>
          <w:rFonts w:asciiTheme="minorHAnsi" w:hAnsiTheme="minorHAnsi" w:cstheme="minorHAnsi"/>
          <w:sz w:val="26"/>
          <w:szCs w:val="26"/>
        </w:rPr>
        <w:t xml:space="preserve">, după cum urmează: </w:t>
      </w:r>
    </w:p>
    <w:p w14:paraId="778835D3" w14:textId="25F93390" w:rsidR="00B1514A" w:rsidRPr="00564DC7" w:rsidRDefault="00B1514A" w:rsidP="00690186">
      <w:pPr>
        <w:ind w:right="15"/>
        <w:jc w:val="both"/>
        <w:rPr>
          <w:rFonts w:asciiTheme="minorHAnsi" w:hAnsiTheme="minorHAnsi" w:cstheme="minorHAnsi"/>
          <w:iCs/>
          <w:sz w:val="26"/>
          <w:szCs w:val="26"/>
        </w:rPr>
      </w:pPr>
      <w:r w:rsidRPr="00564DC7">
        <w:rPr>
          <w:rFonts w:asciiTheme="minorHAnsi" w:hAnsiTheme="minorHAnsi" w:cstheme="minorHAnsi"/>
          <w:iCs/>
          <w:sz w:val="26"/>
          <w:szCs w:val="26"/>
        </w:rPr>
        <w:t xml:space="preserve">   </w:t>
      </w:r>
      <w:r w:rsidR="004B6128">
        <w:rPr>
          <w:rFonts w:asciiTheme="minorHAnsi" w:hAnsiTheme="minorHAnsi" w:cstheme="minorHAnsi"/>
          <w:iCs/>
          <w:sz w:val="26"/>
          <w:szCs w:val="26"/>
        </w:rPr>
        <w:tab/>
      </w:r>
      <w:r w:rsidRPr="00564DC7">
        <w:rPr>
          <w:rFonts w:asciiTheme="minorHAnsi" w:hAnsiTheme="minorHAnsi" w:cstheme="minorHAnsi"/>
          <w:iCs/>
          <w:sz w:val="26"/>
          <w:szCs w:val="26"/>
        </w:rPr>
        <w:t xml:space="preserve">- în cadrul Departamentului de formare profesională inițială – 1 formator judecător, la disciplina Procedură penală și 1 formator grefier </w:t>
      </w:r>
      <w:r w:rsidRPr="00564DC7">
        <w:rPr>
          <w:rFonts w:asciiTheme="minorHAnsi" w:hAnsiTheme="minorHAnsi" w:cstheme="minorHAnsi"/>
          <w:sz w:val="26"/>
          <w:szCs w:val="26"/>
        </w:rPr>
        <w:t xml:space="preserve">cu studii superioare juridice din cadrul instanțelor, </w:t>
      </w:r>
      <w:r w:rsidRPr="00564DC7">
        <w:rPr>
          <w:rFonts w:asciiTheme="minorHAnsi" w:hAnsiTheme="minorHAnsi" w:cstheme="minorHAnsi"/>
          <w:iCs/>
          <w:sz w:val="26"/>
          <w:szCs w:val="26"/>
        </w:rPr>
        <w:t>la disciplina Informatică aplicată - instanțe (ECRIS în materie civilă);</w:t>
      </w:r>
    </w:p>
    <w:p w14:paraId="3F85C794" w14:textId="6924E2C3" w:rsidR="00B1514A" w:rsidRPr="00564DC7" w:rsidRDefault="00B1514A" w:rsidP="00690186">
      <w:pPr>
        <w:ind w:right="15"/>
        <w:jc w:val="both"/>
        <w:rPr>
          <w:rFonts w:asciiTheme="minorHAnsi" w:hAnsiTheme="minorHAnsi" w:cstheme="minorHAnsi"/>
          <w:iCs/>
          <w:sz w:val="26"/>
          <w:szCs w:val="26"/>
        </w:rPr>
      </w:pPr>
      <w:r w:rsidRPr="00564DC7">
        <w:rPr>
          <w:rFonts w:asciiTheme="minorHAnsi" w:hAnsiTheme="minorHAnsi" w:cstheme="minorHAnsi"/>
          <w:iCs/>
          <w:sz w:val="26"/>
          <w:szCs w:val="26"/>
        </w:rPr>
        <w:lastRenderedPageBreak/>
        <w:t xml:space="preserve">  </w:t>
      </w:r>
      <w:r w:rsidR="004B6128">
        <w:rPr>
          <w:rFonts w:asciiTheme="minorHAnsi" w:hAnsiTheme="minorHAnsi" w:cstheme="minorHAnsi"/>
          <w:iCs/>
          <w:sz w:val="26"/>
          <w:szCs w:val="26"/>
        </w:rPr>
        <w:tab/>
      </w:r>
      <w:r w:rsidRPr="00564DC7">
        <w:rPr>
          <w:rFonts w:asciiTheme="minorHAnsi" w:hAnsiTheme="minorHAnsi" w:cstheme="minorHAnsi"/>
          <w:iCs/>
          <w:sz w:val="26"/>
          <w:szCs w:val="26"/>
        </w:rPr>
        <w:t xml:space="preserve">- în cadrul Departamentului relații internaționale – 1 formator procuror, </w:t>
      </w:r>
      <w:r w:rsidRPr="00564DC7">
        <w:rPr>
          <w:rFonts w:asciiTheme="minorHAnsi" w:hAnsiTheme="minorHAnsi" w:cstheme="minorHAnsi"/>
          <w:sz w:val="26"/>
          <w:szCs w:val="26"/>
        </w:rPr>
        <w:t xml:space="preserve">la disciplina </w:t>
      </w:r>
      <w:r w:rsidRPr="00564DC7">
        <w:rPr>
          <w:rFonts w:asciiTheme="minorHAnsi" w:hAnsiTheme="minorHAnsi" w:cstheme="minorHAnsi"/>
          <w:iCs/>
          <w:sz w:val="26"/>
          <w:szCs w:val="26"/>
        </w:rPr>
        <w:t xml:space="preserve">Cooperare judiciară internațională în materie penală și 1 formator grefier </w:t>
      </w:r>
      <w:r w:rsidRPr="00564DC7">
        <w:rPr>
          <w:rFonts w:asciiTheme="minorHAnsi" w:hAnsiTheme="minorHAnsi" w:cstheme="minorHAnsi"/>
          <w:sz w:val="26"/>
          <w:szCs w:val="26"/>
        </w:rPr>
        <w:t>cu studii superioare juridice din cadrul instanțelor, la disciplina Procedură civilă.</w:t>
      </w:r>
    </w:p>
    <w:p w14:paraId="0A465036" w14:textId="77777777"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Totodată, ținând cont de necesitatea asigurării în structura departamentelor de formare profesională inițială și, respectiv, continuă a cel puțin unui formator cu normă întreagă la disciplinele fundamentale, se află în derulare două proceduri de selecție pentru ocuparea unui post de personal de instruire propriu - procuror la disciplina Procedură penală și, respectiv, a unui post de personal de instruire propriu - judecător la disciplina Drept procesual penal. În același timp, se află în derulare o procedură de selecție pentru ocuparea postului vacant de personal de instruire propriu – grefier cu studii superioare juridice din cadrul Departamentului relații internaționale, avându-se în vedere proiectele numeroase aflate în coordonarea acestui departament, inclusiv ca urmare a participării Școlii Naționale de Grefieri alături de EJTN și ERA. </w:t>
      </w:r>
    </w:p>
    <w:p w14:paraId="467FDA1E" w14:textId="77777777" w:rsidR="00B1514A" w:rsidRPr="00564DC7"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Având în vedere complexitatea activității de formator al Școlii Naționale de Grefieri, precum și faptul că formatorii sunt recrutați, de regulă, din rândul magistraților și grefierilor fără o pregătire prealabilă specială în domeniul didactic, în anul 2023 au fost organizate două seminare de formare a formatorilor în domeniul tehnicilor pedagogice, sesiuni derulate la sediul Școlii cu formatori interni, având ca scop </w:t>
      </w:r>
      <w:r w:rsidRPr="00564DC7">
        <w:rPr>
          <w:rStyle w:val="apple-converted-space"/>
          <w:rFonts w:asciiTheme="minorHAnsi" w:hAnsiTheme="minorHAnsi" w:cstheme="minorHAnsi"/>
          <w:sz w:val="26"/>
          <w:szCs w:val="26"/>
        </w:rPr>
        <w:t>dezvoltarea aptitudinilor didactice ale formatorilor nou recrutați, dar și facilitarea integrării acestora în echipa de formatori a SNG</w:t>
      </w:r>
      <w:r w:rsidRPr="00564DC7">
        <w:rPr>
          <w:rFonts w:asciiTheme="minorHAnsi" w:hAnsiTheme="minorHAnsi" w:cstheme="minorHAnsi"/>
          <w:sz w:val="26"/>
          <w:szCs w:val="26"/>
        </w:rPr>
        <w:t xml:space="preserve">. </w:t>
      </w:r>
    </w:p>
    <w:p w14:paraId="31DF9B13" w14:textId="1333884E" w:rsidR="00B1514A" w:rsidRPr="00564DC7" w:rsidRDefault="00B1514A" w:rsidP="00690186">
      <w:pPr>
        <w:ind w:right="15" w:firstLine="709"/>
        <w:jc w:val="both"/>
        <w:rPr>
          <w:rFonts w:asciiTheme="minorHAnsi" w:hAnsiTheme="minorHAnsi" w:cstheme="minorHAnsi"/>
          <w:iCs/>
          <w:sz w:val="26"/>
          <w:szCs w:val="26"/>
        </w:rPr>
      </w:pPr>
      <w:r w:rsidRPr="00564DC7">
        <w:rPr>
          <w:rFonts w:asciiTheme="minorHAnsi" w:hAnsiTheme="minorHAnsi" w:cstheme="minorHAnsi"/>
          <w:iCs/>
          <w:sz w:val="26"/>
          <w:szCs w:val="26"/>
        </w:rPr>
        <w:t xml:space="preserve">Nu în ultimul rând, ca urmare a dobândirii de către Școala Națională de Grefieri a statutului de membru asociat al Rețelei Europene de Formare Judiciară, </w:t>
      </w:r>
      <w:r w:rsidR="0029541E">
        <w:rPr>
          <w:rFonts w:asciiTheme="minorHAnsi" w:hAnsiTheme="minorHAnsi" w:cstheme="minorHAnsi"/>
          <w:iCs/>
          <w:sz w:val="26"/>
          <w:szCs w:val="26"/>
        </w:rPr>
        <w:t xml:space="preserve">a fost posibilă </w:t>
      </w:r>
      <w:r w:rsidRPr="00564DC7">
        <w:rPr>
          <w:rFonts w:asciiTheme="minorHAnsi" w:hAnsiTheme="minorHAnsi" w:cstheme="minorHAnsi"/>
          <w:iCs/>
          <w:sz w:val="26"/>
          <w:szCs w:val="26"/>
        </w:rPr>
        <w:t xml:space="preserve">accesarea programelor internaționale de formare ale rețelei, inclusiv </w:t>
      </w:r>
      <w:r w:rsidRPr="00564DC7">
        <w:rPr>
          <w:rFonts w:asciiTheme="minorHAnsi" w:hAnsiTheme="minorHAnsi" w:cstheme="minorHAnsi"/>
          <w:sz w:val="26"/>
          <w:szCs w:val="26"/>
        </w:rPr>
        <w:t>schimbul de bune practici în domeniul formării şi al activității grefierilor</w:t>
      </w:r>
      <w:r w:rsidRPr="00564DC7">
        <w:rPr>
          <w:rFonts w:asciiTheme="minorHAnsi" w:hAnsiTheme="minorHAnsi" w:cstheme="minorHAnsi"/>
          <w:iCs/>
          <w:sz w:val="26"/>
          <w:szCs w:val="26"/>
        </w:rPr>
        <w:t xml:space="preserve">. </w:t>
      </w:r>
    </w:p>
    <w:p w14:paraId="6A4CEA23" w14:textId="48B7DB21" w:rsidR="00B1514A" w:rsidRPr="00564DC7" w:rsidRDefault="00B1514A" w:rsidP="00690186">
      <w:pPr>
        <w:shd w:val="clear" w:color="auto" w:fill="FFFFFF"/>
        <w:ind w:firstLine="709"/>
        <w:jc w:val="both"/>
        <w:rPr>
          <w:rFonts w:asciiTheme="minorHAnsi" w:hAnsiTheme="minorHAnsi" w:cstheme="minorHAnsi"/>
          <w:iCs/>
          <w:sz w:val="26"/>
          <w:szCs w:val="26"/>
        </w:rPr>
      </w:pPr>
      <w:r w:rsidRPr="00564DC7">
        <w:rPr>
          <w:rFonts w:asciiTheme="minorHAnsi" w:hAnsiTheme="minorHAnsi" w:cstheme="minorHAnsi"/>
          <w:iCs/>
          <w:sz w:val="26"/>
          <w:szCs w:val="26"/>
        </w:rPr>
        <w:t>În ceea ce privește cadrul normativ care reglementează activitatea Școlii, în cursul anului 2023</w:t>
      </w:r>
      <w:r w:rsidR="004A1DAA">
        <w:rPr>
          <w:rFonts w:asciiTheme="minorHAnsi" w:hAnsiTheme="minorHAnsi" w:cstheme="minorHAnsi"/>
          <w:iCs/>
          <w:sz w:val="26"/>
          <w:szCs w:val="26"/>
        </w:rPr>
        <w:t>,</w:t>
      </w:r>
      <w:r w:rsidRPr="00564DC7">
        <w:rPr>
          <w:rFonts w:asciiTheme="minorHAnsi" w:hAnsiTheme="minorHAnsi" w:cstheme="minorHAnsi"/>
          <w:iCs/>
          <w:sz w:val="26"/>
          <w:szCs w:val="26"/>
        </w:rPr>
        <w:t xml:space="preserve"> s-a formulat o propunere de modificare a Regulamentului </w:t>
      </w:r>
      <w:r w:rsidRPr="00564DC7">
        <w:rPr>
          <w:rFonts w:asciiTheme="minorHAnsi" w:hAnsiTheme="minorHAnsi" w:cstheme="minorHAnsi"/>
          <w:sz w:val="26"/>
          <w:szCs w:val="26"/>
        </w:rPr>
        <w:t xml:space="preserve">privind concursul de admitere la Școala Națională de Grefieri, aprobat prin Hotărârea nr. 173/2007 </w:t>
      </w:r>
      <w:r w:rsidRPr="00564DC7">
        <w:rPr>
          <w:rFonts w:asciiTheme="minorHAnsi" w:hAnsiTheme="minorHAnsi" w:cstheme="minorHAnsi"/>
          <w:iCs/>
          <w:sz w:val="26"/>
          <w:szCs w:val="26"/>
        </w:rPr>
        <w:t xml:space="preserve">a Plenului Consiliului Superior al Magistraturii, cu modificările și completările ulterioare (inclusiv cele aduse prin </w:t>
      </w:r>
      <w:r w:rsidRPr="00564DC7">
        <w:rPr>
          <w:rFonts w:asciiTheme="minorHAnsi" w:hAnsiTheme="minorHAnsi" w:cstheme="minorHAnsi"/>
          <w:sz w:val="26"/>
          <w:szCs w:val="26"/>
        </w:rPr>
        <w:t>Hotărârea Plenului Consiliului Superior al Magistraturii nr. 177/15 decembrie 2022</w:t>
      </w:r>
      <w:r w:rsidRPr="00564DC7">
        <w:rPr>
          <w:rFonts w:asciiTheme="minorHAnsi" w:hAnsiTheme="minorHAnsi" w:cstheme="minorHAnsi"/>
          <w:iCs/>
          <w:sz w:val="26"/>
          <w:szCs w:val="26"/>
        </w:rPr>
        <w:t xml:space="preserve">), într-un demers mai amplu de îmbunătățire a actelor normative secundare ce reglementează organizarea și funcționarea Școlii. Prin </w:t>
      </w:r>
      <w:r w:rsidRPr="00564DC7">
        <w:rPr>
          <w:rFonts w:asciiTheme="minorHAnsi" w:hAnsiTheme="minorHAnsi" w:cstheme="minorHAnsi"/>
          <w:sz w:val="26"/>
          <w:szCs w:val="26"/>
        </w:rPr>
        <w:t xml:space="preserve">Hotărârea Plenului Consiliului Superior al Magistraturii nr. 27/03 martie 2023 a fost aprobată modificarea </w:t>
      </w:r>
      <w:r w:rsidRPr="00564DC7">
        <w:rPr>
          <w:rFonts w:asciiTheme="minorHAnsi" w:hAnsiTheme="minorHAnsi" w:cstheme="minorHAnsi"/>
          <w:iCs/>
          <w:sz w:val="26"/>
          <w:szCs w:val="26"/>
        </w:rPr>
        <w:t xml:space="preserve">Regulamentului </w:t>
      </w:r>
      <w:r w:rsidRPr="00564DC7">
        <w:rPr>
          <w:rFonts w:asciiTheme="minorHAnsi" w:hAnsiTheme="minorHAnsi" w:cstheme="minorHAnsi"/>
          <w:sz w:val="26"/>
          <w:szCs w:val="26"/>
        </w:rPr>
        <w:t>privind concursul de admitere la Școala Națională de Grefieri.</w:t>
      </w:r>
    </w:p>
    <w:p w14:paraId="23BF306F" w14:textId="77777777" w:rsidR="00B1514A" w:rsidRPr="00564DC7" w:rsidRDefault="00B1514A" w:rsidP="00690186">
      <w:pPr>
        <w:ind w:right="15" w:firstLine="709"/>
        <w:jc w:val="both"/>
        <w:rPr>
          <w:rFonts w:asciiTheme="minorHAnsi" w:hAnsiTheme="minorHAnsi" w:cstheme="minorHAnsi"/>
          <w:sz w:val="26"/>
          <w:szCs w:val="26"/>
        </w:rPr>
      </w:pPr>
      <w:r w:rsidRPr="00564DC7">
        <w:rPr>
          <w:rFonts w:asciiTheme="minorHAnsi" w:hAnsiTheme="minorHAnsi" w:cstheme="minorHAnsi"/>
          <w:sz w:val="26"/>
          <w:szCs w:val="26"/>
        </w:rPr>
        <w:t>Începând cu data de 25 ianuarie 2023 au fost implementate modificările din Regulamentul de organizare și funcționare al Școlii Naționale de Grefieri, aprobat prin Hotărârea Plenului Consiliului Superior al Magistraturii nr. 183/2007, cu modificările ulterioare în privința structurii organizatorice (aduse prin Hotărârea Plenului Consiliului Superior al Magistraturii nr. 176/15 decembrie 2022), fiind aprobate Statul de funcții și Statul de personal valabile la data de 25 ianuarie 2023, așa cum rezultă din Hotărârea Plenului Consiliului Superior al Magistraturii nr. 39/07 martie 2023.</w:t>
      </w:r>
    </w:p>
    <w:p w14:paraId="78B1E57E" w14:textId="77777777" w:rsidR="00B1514A" w:rsidRPr="00564DC7" w:rsidRDefault="00B1514A" w:rsidP="00690186">
      <w:pPr>
        <w:pStyle w:val="rvps1"/>
        <w:shd w:val="clear" w:color="auto" w:fill="FFFFFF"/>
        <w:ind w:firstLine="709"/>
        <w:jc w:val="both"/>
        <w:rPr>
          <w:rFonts w:asciiTheme="minorHAnsi" w:hAnsiTheme="minorHAnsi" w:cstheme="minorHAnsi"/>
          <w:sz w:val="26"/>
          <w:szCs w:val="26"/>
          <w:lang w:val="pt-PT"/>
        </w:rPr>
      </w:pPr>
      <w:r w:rsidRPr="00564DC7">
        <w:rPr>
          <w:rFonts w:asciiTheme="minorHAnsi" w:hAnsiTheme="minorHAnsi" w:cstheme="minorHAnsi"/>
          <w:sz w:val="26"/>
          <w:szCs w:val="26"/>
          <w:lang w:val="pt-PT"/>
        </w:rPr>
        <w:t xml:space="preserve">În cursul anului 2023, fluctuația personalului pe funcțiile publice de execuție și de conducere a fost acoperită prin proceduri de transfer la cerere, dar și prin recrutare și promovare, potrivit dispozițiilor legale. Astfel, în condițiile aplicării dispozițiilor OUG nr. 34/2023 </w:t>
      </w:r>
      <w:r w:rsidRPr="00564DC7">
        <w:rPr>
          <w:rFonts w:asciiTheme="minorHAnsi" w:hAnsiTheme="minorHAnsi" w:cstheme="minorHAnsi"/>
          <w:iCs/>
          <w:sz w:val="26"/>
          <w:szCs w:val="26"/>
          <w:lang w:val="pt-PT"/>
        </w:rPr>
        <w:t>privind unele măsuri fiscal-bugetare, prorogarea unor termene, precum şi pentru modificarea şi completarea unor acte normative,</w:t>
      </w:r>
      <w:r w:rsidRPr="00564DC7">
        <w:rPr>
          <w:rFonts w:asciiTheme="minorHAnsi" w:hAnsiTheme="minorHAnsi" w:cstheme="minorHAnsi"/>
          <w:i/>
          <w:iCs/>
          <w:sz w:val="26"/>
          <w:szCs w:val="26"/>
          <w:lang w:val="pt-PT"/>
        </w:rPr>
        <w:t xml:space="preserve"> </w:t>
      </w:r>
      <w:r w:rsidRPr="00564DC7">
        <w:rPr>
          <w:rFonts w:asciiTheme="minorHAnsi" w:hAnsiTheme="minorHAnsi" w:cstheme="minorHAnsi"/>
          <w:sz w:val="26"/>
          <w:szCs w:val="26"/>
          <w:lang w:val="pt-PT"/>
        </w:rPr>
        <w:t xml:space="preserve">a fost derulată o procedură de transfer la cerere, finalizată prin ocuparea funcțiiei publice de execuție vacantă pentru care a fost declanșată. </w:t>
      </w:r>
    </w:p>
    <w:p w14:paraId="5BBE0470" w14:textId="77777777" w:rsidR="00B1514A" w:rsidRPr="00564DC7" w:rsidRDefault="00B1514A" w:rsidP="00690186">
      <w:pPr>
        <w:pStyle w:val="rvps1"/>
        <w:shd w:val="clear" w:color="auto" w:fill="FFFFFF"/>
        <w:ind w:firstLine="709"/>
        <w:jc w:val="both"/>
        <w:rPr>
          <w:rFonts w:asciiTheme="minorHAnsi" w:hAnsiTheme="minorHAnsi" w:cstheme="minorHAnsi"/>
          <w:sz w:val="26"/>
          <w:szCs w:val="26"/>
          <w:lang w:val="pt-PT"/>
        </w:rPr>
      </w:pPr>
      <w:r w:rsidRPr="00564DC7">
        <w:rPr>
          <w:rFonts w:asciiTheme="minorHAnsi" w:hAnsiTheme="minorHAnsi" w:cstheme="minorHAnsi"/>
          <w:sz w:val="26"/>
          <w:szCs w:val="26"/>
          <w:lang w:val="pt-PT"/>
        </w:rPr>
        <w:t>Funcția publică de consilier juridic, post unic în structura Școlii, a fost ocupată prin organizarea procedurii de recrutare, iar funcția publică de conducere de director economic a fost ocupată prin procedura de promovare, ca modalitate de dezvoltare a carierei funcționarilor publici.</w:t>
      </w:r>
    </w:p>
    <w:p w14:paraId="23BD2BA9" w14:textId="77777777" w:rsidR="00B1514A" w:rsidRPr="00564DC7" w:rsidRDefault="00B1514A" w:rsidP="00690186">
      <w:pPr>
        <w:ind w:right="15"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Tot în cursul anului 2023, ca urmare a implementării de către Agenția Națională a Funcționarilor Publici a Proiectului-pilot privind concursul de recrutare pentru ocuparea funcțiilor publice de grad debutant, Școala a participat în cadrul acestui proiect-pilot cu o funcție publică de grad debutant, atât la componenta de recrutare cât și în cadrul componentei de selecție, fără ocuparea funcției publice vacante. De menționat că toate etapele proiectului pilot s-au derulat în online, fiind utilizate platformele puse la dispoziție de ANFP, prin digitalizarea exclusivă a concursului.</w:t>
      </w:r>
    </w:p>
    <w:p w14:paraId="2B40A63F" w14:textId="04A4A850" w:rsidR="00B1514A" w:rsidRPr="00564DC7" w:rsidRDefault="00B1514A" w:rsidP="00690186">
      <w:pPr>
        <w:ind w:right="15"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Tot în privința funcțiilor publice, potrivit dispozițiilor legale, până la termenul limită de 30 iunie 2023 a fost </w:t>
      </w:r>
      <w:r w:rsidR="004A1DAA">
        <w:rPr>
          <w:rFonts w:asciiTheme="minorHAnsi" w:hAnsiTheme="minorHAnsi" w:cstheme="minorHAnsi"/>
          <w:sz w:val="26"/>
          <w:szCs w:val="26"/>
        </w:rPr>
        <w:t xml:space="preserve">constituit </w:t>
      </w:r>
      <w:r w:rsidRPr="00564DC7">
        <w:rPr>
          <w:rFonts w:asciiTheme="minorHAnsi" w:hAnsiTheme="minorHAnsi" w:cstheme="minorHAnsi"/>
          <w:sz w:val="26"/>
          <w:szCs w:val="26"/>
        </w:rPr>
        <w:t xml:space="preserve">grupul de lucru și elaborată documentația privind stabilirea competențelor specifice funcțiilor publice din cadrul SNG, competențe avizate de către ANFP. </w:t>
      </w:r>
    </w:p>
    <w:p w14:paraId="6A368D09" w14:textId="77777777" w:rsidR="00B1514A" w:rsidRPr="00564DC7" w:rsidRDefault="00B1514A" w:rsidP="00690186">
      <w:pPr>
        <w:ind w:right="15" w:firstLine="709"/>
        <w:jc w:val="both"/>
        <w:rPr>
          <w:rFonts w:asciiTheme="minorHAnsi" w:hAnsiTheme="minorHAnsi" w:cstheme="minorHAnsi"/>
          <w:sz w:val="26"/>
          <w:szCs w:val="26"/>
        </w:rPr>
      </w:pPr>
      <w:r w:rsidRPr="00564DC7">
        <w:rPr>
          <w:rFonts w:asciiTheme="minorHAnsi" w:hAnsiTheme="minorHAnsi" w:cstheme="minorHAnsi"/>
          <w:sz w:val="26"/>
          <w:szCs w:val="26"/>
        </w:rPr>
        <w:t>În ceea ce privește categoria personalului contractual, până la momentul aplicării dispozițiilor OUG nr. 34/2023, a fost organizat un concurs de recrutare, procedură care s-a finalizat cu ocuparea postului pentru care a fost declanșată.</w:t>
      </w:r>
    </w:p>
    <w:p w14:paraId="6B5141F8" w14:textId="6692AE83" w:rsidR="00B1514A" w:rsidRPr="0097656B" w:rsidRDefault="00B1514A" w:rsidP="0097656B">
      <w:pPr>
        <w:pStyle w:val="Heading3"/>
        <w:spacing w:line="240" w:lineRule="auto"/>
        <w:ind w:firstLine="708"/>
        <w:rPr>
          <w:rFonts w:cstheme="minorHAnsi"/>
          <w:bCs/>
          <w:color w:val="auto"/>
          <w:szCs w:val="26"/>
        </w:rPr>
      </w:pPr>
      <w:bookmarkStart w:id="37" w:name="_Toc430867109"/>
      <w:bookmarkStart w:id="38" w:name="_Toc381021523"/>
      <w:bookmarkStart w:id="39" w:name="_Toc155267872"/>
      <w:r w:rsidRPr="0097656B">
        <w:rPr>
          <w:rFonts w:cstheme="minorHAnsi"/>
          <w:bCs/>
          <w:color w:val="auto"/>
          <w:szCs w:val="26"/>
        </w:rPr>
        <w:t>I.5. Contribuţia la dezvoltarea spaţiului judiciar comun european</w:t>
      </w:r>
      <w:bookmarkEnd w:id="37"/>
      <w:bookmarkEnd w:id="38"/>
      <w:bookmarkEnd w:id="39"/>
      <w:r w:rsidRPr="0097656B">
        <w:rPr>
          <w:rFonts w:cstheme="minorHAnsi"/>
          <w:bCs/>
          <w:color w:val="auto"/>
          <w:szCs w:val="26"/>
        </w:rPr>
        <w:t xml:space="preserve"> </w:t>
      </w:r>
    </w:p>
    <w:p w14:paraId="275CA79A" w14:textId="77777777" w:rsidR="00B1514A" w:rsidRPr="00564DC7" w:rsidRDefault="00B1514A" w:rsidP="00690186">
      <w:pPr>
        <w:spacing w:after="160"/>
        <w:ind w:firstLine="708"/>
        <w:contextualSpacing/>
        <w:jc w:val="both"/>
        <w:rPr>
          <w:rFonts w:asciiTheme="minorHAnsi" w:hAnsiTheme="minorHAnsi" w:cstheme="minorHAnsi"/>
          <w:b/>
          <w:sz w:val="26"/>
          <w:szCs w:val="26"/>
        </w:rPr>
      </w:pPr>
      <w:r w:rsidRPr="00564DC7">
        <w:rPr>
          <w:rFonts w:asciiTheme="minorHAnsi" w:hAnsiTheme="minorHAnsi" w:cstheme="minorHAnsi"/>
          <w:b/>
          <w:sz w:val="26"/>
          <w:szCs w:val="26"/>
        </w:rPr>
        <w:t>Consiliul Superior al Magistraturii</w:t>
      </w:r>
    </w:p>
    <w:p w14:paraId="289696FD" w14:textId="77777777" w:rsidR="00B1514A" w:rsidRPr="00564DC7" w:rsidRDefault="00B1514A" w:rsidP="00690186">
      <w:pPr>
        <w:ind w:firstLine="709"/>
        <w:jc w:val="both"/>
        <w:rPr>
          <w:rFonts w:asciiTheme="minorHAnsi" w:hAnsiTheme="minorHAnsi" w:cstheme="minorHAnsi"/>
          <w:bCs/>
          <w:sz w:val="26"/>
          <w:szCs w:val="26"/>
        </w:rPr>
      </w:pPr>
      <w:r w:rsidRPr="00564DC7">
        <w:rPr>
          <w:rFonts w:asciiTheme="minorHAnsi" w:hAnsiTheme="minorHAnsi" w:cstheme="minorHAnsi"/>
          <w:sz w:val="26"/>
          <w:szCs w:val="26"/>
        </w:rPr>
        <w:t>Potrivit principalelor direcții de acțiune și obiective ale Consiliului Superior al Magistraturii pentru mandatul 2023-2029, adoptate prin Hotărârea nr. 55/30 martie 2023 a Plenului Consiliului, așa cum se detaliază și în capitolul VI.3 al prezentului Raport, consolidarea relațiilor interne și internaționale reprezintă unul dintre elementele-cheie ale activității Consiliului.</w:t>
      </w:r>
    </w:p>
    <w:p w14:paraId="342B2BCC" w14:textId="77777777" w:rsidR="00B1514A" w:rsidRPr="00564DC7" w:rsidRDefault="00B1514A" w:rsidP="00690186">
      <w:pPr>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Activitatea Consiliului Superior al Magistraturii în domeniul relațiilor europene și internaționale este una dinamică, deopotrivă din perspectiva relației cu organismele şi instituţiile europene şi internaţionale, dar şi a colaborărilor bi sau multilaterale cu alte consilii judiciare, cu organisme sau entități omoloage ori în cadrul rețelelor europene sau internaţionale în care Consiliul este reprezentat, dar şi prin participarea într-o serie de proiecte sau prin contribuția la elaborarea unor studii cu caracter internaţional, a unor rapoarte de evaluare sau analize privind sistemele judiciare, în contextul obligațiilor internaţionale asumate la nivelul sistemului judiciar românesc, asigurând, totodată, interfața pentru judecătorii şi procurorii din România în relaționarea cu colegii din alte sisteme judiciare.</w:t>
      </w:r>
    </w:p>
    <w:p w14:paraId="773BFA50" w14:textId="77777777" w:rsidR="00B1514A" w:rsidRPr="00564DC7" w:rsidRDefault="00B1514A" w:rsidP="00690186">
      <w:pPr>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 xml:space="preserve">Cu titlu exemplificativ, se impune a fi menționate, printre altele, relaționarea şi implicarea Consiliului în contextul evaluărilor Comisiei Europene în cadrul noului mecanism UE al Statului de Drept introdus începând cu anul 2020 sau al Tabloului de bord </w:t>
      </w:r>
      <w:r w:rsidRPr="00564DC7">
        <w:rPr>
          <w:rFonts w:asciiTheme="minorHAnsi" w:hAnsiTheme="minorHAnsi" w:cstheme="minorHAnsi"/>
          <w:sz w:val="26"/>
          <w:szCs w:val="26"/>
        </w:rPr>
        <w:t xml:space="preserve">privind justiția în UE </w:t>
      </w:r>
      <w:r w:rsidRPr="00564DC7">
        <w:rPr>
          <w:rFonts w:asciiTheme="minorHAnsi" w:hAnsiTheme="minorHAnsi" w:cstheme="minorHAnsi"/>
          <w:bCs/>
          <w:sz w:val="26"/>
          <w:szCs w:val="26"/>
        </w:rPr>
        <w:t>(EU Justice Scoreboard), dar şi relaționarea cu organismele din cadrul Consiliului Europei: Consiliul Consultativ al Judecătorilor Europeni (CCJE), Consiliul Consultativ al Procurorilor Europeni (CCPE), Comisia Europeană pentru Eficienţa Justiţiei (CEPEJ).</w:t>
      </w:r>
    </w:p>
    <w:p w14:paraId="52FEBAA9" w14:textId="77777777" w:rsidR="00B1514A" w:rsidRPr="00564DC7" w:rsidRDefault="00B1514A" w:rsidP="00690186">
      <w:pPr>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În contextul Mecanismului UE privind statul de drept, instrument de evaluare unitară a sistemelor judiciare europene care își propune, printre altele, identificarea unei abordări unitare a provocărilor din perspectiva statului de drept, așa cum se detaliază și în capitolul VI.3 al Raportului, Consiliului Superior al Magistraturii și-a manifestat constant interesul și preocuparea pentru îndeplinirea obiectivelor asumate la nivel european în contextul evaluărilor Comisiei Europene, contribuind cu informații mereu actualizate și relevante din perspectiva evoluției reformei judiciare și în exercitarea rolului său constituțional de garant al independenței justiției.</w:t>
      </w:r>
    </w:p>
    <w:p w14:paraId="114BB8F1" w14:textId="77777777" w:rsidR="00B1514A" w:rsidRPr="00261D6B" w:rsidRDefault="00B1514A" w:rsidP="00690186">
      <w:pPr>
        <w:ind w:firstLine="709"/>
        <w:jc w:val="both"/>
        <w:rPr>
          <w:rFonts w:asciiTheme="minorHAnsi" w:hAnsiTheme="minorHAnsi" w:cstheme="minorHAnsi"/>
          <w:sz w:val="26"/>
          <w:szCs w:val="26"/>
        </w:rPr>
      </w:pPr>
      <w:r w:rsidRPr="00261D6B">
        <w:rPr>
          <w:rFonts w:asciiTheme="minorHAnsi" w:hAnsiTheme="minorHAnsi" w:cstheme="minorHAnsi"/>
          <w:bCs/>
          <w:sz w:val="26"/>
          <w:szCs w:val="26"/>
        </w:rPr>
        <w:t xml:space="preserve">În ceea ce priveşte activitatea de relaționare şi colaborare cu alte consilii judiciare sau entități omoloage, de mare relevanță, din perspectiva dinamicii activităţii şi reprezentării Consiliului, este de menţionat activitatea în cadrul Reţelei Europene a Consiliilor Judiciare (RECJ), </w:t>
      </w:r>
      <w:r w:rsidRPr="00261D6B">
        <w:rPr>
          <w:rFonts w:asciiTheme="minorHAnsi" w:hAnsiTheme="minorHAnsi" w:cstheme="minorHAnsi"/>
          <w:sz w:val="26"/>
          <w:szCs w:val="26"/>
        </w:rPr>
        <w:t>înființată în mod formal cu ocazia Adunării Generale de la Roma, în anul 2004. Reţeaua este alcătuită din instituţii naţionale din statele membre UE – consilii judiciare sau entități cu atribuţii similare privind sprijinirea sistemelor judiciare pentru îndeplinirea unui act de justiţie independent.</w:t>
      </w:r>
    </w:p>
    <w:p w14:paraId="2102BD56" w14:textId="29A7AC77" w:rsidR="00B1514A" w:rsidRPr="00261D6B" w:rsidRDefault="00B1514A" w:rsidP="00690186">
      <w:pPr>
        <w:ind w:firstLine="709"/>
        <w:jc w:val="both"/>
        <w:rPr>
          <w:rFonts w:asciiTheme="minorHAnsi" w:hAnsiTheme="minorHAnsi" w:cstheme="minorHAnsi"/>
          <w:sz w:val="26"/>
          <w:szCs w:val="26"/>
        </w:rPr>
      </w:pPr>
      <w:r w:rsidRPr="00261D6B">
        <w:rPr>
          <w:rFonts w:asciiTheme="minorHAnsi" w:hAnsiTheme="minorHAnsi" w:cstheme="minorHAnsi"/>
          <w:sz w:val="26"/>
          <w:szCs w:val="26"/>
        </w:rPr>
        <w:lastRenderedPageBreak/>
        <w:t>Consiliul Superior al Magistraturii din România a devenit membru al RECJ în anul 2007, iar de atunci a fost implicat în mod activ în proiectele desfășurate şi în administrarea RECJ. Astfel, CSM România a fost activ inclusiv în co-coordonarea unor proiecte importante ale Reţelei în materia reformei judiciare, a independenţei justiţiei şi responsabilit</w:t>
      </w:r>
      <w:r w:rsidR="004A1DAA" w:rsidRPr="00261D6B">
        <w:rPr>
          <w:rFonts w:asciiTheme="minorHAnsi" w:hAnsiTheme="minorHAnsi" w:cstheme="minorHAnsi"/>
          <w:sz w:val="26"/>
          <w:szCs w:val="26"/>
        </w:rPr>
        <w:t>ății</w:t>
      </w:r>
      <w:r w:rsidRPr="00261D6B">
        <w:rPr>
          <w:rFonts w:asciiTheme="minorHAnsi" w:hAnsiTheme="minorHAnsi" w:cstheme="minorHAnsi"/>
          <w:sz w:val="26"/>
          <w:szCs w:val="26"/>
        </w:rPr>
        <w:t xml:space="preserve"> judecătorilor, a independenţei şi responsabilității procurorilor, privind încrederea publică şi imaginea justiţiei sau în materie de digitalizare. </w:t>
      </w:r>
    </w:p>
    <w:p w14:paraId="0126402C" w14:textId="77777777" w:rsidR="00B1514A" w:rsidRPr="00261D6B" w:rsidRDefault="00B1514A" w:rsidP="00690186">
      <w:pPr>
        <w:ind w:firstLine="709"/>
        <w:jc w:val="both"/>
        <w:rPr>
          <w:rFonts w:asciiTheme="minorHAnsi" w:hAnsiTheme="minorHAnsi" w:cstheme="minorHAnsi"/>
          <w:sz w:val="26"/>
          <w:szCs w:val="26"/>
        </w:rPr>
      </w:pPr>
      <w:r w:rsidRPr="00261D6B">
        <w:rPr>
          <w:rFonts w:asciiTheme="minorHAnsi" w:hAnsiTheme="minorHAnsi" w:cstheme="minorHAnsi"/>
          <w:sz w:val="26"/>
          <w:szCs w:val="26"/>
        </w:rPr>
        <w:t>Tabloul de bord privind justiția în UE este un instrument de informare menit să ajute UE și statele membre să crească gradul de eficacitate al justiției, prin furnizarea de date obiective, fiabile și comparabile privind calitatea, independența și eficiența sistemelor de justiție în toate statele membre. Acesta contribuie la identificarea eventualelor deficiențe, a îmbunătățirilor care pot fi aduse și a bunelor practici şi prezintă tendințele funcționării sistemelor naționale de justiție de-a lungul timpului. În cadrul acestui exerciţiu nu este promovat un anumit tip de sistem de justiție, ci toate statele membre sunt tratate în mod egal. Indiferent de modelul sistemului judiciar național sau de tradiția juridică în care acesta este ancorat, adecvarea duratei procedurilor, independența, accesibilitatea din punct de vedere financiar și accesul ușor sunt unii dintre parametrii esențiali ai unui sistem de justiție eficace.</w:t>
      </w:r>
    </w:p>
    <w:p w14:paraId="337886BE" w14:textId="62D0D1A6" w:rsidR="00B1514A" w:rsidRPr="00564DC7" w:rsidRDefault="00B1514A" w:rsidP="00690186">
      <w:pPr>
        <w:ind w:firstLine="709"/>
        <w:jc w:val="both"/>
        <w:rPr>
          <w:rFonts w:asciiTheme="minorHAnsi" w:hAnsiTheme="minorHAnsi" w:cstheme="minorHAnsi"/>
          <w:sz w:val="26"/>
          <w:szCs w:val="26"/>
        </w:rPr>
      </w:pPr>
      <w:r w:rsidRPr="00261D6B">
        <w:rPr>
          <w:rFonts w:asciiTheme="minorHAnsi" w:hAnsiTheme="minorHAnsi" w:cstheme="minorHAnsi"/>
          <w:sz w:val="26"/>
          <w:szCs w:val="26"/>
        </w:rPr>
        <w:t>Consiliul Superior al Magistraturii este reprezentat la nivel tehnic prin DAERIP – SAERI în cadrul grupului de persoane de contact din partea sistemelor judiciare din statele membre, iar activitatea în acest context constă în elaborarea şi transmiterea contribuției la chestionarul aplicat anual în cadrul acestei evaluări, precum şi în participarea la reuniunile periodice organizate în acest sens.</w:t>
      </w:r>
    </w:p>
    <w:p w14:paraId="31D5E7B0" w14:textId="0007B097" w:rsidR="00B1514A" w:rsidRPr="00564DC7"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Comisia Europeană pentru Eficienţa Justiţiei (CEPEJ) a fost înfiinţată de către Comitetul de Miniştri al Consiliului Europei în septembrie 2002 şi este însărcinată, în primul rând, cu propunerea de soluţii concrete, adecvate pentru utilizarea de către statele membre ale Consiliului Europei pentru: promovarea punerii efective în aplicare a instrumentelor Consiliului Europei utilizate pentru organizarea justiţiei (normativ „serviciu client după vânzare”), asigurarea că politicile publice în ceea ce priveşte instanţele ţin seama de nevoile justiţiabililor şi asistenţă pentru degrevarea Curţii Europene a Drepturilor Omului, prin oferirea de soluţii eficiente statelor înainte de solicitarea Curţii şi prevenirea încălcării articolului 6 din Convenţia Europeană a Drepturilor Omului.</w:t>
      </w:r>
    </w:p>
    <w:p w14:paraId="762626E9" w14:textId="420E37D2" w:rsidR="00B1514A" w:rsidRPr="00564DC7"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CEPEJ este astăzi un organism unic pentru toate statele europene, alcătuit din experţi calificaţi ai statelor membre ale Consiliului Europei în scopul evaluării eficienţei sistemelor judiciare şi pentru a propune instrumente practice şi măsuri pentru funcţionarea unui serviciu din ce în ce mai eficient către cetăţeni.</w:t>
      </w:r>
    </w:p>
    <w:p w14:paraId="30AFA448" w14:textId="36803827" w:rsidR="00B1514A" w:rsidRPr="00564DC7"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Reprezentarea sistemului judiciar din România în cadrul CEPEJ se face prin Ministerul Justiţiei (MJ) şi Consiliul Superior al Magistraturii, iar la nivelul tehnic al Consiliului reprezentarea se realizează prin DAERIP – SAERI şi constă în principal în furnizarea datelor relevante disponibile la nivelul CSM, în colaborare cu reprezentantul MJ, în vederea transmiterii către Comisie şi a elaborării raportului periodic prin completarea unui amplu chestionar, dar şi prin participarea la reuniunile organizate de CEPEJ, în acest context.</w:t>
      </w:r>
    </w:p>
    <w:p w14:paraId="5D3E221D" w14:textId="77777777" w:rsidR="00B1514A" w:rsidRPr="00564DC7"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Participarea CSM în activitățile derulate de Consiliului Europei (CoE) este, de altfel, constantă, în raport de organsimele consacrate ale CoE, fiind extinsă și în contextul proiectelor implementate la acest nivel, de amintit fiind în acest sens implicarea activă de la nivelul Consiliului în proiectul TJENI – Foster Transparency of Judicial Decisions and Enhancing the National Implementation of ECHR, al cărui scop este de a propune soluții metodologice și tehnologice de anonimizare (pseudonimizare) a hotărârilor judecătorești, în vederea publicării și clasificării acestora, aspecte detaliate în capitolul VI.3. al acestui Raport.</w:t>
      </w:r>
    </w:p>
    <w:p w14:paraId="33AFA913" w14:textId="474FB241" w:rsidR="00B1514A"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Nu în ultimul rând, trebuie menționată, și în acest context, preocuparea Consiliului pentru implementarea proiectelor cu finanțare externă, până în prezent fiind implementate 6 proiecte </w:t>
      </w:r>
      <w:r w:rsidRPr="00564DC7">
        <w:rPr>
          <w:rFonts w:asciiTheme="minorHAnsi" w:hAnsiTheme="minorHAnsi" w:cstheme="minorHAnsi"/>
          <w:sz w:val="26"/>
          <w:szCs w:val="26"/>
        </w:rPr>
        <w:lastRenderedPageBreak/>
        <w:t xml:space="preserve">cu finanțare europeană (POCA), dar și o serie de proiecte cu finanțare în cadrul mecanismului norvegian și, respectiv al programului de finanțare elvețian, unele dintre acestea fiind în derulare sau negociere, alături de proiecte derulate în cadrul Planului Național de Redresare și Reziliență (PNRR), pe teme fundamentale pentru reformarea sistemului judiciar, descrise și în obiective ale Strategiei de dezvoltare a sistemului judiciar 2022-2025. Acestea se regăsesc detaliate în capitolul VI.3 din </w:t>
      </w:r>
      <w:r w:rsidR="00040CE8">
        <w:rPr>
          <w:rFonts w:asciiTheme="minorHAnsi" w:hAnsiTheme="minorHAnsi" w:cstheme="minorHAnsi"/>
          <w:sz w:val="26"/>
          <w:szCs w:val="26"/>
        </w:rPr>
        <w:t xml:space="preserve">prezentul </w:t>
      </w:r>
      <w:r w:rsidRPr="00564DC7">
        <w:rPr>
          <w:rFonts w:asciiTheme="minorHAnsi" w:hAnsiTheme="minorHAnsi" w:cstheme="minorHAnsi"/>
          <w:sz w:val="26"/>
          <w:szCs w:val="26"/>
        </w:rPr>
        <w:t>Raport.</w:t>
      </w:r>
    </w:p>
    <w:p w14:paraId="6F46AA79" w14:textId="77777777" w:rsidR="00040CE8" w:rsidRPr="00564DC7" w:rsidRDefault="00040CE8" w:rsidP="00690186">
      <w:pPr>
        <w:ind w:firstLine="709"/>
        <w:jc w:val="both"/>
        <w:rPr>
          <w:rFonts w:asciiTheme="minorHAnsi" w:hAnsiTheme="minorHAnsi" w:cstheme="minorHAnsi"/>
          <w:sz w:val="26"/>
          <w:szCs w:val="26"/>
        </w:rPr>
      </w:pPr>
    </w:p>
    <w:p w14:paraId="1C451060" w14:textId="72D67CF3" w:rsidR="00B1514A" w:rsidRPr="00564DC7" w:rsidRDefault="00B1514A" w:rsidP="00C36995">
      <w:pPr>
        <w:pStyle w:val="NoSpacing"/>
        <w:ind w:firstLine="709"/>
        <w:jc w:val="both"/>
        <w:rPr>
          <w:rFonts w:asciiTheme="minorHAnsi" w:hAnsiTheme="minorHAnsi" w:cstheme="minorHAnsi"/>
          <w:b/>
          <w:bCs/>
          <w:sz w:val="26"/>
          <w:szCs w:val="26"/>
          <w:lang w:val="ro-RO"/>
        </w:rPr>
      </w:pPr>
      <w:r w:rsidRPr="00564DC7">
        <w:rPr>
          <w:rFonts w:asciiTheme="minorHAnsi" w:hAnsiTheme="minorHAnsi" w:cstheme="minorHAnsi"/>
          <w:b/>
          <w:bCs/>
          <w:sz w:val="26"/>
          <w:szCs w:val="26"/>
          <w:lang w:val="ro-RO"/>
        </w:rPr>
        <w:t>Institutul Naţional al Magistraturii</w:t>
      </w:r>
    </w:p>
    <w:p w14:paraId="2091F723" w14:textId="2D5993D3" w:rsidR="00B1514A" w:rsidRPr="0097656B" w:rsidRDefault="00B1514A" w:rsidP="0097656B">
      <w:pPr>
        <w:pStyle w:val="Heading3"/>
        <w:spacing w:line="240" w:lineRule="auto"/>
        <w:ind w:firstLine="708"/>
        <w:rPr>
          <w:rFonts w:cstheme="minorHAnsi"/>
          <w:bCs/>
          <w:color w:val="auto"/>
          <w:szCs w:val="26"/>
        </w:rPr>
      </w:pPr>
      <w:bookmarkStart w:id="40" w:name="_Toc155267873"/>
      <w:r w:rsidRPr="0097656B">
        <w:rPr>
          <w:rFonts w:cstheme="minorHAnsi"/>
          <w:bCs/>
          <w:color w:val="auto"/>
          <w:szCs w:val="26"/>
        </w:rPr>
        <w:t>I.5.1. Contribuția instituțională a INM în cadrul Rețelei Europene de Formare Judiciară (EJTN / REFJ)</w:t>
      </w:r>
      <w:bookmarkEnd w:id="40"/>
    </w:p>
    <w:p w14:paraId="1AC2BF67" w14:textId="77777777" w:rsidR="00B1514A" w:rsidRPr="00564DC7" w:rsidRDefault="00B1514A" w:rsidP="00690186">
      <w:pPr>
        <w:ind w:firstLine="690"/>
        <w:contextualSpacing/>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Institutul Naţional al Magistraturii a fost reprezentat, în perioada de referință, la 6 reuniuni ale Comitetului de Pilotaj, la Adunarea Generală</w:t>
      </w:r>
      <w:r w:rsidRPr="00564DC7">
        <w:rPr>
          <w:rFonts w:asciiTheme="minorHAnsi" w:hAnsiTheme="minorHAnsi" w:cstheme="minorHAnsi"/>
          <w:sz w:val="26"/>
          <w:szCs w:val="26"/>
        </w:rPr>
        <w:t>, desfășurată la Stockholm</w:t>
      </w:r>
      <w:bookmarkStart w:id="41" w:name="_Hlk148094269"/>
      <w:r w:rsidRPr="00564DC7">
        <w:rPr>
          <w:rStyle w:val="contentpasted0"/>
          <w:rFonts w:asciiTheme="minorHAnsi" w:eastAsiaTheme="majorEastAsia" w:hAnsiTheme="minorHAnsi" w:cstheme="minorHAnsi"/>
          <w:sz w:val="26"/>
          <w:szCs w:val="26"/>
        </w:rPr>
        <w:t xml:space="preserve">, în perioada 15-16 iunie 2023, eveniment în cadrul căruia a avut calitatea de moderator al uneia din cele două sesiuni ale atelierului de lucru dedicat creșterii participării în cadrul activităților EJTN şi evaluării impactului </w:t>
      </w:r>
      <w:bookmarkEnd w:id="41"/>
      <w:r w:rsidRPr="00564DC7">
        <w:rPr>
          <w:rStyle w:val="contentpasted0"/>
          <w:rFonts w:asciiTheme="minorHAnsi" w:eastAsiaTheme="majorEastAsia" w:hAnsiTheme="minorHAnsi" w:cstheme="minorHAnsi"/>
          <w:sz w:val="26"/>
          <w:szCs w:val="26"/>
        </w:rPr>
        <w:t xml:space="preserve">acestora. </w:t>
      </w:r>
    </w:p>
    <w:p w14:paraId="3C35830C" w14:textId="77777777" w:rsidR="00B1514A" w:rsidRPr="00564DC7" w:rsidRDefault="00B1514A" w:rsidP="00690186">
      <w:pPr>
        <w:ind w:firstLine="690"/>
        <w:contextualSpacing/>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 xml:space="preserve">De asemenea, INM a fost reprezentat la </w:t>
      </w:r>
      <w:r w:rsidRPr="00564DC7">
        <w:rPr>
          <w:rFonts w:asciiTheme="minorHAnsi" w:hAnsiTheme="minorHAnsi" w:cstheme="minorHAnsi"/>
          <w:sz w:val="26"/>
          <w:szCs w:val="26"/>
        </w:rPr>
        <w:t xml:space="preserve">conferința Directorilor </w:t>
      </w:r>
      <w:bookmarkStart w:id="42" w:name="_Hlk148094440"/>
      <w:r w:rsidRPr="00564DC7">
        <w:rPr>
          <w:rFonts w:asciiTheme="minorHAnsi" w:hAnsiTheme="minorHAnsi" w:cstheme="minorHAnsi"/>
          <w:sz w:val="26"/>
          <w:szCs w:val="26"/>
        </w:rPr>
        <w:t>din cadrul EJTN, organizată la Madrid, în perioada 17</w:t>
      </w:r>
      <w:r w:rsidRPr="00261D6B">
        <w:rPr>
          <w:rFonts w:asciiTheme="minorHAnsi" w:hAnsiTheme="minorHAnsi" w:cstheme="minorHAnsi"/>
          <w:sz w:val="26"/>
          <w:szCs w:val="26"/>
        </w:rPr>
        <w:t xml:space="preserve">-18 octombrie 2023, </w:t>
      </w:r>
      <w:r w:rsidRPr="00564DC7">
        <w:rPr>
          <w:rFonts w:asciiTheme="minorHAnsi" w:hAnsiTheme="minorHAnsi" w:cstheme="minorHAnsi"/>
          <w:sz w:val="26"/>
          <w:szCs w:val="26"/>
        </w:rPr>
        <w:t xml:space="preserve">având ca temă formarea profesioniștilor din justiție cu atenție la diversitate, ocazie cu care a moderat, împreună cu Centrul de studii juridice și formare profesională judiciară din Olanda (SSR), un atelier de lucru pe tema justiției prietenoase cu minorii. În cadrul conferinței, a fost organizată şi o Adunare generală extraordinară, ocazie cu care Institutul a devenit membru al noului grup de lucru EJTN dedicat digitalizării. </w:t>
      </w:r>
      <w:bookmarkEnd w:id="42"/>
    </w:p>
    <w:p w14:paraId="6BF138C6" w14:textId="77777777" w:rsidR="00B1514A" w:rsidRPr="00564DC7" w:rsidRDefault="00B1514A" w:rsidP="00690186">
      <w:pPr>
        <w:ind w:firstLine="708"/>
        <w:contextualSpacing/>
        <w:jc w:val="both"/>
        <w:rPr>
          <w:rFonts w:asciiTheme="minorHAnsi" w:hAnsiTheme="minorHAnsi" w:cstheme="minorHAnsi"/>
          <w:kern w:val="36"/>
          <w:sz w:val="26"/>
          <w:szCs w:val="26"/>
          <w:lang w:eastAsia="ro-RO"/>
        </w:rPr>
      </w:pPr>
      <w:r w:rsidRPr="00564DC7">
        <w:rPr>
          <w:rFonts w:asciiTheme="minorHAnsi" w:hAnsiTheme="minorHAnsi" w:cstheme="minorHAnsi"/>
          <w:sz w:val="26"/>
          <w:szCs w:val="26"/>
          <w:lang w:eastAsia="ro-RO"/>
        </w:rPr>
        <w:t xml:space="preserve">În perioada de referință, reprezentanții INM au participat </w:t>
      </w:r>
      <w:r w:rsidRPr="00564DC7">
        <w:rPr>
          <w:rFonts w:asciiTheme="minorHAnsi" w:hAnsiTheme="minorHAnsi" w:cstheme="minorHAnsi"/>
          <w:sz w:val="26"/>
          <w:szCs w:val="26"/>
        </w:rPr>
        <w:t xml:space="preserve">la întâlnirile grupurilor și subgrupurilor de lucru constituite la nivelul Rețelei, la întâlnirile anuale ale punctelor naționale de contact pentru programul de schimb și, respectiv, punctelor naționale de contact pentru activitățile organizate de EJTN, la întâlnirea anuală a EJTN cu reprezentanții Comisiei Europene și a partenerilor LOT 4 dedicată analizei nevoilor de formare a magistraților la nivel european, la </w:t>
      </w:r>
      <w:r w:rsidRPr="00564DC7">
        <w:rPr>
          <w:rFonts w:asciiTheme="minorHAnsi" w:hAnsiTheme="minorHAnsi" w:cstheme="minorHAnsi"/>
          <w:kern w:val="36"/>
          <w:sz w:val="26"/>
          <w:szCs w:val="26"/>
          <w:lang w:eastAsia="ro-RO"/>
        </w:rPr>
        <w:t xml:space="preserve">întâlnirea anuală dedicată accesării de fonduri europene, la întâlnirea Grupului de Pilotaj constituit pentru Programul </w:t>
      </w:r>
      <w:r w:rsidRPr="00564DC7">
        <w:rPr>
          <w:rFonts w:asciiTheme="minorHAnsi" w:hAnsiTheme="minorHAnsi" w:cstheme="minorHAnsi"/>
          <w:sz w:val="26"/>
          <w:szCs w:val="26"/>
        </w:rPr>
        <w:t xml:space="preserve">având ca beneficiari </w:t>
      </w:r>
      <w:r w:rsidRPr="00564DC7">
        <w:rPr>
          <w:rFonts w:asciiTheme="minorHAnsi" w:hAnsiTheme="minorHAnsi" w:cstheme="minorHAnsi"/>
          <w:bCs/>
          <w:sz w:val="26"/>
          <w:szCs w:val="26"/>
        </w:rPr>
        <w:t>state din Balcanii de Vest</w:t>
      </w:r>
      <w:r w:rsidRPr="00564DC7">
        <w:rPr>
          <w:rFonts w:asciiTheme="minorHAnsi" w:hAnsiTheme="minorHAnsi" w:cstheme="minorHAnsi"/>
          <w:kern w:val="36"/>
          <w:sz w:val="26"/>
          <w:szCs w:val="26"/>
          <w:lang w:eastAsia="ro-RO"/>
        </w:rPr>
        <w:t>, precum şi la lucrările unor grupurilor ad</w:t>
      </w:r>
      <w:r w:rsidRPr="00261D6B">
        <w:rPr>
          <w:rFonts w:asciiTheme="minorHAnsi" w:hAnsiTheme="minorHAnsi" w:cstheme="minorHAnsi"/>
          <w:kern w:val="36"/>
          <w:sz w:val="26"/>
          <w:szCs w:val="26"/>
          <w:lang w:eastAsia="ro-RO"/>
        </w:rPr>
        <w:t xml:space="preserve">-hoc </w:t>
      </w:r>
      <w:bookmarkStart w:id="43" w:name="_Hlk117088230"/>
      <w:r w:rsidRPr="00564DC7">
        <w:rPr>
          <w:rFonts w:asciiTheme="minorHAnsi" w:hAnsiTheme="minorHAnsi" w:cstheme="minorHAnsi"/>
          <w:kern w:val="36"/>
          <w:sz w:val="26"/>
          <w:szCs w:val="26"/>
          <w:lang w:eastAsia="ro-RO"/>
        </w:rPr>
        <w:t>ce au vizat componenta dedicată formatorilor din programul de schimb şi evaluarea programului de schimb.</w:t>
      </w:r>
    </w:p>
    <w:p w14:paraId="201C06D5" w14:textId="77777777" w:rsidR="00B1514A" w:rsidRPr="00564DC7" w:rsidRDefault="00B1514A" w:rsidP="00690186">
      <w:pPr>
        <w:tabs>
          <w:tab w:val="left" w:pos="720"/>
        </w:tabs>
        <w:jc w:val="both"/>
        <w:rPr>
          <w:rFonts w:asciiTheme="minorHAnsi" w:hAnsiTheme="minorHAnsi" w:cstheme="minorHAnsi"/>
          <w:sz w:val="26"/>
          <w:szCs w:val="26"/>
        </w:rPr>
      </w:pPr>
      <w:r w:rsidRPr="00564DC7">
        <w:rPr>
          <w:rFonts w:asciiTheme="minorHAnsi" w:hAnsiTheme="minorHAnsi" w:cstheme="minorHAnsi"/>
          <w:bCs/>
          <w:sz w:val="26"/>
          <w:szCs w:val="26"/>
        </w:rPr>
        <w:tab/>
      </w:r>
      <w:bookmarkEnd w:id="43"/>
      <w:r w:rsidRPr="00564DC7">
        <w:rPr>
          <w:rFonts w:asciiTheme="minorHAnsi" w:hAnsiTheme="minorHAnsi" w:cstheme="minorHAnsi"/>
          <w:sz w:val="26"/>
          <w:szCs w:val="26"/>
        </w:rPr>
        <w:t xml:space="preserve">În perioada ianuarie – octombrie 2023, INM a găzduit două seminare organizate de EJTN, în domeniul cooperării judiciare în materie civilă şi comercială („Jurisdiction and applicable law in civil and commercial matters: Brussels Ia, Rome I and Rome II”, 13-14 martie 2023) şi limbajului juridic în materia cooperării privind dreptul mediului („Legal Language training in cooperation in environmental law”, 11-13 septembrie 2023). </w:t>
      </w:r>
    </w:p>
    <w:p w14:paraId="7C28A980" w14:textId="77777777" w:rsidR="00B1514A" w:rsidRPr="0097656B" w:rsidRDefault="00B1514A" w:rsidP="0097656B">
      <w:pPr>
        <w:pStyle w:val="Heading3"/>
        <w:spacing w:line="240" w:lineRule="auto"/>
        <w:ind w:firstLine="708"/>
        <w:rPr>
          <w:rFonts w:cstheme="minorHAnsi"/>
          <w:bCs/>
          <w:color w:val="auto"/>
          <w:szCs w:val="26"/>
        </w:rPr>
      </w:pPr>
      <w:bookmarkStart w:id="44" w:name="_Toc155267874"/>
      <w:r w:rsidRPr="0097656B">
        <w:rPr>
          <w:rFonts w:cstheme="minorHAnsi"/>
          <w:bCs/>
          <w:color w:val="auto"/>
          <w:szCs w:val="26"/>
        </w:rPr>
        <w:t>I.5.2. Activități derulate în cadrul componentei de formare inițială</w:t>
      </w:r>
      <w:bookmarkEnd w:id="44"/>
      <w:r w:rsidRPr="0097656B">
        <w:rPr>
          <w:rFonts w:cstheme="minorHAnsi"/>
          <w:bCs/>
          <w:color w:val="auto"/>
          <w:szCs w:val="26"/>
        </w:rPr>
        <w:t xml:space="preserve"> </w:t>
      </w:r>
      <w:bookmarkStart w:id="45" w:name="_Hlk93586339"/>
      <w:r w:rsidRPr="0097656B">
        <w:rPr>
          <w:rFonts w:cstheme="minorHAnsi"/>
          <w:bCs/>
          <w:color w:val="auto"/>
          <w:szCs w:val="26"/>
        </w:rPr>
        <w:tab/>
      </w:r>
      <w:bookmarkEnd w:id="45"/>
    </w:p>
    <w:p w14:paraId="3EFB919B" w14:textId="77777777" w:rsidR="00B1514A" w:rsidRPr="00564DC7" w:rsidRDefault="00B1514A">
      <w:pPr>
        <w:pStyle w:val="ListParagraph"/>
        <w:numPr>
          <w:ilvl w:val="0"/>
          <w:numId w:val="4"/>
        </w:numPr>
        <w:ind w:right="43"/>
        <w:jc w:val="both"/>
        <w:rPr>
          <w:rFonts w:asciiTheme="minorHAnsi" w:hAnsiTheme="minorHAnsi" w:cstheme="minorHAnsi"/>
          <w:b/>
          <w:bCs/>
          <w:sz w:val="26"/>
          <w:szCs w:val="26"/>
        </w:rPr>
      </w:pPr>
      <w:r w:rsidRPr="00564DC7">
        <w:rPr>
          <w:rFonts w:asciiTheme="minorHAnsi" w:hAnsiTheme="minorHAnsi" w:cstheme="minorHAnsi"/>
          <w:b/>
          <w:bCs/>
          <w:sz w:val="26"/>
          <w:szCs w:val="26"/>
        </w:rPr>
        <w:t xml:space="preserve">Concursul internațional THEMIS 2023 </w:t>
      </w:r>
    </w:p>
    <w:p w14:paraId="540DB5C2" w14:textId="77777777" w:rsidR="00B1514A" w:rsidRPr="00564DC7" w:rsidRDefault="00B1514A" w:rsidP="00690186">
      <w:pPr>
        <w:shd w:val="clear" w:color="auto" w:fill="FFFFFF" w:themeFill="background1"/>
        <w:autoSpaceDE w:val="0"/>
        <w:autoSpaceDN w:val="0"/>
        <w:ind w:firstLine="706"/>
        <w:jc w:val="both"/>
        <w:rPr>
          <w:rFonts w:asciiTheme="minorHAnsi" w:hAnsiTheme="minorHAnsi" w:cstheme="minorHAnsi"/>
          <w:sz w:val="26"/>
          <w:szCs w:val="26"/>
        </w:rPr>
      </w:pPr>
      <w:r w:rsidRPr="00564DC7">
        <w:rPr>
          <w:rFonts w:asciiTheme="minorHAnsi" w:hAnsiTheme="minorHAnsi" w:cstheme="minorHAnsi"/>
          <w:sz w:val="26"/>
          <w:szCs w:val="26"/>
        </w:rPr>
        <w:t xml:space="preserve">La concursul internațional THEMIS 2023, ediția a XVIII-a, din partea INM au participat patru echipe de auditori de justiție, după cum urmează: două în cadrul Semifinalei B – Drept european și Drept european al familiei (6 – 9 iunie 2023 - Napoli, Italia), una în cadrul </w:t>
      </w:r>
      <w:bookmarkStart w:id="46" w:name="_Hlk117078008"/>
      <w:r w:rsidRPr="00564DC7">
        <w:rPr>
          <w:rFonts w:asciiTheme="minorHAnsi" w:hAnsiTheme="minorHAnsi" w:cstheme="minorHAnsi"/>
          <w:sz w:val="26"/>
          <w:szCs w:val="26"/>
        </w:rPr>
        <w:t>Semifinalei C</w:t>
      </w:r>
      <w:bookmarkEnd w:id="46"/>
      <w:r w:rsidRPr="00564DC7">
        <w:rPr>
          <w:rFonts w:asciiTheme="minorHAnsi" w:hAnsiTheme="minorHAnsi" w:cstheme="minorHAnsi"/>
          <w:sz w:val="26"/>
          <w:szCs w:val="26"/>
        </w:rPr>
        <w:t xml:space="preserve"> – Drept european și Drept procesual civil european (13 – 16 iunie 2023 - Budapesta, Ungaria) și cea de a patra, în cadrul Semifinalei D – Etică judiciară și deontologie profesională (3 – 7 iulie 2023 – Cracovia, Polonia). </w:t>
      </w:r>
      <w:bookmarkStart w:id="47" w:name="_Hlk122093296"/>
    </w:p>
    <w:p w14:paraId="2D02B423" w14:textId="77777777" w:rsidR="00B1514A" w:rsidRPr="00564DC7" w:rsidRDefault="00B1514A" w:rsidP="00690186">
      <w:pPr>
        <w:shd w:val="clear" w:color="auto" w:fill="FFFFFF" w:themeFill="background1"/>
        <w:autoSpaceDE w:val="0"/>
        <w:autoSpaceDN w:val="0"/>
        <w:ind w:firstLine="706"/>
        <w:jc w:val="both"/>
        <w:rPr>
          <w:rFonts w:asciiTheme="minorHAnsi" w:hAnsiTheme="minorHAnsi" w:cstheme="minorHAnsi"/>
          <w:sz w:val="26"/>
          <w:szCs w:val="26"/>
        </w:rPr>
      </w:pPr>
      <w:r w:rsidRPr="00564DC7">
        <w:rPr>
          <w:rFonts w:asciiTheme="minorHAnsi" w:hAnsiTheme="minorHAnsi" w:cstheme="minorHAnsi"/>
          <w:sz w:val="26"/>
          <w:szCs w:val="26"/>
        </w:rPr>
        <w:t xml:space="preserve">Una dintre cele două echipe care au concurat în cadrul Semifinalei B a obținut </w:t>
      </w:r>
      <w:bookmarkEnd w:id="47"/>
      <w:r w:rsidRPr="00564DC7">
        <w:rPr>
          <w:rFonts w:asciiTheme="minorHAnsi" w:hAnsiTheme="minorHAnsi" w:cstheme="minorHAnsi"/>
          <w:sz w:val="26"/>
          <w:szCs w:val="26"/>
        </w:rPr>
        <w:t>locul I în secțiunea respectivă și s-a calificat în Marea finală a Competiției. Echipa care a concurat în cadrul Semifinalei D a fost recompensată de juriu cu premiul pentru cea mai bună prezentare. De asemenea, echipa care a concurat în cadrul Semifinalei C a obținut locul al III-lea.</w:t>
      </w:r>
    </w:p>
    <w:p w14:paraId="5BC56254" w14:textId="77777777" w:rsidR="00B1514A" w:rsidRPr="00564DC7" w:rsidRDefault="00B1514A" w:rsidP="00690186">
      <w:pPr>
        <w:shd w:val="clear" w:color="auto" w:fill="FFFFFF" w:themeFill="background1"/>
        <w:autoSpaceDE w:val="0"/>
        <w:autoSpaceDN w:val="0"/>
        <w:ind w:firstLine="706"/>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Coordonarea și îndrumarea echipelor participante, inclusiv sub aspect lingvistic, au fost asigurate de către formatori ai Institutului Național al Magistraturii. </w:t>
      </w:r>
    </w:p>
    <w:p w14:paraId="3E5A1286" w14:textId="77777777" w:rsidR="00B1514A" w:rsidRPr="00564DC7" w:rsidRDefault="00B1514A" w:rsidP="00690186">
      <w:pPr>
        <w:shd w:val="clear" w:color="auto" w:fill="FFFFFF" w:themeFill="background1"/>
        <w:autoSpaceDE w:val="0"/>
        <w:autoSpaceDN w:val="0"/>
        <w:ind w:firstLine="706"/>
        <w:jc w:val="both"/>
        <w:rPr>
          <w:rFonts w:asciiTheme="minorHAnsi" w:hAnsiTheme="minorHAnsi" w:cstheme="minorHAnsi"/>
          <w:sz w:val="26"/>
          <w:szCs w:val="26"/>
        </w:rPr>
      </w:pPr>
      <w:r w:rsidRPr="00564DC7">
        <w:rPr>
          <w:rFonts w:asciiTheme="minorHAnsi" w:hAnsiTheme="minorHAnsi" w:cstheme="minorHAnsi"/>
          <w:sz w:val="26"/>
          <w:szCs w:val="26"/>
        </w:rPr>
        <w:t>Institutul Național al Magistraturii găzduiește, în anul 2023, Marea finală a competiției. Organizarea la București a ultimei etape competiționale, al cărei domeniu este reprezentat de Accesul la Justiție, se datorează succesului repurtat în cadrul ediției anterioare, de către o echipă a României, prin câștigarea Premiului I.</w:t>
      </w:r>
    </w:p>
    <w:p w14:paraId="390BF368" w14:textId="77777777" w:rsidR="00B1514A" w:rsidRPr="00564DC7" w:rsidRDefault="00B1514A">
      <w:pPr>
        <w:pStyle w:val="ListParagraph"/>
        <w:numPr>
          <w:ilvl w:val="0"/>
          <w:numId w:val="4"/>
        </w:numPr>
        <w:shd w:val="clear" w:color="auto" w:fill="FFFFFF" w:themeFill="background1"/>
        <w:ind w:left="0" w:right="43" w:firstLine="708"/>
        <w:jc w:val="both"/>
        <w:rPr>
          <w:rFonts w:asciiTheme="minorHAnsi" w:hAnsiTheme="minorHAnsi" w:cstheme="minorHAnsi"/>
          <w:b/>
          <w:bCs/>
          <w:sz w:val="26"/>
          <w:szCs w:val="26"/>
        </w:rPr>
      </w:pPr>
      <w:r w:rsidRPr="00564DC7">
        <w:rPr>
          <w:rFonts w:asciiTheme="minorHAnsi" w:hAnsiTheme="minorHAnsi" w:cstheme="minorHAnsi"/>
          <w:b/>
          <w:bCs/>
          <w:sz w:val="26"/>
          <w:szCs w:val="26"/>
        </w:rPr>
        <w:t xml:space="preserve">Programul de schimb dedicat auditorilor de justiție și tinerilor magistrați europeni (AIAKOS) </w:t>
      </w:r>
    </w:p>
    <w:p w14:paraId="1A85AD7B" w14:textId="77777777" w:rsidR="00B1514A" w:rsidRPr="00564DC7" w:rsidRDefault="00B1514A" w:rsidP="00690186">
      <w:pPr>
        <w:shd w:val="clear" w:color="auto" w:fill="FFFFFF" w:themeFill="background1"/>
        <w:ind w:right="43" w:firstLine="708"/>
        <w:jc w:val="both"/>
        <w:rPr>
          <w:rFonts w:asciiTheme="minorHAnsi" w:hAnsiTheme="minorHAnsi" w:cstheme="minorHAnsi"/>
          <w:sz w:val="26"/>
          <w:szCs w:val="26"/>
        </w:rPr>
      </w:pPr>
      <w:r w:rsidRPr="00564DC7">
        <w:rPr>
          <w:rFonts w:asciiTheme="minorHAnsi" w:hAnsiTheme="minorHAnsi" w:cstheme="minorHAnsi"/>
          <w:sz w:val="26"/>
          <w:szCs w:val="26"/>
        </w:rPr>
        <w:t>În anul 2023, Institutul Național al Magistraturii va asigura desfășurarea a două sesiuni ale programului de schimb dedicat auditorilor de justiție și tinerilor judecători și procurori, AIAKOS, organizat de Rețeaua Europeană de Formare Judiciară (EJTN/REFJ).</w:t>
      </w:r>
    </w:p>
    <w:p w14:paraId="155D1337" w14:textId="77777777" w:rsidR="00B1514A" w:rsidRPr="00564DC7" w:rsidRDefault="00B1514A" w:rsidP="00690186">
      <w:pPr>
        <w:shd w:val="clear" w:color="auto" w:fill="FFFFFF" w:themeFill="background1"/>
        <w:ind w:right="43" w:firstLine="708"/>
        <w:jc w:val="both"/>
        <w:rPr>
          <w:rFonts w:asciiTheme="minorHAnsi" w:hAnsiTheme="minorHAnsi" w:cstheme="minorHAnsi"/>
          <w:sz w:val="26"/>
          <w:szCs w:val="26"/>
        </w:rPr>
      </w:pPr>
      <w:r w:rsidRPr="00564DC7">
        <w:rPr>
          <w:rFonts w:asciiTheme="minorHAnsi" w:hAnsiTheme="minorHAnsi" w:cstheme="minorHAnsi"/>
          <w:sz w:val="26"/>
          <w:szCs w:val="26"/>
        </w:rPr>
        <w:t>Astfel, în cadrul sesiunii din primăvară, INM a primit, în perioada 22 – 26 mai 2023, vizita unui grup alcătuit din 16 viitori/tineri judecători și procurori din următoarele state europene: Croația, Germania, Polonia și Spania. Programul a inclus activități care au avut drept scop cunoașterea sistemelor judiciare ale statelor reprezentate, dezbateri și studii de caz în domeniul criminalisticii, precum și vizite la Institutul Național de Criminalistică și Judecătoria Sector 6 București.</w:t>
      </w:r>
    </w:p>
    <w:p w14:paraId="2EB6DC0E" w14:textId="77777777" w:rsidR="00B1514A" w:rsidRPr="00564DC7" w:rsidRDefault="00B1514A" w:rsidP="00690186">
      <w:pPr>
        <w:shd w:val="clear" w:color="auto" w:fill="FFFFFF" w:themeFill="background1"/>
        <w:ind w:right="43" w:firstLine="708"/>
        <w:jc w:val="both"/>
        <w:rPr>
          <w:rFonts w:asciiTheme="minorHAnsi" w:hAnsiTheme="minorHAnsi" w:cstheme="minorHAnsi"/>
          <w:sz w:val="26"/>
          <w:szCs w:val="26"/>
        </w:rPr>
      </w:pPr>
      <w:r w:rsidRPr="00564DC7">
        <w:rPr>
          <w:rFonts w:asciiTheme="minorHAnsi" w:hAnsiTheme="minorHAnsi" w:cstheme="minorHAnsi"/>
          <w:sz w:val="26"/>
          <w:szCs w:val="26"/>
        </w:rPr>
        <w:t>În aceeași săptămână, 22 – 26 mai, 20 de auditori de justiție români din anul al doilea s-au deplasat în statele europene partenere în program – Estonia, Lituania, Olanda, Polonia, Slovenia, Spania, Suedia, Ungaria – participând la activități similare, organizate de școli/instituții europene responsabile cu formarea judecătorilor și procurorilor.</w:t>
      </w:r>
    </w:p>
    <w:p w14:paraId="3824CBF8" w14:textId="56DF5FBE" w:rsidR="00B1514A" w:rsidRPr="00564DC7" w:rsidRDefault="00B1514A" w:rsidP="00690186">
      <w:pPr>
        <w:shd w:val="clear" w:color="auto" w:fill="FFFFFF" w:themeFill="background1"/>
        <w:ind w:right="43" w:firstLine="708"/>
        <w:jc w:val="both"/>
        <w:rPr>
          <w:rFonts w:asciiTheme="minorHAnsi" w:hAnsiTheme="minorHAnsi" w:cstheme="minorHAnsi"/>
          <w:sz w:val="26"/>
          <w:szCs w:val="26"/>
        </w:rPr>
      </w:pPr>
      <w:r w:rsidRPr="00564DC7">
        <w:rPr>
          <w:rFonts w:asciiTheme="minorHAnsi" w:hAnsiTheme="minorHAnsi" w:cstheme="minorHAnsi"/>
          <w:sz w:val="26"/>
          <w:szCs w:val="26"/>
        </w:rPr>
        <w:t>În cadrul sesiunii din toamnă, INM a primi</w:t>
      </w:r>
      <w:r w:rsidR="00040CE8">
        <w:rPr>
          <w:rFonts w:asciiTheme="minorHAnsi" w:hAnsiTheme="minorHAnsi" w:cstheme="minorHAnsi"/>
          <w:sz w:val="26"/>
          <w:szCs w:val="26"/>
        </w:rPr>
        <w:t>t</w:t>
      </w:r>
      <w:r w:rsidRPr="00564DC7">
        <w:rPr>
          <w:rFonts w:asciiTheme="minorHAnsi" w:hAnsiTheme="minorHAnsi" w:cstheme="minorHAnsi"/>
          <w:sz w:val="26"/>
          <w:szCs w:val="26"/>
        </w:rPr>
        <w:t xml:space="preserve">, în perioada 6 – 10 noiembrie 2023, vizita unui grup alcătuit din 30 de viitori/tineri judecători și procurori din următoarele state europene: Belgia, Bulgaria, Franța, Germania, Italia, Olanda, Polonia, Portugalia, Slovenia, Suedia, Ungaria. Agenda programului va include activități care au drept scop cunoașterea sistemelor judiciare ale statelor reprezentate, dezbateri și studii de caz, precum și vizite la instanțe și la alte instituții cu relevanță pentru profesia de magistrat. </w:t>
      </w:r>
    </w:p>
    <w:p w14:paraId="76B1BC7C" w14:textId="77777777" w:rsidR="00B1514A" w:rsidRPr="00564DC7" w:rsidRDefault="00B1514A" w:rsidP="00690186">
      <w:pPr>
        <w:shd w:val="clear" w:color="auto" w:fill="FFFFFF" w:themeFill="background1"/>
        <w:ind w:right="43"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20 – 24 noiembrie 2023, 28 de auditori de justiție români din anul I și II se vor deplasa în statele europene partenere în program – Belgia, Croația, Finlanda, Franța, Germania, Letonia, Italia, Olanda și Polonia. </w:t>
      </w:r>
      <w:bookmarkStart w:id="48" w:name="_Hlk117077492"/>
    </w:p>
    <w:p w14:paraId="53FA7AEE" w14:textId="77777777" w:rsidR="00B1514A" w:rsidRPr="00564DC7" w:rsidRDefault="00B1514A">
      <w:pPr>
        <w:pStyle w:val="ListParagraph"/>
        <w:numPr>
          <w:ilvl w:val="0"/>
          <w:numId w:val="4"/>
        </w:numPr>
        <w:shd w:val="clear" w:color="auto" w:fill="FFFFFF" w:themeFill="background1"/>
        <w:ind w:right="43"/>
        <w:jc w:val="both"/>
        <w:rPr>
          <w:rFonts w:asciiTheme="minorHAnsi" w:hAnsiTheme="minorHAnsi" w:cstheme="minorHAnsi"/>
          <w:b/>
          <w:bCs/>
          <w:sz w:val="26"/>
          <w:szCs w:val="26"/>
        </w:rPr>
      </w:pPr>
      <w:r w:rsidRPr="00564DC7">
        <w:rPr>
          <w:rFonts w:asciiTheme="minorHAnsi" w:hAnsiTheme="minorHAnsi" w:cstheme="minorHAnsi"/>
          <w:b/>
          <w:bCs/>
          <w:sz w:val="26"/>
          <w:szCs w:val="26"/>
        </w:rPr>
        <w:t>Școli de vară EJTN</w:t>
      </w:r>
    </w:p>
    <w:p w14:paraId="4B4AD0D4" w14:textId="77777777" w:rsidR="00B1514A" w:rsidRPr="00564DC7" w:rsidRDefault="00B1514A" w:rsidP="00690186">
      <w:pPr>
        <w:shd w:val="clear" w:color="auto" w:fill="FFFFFF" w:themeFill="background1"/>
        <w:ind w:firstLine="720"/>
        <w:jc w:val="both"/>
        <w:rPr>
          <w:rFonts w:asciiTheme="minorHAnsi" w:hAnsiTheme="minorHAnsi" w:cstheme="minorHAnsi"/>
          <w:sz w:val="26"/>
          <w:szCs w:val="26"/>
        </w:rPr>
      </w:pPr>
      <w:r w:rsidRPr="00564DC7">
        <w:rPr>
          <w:rFonts w:asciiTheme="minorHAnsi" w:hAnsiTheme="minorHAnsi" w:cstheme="minorHAnsi"/>
          <w:sz w:val="26"/>
          <w:szCs w:val="26"/>
        </w:rPr>
        <w:t>În perioada de referință, 19 auditori de justiție au participat la școli de vară organizate de către EJTN, având posibilitatea de a-și îmbogăți cunoștințele juridice, într-o manieră practică și dinamică, după cum urmează:</w:t>
      </w:r>
    </w:p>
    <w:bookmarkEnd w:id="48"/>
    <w:p w14:paraId="103A4317" w14:textId="77777777" w:rsidR="00B1514A" w:rsidRPr="00564DC7" w:rsidRDefault="00B1514A">
      <w:pPr>
        <w:pStyle w:val="ListParagraph"/>
        <w:numPr>
          <w:ilvl w:val="0"/>
          <w:numId w:val="5"/>
        </w:numPr>
        <w:shd w:val="clear" w:color="auto" w:fill="FFFFFF" w:themeFill="background1"/>
        <w:ind w:left="0" w:firstLine="360"/>
        <w:jc w:val="both"/>
        <w:rPr>
          <w:rFonts w:asciiTheme="minorHAnsi" w:hAnsiTheme="minorHAnsi" w:cstheme="minorHAnsi"/>
          <w:sz w:val="26"/>
          <w:szCs w:val="26"/>
        </w:rPr>
      </w:pPr>
      <w:r w:rsidRPr="00564DC7">
        <w:rPr>
          <w:rFonts w:asciiTheme="minorHAnsi" w:hAnsiTheme="minorHAnsi" w:cstheme="minorHAnsi"/>
          <w:sz w:val="26"/>
          <w:szCs w:val="26"/>
        </w:rPr>
        <w:t>în perioada 8 – 12 mai 2023, 5 auditori de justiție au participat la Summer School în Linguistics Civil Matters - SLI/2023/01, desfășurată la Lublin, Polonia;</w:t>
      </w:r>
    </w:p>
    <w:p w14:paraId="262C7650" w14:textId="77777777" w:rsidR="00B1514A" w:rsidRPr="00564DC7" w:rsidRDefault="00B1514A">
      <w:pPr>
        <w:pStyle w:val="ListParagraph"/>
        <w:numPr>
          <w:ilvl w:val="0"/>
          <w:numId w:val="5"/>
        </w:numPr>
        <w:shd w:val="clear" w:color="auto" w:fill="FFFFFF" w:themeFill="background1"/>
        <w:ind w:left="0" w:firstLine="360"/>
        <w:jc w:val="both"/>
        <w:rPr>
          <w:rFonts w:asciiTheme="minorHAnsi" w:hAnsiTheme="minorHAnsi" w:cstheme="minorHAnsi"/>
          <w:sz w:val="26"/>
          <w:szCs w:val="26"/>
        </w:rPr>
      </w:pPr>
      <w:r w:rsidRPr="00564DC7">
        <w:rPr>
          <w:rFonts w:asciiTheme="minorHAnsi" w:hAnsiTheme="minorHAnsi" w:cstheme="minorHAnsi"/>
          <w:sz w:val="26"/>
          <w:szCs w:val="26"/>
        </w:rPr>
        <w:t>în perioada 19 – 23 iunie 2023, 6 auditori de justiție au participat la Summer School in Linguistics Criminal Matters - SLI/2023/02, desfășurată la Napoli, Italia;</w:t>
      </w:r>
    </w:p>
    <w:p w14:paraId="12C3B44E" w14:textId="77777777" w:rsidR="00B1514A" w:rsidRPr="00564DC7" w:rsidRDefault="00B1514A">
      <w:pPr>
        <w:pStyle w:val="ListParagraph"/>
        <w:numPr>
          <w:ilvl w:val="0"/>
          <w:numId w:val="5"/>
        </w:numPr>
        <w:shd w:val="clear" w:color="auto" w:fill="FFFFFF" w:themeFill="background1"/>
        <w:ind w:left="0" w:firstLine="360"/>
        <w:jc w:val="both"/>
        <w:rPr>
          <w:rFonts w:asciiTheme="minorHAnsi" w:hAnsiTheme="minorHAnsi" w:cstheme="minorHAnsi"/>
          <w:sz w:val="26"/>
          <w:szCs w:val="26"/>
        </w:rPr>
      </w:pPr>
      <w:r w:rsidRPr="00564DC7">
        <w:rPr>
          <w:rFonts w:asciiTheme="minorHAnsi" w:hAnsiTheme="minorHAnsi" w:cstheme="minorHAnsi"/>
          <w:sz w:val="26"/>
          <w:szCs w:val="26"/>
        </w:rPr>
        <w:t>în perioada 24 – 28 iulie 2023, 3 auditori de justiție au participat la Summer School in Linguistics Human Rights - SLI/2023/03, desfășurată la Napoli, Italia;</w:t>
      </w:r>
    </w:p>
    <w:p w14:paraId="78E8D49F" w14:textId="77777777" w:rsidR="00B1514A" w:rsidRPr="00564DC7" w:rsidRDefault="00B1514A">
      <w:pPr>
        <w:pStyle w:val="ListParagraph"/>
        <w:numPr>
          <w:ilvl w:val="0"/>
          <w:numId w:val="5"/>
        </w:numPr>
        <w:shd w:val="clear" w:color="auto" w:fill="FFFFFF" w:themeFill="background1"/>
        <w:ind w:left="0" w:firstLine="360"/>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28 august – 1 septembrie 2023, 5 auditori de justiție au participat la Summer School in Linguistics Ethics and Judgecraft - SLI/2023/04, desfășurată la Trier, Germania. </w:t>
      </w:r>
    </w:p>
    <w:p w14:paraId="3C7A6580" w14:textId="4028918D" w:rsidR="00B1514A" w:rsidRPr="0097656B" w:rsidRDefault="00B1514A" w:rsidP="0097656B">
      <w:pPr>
        <w:pStyle w:val="Heading3"/>
        <w:spacing w:line="240" w:lineRule="auto"/>
        <w:ind w:firstLine="708"/>
        <w:rPr>
          <w:rFonts w:cstheme="minorHAnsi"/>
          <w:bCs/>
          <w:color w:val="auto"/>
          <w:szCs w:val="26"/>
        </w:rPr>
      </w:pPr>
      <w:bookmarkStart w:id="49" w:name="_Toc155267875"/>
      <w:r w:rsidRPr="0097656B">
        <w:rPr>
          <w:rFonts w:cstheme="minorHAnsi"/>
          <w:bCs/>
          <w:color w:val="auto"/>
          <w:szCs w:val="26"/>
        </w:rPr>
        <w:t>I.5.3. Contribuția la asigurarea componentei internaționale a formării judecătorilor și procurorilor</w:t>
      </w:r>
      <w:bookmarkEnd w:id="49"/>
    </w:p>
    <w:p w14:paraId="3E94B1C6" w14:textId="77777777" w:rsidR="00B1514A" w:rsidRPr="00564DC7" w:rsidRDefault="00B1514A"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cadrul acestei componente, INM a continuat să faciliteze participarea judecătorilor și procurorilor la activități organizate de diverși parteneri externi. </w:t>
      </w:r>
    </w:p>
    <w:p w14:paraId="3E90863A" w14:textId="77777777" w:rsidR="00B1514A" w:rsidRPr="00564DC7" w:rsidRDefault="00B1514A">
      <w:pPr>
        <w:pStyle w:val="ListParagraph"/>
        <w:numPr>
          <w:ilvl w:val="0"/>
          <w:numId w:val="3"/>
        </w:numPr>
        <w:tabs>
          <w:tab w:val="left" w:pos="360"/>
        </w:tabs>
        <w:ind w:right="43"/>
        <w:jc w:val="both"/>
        <w:rPr>
          <w:rFonts w:asciiTheme="minorHAnsi" w:hAnsiTheme="minorHAnsi" w:cstheme="minorHAnsi"/>
          <w:b/>
          <w:sz w:val="26"/>
          <w:szCs w:val="26"/>
        </w:rPr>
      </w:pPr>
      <w:r w:rsidRPr="00564DC7">
        <w:rPr>
          <w:rFonts w:asciiTheme="minorHAnsi" w:hAnsiTheme="minorHAnsi" w:cstheme="minorHAnsi"/>
          <w:b/>
          <w:sz w:val="26"/>
          <w:szCs w:val="26"/>
        </w:rPr>
        <w:t>Programul de schimb al autorităților judiciare coordonat de EJTN</w:t>
      </w:r>
      <w:bookmarkStart w:id="50" w:name="_Toc40700018"/>
    </w:p>
    <w:p w14:paraId="497A2DD2" w14:textId="77777777" w:rsidR="00B1514A" w:rsidRPr="00564DC7" w:rsidRDefault="00B1514A" w:rsidP="00690186">
      <w:pPr>
        <w:pStyle w:val="ListParagraph"/>
        <w:tabs>
          <w:tab w:val="left" w:pos="360"/>
        </w:tabs>
        <w:ind w:left="0" w:right="43"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Programul presupune un schimb de magistrați și formatori între statele implicate, în cadrul unor stagii cu o durată de 3, 5 sau 10 zile lucrătoare, la instanțe/parchete sau stagii de lungă durată în cadrul unor instituții europene.</w:t>
      </w:r>
    </w:p>
    <w:p w14:paraId="6F3CA774" w14:textId="4524F0B0" w:rsidR="00B1514A" w:rsidRPr="00564DC7" w:rsidRDefault="00B1514A" w:rsidP="00690186">
      <w:pPr>
        <w:pStyle w:val="ListParagraph"/>
        <w:tabs>
          <w:tab w:val="left" w:pos="360"/>
        </w:tabs>
        <w:ind w:left="0" w:right="43" w:firstLine="709"/>
        <w:jc w:val="both"/>
        <w:rPr>
          <w:rFonts w:asciiTheme="minorHAnsi" w:hAnsiTheme="minorHAnsi" w:cstheme="minorHAnsi"/>
          <w:sz w:val="26"/>
          <w:szCs w:val="26"/>
        </w:rPr>
      </w:pPr>
      <w:r w:rsidRPr="00564DC7">
        <w:rPr>
          <w:rFonts w:asciiTheme="minorHAnsi" w:hAnsiTheme="minorHAnsi" w:cstheme="minorHAnsi"/>
          <w:sz w:val="26"/>
          <w:szCs w:val="26"/>
        </w:rPr>
        <w:t>În cursul anului 2023, la diferitele componente ale programului au fost selectați în vederea participării, în total,</w:t>
      </w:r>
      <w:r w:rsidR="00040CE8">
        <w:rPr>
          <w:rFonts w:asciiTheme="minorHAnsi" w:hAnsiTheme="minorHAnsi" w:cstheme="minorHAnsi"/>
          <w:sz w:val="26"/>
          <w:szCs w:val="26"/>
        </w:rPr>
        <w:t xml:space="preserve"> </w:t>
      </w:r>
      <w:r w:rsidRPr="00564DC7">
        <w:rPr>
          <w:rFonts w:asciiTheme="minorHAnsi" w:hAnsiTheme="minorHAnsi" w:cstheme="minorHAnsi"/>
          <w:sz w:val="26"/>
          <w:szCs w:val="26"/>
        </w:rPr>
        <w:t xml:space="preserve">154 de magistrați români, după cum urmează: </w:t>
      </w:r>
    </w:p>
    <w:p w14:paraId="04F10900"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110 judecători și procurori pentru schimburi care includ stagii la instanțe/parchete din alte state cu durata de 10 zile;</w:t>
      </w:r>
    </w:p>
    <w:p w14:paraId="2DF30238"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un formator pentru componenta programului dedicată acestora</w:t>
      </w:r>
      <w:r w:rsidRPr="00564DC7">
        <w:rPr>
          <w:rFonts w:asciiTheme="minorHAnsi" w:hAnsiTheme="minorHAnsi" w:cstheme="minorHAnsi"/>
          <w:sz w:val="26"/>
          <w:szCs w:val="26"/>
          <w:lang w:val="it-IT"/>
        </w:rPr>
        <w:t xml:space="preserve">; </w:t>
      </w:r>
    </w:p>
    <w:p w14:paraId="5EA8E12E"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4 magistrați pentru schimburi specializate</w:t>
      </w:r>
      <w:r w:rsidRPr="00564DC7">
        <w:rPr>
          <w:rFonts w:asciiTheme="minorHAnsi" w:hAnsiTheme="minorHAnsi" w:cstheme="minorHAnsi"/>
          <w:sz w:val="26"/>
          <w:szCs w:val="26"/>
          <w:lang w:val="it-IT"/>
        </w:rPr>
        <w:t>;</w:t>
      </w:r>
    </w:p>
    <w:p w14:paraId="0FD37C74"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10 judecători și procurori pentru schimburi dedicate conducătorilor de instanțe și parchete;</w:t>
      </w:r>
    </w:p>
    <w:p w14:paraId="3F5A2058"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19 judecători și procurori, reprezentând 3 curți de apel și un parchet de curte de apel, în cadrul componentei de schimburi bilaterale;</w:t>
      </w:r>
    </w:p>
    <w:p w14:paraId="7F979E44"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3 judecători pentru un stagiu cu durata de 1 an la Curtea Europeană a Drepturilor Omului, 3 judecători pentru un stagiu cu durata de 1 an la Curtea de Justiție a Uniunii Europene şi 2 procurori pentru un stagiu cu durata de 3 luni la EUROJUST;</w:t>
      </w:r>
    </w:p>
    <w:p w14:paraId="769F8FC9"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1 procuror pentru un schimb regional;</w:t>
      </w:r>
    </w:p>
    <w:p w14:paraId="625C003D" w14:textId="77777777" w:rsidR="00B1514A" w:rsidRPr="00564DC7" w:rsidRDefault="00B1514A">
      <w:pPr>
        <w:pStyle w:val="ListParagraph"/>
        <w:numPr>
          <w:ilvl w:val="0"/>
          <w:numId w:val="24"/>
        </w:numPr>
        <w:tabs>
          <w:tab w:val="left" w:pos="360"/>
        </w:tabs>
        <w:ind w:right="43"/>
        <w:jc w:val="both"/>
        <w:rPr>
          <w:rFonts w:asciiTheme="minorHAnsi" w:hAnsiTheme="minorHAnsi" w:cstheme="minorHAnsi"/>
          <w:sz w:val="26"/>
          <w:szCs w:val="26"/>
        </w:rPr>
      </w:pPr>
      <w:r w:rsidRPr="00564DC7">
        <w:rPr>
          <w:rFonts w:asciiTheme="minorHAnsi" w:hAnsiTheme="minorHAnsi" w:cstheme="minorHAnsi"/>
          <w:sz w:val="26"/>
          <w:szCs w:val="26"/>
        </w:rPr>
        <w:t>1 procuror pentru un schimb EJTN-CEPOL.</w:t>
      </w:r>
    </w:p>
    <w:p w14:paraId="7E82057D" w14:textId="21C29C06" w:rsidR="00B1514A" w:rsidRPr="00564DC7" w:rsidRDefault="00B1514A" w:rsidP="00690186">
      <w:pPr>
        <w:tabs>
          <w:tab w:val="left" w:pos="360"/>
        </w:tabs>
        <w:ind w:right="43" w:firstLine="709"/>
        <w:jc w:val="both"/>
        <w:rPr>
          <w:rFonts w:asciiTheme="minorHAnsi" w:hAnsiTheme="minorHAnsi" w:cstheme="minorHAnsi"/>
          <w:sz w:val="26"/>
          <w:szCs w:val="26"/>
        </w:rPr>
      </w:pPr>
      <w:r w:rsidRPr="00564DC7">
        <w:rPr>
          <w:rFonts w:asciiTheme="minorHAnsi" w:hAnsiTheme="minorHAnsi" w:cstheme="minorHAnsi"/>
          <w:sz w:val="26"/>
          <w:szCs w:val="26"/>
        </w:rPr>
        <w:t>De asemenea, în total, 29 de magistrați români au fost selectați la vizite de studiu cu durata de 2 sau 3 zile la Curtea Europeană a Drepturilor Omului, Curtea de Justiție a Uniunii Europene, EUROJUST, Conferința de Drept Internațional Privat de la Haga, Agenția pentru Drepturi Fundamentale a Uniunii Europene</w:t>
      </w:r>
      <w:r w:rsidR="00040CE8">
        <w:rPr>
          <w:rFonts w:asciiTheme="minorHAnsi" w:hAnsiTheme="minorHAnsi" w:cstheme="minorHAnsi"/>
          <w:sz w:val="26"/>
          <w:szCs w:val="26"/>
        </w:rPr>
        <w:t xml:space="preserve"> </w:t>
      </w:r>
      <w:r w:rsidRPr="00564DC7">
        <w:rPr>
          <w:rFonts w:asciiTheme="minorHAnsi" w:hAnsiTheme="minorHAnsi" w:cstheme="minorHAnsi"/>
          <w:sz w:val="26"/>
          <w:szCs w:val="26"/>
        </w:rPr>
        <w:t>-</w:t>
      </w:r>
      <w:r w:rsidR="00040CE8">
        <w:rPr>
          <w:rFonts w:asciiTheme="minorHAnsi" w:hAnsiTheme="minorHAnsi" w:cstheme="minorHAnsi"/>
          <w:sz w:val="26"/>
          <w:szCs w:val="26"/>
        </w:rPr>
        <w:t xml:space="preserve"> </w:t>
      </w:r>
      <w:r w:rsidRPr="00564DC7">
        <w:rPr>
          <w:rFonts w:asciiTheme="minorHAnsi" w:hAnsiTheme="minorHAnsi" w:cstheme="minorHAnsi"/>
          <w:sz w:val="26"/>
          <w:szCs w:val="26"/>
        </w:rPr>
        <w:t>FRA și alte instituții ale Uniunii Europene - Comisia Europeană, Consiliului Uniunii Europene, Parlamentul European, Autoritatea Europeană pentru Protecția Datelor - AEPD și Oficiul European de Luptă Antifraudă – OLAF.</w:t>
      </w:r>
    </w:p>
    <w:bookmarkEnd w:id="50"/>
    <w:p w14:paraId="01759ED5" w14:textId="77777777" w:rsidR="00040CE8" w:rsidRDefault="00B1514A" w:rsidP="00040CE8">
      <w:pPr>
        <w:tabs>
          <w:tab w:val="left" w:pos="360"/>
        </w:tabs>
        <w:ind w:right="43" w:firstLine="709"/>
        <w:jc w:val="both"/>
        <w:rPr>
          <w:rFonts w:asciiTheme="minorHAnsi" w:hAnsiTheme="minorHAnsi" w:cstheme="minorHAnsi"/>
          <w:sz w:val="26"/>
          <w:szCs w:val="26"/>
        </w:rPr>
      </w:pPr>
      <w:r w:rsidRPr="00F40648">
        <w:rPr>
          <w:rFonts w:asciiTheme="minorHAnsi" w:hAnsiTheme="minorHAnsi" w:cstheme="minorHAnsi"/>
          <w:sz w:val="26"/>
          <w:szCs w:val="26"/>
        </w:rPr>
        <w:t xml:space="preserve">În cadrul programului de schimb derulat de EJTN, </w:t>
      </w:r>
      <w:r w:rsidR="00040CE8" w:rsidRPr="00F40648">
        <w:rPr>
          <w:rFonts w:asciiTheme="minorHAnsi" w:hAnsiTheme="minorHAnsi" w:cstheme="minorHAnsi"/>
          <w:sz w:val="26"/>
          <w:szCs w:val="26"/>
        </w:rPr>
        <w:t>28 de magistrați străini au participat la schimburi bilaterale organizate în România</w:t>
      </w:r>
      <w:r w:rsidR="00040CE8">
        <w:rPr>
          <w:rFonts w:asciiTheme="minorHAnsi" w:hAnsiTheme="minorHAnsi" w:cstheme="minorHAnsi"/>
          <w:sz w:val="26"/>
          <w:szCs w:val="26"/>
        </w:rPr>
        <w:t xml:space="preserve">, iar </w:t>
      </w:r>
      <w:r w:rsidRPr="00F40648">
        <w:rPr>
          <w:rFonts w:asciiTheme="minorHAnsi" w:hAnsiTheme="minorHAnsi" w:cstheme="minorHAnsi"/>
          <w:sz w:val="26"/>
          <w:szCs w:val="26"/>
        </w:rPr>
        <w:t>99 de magistrați și formatori din țările membre EJTN au fost alocați pentru desfășurarea de stagii în România, după cum urmează: 44 de judecători și 23 de procurori în cadrul componentei de schimburi de magistrați, 2 judecători în cadrul componentei rezervate conducătorilor de instanțe și parchete și 2 formatori</w:t>
      </w:r>
      <w:r w:rsidR="00040CE8">
        <w:rPr>
          <w:rFonts w:asciiTheme="minorHAnsi" w:hAnsiTheme="minorHAnsi" w:cstheme="minorHAnsi"/>
          <w:sz w:val="26"/>
          <w:szCs w:val="26"/>
        </w:rPr>
        <w:t>.</w:t>
      </w:r>
    </w:p>
    <w:p w14:paraId="6907A160" w14:textId="210717E2" w:rsidR="00B1514A" w:rsidRPr="00040CE8" w:rsidRDefault="00B1514A" w:rsidP="00040CE8">
      <w:pPr>
        <w:pStyle w:val="ListParagraph"/>
        <w:numPr>
          <w:ilvl w:val="0"/>
          <w:numId w:val="3"/>
        </w:numPr>
        <w:tabs>
          <w:tab w:val="left" w:pos="360"/>
        </w:tabs>
        <w:ind w:right="43"/>
        <w:jc w:val="both"/>
        <w:rPr>
          <w:rFonts w:asciiTheme="minorHAnsi" w:hAnsiTheme="minorHAnsi" w:cstheme="minorHAnsi"/>
          <w:b/>
          <w:sz w:val="26"/>
          <w:szCs w:val="26"/>
        </w:rPr>
      </w:pPr>
      <w:r w:rsidRPr="00040CE8">
        <w:rPr>
          <w:rFonts w:asciiTheme="minorHAnsi" w:hAnsiTheme="minorHAnsi" w:cstheme="minorHAnsi"/>
          <w:b/>
          <w:sz w:val="26"/>
          <w:szCs w:val="26"/>
        </w:rPr>
        <w:t>Calendarul de activități EJTN 2023</w:t>
      </w:r>
    </w:p>
    <w:p w14:paraId="64C6DE0E" w14:textId="1A8BB069"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Pentru a veni în întâmpinarea nevoilor de formare ale magistraților, în cadrul componentei de formare internațională, în data de 27 ianuarie 2023 a fost</w:t>
      </w:r>
      <w:r w:rsidR="00F729AA">
        <w:rPr>
          <w:rFonts w:asciiTheme="minorHAnsi" w:hAnsiTheme="minorHAnsi" w:cstheme="minorHAnsi"/>
          <w:sz w:val="26"/>
          <w:szCs w:val="26"/>
        </w:rPr>
        <w:t xml:space="preserve"> </w:t>
      </w:r>
      <w:r w:rsidRPr="00564DC7">
        <w:rPr>
          <w:rFonts w:asciiTheme="minorHAnsi" w:hAnsiTheme="minorHAnsi" w:cstheme="minorHAnsi"/>
          <w:sz w:val="26"/>
          <w:szCs w:val="26"/>
        </w:rPr>
        <w:t xml:space="preserve">lansată, în premieră, o amplă procedură de selecție, care a inclus 82 de activități de formare organizate de EJTN (Catalogului EJTN) şi de membrii EJTN (Catalogul Plus) pe parcursul anului 2023.  Magistrații au avut ocazia de a formula maxim 5 opțiuni, prin intermediul aplicației electronice puse la dispoziție de Institut, în total în cadrul procedurii fiind  înregistrate 1.842 de opțiuni, din partea a 427 de magistrați. </w:t>
      </w:r>
    </w:p>
    <w:p w14:paraId="3C419FE5" w14:textId="77777777" w:rsidR="00B1514A" w:rsidRPr="00564DC7" w:rsidRDefault="00B1514A" w:rsidP="00690186">
      <w:pPr>
        <w:pStyle w:val="ListParagraph"/>
        <w:tabs>
          <w:tab w:val="left" w:pos="360"/>
        </w:tabs>
        <w:ind w:left="0" w:right="43" w:firstLine="709"/>
        <w:jc w:val="both"/>
        <w:rPr>
          <w:rFonts w:asciiTheme="minorHAnsi" w:hAnsiTheme="minorHAnsi" w:cstheme="minorHAnsi"/>
          <w:sz w:val="26"/>
          <w:szCs w:val="26"/>
        </w:rPr>
      </w:pPr>
      <w:r w:rsidRPr="00564DC7">
        <w:rPr>
          <w:rFonts w:asciiTheme="minorHAnsi" w:hAnsiTheme="minorHAnsi" w:cstheme="minorHAnsi"/>
          <w:sz w:val="26"/>
          <w:szCs w:val="26"/>
        </w:rPr>
        <w:t>În perioada  ianuarie – octombrie 2023 au fost înregistrate, în total, la aceste activități, 199 de participări ale magistraților români, formatorilor și coordonatorilor de activități din cadrul INM.</w:t>
      </w:r>
    </w:p>
    <w:p w14:paraId="3C9FE1BE" w14:textId="77777777" w:rsidR="00B1514A" w:rsidRPr="00564DC7" w:rsidRDefault="00B1514A" w:rsidP="00690186">
      <w:pPr>
        <w:pStyle w:val="ListParagraph"/>
        <w:tabs>
          <w:tab w:val="left" w:pos="360"/>
        </w:tabs>
        <w:ind w:left="0" w:firstLine="567"/>
        <w:jc w:val="both"/>
        <w:rPr>
          <w:rFonts w:asciiTheme="minorHAnsi" w:hAnsiTheme="minorHAnsi" w:cstheme="minorHAnsi"/>
          <w:sz w:val="26"/>
          <w:szCs w:val="26"/>
        </w:rPr>
      </w:pPr>
      <w:r w:rsidRPr="00564DC7">
        <w:rPr>
          <w:rFonts w:asciiTheme="minorHAnsi" w:hAnsiTheme="minorHAnsi" w:cstheme="minorHAnsi"/>
          <w:sz w:val="26"/>
          <w:szCs w:val="26"/>
        </w:rPr>
        <w:t xml:space="preserve">La rândul său, INM a deschis participării magistraților europeni, în Catalogul Plus, patru seminare de formare </w:t>
      </w:r>
      <w:r w:rsidRPr="00564DC7">
        <w:rPr>
          <w:rFonts w:asciiTheme="minorHAnsi" w:hAnsiTheme="minorHAnsi" w:cstheme="minorHAnsi"/>
          <w:sz w:val="26"/>
          <w:szCs w:val="26"/>
          <w:lang w:eastAsia="ro-RO"/>
        </w:rPr>
        <w:t xml:space="preserve">în domeniul englezei juridice, dintre care două dedicate limbajului juridic în domeniul cooperării în materie civilă și două limbajului juridic în domeniul cooperării în materie penală. La cele trei seminare organizate în perioada de referință au participat, în total, </w:t>
      </w:r>
      <w:r w:rsidRPr="00564DC7">
        <w:rPr>
          <w:rFonts w:asciiTheme="minorHAnsi" w:hAnsiTheme="minorHAnsi" w:cstheme="minorHAnsi"/>
          <w:sz w:val="26"/>
          <w:szCs w:val="26"/>
        </w:rPr>
        <w:t>36 de magistrați europeni şi 24 de magistrați români.</w:t>
      </w:r>
    </w:p>
    <w:p w14:paraId="1CFE8317" w14:textId="77777777" w:rsidR="00B1514A" w:rsidRPr="00564DC7" w:rsidRDefault="00B1514A">
      <w:pPr>
        <w:pStyle w:val="ListParagraph"/>
        <w:numPr>
          <w:ilvl w:val="0"/>
          <w:numId w:val="3"/>
        </w:numPr>
        <w:jc w:val="both"/>
        <w:rPr>
          <w:rFonts w:asciiTheme="minorHAnsi" w:hAnsiTheme="minorHAnsi" w:cstheme="minorHAnsi"/>
          <w:sz w:val="26"/>
          <w:szCs w:val="26"/>
        </w:rPr>
      </w:pPr>
      <w:r w:rsidRPr="00564DC7">
        <w:rPr>
          <w:rFonts w:asciiTheme="minorHAnsi" w:hAnsiTheme="minorHAnsi" w:cstheme="minorHAnsi"/>
          <w:b/>
          <w:sz w:val="26"/>
          <w:szCs w:val="26"/>
        </w:rPr>
        <w:t>Cooperarea cu Academia de Drept European de la Trier (ERA)</w:t>
      </w:r>
      <w:r w:rsidRPr="00564DC7">
        <w:rPr>
          <w:rFonts w:asciiTheme="minorHAnsi" w:hAnsiTheme="minorHAnsi" w:cstheme="minorHAnsi"/>
          <w:sz w:val="26"/>
          <w:szCs w:val="26"/>
        </w:rPr>
        <w:t xml:space="preserve"> </w:t>
      </w:r>
    </w:p>
    <w:p w14:paraId="6AF7C080" w14:textId="77777777" w:rsidR="00B1514A" w:rsidRPr="00564DC7" w:rsidRDefault="00B1514A" w:rsidP="00690186">
      <w:pPr>
        <w:ind w:firstLine="720"/>
        <w:jc w:val="both"/>
        <w:rPr>
          <w:rFonts w:asciiTheme="minorHAnsi" w:hAnsiTheme="minorHAnsi" w:cstheme="minorHAnsi"/>
          <w:sz w:val="26"/>
          <w:szCs w:val="26"/>
          <w:lang w:eastAsia="ro-RO"/>
        </w:rPr>
      </w:pPr>
      <w:r w:rsidRPr="00564DC7">
        <w:rPr>
          <w:rFonts w:asciiTheme="minorHAnsi" w:hAnsiTheme="minorHAnsi" w:cstheme="minorHAnsi"/>
          <w:sz w:val="26"/>
          <w:szCs w:val="26"/>
        </w:rPr>
        <w:t xml:space="preserve">În cadrul colaborării cu Academia de Drept European de la Trier, INM a găzduit, în perioada de referință, trei activități de formare continuă </w:t>
      </w:r>
      <w:r w:rsidRPr="00564DC7">
        <w:rPr>
          <w:rFonts w:asciiTheme="minorHAnsi" w:hAnsiTheme="minorHAnsi" w:cstheme="minorHAnsi"/>
          <w:sz w:val="26"/>
          <w:szCs w:val="26"/>
          <w:lang w:eastAsia="ro-RO"/>
        </w:rPr>
        <w:t xml:space="preserve">în cadrul unor proiecte cu finanțare europeană, având ca promotor de proiect ERA şi în care are calitatea de partener fără contribuție financiară. Seminarele au vizat domeniile combaterii discriminării </w:t>
      </w:r>
      <w:r w:rsidRPr="00261D6B">
        <w:rPr>
          <w:rFonts w:asciiTheme="minorHAnsi" w:hAnsiTheme="minorHAnsi" w:cstheme="minorHAnsi"/>
          <w:sz w:val="26"/>
          <w:szCs w:val="26"/>
          <w:lang w:eastAsia="ro-RO"/>
        </w:rPr>
        <w:t>(„</w:t>
      </w:r>
      <w:r w:rsidRPr="00564DC7">
        <w:rPr>
          <w:rFonts w:asciiTheme="minorHAnsi" w:eastAsia="Calibri" w:hAnsiTheme="minorHAnsi" w:cstheme="minorHAnsi"/>
          <w:sz w:val="26"/>
          <w:szCs w:val="26"/>
        </w:rPr>
        <w:t>Applying EU-antidiscrimination law”, 22-</w:t>
      </w:r>
      <w:r w:rsidRPr="00564DC7">
        <w:rPr>
          <w:rFonts w:asciiTheme="minorHAnsi" w:eastAsia="Calibri" w:hAnsiTheme="minorHAnsi" w:cstheme="minorHAnsi"/>
          <w:sz w:val="26"/>
          <w:szCs w:val="26"/>
        </w:rPr>
        <w:lastRenderedPageBreak/>
        <w:t xml:space="preserve">23 mai 2023), dreptul european al mediului </w:t>
      </w:r>
      <w:r w:rsidRPr="00261D6B">
        <w:rPr>
          <w:rFonts w:asciiTheme="minorHAnsi" w:eastAsia="Calibri" w:hAnsiTheme="minorHAnsi" w:cstheme="minorHAnsi"/>
          <w:sz w:val="26"/>
          <w:szCs w:val="26"/>
        </w:rPr>
        <w:t>(</w:t>
      </w:r>
      <w:r w:rsidRPr="00564DC7">
        <w:rPr>
          <w:rFonts w:asciiTheme="minorHAnsi" w:eastAsia="Calibri" w:hAnsiTheme="minorHAnsi" w:cstheme="minorHAnsi"/>
          <w:sz w:val="26"/>
          <w:szCs w:val="26"/>
        </w:rPr>
        <w:t xml:space="preserve">„Legislația europeană și românească privind deșeurile și protecția mediului prin dreptul penal - accent pe combaterea infracțiunilor legate de deșeuri”, 22-23 mai 2023) şi dreptul Uniunii Europene </w:t>
      </w:r>
      <w:r w:rsidRPr="00261D6B">
        <w:rPr>
          <w:rFonts w:asciiTheme="minorHAnsi" w:eastAsia="Calibri" w:hAnsiTheme="minorHAnsi" w:cstheme="minorHAnsi"/>
          <w:i/>
          <w:iCs/>
          <w:sz w:val="26"/>
          <w:szCs w:val="26"/>
        </w:rPr>
        <w:t>(</w:t>
      </w:r>
      <w:r w:rsidRPr="00261D6B">
        <w:rPr>
          <w:rFonts w:asciiTheme="minorHAnsi" w:hAnsiTheme="minorHAnsi" w:cstheme="minorHAnsi"/>
          <w:i/>
          <w:iCs/>
          <w:sz w:val="26"/>
          <w:szCs w:val="26"/>
          <w:lang w:eastAsia="ro-RO"/>
        </w:rPr>
        <w:t>„</w:t>
      </w:r>
      <w:r w:rsidRPr="00564DC7">
        <w:rPr>
          <w:rFonts w:asciiTheme="minorHAnsi" w:hAnsiTheme="minorHAnsi" w:cstheme="minorHAnsi"/>
          <w:i/>
          <w:iCs/>
          <w:sz w:val="26"/>
          <w:szCs w:val="26"/>
        </w:rPr>
        <w:t>Advanced training for Court Coordinators in European Law”</w:t>
      </w:r>
      <w:r w:rsidRPr="00564DC7">
        <w:rPr>
          <w:rFonts w:asciiTheme="minorHAnsi" w:hAnsiTheme="minorHAnsi" w:cstheme="minorHAnsi"/>
          <w:sz w:val="26"/>
          <w:szCs w:val="26"/>
        </w:rPr>
        <w:t>, 16 – 17 octombrie 2023), la care au fost selectați în vederea participării 47 de magistrați români.</w:t>
      </w:r>
    </w:p>
    <w:p w14:paraId="3DA0E2B7" w14:textId="77777777" w:rsidR="00B1514A" w:rsidRPr="00564DC7" w:rsidRDefault="00B1514A"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De asemenea, Institutul </w:t>
      </w:r>
      <w:r w:rsidRPr="00261D6B">
        <w:rPr>
          <w:rFonts w:asciiTheme="minorHAnsi" w:hAnsiTheme="minorHAnsi" w:cstheme="minorHAnsi"/>
          <w:sz w:val="26"/>
          <w:szCs w:val="26"/>
        </w:rPr>
        <w:t xml:space="preserve">a fost implicat, </w:t>
      </w:r>
      <w:r w:rsidRPr="00564DC7">
        <w:rPr>
          <w:rFonts w:asciiTheme="minorHAnsi" w:hAnsiTheme="minorHAnsi" w:cstheme="minorHAnsi"/>
          <w:sz w:val="26"/>
          <w:szCs w:val="26"/>
        </w:rPr>
        <w:t>în calitate de partener fără contribuție financiară, în cadrul Proiectului „Judicial training on the legal protection of Intra-EU investment”, facilitând participarea a 4 magistraţi români la un seminar online având ca temă protecţia intracomunitară a investiţiilor.</w:t>
      </w:r>
      <w:r w:rsidRPr="00564DC7">
        <w:rPr>
          <w:rFonts w:asciiTheme="minorHAnsi" w:hAnsiTheme="minorHAnsi" w:cstheme="minorHAnsi"/>
          <w:sz w:val="26"/>
          <w:szCs w:val="26"/>
          <w:shd w:val="clear" w:color="auto" w:fill="FFFF00"/>
        </w:rPr>
        <w:t xml:space="preserve"> </w:t>
      </w:r>
    </w:p>
    <w:p w14:paraId="602655D4" w14:textId="77777777" w:rsidR="00B1514A" w:rsidRDefault="00B1514A" w:rsidP="00690186">
      <w:pPr>
        <w:ind w:firstLine="720"/>
        <w:jc w:val="both"/>
        <w:rPr>
          <w:rFonts w:asciiTheme="minorHAnsi" w:eastAsia="Calibri" w:hAnsiTheme="minorHAnsi" w:cstheme="minorHAnsi"/>
          <w:sz w:val="26"/>
          <w:szCs w:val="26"/>
        </w:rPr>
      </w:pPr>
      <w:r w:rsidRPr="00564DC7">
        <w:rPr>
          <w:rFonts w:asciiTheme="minorHAnsi" w:eastAsia="Calibri" w:hAnsiTheme="minorHAnsi" w:cstheme="minorHAnsi"/>
          <w:sz w:val="26"/>
          <w:szCs w:val="26"/>
        </w:rPr>
        <w:t>În total, în perioada de referință au fost înregistrate 57 de participări ale magistraților români la activități de formare organizate de ERA, la București, Trier sau în statele partenere.</w:t>
      </w:r>
    </w:p>
    <w:p w14:paraId="51BECE90" w14:textId="77777777" w:rsidR="00B1514A" w:rsidRPr="00564DC7" w:rsidRDefault="00B1514A">
      <w:pPr>
        <w:pStyle w:val="ListParagraph"/>
        <w:numPr>
          <w:ilvl w:val="0"/>
          <w:numId w:val="3"/>
        </w:numPr>
        <w:tabs>
          <w:tab w:val="left" w:pos="360"/>
        </w:tabs>
        <w:ind w:right="43"/>
        <w:jc w:val="both"/>
        <w:rPr>
          <w:rFonts w:asciiTheme="minorHAnsi" w:hAnsiTheme="minorHAnsi" w:cstheme="minorHAnsi"/>
          <w:b/>
          <w:sz w:val="26"/>
          <w:szCs w:val="26"/>
        </w:rPr>
      </w:pPr>
      <w:r w:rsidRPr="00564DC7">
        <w:rPr>
          <w:rFonts w:asciiTheme="minorHAnsi" w:hAnsiTheme="minorHAnsi" w:cstheme="minorHAnsi"/>
          <w:b/>
          <w:sz w:val="26"/>
          <w:szCs w:val="26"/>
        </w:rPr>
        <w:t>Cooperarea cu Programul HELP al Consiliului Europei</w:t>
      </w:r>
    </w:p>
    <w:p w14:paraId="200750D1" w14:textId="77777777"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Programul Consiliului Europei (CoE) pentru Formarea Juriștilor în Domeniul Drepturilor Omului (HELP) este un proiect de lungă durată care își propune să sprijine statele membre ale CoE în implementarea standardelor europene privind drepturile omului la nivel național, concentrându-se pe Convenția Europeană a Drepturilor Omului (CEDO), alte instrumente cheie ale CoE și, începând din 2015, dreptul Uniunii Europene. Acest lucru se realizează prin dezvoltarea capacităților profesioniștilor de a aplica aceste instrumente în activitatea lor de zi cu zi.</w:t>
      </w:r>
    </w:p>
    <w:p w14:paraId="53B427FC" w14:textId="77777777"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În calitate de membru al Rețelei HELP, INM a fost reprezentat la</w:t>
      </w:r>
      <w:r w:rsidRPr="00564DC7">
        <w:rPr>
          <w:rFonts w:asciiTheme="minorHAnsi" w:hAnsiTheme="minorHAnsi" w:cstheme="minorHAnsi"/>
          <w:sz w:val="26"/>
          <w:szCs w:val="26"/>
          <w:lang w:eastAsia="ro-RO"/>
        </w:rPr>
        <w:t xml:space="preserve"> </w:t>
      </w:r>
      <w:r w:rsidRPr="00564DC7">
        <w:rPr>
          <w:rFonts w:asciiTheme="minorHAnsi" w:hAnsiTheme="minorHAnsi" w:cstheme="minorHAnsi"/>
          <w:sz w:val="26"/>
          <w:szCs w:val="26"/>
        </w:rPr>
        <w:t>întâlnirea de lucru a Consiliului Consultativ HELP, desfășurată la Strasbourg, în perioada 27-28 aprilie 2023, precum şi la Conferința anuală a Rețelei HELP, organizată la Strasbourg, în perioada 6-7 iulie 2023, ocazie cu care reprezentantul INM a fost ales în calitate de membru în cadrul Consiliului Consultativ HELP.</w:t>
      </w:r>
    </w:p>
    <w:p w14:paraId="416EC204" w14:textId="671B79F6" w:rsidR="00B1514A" w:rsidRPr="00261D6B"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De asemenea, în perioada de referință,</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INM a continuat să faciliteze participarea la cursurile online dezvoltate de HELP. Astfel, un formator a fost selectat în vederea participării la cursul de formare a tutorilor HELP, derulat în cadrul Proiectului dedicat formării în domeniul statu</w:t>
      </w:r>
      <w:r w:rsidR="00F729AA">
        <w:rPr>
          <w:rFonts w:asciiTheme="minorHAnsi" w:hAnsiTheme="minorHAnsi" w:cstheme="minorHAnsi"/>
          <w:sz w:val="26"/>
          <w:szCs w:val="26"/>
        </w:rPr>
        <w:t>lui</w:t>
      </w:r>
      <w:r w:rsidRPr="00564DC7">
        <w:rPr>
          <w:rFonts w:asciiTheme="minorHAnsi" w:hAnsiTheme="minorHAnsi" w:cstheme="minorHAnsi"/>
          <w:sz w:val="26"/>
          <w:szCs w:val="26"/>
        </w:rPr>
        <w:t xml:space="preserve"> de drept şi drepturilor fundamentale </w:t>
      </w:r>
      <w:r w:rsidRPr="00261D6B">
        <w:rPr>
          <w:rFonts w:asciiTheme="minorHAnsi" w:hAnsiTheme="minorHAnsi" w:cstheme="minorHAnsi"/>
          <w:sz w:val="26"/>
          <w:szCs w:val="26"/>
        </w:rPr>
        <w:t xml:space="preserve">(„EU-CoE Judicial Training on Rule of Law and Fundamental Rights”). </w:t>
      </w:r>
      <w:bookmarkStart w:id="51" w:name="_Hlk67929082"/>
    </w:p>
    <w:bookmarkEnd w:id="51"/>
    <w:p w14:paraId="533CD0E6" w14:textId="77777777" w:rsidR="00B1514A" w:rsidRPr="00564DC7" w:rsidRDefault="00B1514A">
      <w:pPr>
        <w:pStyle w:val="ListParagraph"/>
        <w:numPr>
          <w:ilvl w:val="0"/>
          <w:numId w:val="3"/>
        </w:numPr>
        <w:tabs>
          <w:tab w:val="left" w:pos="360"/>
        </w:tabs>
        <w:ind w:right="43"/>
        <w:jc w:val="both"/>
        <w:rPr>
          <w:rFonts w:asciiTheme="minorHAnsi" w:hAnsiTheme="minorHAnsi" w:cstheme="minorHAnsi"/>
          <w:b/>
          <w:sz w:val="26"/>
          <w:szCs w:val="26"/>
        </w:rPr>
      </w:pPr>
      <w:r w:rsidRPr="00564DC7">
        <w:rPr>
          <w:rFonts w:asciiTheme="minorHAnsi" w:hAnsiTheme="minorHAnsi" w:cstheme="minorHAnsi"/>
          <w:b/>
          <w:sz w:val="26"/>
          <w:szCs w:val="26"/>
        </w:rPr>
        <w:t>Alte activități de formare internaționale</w:t>
      </w:r>
    </w:p>
    <w:p w14:paraId="5F26DC4C" w14:textId="77777777" w:rsidR="00B1514A" w:rsidRPr="00564DC7"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cadrul relațiilor stabilite cu instituții de formare și parteneri internaționali, INM a derulat proceduri de selecție a participanților și a diseminat informații privind programe și activități de formare organizate de: Comisia Europeană, Școala de Magistratură din Franța (ENM), Şcoala Superioară de Magistratură din Italia (SSM),  Institutul European de Administrație Publică (EIPA), Academia Internațională de Poliţie de la Budapesta </w:t>
      </w:r>
      <w:r w:rsidRPr="00261D6B">
        <w:rPr>
          <w:rFonts w:asciiTheme="minorHAnsi" w:hAnsiTheme="minorHAnsi" w:cstheme="minorHAnsi"/>
          <w:sz w:val="26"/>
          <w:szCs w:val="26"/>
          <w:lang w:val="fr-FR"/>
        </w:rPr>
        <w:t>(ILEA)</w:t>
      </w:r>
      <w:r w:rsidRPr="00564DC7">
        <w:rPr>
          <w:rFonts w:asciiTheme="minorHAnsi" w:hAnsiTheme="minorHAnsi" w:cstheme="minorHAnsi"/>
          <w:sz w:val="26"/>
          <w:szCs w:val="26"/>
        </w:rPr>
        <w:t xml:space="preserve">. </w:t>
      </w:r>
    </w:p>
    <w:p w14:paraId="70DE3A28" w14:textId="77777777" w:rsidR="00B1514A" w:rsidRPr="00564DC7" w:rsidRDefault="00B1514A" w:rsidP="00690186">
      <w:pPr>
        <w:pStyle w:val="ListParagraph"/>
        <w:autoSpaceDE w:val="0"/>
        <w:autoSpaceDN w:val="0"/>
        <w:adjustRightInd w:val="0"/>
        <w:ind w:left="0" w:firstLine="709"/>
        <w:jc w:val="both"/>
        <w:rPr>
          <w:rFonts w:asciiTheme="minorHAnsi" w:hAnsiTheme="minorHAnsi" w:cstheme="minorHAnsi"/>
          <w:sz w:val="26"/>
          <w:szCs w:val="26"/>
        </w:rPr>
      </w:pPr>
      <w:bookmarkStart w:id="52" w:name="_Hlk95472005"/>
      <w:r w:rsidRPr="00564DC7">
        <w:rPr>
          <w:rFonts w:asciiTheme="minorHAnsi" w:hAnsiTheme="minorHAnsi" w:cstheme="minorHAnsi"/>
          <w:sz w:val="26"/>
          <w:szCs w:val="26"/>
        </w:rPr>
        <w:t>În cadrul proiectului derulat de Şcoala de Magistratură din Franţa, având ca temă rolul victimelor în procedurile penale cu un număr substanţial de victime (</w:t>
      </w:r>
      <w:r w:rsidRPr="00564DC7">
        <w:rPr>
          <w:rFonts w:asciiTheme="minorHAnsi" w:hAnsiTheme="minorHAnsi" w:cstheme="minorHAnsi"/>
          <w:noProof/>
          <w:sz w:val="26"/>
          <w:szCs w:val="26"/>
        </w:rPr>
        <w:t>„</w:t>
      </w:r>
      <w:r w:rsidRPr="00564DC7">
        <w:rPr>
          <w:rFonts w:asciiTheme="minorHAnsi" w:hAnsiTheme="minorHAnsi" w:cstheme="minorHAnsi"/>
          <w:i/>
          <w:noProof/>
          <w:sz w:val="26"/>
          <w:szCs w:val="26"/>
        </w:rPr>
        <w:t>The place of victims in criminal proceedings with a substantial number of victims”</w:t>
      </w:r>
      <w:r w:rsidRPr="00564DC7">
        <w:rPr>
          <w:rFonts w:asciiTheme="minorHAnsi" w:hAnsiTheme="minorHAnsi" w:cstheme="minorHAnsi"/>
          <w:sz w:val="26"/>
          <w:szCs w:val="26"/>
          <w:shd w:val="clear" w:color="auto" w:fill="FFFFFF"/>
        </w:rPr>
        <w:t xml:space="preserve"> - VICTI), proiect în cadrul căruia Institutul are calitatea de partener fără contribuție financiară, 4 magistrați români şi un reprezentant al Institutului au participat la seminarul organizat la Paris, dedicat gestionării cauzelor cu un număr mare de victime în etapa judecății </w:t>
      </w:r>
      <w:r w:rsidRPr="00261D6B">
        <w:rPr>
          <w:rFonts w:asciiTheme="minorHAnsi" w:hAnsiTheme="minorHAnsi" w:cstheme="minorHAnsi"/>
          <w:sz w:val="26"/>
          <w:szCs w:val="26"/>
          <w:shd w:val="clear" w:color="auto" w:fill="FFFFFF"/>
        </w:rPr>
        <w:t>(</w:t>
      </w:r>
      <w:r w:rsidRPr="00564DC7">
        <w:rPr>
          <w:rFonts w:asciiTheme="minorHAnsi" w:hAnsiTheme="minorHAnsi" w:cstheme="minorHAnsi"/>
          <w:sz w:val="26"/>
          <w:szCs w:val="26"/>
        </w:rPr>
        <w:t>„</w:t>
      </w:r>
      <w:r w:rsidRPr="00564DC7">
        <w:rPr>
          <w:rFonts w:asciiTheme="minorHAnsi" w:hAnsiTheme="minorHAnsi" w:cstheme="minorHAnsi"/>
          <w:i/>
          <w:iCs/>
          <w:sz w:val="26"/>
          <w:szCs w:val="26"/>
        </w:rPr>
        <w:t>The place of victims in criminal proceedings with a substantial number of victims: the trial</w:t>
      </w:r>
      <w:r w:rsidRPr="00564DC7">
        <w:rPr>
          <w:rFonts w:asciiTheme="minorHAnsi" w:hAnsiTheme="minorHAnsi" w:cstheme="minorHAnsi"/>
          <w:sz w:val="26"/>
          <w:szCs w:val="26"/>
        </w:rPr>
        <w:t>”, 22 – 24 martie 202</w:t>
      </w:r>
      <w:bookmarkEnd w:id="52"/>
      <w:r w:rsidRPr="00564DC7">
        <w:rPr>
          <w:rFonts w:asciiTheme="minorHAnsi" w:hAnsiTheme="minorHAnsi" w:cstheme="minorHAnsi"/>
          <w:sz w:val="26"/>
          <w:szCs w:val="26"/>
        </w:rPr>
        <w:t>3</w:t>
      </w:r>
      <w:r w:rsidRPr="00261D6B">
        <w:rPr>
          <w:rFonts w:asciiTheme="minorHAnsi" w:hAnsiTheme="minorHAnsi" w:cstheme="minorHAnsi"/>
          <w:sz w:val="26"/>
          <w:szCs w:val="26"/>
        </w:rPr>
        <w:t xml:space="preserve">). </w:t>
      </w:r>
    </w:p>
    <w:p w14:paraId="1869F59D" w14:textId="77777777" w:rsidR="00B1514A" w:rsidRPr="00564DC7" w:rsidRDefault="00B1514A" w:rsidP="00690186">
      <w:pPr>
        <w:pStyle w:val="ListParagraph"/>
        <w:tabs>
          <w:tab w:val="left" w:pos="851"/>
        </w:tabs>
        <w:autoSpaceDE w:val="0"/>
        <w:autoSpaceDN w:val="0"/>
        <w:adjustRightInd w:val="0"/>
        <w:ind w:left="0" w:firstLine="709"/>
        <w:jc w:val="both"/>
        <w:rPr>
          <w:rFonts w:asciiTheme="minorHAnsi" w:hAnsiTheme="minorHAnsi" w:cstheme="minorHAnsi"/>
          <w:sz w:val="26"/>
          <w:szCs w:val="26"/>
        </w:rPr>
      </w:pPr>
      <w:bookmarkStart w:id="53" w:name="_Hlk136943475"/>
      <w:r w:rsidRPr="00564DC7">
        <w:rPr>
          <w:rFonts w:asciiTheme="minorHAnsi" w:hAnsiTheme="minorHAnsi" w:cstheme="minorHAnsi"/>
          <w:sz w:val="26"/>
          <w:szCs w:val="26"/>
        </w:rPr>
        <w:t xml:space="preserve">De asemenea, în cadrul proiectului privind Justiţia, drepturile fundamentale şi inteligența artificială </w:t>
      </w:r>
      <w:r w:rsidRPr="00564DC7">
        <w:rPr>
          <w:rFonts w:asciiTheme="minorHAnsi" w:hAnsiTheme="minorHAnsi" w:cstheme="minorHAnsi"/>
          <w:sz w:val="26"/>
          <w:szCs w:val="26"/>
          <w:lang w:val="en-GB"/>
        </w:rPr>
        <w:t>(</w:t>
      </w:r>
      <w:r w:rsidRPr="00564DC7">
        <w:rPr>
          <w:rFonts w:asciiTheme="minorHAnsi" w:hAnsiTheme="minorHAnsi" w:cstheme="minorHAnsi"/>
          <w:sz w:val="26"/>
          <w:szCs w:val="26"/>
          <w:lang w:eastAsia="en-GB"/>
        </w:rPr>
        <w:t xml:space="preserve">JuLIA), având ca promotor Şcoala Superioară de Magistratură din Italia </w:t>
      </w:r>
      <w:r w:rsidRPr="00564DC7">
        <w:rPr>
          <w:rFonts w:asciiTheme="minorHAnsi" w:hAnsiTheme="minorHAnsi" w:cstheme="minorHAnsi"/>
          <w:sz w:val="26"/>
          <w:szCs w:val="26"/>
          <w:lang w:val="en-GB" w:eastAsia="en-GB"/>
        </w:rPr>
        <w:t xml:space="preserve">(SSM), </w:t>
      </w:r>
      <w:r w:rsidRPr="00564DC7">
        <w:rPr>
          <w:rFonts w:asciiTheme="minorHAnsi" w:hAnsiTheme="minorHAnsi" w:cstheme="minorHAnsi"/>
          <w:sz w:val="26"/>
          <w:szCs w:val="26"/>
          <w:lang w:eastAsia="en-GB"/>
        </w:rPr>
        <w:t>un</w:t>
      </w:r>
      <w:r w:rsidRPr="00564DC7">
        <w:rPr>
          <w:rFonts w:asciiTheme="minorHAnsi" w:hAnsiTheme="minorHAnsi" w:cstheme="minorHAnsi"/>
          <w:sz w:val="26"/>
          <w:szCs w:val="26"/>
        </w:rPr>
        <w:t xml:space="preserve"> magistrat a  participat la seminarul cu tema „</w:t>
      </w:r>
      <w:r w:rsidRPr="00564DC7">
        <w:rPr>
          <w:rFonts w:asciiTheme="minorHAnsi" w:hAnsiTheme="minorHAnsi" w:cstheme="minorHAnsi"/>
          <w:i/>
          <w:iCs/>
          <w:sz w:val="26"/>
          <w:szCs w:val="26"/>
        </w:rPr>
        <w:t>Judicial Decision Making, artificial intelligence and fundamental rights: the limits of predictive justice in civil and criminal proceedings</w:t>
      </w:r>
      <w:r w:rsidRPr="00564DC7">
        <w:rPr>
          <w:rFonts w:asciiTheme="minorHAnsi" w:hAnsiTheme="minorHAnsi" w:cstheme="minorHAnsi"/>
          <w:sz w:val="26"/>
          <w:szCs w:val="26"/>
        </w:rPr>
        <w:t xml:space="preserve">” </w:t>
      </w:r>
      <w:bookmarkStart w:id="54" w:name="_Hlk95401498"/>
      <w:r w:rsidRPr="00564DC7">
        <w:rPr>
          <w:rFonts w:asciiTheme="minorHAnsi" w:hAnsiTheme="minorHAnsi" w:cstheme="minorHAnsi"/>
          <w:sz w:val="26"/>
          <w:szCs w:val="26"/>
        </w:rPr>
        <w:t>organizat la Napoli, în perioada 18 – 19 septembrie 2023</w:t>
      </w:r>
      <w:bookmarkEnd w:id="53"/>
      <w:r w:rsidRPr="00564DC7">
        <w:rPr>
          <w:rFonts w:asciiTheme="minorHAnsi" w:hAnsiTheme="minorHAnsi" w:cstheme="minorHAnsi"/>
          <w:sz w:val="26"/>
          <w:szCs w:val="26"/>
        </w:rPr>
        <w:t>.</w:t>
      </w:r>
    </w:p>
    <w:bookmarkEnd w:id="54"/>
    <w:p w14:paraId="34003CDC" w14:textId="77777777" w:rsidR="00B1514A" w:rsidRPr="00564DC7" w:rsidRDefault="00B1514A" w:rsidP="00690186">
      <w:pPr>
        <w:ind w:firstLine="708"/>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rPr>
        <w:t xml:space="preserve">În total, la activitățile organizate de diverși parteneri internaţionali au fost înregistrate, în perioada de referință, 25 de participări din partea magistraților români. </w:t>
      </w:r>
    </w:p>
    <w:p w14:paraId="1DA5BE4B" w14:textId="023AD08B" w:rsidR="00B1514A" w:rsidRPr="0097656B" w:rsidRDefault="00B1514A" w:rsidP="0097656B">
      <w:pPr>
        <w:pStyle w:val="Heading3"/>
        <w:spacing w:line="240" w:lineRule="auto"/>
        <w:ind w:firstLine="708"/>
        <w:rPr>
          <w:rFonts w:cstheme="minorHAnsi"/>
          <w:bCs/>
          <w:color w:val="auto"/>
          <w:szCs w:val="26"/>
        </w:rPr>
      </w:pPr>
      <w:bookmarkStart w:id="55" w:name="_Toc155267876"/>
      <w:r w:rsidRPr="0097656B">
        <w:rPr>
          <w:rFonts w:cstheme="minorHAnsi"/>
          <w:bCs/>
          <w:color w:val="auto"/>
          <w:szCs w:val="26"/>
        </w:rPr>
        <w:lastRenderedPageBreak/>
        <w:t>I.5.4. Cooperarea cu Institutul Naţional al Justiţiei din Republica Moldova</w:t>
      </w:r>
      <w:bookmarkEnd w:id="55"/>
    </w:p>
    <w:p w14:paraId="7A81F5AB" w14:textId="77777777" w:rsidR="00B1514A" w:rsidRPr="00564DC7" w:rsidRDefault="00B1514A" w:rsidP="00690186">
      <w:pPr>
        <w:ind w:firstLine="692"/>
        <w:jc w:val="both"/>
        <w:rPr>
          <w:rFonts w:asciiTheme="minorHAnsi" w:hAnsiTheme="minorHAnsi" w:cstheme="minorHAnsi"/>
          <w:sz w:val="26"/>
          <w:szCs w:val="26"/>
        </w:rPr>
      </w:pPr>
      <w:r w:rsidRPr="00564DC7">
        <w:rPr>
          <w:rFonts w:asciiTheme="minorHAnsi" w:hAnsiTheme="minorHAnsi" w:cstheme="minorHAnsi"/>
          <w:sz w:val="26"/>
          <w:szCs w:val="26"/>
        </w:rPr>
        <w:t xml:space="preserve">Prin Hotărârea nr. 9/11.02.2022, Plenul Consiliului Superior al Magistraturii a aprobat implicarea Institutului Național al Magistraturii în cadrul unui program de cooperare care vizează susținerea procesului de reformă a sistemului de justiție din Republica Moldova. În  acest context, INM a participat în perioada iunie-noiembrie 2022, în calitate de partener, în cadrul proiectului „Consolidarea sistemului de justiție prin organizarea unor misiuni de transfer de expertiză adresate judecătorilor şi procurorilor din Republica Moldova”, implementat de Agenția de Cooperare Internațională pentru Dezvoltare (RoAid) din subordinea Ministerului Afacerilor Externe. </w:t>
      </w:r>
    </w:p>
    <w:p w14:paraId="66BAAAB0" w14:textId="77777777" w:rsidR="00B1514A" w:rsidRPr="00564DC7" w:rsidRDefault="00B1514A" w:rsidP="00690186">
      <w:pPr>
        <w:ind w:firstLine="692"/>
        <w:jc w:val="both"/>
        <w:rPr>
          <w:rFonts w:asciiTheme="minorHAnsi" w:hAnsiTheme="minorHAnsi" w:cstheme="minorHAnsi"/>
          <w:sz w:val="26"/>
          <w:szCs w:val="26"/>
        </w:rPr>
      </w:pPr>
      <w:r w:rsidRPr="00564DC7">
        <w:rPr>
          <w:rFonts w:asciiTheme="minorHAnsi" w:hAnsiTheme="minorHAnsi" w:cstheme="minorHAnsi"/>
          <w:sz w:val="26"/>
          <w:szCs w:val="26"/>
        </w:rPr>
        <w:t>Ca urmare a implementării cu succes a proiectului sus-amintit, Consiliul Superior al Magistraturii a avizat continuarea implicării INM în cadrul proiectului derulat în anul 2023.</w:t>
      </w:r>
    </w:p>
    <w:p w14:paraId="22330EA9" w14:textId="77777777" w:rsidR="00B1514A" w:rsidRPr="00564DC7" w:rsidRDefault="00B1514A" w:rsidP="00690186">
      <w:pPr>
        <w:ind w:firstLine="692"/>
        <w:jc w:val="both"/>
        <w:rPr>
          <w:rFonts w:asciiTheme="minorHAnsi" w:hAnsiTheme="minorHAnsi" w:cstheme="minorHAnsi"/>
          <w:sz w:val="26"/>
          <w:szCs w:val="26"/>
        </w:rPr>
      </w:pPr>
      <w:r w:rsidRPr="00564DC7">
        <w:rPr>
          <w:rFonts w:asciiTheme="minorHAnsi" w:hAnsiTheme="minorHAnsi" w:cstheme="minorHAnsi"/>
          <w:sz w:val="26"/>
          <w:szCs w:val="26"/>
        </w:rPr>
        <w:t xml:space="preserve">Obiectivul general al acestui proiect îl constituie îmbunătățirea protecției drepturilor omului și a supremației legii în Republica Moldova, incluzând implementarea eficientă la nivel național a instrumentelor europene și internaționale, în conformitate cu prioritățile, strategiile și planurile naționale, prin participarea judecătorilor, procurorilor și a formatorilor Institutului Național al Justiției din Republica Moldova (INJ) la activități de formare continuă organizate de INM, organizarea de stagii de practică pentru audienți și a unor schimburi specializate pentru judecătorii și procurorii în funcție din Republica Moldova, precum şi prin asistență pentru consolidarea capacității Centrului de Informații Juridice din cadrul INJ. </w:t>
      </w:r>
    </w:p>
    <w:p w14:paraId="1BC63261" w14:textId="77777777" w:rsidR="00B1514A" w:rsidRPr="00564DC7" w:rsidRDefault="00B1514A" w:rsidP="00690186">
      <w:pPr>
        <w:ind w:firstLine="692"/>
        <w:jc w:val="both"/>
        <w:rPr>
          <w:rFonts w:asciiTheme="minorHAnsi" w:hAnsiTheme="minorHAnsi" w:cstheme="minorHAnsi"/>
          <w:sz w:val="26"/>
          <w:szCs w:val="26"/>
        </w:rPr>
      </w:pPr>
      <w:r w:rsidRPr="00564DC7">
        <w:rPr>
          <w:rFonts w:asciiTheme="minorHAnsi" w:hAnsiTheme="minorHAnsi" w:cstheme="minorHAnsi"/>
          <w:sz w:val="26"/>
          <w:szCs w:val="26"/>
        </w:rPr>
        <w:t>În vederea realizării acestor obiective, în perioada 25</w:t>
      </w:r>
      <w:r w:rsidRPr="00261D6B">
        <w:rPr>
          <w:rFonts w:asciiTheme="minorHAnsi" w:hAnsiTheme="minorHAnsi" w:cstheme="minorHAnsi"/>
          <w:sz w:val="26"/>
          <w:szCs w:val="26"/>
        </w:rPr>
        <w:t xml:space="preserve">-27 septembrie 2023, 5 </w:t>
      </w:r>
      <w:r w:rsidRPr="00564DC7">
        <w:rPr>
          <w:rFonts w:asciiTheme="minorHAnsi" w:hAnsiTheme="minorHAnsi" w:cstheme="minorHAnsi"/>
          <w:sz w:val="26"/>
          <w:szCs w:val="26"/>
        </w:rPr>
        <w:t xml:space="preserve">audienţi INJ au desfăşurat stagii cu durata de 3 zile la Parchetul de pe lângă Judecătoria Iaşi şi, respectiv, Judecătoria Suceava, iar 3 judecători şi 4 procurori din Republica Moldova au efectuat stagii, cu aceeași durată, la Curtea de Apel Iaşi şi, respectiv, Parchetul de pe lângă Curtea de Apel Iaşi. </w:t>
      </w:r>
    </w:p>
    <w:p w14:paraId="6E039195" w14:textId="77777777" w:rsidR="00B1514A" w:rsidRPr="0097656B" w:rsidRDefault="00B1514A" w:rsidP="0097656B">
      <w:pPr>
        <w:pStyle w:val="Heading3"/>
        <w:spacing w:line="240" w:lineRule="auto"/>
        <w:ind w:firstLine="708"/>
        <w:rPr>
          <w:rFonts w:cstheme="minorHAnsi"/>
          <w:bCs/>
          <w:color w:val="auto"/>
          <w:szCs w:val="26"/>
        </w:rPr>
      </w:pPr>
      <w:bookmarkStart w:id="56" w:name="_Toc155267877"/>
      <w:r w:rsidRPr="0097656B">
        <w:rPr>
          <w:rFonts w:cstheme="minorHAnsi"/>
          <w:bCs/>
          <w:color w:val="auto"/>
          <w:szCs w:val="26"/>
        </w:rPr>
        <w:t>I.5.5. Alte activități internaționale</w:t>
      </w:r>
      <w:bookmarkEnd w:id="56"/>
      <w:r w:rsidRPr="0097656B">
        <w:rPr>
          <w:rFonts w:cstheme="minorHAnsi"/>
          <w:bCs/>
          <w:color w:val="auto"/>
          <w:szCs w:val="26"/>
        </w:rPr>
        <w:t xml:space="preserve"> </w:t>
      </w:r>
    </w:p>
    <w:p w14:paraId="19F4EE27" w14:textId="77777777" w:rsidR="00B1514A" w:rsidRPr="00564DC7" w:rsidRDefault="00B1514A" w:rsidP="00690186">
      <w:pPr>
        <w:jc w:val="both"/>
        <w:rPr>
          <w:rFonts w:asciiTheme="minorHAnsi" w:hAnsiTheme="minorHAnsi" w:cstheme="minorHAnsi"/>
          <w:sz w:val="26"/>
          <w:szCs w:val="26"/>
        </w:rPr>
      </w:pPr>
      <w:r w:rsidRPr="00564DC7">
        <w:rPr>
          <w:rFonts w:asciiTheme="minorHAnsi" w:hAnsiTheme="minorHAnsi" w:cstheme="minorHAnsi"/>
          <w:sz w:val="26"/>
          <w:szCs w:val="26"/>
        </w:rPr>
        <w:tab/>
        <w:t>Institutul Naţional al Magistraturii a fost reprezentat, în perioada de referință, la următoarele evenimente internaționale:</w:t>
      </w:r>
      <w:bookmarkStart w:id="57" w:name="_Hlk148087888"/>
    </w:p>
    <w:p w14:paraId="64610CBB" w14:textId="77777777" w:rsidR="00B1514A" w:rsidRPr="00564DC7" w:rsidRDefault="00B1514A">
      <w:pPr>
        <w:pStyle w:val="ListParagraph"/>
        <w:numPr>
          <w:ilvl w:val="0"/>
          <w:numId w:val="21"/>
        </w:numPr>
        <w:tabs>
          <w:tab w:val="left" w:pos="993"/>
        </w:tabs>
        <w:ind w:left="0" w:firstLine="709"/>
        <w:jc w:val="both"/>
        <w:rPr>
          <w:rStyle w:val="normaltextrun"/>
          <w:rFonts w:asciiTheme="minorHAnsi" w:hAnsiTheme="minorHAnsi" w:cstheme="minorHAnsi"/>
          <w:sz w:val="26"/>
          <w:szCs w:val="26"/>
        </w:rPr>
      </w:pPr>
      <w:r w:rsidRPr="00564DC7">
        <w:rPr>
          <w:rFonts w:asciiTheme="minorHAnsi" w:hAnsiTheme="minorHAnsi" w:cstheme="minorHAnsi"/>
          <w:sz w:val="26"/>
          <w:szCs w:val="26"/>
        </w:rPr>
        <w:t>conferința cu tema „</w:t>
      </w:r>
      <w:r w:rsidRPr="00564DC7">
        <w:rPr>
          <w:rStyle w:val="normaltextrun"/>
          <w:rFonts w:asciiTheme="minorHAnsi" w:hAnsiTheme="minorHAnsi" w:cstheme="minorHAnsi"/>
          <w:i/>
          <w:iCs/>
          <w:sz w:val="26"/>
          <w:szCs w:val="26"/>
        </w:rPr>
        <w:t>Judicial training: the right skills to embrace the digitalisation of justice”</w:t>
      </w:r>
      <w:r w:rsidRPr="00564DC7">
        <w:rPr>
          <w:rStyle w:val="normaltextrun"/>
          <w:rFonts w:asciiTheme="minorHAnsi" w:hAnsiTheme="minorHAnsi" w:cstheme="minorHAnsi"/>
          <w:sz w:val="26"/>
          <w:szCs w:val="26"/>
        </w:rPr>
        <w:t>, organizată de CE în perioada 26-28 aprilie 2023</w:t>
      </w:r>
      <w:r w:rsidRPr="00261D6B">
        <w:rPr>
          <w:rStyle w:val="normaltextrun"/>
          <w:rFonts w:asciiTheme="minorHAnsi" w:hAnsiTheme="minorHAnsi" w:cstheme="minorHAnsi"/>
          <w:sz w:val="26"/>
          <w:szCs w:val="26"/>
          <w:lang w:val="en-US"/>
        </w:rPr>
        <w:t>;</w:t>
      </w:r>
    </w:p>
    <w:p w14:paraId="7A325578" w14:textId="77777777" w:rsidR="00B1514A" w:rsidRPr="000363DB" w:rsidRDefault="00B1514A">
      <w:pPr>
        <w:pStyle w:val="ListParagraph"/>
        <w:numPr>
          <w:ilvl w:val="0"/>
          <w:numId w:val="21"/>
        </w:numPr>
        <w:tabs>
          <w:tab w:val="left" w:pos="993"/>
        </w:tabs>
        <w:ind w:left="0" w:firstLine="709"/>
        <w:jc w:val="both"/>
        <w:rPr>
          <w:rFonts w:asciiTheme="minorHAnsi" w:hAnsiTheme="minorHAnsi" w:cstheme="minorHAnsi"/>
          <w:sz w:val="26"/>
          <w:szCs w:val="26"/>
        </w:rPr>
      </w:pPr>
      <w:r w:rsidRPr="000363DB">
        <w:rPr>
          <w:rFonts w:asciiTheme="minorHAnsi" w:hAnsiTheme="minorHAnsi" w:cstheme="minorHAnsi"/>
          <w:sz w:val="26"/>
          <w:szCs w:val="26"/>
        </w:rPr>
        <w:t>cea de-a doua ediţie a conferinței anuale a Institutului de Justiție Palestinian (PJI), organizată la Ramallah, în perioada 18-20 mai 2023, dedicată schimbului de experiență şi bunelor practici</w:t>
      </w:r>
      <w:r w:rsidRPr="000363DB">
        <w:rPr>
          <w:rFonts w:asciiTheme="minorHAnsi" w:hAnsiTheme="minorHAnsi" w:cstheme="minorHAnsi"/>
          <w:b/>
          <w:sz w:val="26"/>
          <w:szCs w:val="26"/>
        </w:rPr>
        <w:t xml:space="preserve"> </w:t>
      </w:r>
      <w:r w:rsidRPr="000363DB">
        <w:rPr>
          <w:rFonts w:asciiTheme="minorHAnsi" w:hAnsiTheme="minorHAnsi" w:cstheme="minorHAnsi"/>
          <w:sz w:val="26"/>
          <w:szCs w:val="26"/>
        </w:rPr>
        <w:t xml:space="preserve">privind formarea judiciară în statele europene şi cele arabe. Cu această ocazie, delegația Institutului Național al Magistraturii a prezentat modelul naţional în materia recrutării şi formării profesionale inițiale a judecătorilor şi procurorilor. </w:t>
      </w:r>
    </w:p>
    <w:p w14:paraId="7805E03D" w14:textId="77777777" w:rsidR="00B1514A" w:rsidRPr="00564DC7" w:rsidRDefault="00B1514A">
      <w:pPr>
        <w:pStyle w:val="ListParagraph"/>
        <w:numPr>
          <w:ilvl w:val="0"/>
          <w:numId w:val="20"/>
        </w:numPr>
        <w:tabs>
          <w:tab w:val="left" w:pos="993"/>
        </w:tabs>
        <w:ind w:left="0"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reuniunea </w:t>
      </w:r>
      <w:r w:rsidRPr="00564DC7">
        <w:rPr>
          <w:rFonts w:asciiTheme="minorHAnsi" w:hAnsiTheme="minorHAnsi" w:cstheme="minorHAnsi"/>
          <w:sz w:val="26"/>
          <w:szCs w:val="26"/>
          <w:lang w:eastAsia="ro-RO"/>
        </w:rPr>
        <w:t>Agenției Uniunii Europene pentru Azil (EUAA)</w:t>
      </w:r>
      <w:r w:rsidRPr="00564DC7">
        <w:rPr>
          <w:rFonts w:asciiTheme="minorHAnsi" w:hAnsiTheme="minorHAnsi" w:cstheme="minorHAnsi"/>
          <w:sz w:val="26"/>
          <w:szCs w:val="26"/>
        </w:rPr>
        <w:t xml:space="preserve"> dedicată activităților rețelei („</w:t>
      </w:r>
      <w:r w:rsidRPr="00564DC7">
        <w:rPr>
          <w:rFonts w:asciiTheme="minorHAnsi" w:hAnsiTheme="minorHAnsi" w:cstheme="minorHAnsi"/>
          <w:i/>
          <w:iCs/>
          <w:sz w:val="26"/>
          <w:szCs w:val="26"/>
        </w:rPr>
        <w:t>Annual Coordination and Planning Meeting of the EUAA Courts and Tribunals Network</w:t>
      </w:r>
      <w:r w:rsidRPr="00564DC7">
        <w:rPr>
          <w:rFonts w:asciiTheme="minorHAnsi" w:hAnsiTheme="minorHAnsi" w:cstheme="minorHAnsi"/>
          <w:sz w:val="26"/>
          <w:szCs w:val="26"/>
        </w:rPr>
        <w:t>”), desfăşurată la Valletta, în perioada 1-2 iunie 2023</w:t>
      </w:r>
      <w:r w:rsidRPr="00261D6B">
        <w:rPr>
          <w:rFonts w:asciiTheme="minorHAnsi" w:hAnsiTheme="minorHAnsi" w:cstheme="minorHAnsi"/>
          <w:sz w:val="26"/>
          <w:szCs w:val="26"/>
          <w:lang w:val="en-US"/>
        </w:rPr>
        <w:t>;</w:t>
      </w:r>
    </w:p>
    <w:bookmarkEnd w:id="57"/>
    <w:p w14:paraId="147889E9" w14:textId="77777777" w:rsidR="00B1514A" w:rsidRPr="00564DC7" w:rsidRDefault="00B1514A">
      <w:pPr>
        <w:pStyle w:val="ListParagraph"/>
        <w:numPr>
          <w:ilvl w:val="0"/>
          <w:numId w:val="20"/>
        </w:numPr>
        <w:tabs>
          <w:tab w:val="left" w:pos="1134"/>
        </w:tabs>
        <w:ind w:left="0" w:firstLine="709"/>
        <w:jc w:val="both"/>
        <w:rPr>
          <w:rFonts w:asciiTheme="minorHAnsi" w:hAnsiTheme="minorHAnsi" w:cstheme="minorHAnsi"/>
          <w:sz w:val="26"/>
          <w:szCs w:val="26"/>
        </w:rPr>
      </w:pPr>
      <w:r w:rsidRPr="00564DC7">
        <w:rPr>
          <w:rFonts w:asciiTheme="minorHAnsi" w:hAnsiTheme="minorHAnsi" w:cstheme="minorHAnsi"/>
          <w:sz w:val="26"/>
          <w:szCs w:val="26"/>
        </w:rPr>
        <w:t>conferinţa „</w:t>
      </w:r>
      <w:r w:rsidRPr="00564DC7">
        <w:rPr>
          <w:rFonts w:asciiTheme="minorHAnsi" w:hAnsiTheme="minorHAnsi" w:cstheme="minorHAnsi"/>
          <w:i/>
          <w:iCs/>
          <w:sz w:val="26"/>
          <w:szCs w:val="26"/>
        </w:rPr>
        <w:t>International Moot Court Event on Anti-Money Laundering</w:t>
      </w:r>
      <w:r w:rsidRPr="00564DC7">
        <w:rPr>
          <w:rFonts w:asciiTheme="minorHAnsi" w:hAnsiTheme="minorHAnsi" w:cstheme="minorHAnsi"/>
          <w:sz w:val="26"/>
          <w:szCs w:val="26"/>
        </w:rPr>
        <w:t xml:space="preserve">”, organizată de </w:t>
      </w:r>
      <w:r w:rsidRPr="00564DC7">
        <w:rPr>
          <w:rFonts w:asciiTheme="minorHAnsi" w:hAnsiTheme="minorHAnsi" w:cstheme="minorHAnsi"/>
          <w:kern w:val="36"/>
          <w:sz w:val="26"/>
          <w:szCs w:val="26"/>
        </w:rPr>
        <w:t>Institutul Internațional de Justiție Penală și Drepturile Omului din Siracuza</w:t>
      </w:r>
      <w:r w:rsidRPr="00564DC7">
        <w:rPr>
          <w:rFonts w:asciiTheme="minorHAnsi" w:hAnsiTheme="minorHAnsi" w:cstheme="minorHAnsi"/>
          <w:sz w:val="26"/>
          <w:szCs w:val="26"/>
        </w:rPr>
        <w:t>, desfăşurată la Siracuza, în perioada 17-19 octombrie 2023.</w:t>
      </w:r>
    </w:p>
    <w:p w14:paraId="6F4F6BF6" w14:textId="77777777" w:rsidR="00B1514A" w:rsidRDefault="00B1514A"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În total, în perioada de referință au fost înregistrate 540 de participări ale auditorilor de justiție, magistraților și formatorilor români la activități de formare cu componentă internațională, iar 163 de magistrați, formatori și auditori de justiție din alte state au participat la activități de formare organizate de INM.</w:t>
      </w:r>
    </w:p>
    <w:p w14:paraId="452F08FB" w14:textId="77777777" w:rsidR="004C3815" w:rsidRPr="00564DC7" w:rsidRDefault="004C3815" w:rsidP="00690186">
      <w:pPr>
        <w:ind w:firstLine="708"/>
        <w:jc w:val="both"/>
        <w:rPr>
          <w:rFonts w:asciiTheme="minorHAnsi" w:hAnsiTheme="minorHAnsi" w:cstheme="minorHAnsi"/>
          <w:sz w:val="26"/>
          <w:szCs w:val="26"/>
        </w:rPr>
      </w:pPr>
    </w:p>
    <w:p w14:paraId="3AED1250" w14:textId="77777777" w:rsidR="00B1514A" w:rsidRPr="00564DC7" w:rsidRDefault="00B1514A" w:rsidP="00690186">
      <w:pPr>
        <w:ind w:firstLine="720"/>
        <w:jc w:val="both"/>
        <w:rPr>
          <w:rFonts w:asciiTheme="minorHAnsi" w:hAnsiTheme="minorHAnsi" w:cstheme="minorHAnsi"/>
          <w:b/>
          <w:sz w:val="26"/>
          <w:szCs w:val="26"/>
        </w:rPr>
      </w:pPr>
      <w:r w:rsidRPr="00564DC7">
        <w:rPr>
          <w:rFonts w:asciiTheme="minorHAnsi" w:hAnsiTheme="minorHAnsi" w:cstheme="minorHAnsi"/>
          <w:b/>
          <w:sz w:val="26"/>
          <w:szCs w:val="26"/>
        </w:rPr>
        <w:t xml:space="preserve">Școala Națională de Grefieri </w:t>
      </w:r>
    </w:p>
    <w:p w14:paraId="33E45B22" w14:textId="77777777" w:rsidR="00B1514A" w:rsidRPr="00564DC7" w:rsidRDefault="00B1514A" w:rsidP="00690186">
      <w:pPr>
        <w:ind w:firstLine="708"/>
        <w:jc w:val="both"/>
        <w:rPr>
          <w:rFonts w:asciiTheme="minorHAnsi" w:hAnsiTheme="minorHAnsi" w:cstheme="minorHAnsi"/>
          <w:b/>
          <w:sz w:val="26"/>
          <w:szCs w:val="26"/>
        </w:rPr>
      </w:pPr>
      <w:r w:rsidRPr="00564DC7">
        <w:rPr>
          <w:rFonts w:asciiTheme="minorHAnsi" w:hAnsiTheme="minorHAnsi" w:cstheme="minorHAnsi"/>
          <w:b/>
          <w:sz w:val="26"/>
          <w:szCs w:val="26"/>
        </w:rPr>
        <w:t>Programul Operațional Capacitate Administrativă 2014-2020</w:t>
      </w:r>
    </w:p>
    <w:p w14:paraId="5A88F98C" w14:textId="77777777" w:rsidR="00B1514A" w:rsidRPr="00564DC7" w:rsidRDefault="00B1514A" w:rsidP="00690186">
      <w:pPr>
        <w:overflowPunct w:val="0"/>
        <w:ind w:firstLine="708"/>
        <w:jc w:val="both"/>
        <w:textAlignment w:val="baseline"/>
        <w:rPr>
          <w:rFonts w:asciiTheme="minorHAnsi" w:hAnsiTheme="minorHAnsi" w:cstheme="minorHAnsi"/>
          <w:b/>
          <w:sz w:val="26"/>
          <w:szCs w:val="26"/>
        </w:rPr>
      </w:pPr>
      <w:r w:rsidRPr="00564DC7">
        <w:rPr>
          <w:rFonts w:asciiTheme="minorHAnsi" w:hAnsiTheme="minorHAnsi" w:cstheme="minorHAnsi"/>
          <w:sz w:val="26"/>
          <w:szCs w:val="26"/>
        </w:rPr>
        <w:t xml:space="preserve">Școala Națională de Grefieri, în calitate de beneficiar unic, a semnat la data 23 decembrie 2021 Contractul de finanțare nr. 622 cu Ministerul Dezvoltării, Lucrărilor Publice și Administrației </w:t>
      </w:r>
      <w:r w:rsidRPr="00564DC7">
        <w:rPr>
          <w:rFonts w:asciiTheme="minorHAnsi" w:hAnsiTheme="minorHAnsi" w:cstheme="minorHAnsi"/>
          <w:sz w:val="26"/>
          <w:szCs w:val="26"/>
        </w:rPr>
        <w:lastRenderedPageBreak/>
        <w:t>privind acordarea unei finanțări nerambursabile de către Autoritatea de Management pentru Programul Operațional Capacitate Administrativă (AMPOCA), pentru implementarea proiectului cu titlul „</w:t>
      </w:r>
      <w:r w:rsidRPr="00564DC7">
        <w:rPr>
          <w:rFonts w:asciiTheme="minorHAnsi" w:hAnsiTheme="minorHAnsi" w:cstheme="minorHAnsi"/>
          <w:iCs/>
          <w:sz w:val="26"/>
          <w:szCs w:val="26"/>
          <w:lang w:bidi="ro-RO"/>
        </w:rPr>
        <w:t>Formare eficientă pentru practici etice, administrative și judiciare unitare (FEPEAJU)”,</w:t>
      </w:r>
      <w:r w:rsidRPr="00564DC7">
        <w:rPr>
          <w:rFonts w:asciiTheme="minorHAnsi" w:hAnsiTheme="minorHAnsi" w:cstheme="minorHAnsi"/>
          <w:sz w:val="26"/>
          <w:szCs w:val="26"/>
        </w:rPr>
        <w:t xml:space="preserve"> cod SIPOCA/Mysmis 1156/152441.</w:t>
      </w:r>
    </w:p>
    <w:p w14:paraId="53DA53AA" w14:textId="7777777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Prin intermediul acestui proiect, SNG contribuie la atingerea obiectivului specific „Asigurarea unei transparențe și integrități sporite la nivelul sistemului judiciar în vederea îmbunătățiri accesului și a calității serviciilor furnizate la nivelul acestuia” prin organizarea în anii 2022-2023 de activități de formare profesională destinate personalului auxiliar de specialitate din sistemul judiciar din România, de natură să contribuie, în final, la creșterea calități și performanței sistemului judiciar.</w:t>
      </w:r>
    </w:p>
    <w:p w14:paraId="79C8787F" w14:textId="7777777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Durata proiectului este de 24 luni și își propune să contribuie la atingerea rezultatului de program R1: Cunoștințe profesionale și abilități îmbunătățite la nivelul sistemului judiciar, în special în ceea ce privește noile coduri juridice.</w:t>
      </w:r>
    </w:p>
    <w:p w14:paraId="1AC394E1" w14:textId="7777777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Pentru atingerea acestui rezultat așteptat al programului POCA, sunt avute în vedere următoarele rezultate ale proiectului:</w:t>
      </w:r>
    </w:p>
    <w:p w14:paraId="5C332F36" w14:textId="7777777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Rezultatul 1 - Cunoștințe și abilități profesionale îmbunătățite la nivelul personalului auxiliar de specialitate din cadrul instanțelor și parchetelor, în domeniul unificării practicilor administrative și judiciare, prin organizarea a 154 acțiuni de formare și elaborarea a 60 de materiale didactice audio-video, în domenii precum: codurile de procedură civilă și penală și legislația conexă; legile de executare a dispozițiilor organelor judiciare; insolvența și alte domenii reglementate de legislația specială; cooperarea judiciară internațională; managementul judiciar; sistemele informatice utilizate în cadrul sistemului judiciar; domenii conexe ce asigură buna administrare a justiției.</w:t>
      </w:r>
    </w:p>
    <w:p w14:paraId="32A722A7" w14:textId="7777777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 xml:space="preserve">Rezultatul 2 - Cunoștințe și abilități profesionale îmbunătățite la nivelul personalului auxiliar de specialitate din cadrul instanțelor și parchetelor, în domeniul eticii profesionale și abilităților non-juridice, prin organizarea a 30 de acțiuni de formare. </w:t>
      </w:r>
    </w:p>
    <w:p w14:paraId="50E93A0F" w14:textId="7777777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 xml:space="preserve">Din totalul acțiunilor de formare programate în cadrul proiectului pentru anul 2023, au fost derulate 68 de acțiuni de formare, în format face to face (de tip centralizat și descentralizat), precum și în format online (de tip webinar și eLearning), în total înregistrându-se 1.675 de participări din rândul grefierilor din cadrul instanțelor și parchetelor. </w:t>
      </w:r>
    </w:p>
    <w:p w14:paraId="1E651FAD" w14:textId="2BC90DF7" w:rsidR="00B1514A" w:rsidRPr="00564DC7" w:rsidRDefault="00B1514A" w:rsidP="00690186">
      <w:pPr>
        <w:overflowPunct w:val="0"/>
        <w:ind w:firstLine="708"/>
        <w:jc w:val="both"/>
        <w:textAlignment w:val="baseline"/>
        <w:rPr>
          <w:rFonts w:asciiTheme="minorHAnsi" w:hAnsiTheme="minorHAnsi" w:cstheme="minorHAnsi"/>
          <w:sz w:val="26"/>
          <w:szCs w:val="26"/>
        </w:rPr>
      </w:pPr>
      <w:r w:rsidRPr="00564DC7">
        <w:rPr>
          <w:rFonts w:asciiTheme="minorHAnsi" w:hAnsiTheme="minorHAnsi" w:cstheme="minorHAnsi"/>
          <w:sz w:val="26"/>
          <w:szCs w:val="26"/>
        </w:rPr>
        <w:t>Pe lângă organizarea acțiunilor de formare, au fost editate și încărcate în platforma eLearning 7 materiale didactice de tip prezentare video și 35 de tutoriale, în domenii precum: codurile de procedură civilă și penală și legislați</w:t>
      </w:r>
      <w:r w:rsidR="001C45AF">
        <w:rPr>
          <w:rFonts w:asciiTheme="minorHAnsi" w:hAnsiTheme="minorHAnsi" w:cstheme="minorHAnsi"/>
          <w:sz w:val="26"/>
          <w:szCs w:val="26"/>
        </w:rPr>
        <w:t>a</w:t>
      </w:r>
      <w:r w:rsidRPr="00564DC7">
        <w:rPr>
          <w:rFonts w:asciiTheme="minorHAnsi" w:hAnsiTheme="minorHAnsi" w:cstheme="minorHAnsi"/>
          <w:sz w:val="26"/>
          <w:szCs w:val="26"/>
        </w:rPr>
        <w:t xml:space="preserve"> conexă; legile de executare a dispozițiilor organelor judiciare; cooperare judiciară internațională; sisteme informatice utilizate în cadrul sistemului judiciar.</w:t>
      </w:r>
    </w:p>
    <w:p w14:paraId="287CFB9A" w14:textId="77777777" w:rsidR="00B1514A" w:rsidRPr="00564DC7" w:rsidRDefault="00B1514A" w:rsidP="00690186">
      <w:pPr>
        <w:pStyle w:val="ListParagraph"/>
        <w:ind w:left="39"/>
        <w:jc w:val="both"/>
        <w:rPr>
          <w:rFonts w:asciiTheme="minorHAnsi" w:hAnsiTheme="minorHAnsi" w:cstheme="minorHAnsi"/>
          <w:sz w:val="26"/>
          <w:szCs w:val="26"/>
        </w:rPr>
      </w:pPr>
      <w:r w:rsidRPr="00564DC7">
        <w:rPr>
          <w:rFonts w:asciiTheme="minorHAnsi" w:hAnsiTheme="minorHAnsi" w:cstheme="minorHAnsi"/>
          <w:sz w:val="26"/>
          <w:szCs w:val="26"/>
        </w:rPr>
        <w:tab/>
        <w:t xml:space="preserve">Totodată, pe platforma de formare profesională se derulează în prezent 2 cursuri de tip eLearning, respectiv „Aspecte jurisprudențiale și soluții de unificare a practicilor administrative și de evidență electronică în faza urmăririi penale” și „Reflectarea activității grefierului în aplicația ECRIS – în materie civilă”. </w:t>
      </w:r>
    </w:p>
    <w:p w14:paraId="1EC2549E" w14:textId="77777777" w:rsidR="00B1514A" w:rsidRPr="00564DC7" w:rsidRDefault="00B1514A" w:rsidP="00690186">
      <w:pPr>
        <w:pStyle w:val="ListParagraph"/>
        <w:jc w:val="both"/>
        <w:rPr>
          <w:rFonts w:asciiTheme="minorHAnsi" w:eastAsia="Calibri" w:hAnsiTheme="minorHAnsi" w:cstheme="minorHAnsi"/>
          <w:iCs/>
          <w:sz w:val="26"/>
          <w:szCs w:val="26"/>
        </w:rPr>
      </w:pPr>
      <w:r w:rsidRPr="00564DC7">
        <w:rPr>
          <w:rFonts w:asciiTheme="minorHAnsi" w:eastAsia="Calibri" w:hAnsiTheme="minorHAnsi" w:cstheme="minorHAnsi"/>
          <w:b/>
          <w:iCs/>
          <w:sz w:val="26"/>
          <w:szCs w:val="26"/>
        </w:rPr>
        <w:t>Proiectul</w:t>
      </w:r>
      <w:r w:rsidRPr="00564DC7">
        <w:rPr>
          <w:rFonts w:asciiTheme="minorHAnsi" w:eastAsia="Calibri" w:hAnsiTheme="minorHAnsi" w:cstheme="minorHAnsi"/>
          <w:iCs/>
          <w:sz w:val="26"/>
          <w:szCs w:val="26"/>
        </w:rPr>
        <w:t xml:space="preserve"> </w:t>
      </w:r>
      <w:r w:rsidRPr="00564DC7">
        <w:rPr>
          <w:rFonts w:asciiTheme="minorHAnsi" w:eastAsia="Calibri" w:hAnsiTheme="minorHAnsi" w:cstheme="minorHAnsi"/>
          <w:b/>
          <w:iCs/>
          <w:sz w:val="26"/>
          <w:szCs w:val="26"/>
        </w:rPr>
        <w:t>POCA CSM - TAEJ</w:t>
      </w:r>
    </w:p>
    <w:p w14:paraId="203505EB" w14:textId="77777777" w:rsidR="00B1514A" w:rsidRPr="00564DC7" w:rsidRDefault="00B1514A" w:rsidP="00690186">
      <w:pPr>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ab/>
        <w:t xml:space="preserve">Şcoala Naţională de Grefieri a avut calitatea de partener în cadrul Proiectului ”TAEJ – Transparenţă, accesibilitate şi educație juridică prin îmbunătățirea comunicării publice la nivelul sistemului judiciar”, cod MySMIS2014 + 118765/SIPOCA 454, alături de Inspecţia Judiciară, Parchetul de pe lângă Înalta Curte de Casaţie şi Justiţie, Institutul Naţional al Magistraturii şi Ministerul Justiţiei, lider de proiect fiind Consiliul Superior al Magistraturii. </w:t>
      </w:r>
    </w:p>
    <w:p w14:paraId="2D30DE04"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Proiectul, a cărui implementare a demarat la data de 5 septembrie 2018, a fost cofinanțat din Fondul Social European, prin Programul Operațional Capacitate Administrativă 2014-2020, Componenta 1 IP9/2017 – Calitate, transparență, etică și integritate la nivelul sistemului judiciar, Axa prioritară 2 – Administrație publică și sistem judiciar accesibile și transparente, Obiectivul </w:t>
      </w:r>
      <w:r w:rsidRPr="00564DC7">
        <w:rPr>
          <w:rFonts w:asciiTheme="minorHAnsi" w:eastAsia="Calibri" w:hAnsiTheme="minorHAnsi" w:cstheme="minorHAnsi"/>
          <w:iCs/>
          <w:sz w:val="26"/>
          <w:szCs w:val="26"/>
        </w:rPr>
        <w:lastRenderedPageBreak/>
        <w:t xml:space="preserve">specific 2.3 – Asigurarea unei transparențe și integrități sporite la nivelul sistemului judiciar, în vederea îmbunătățirii accesului și a calității serviciilor furnizate la nivelul acestuia. </w:t>
      </w:r>
    </w:p>
    <w:p w14:paraId="46C20A88"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Obiectivul general urmărit prin proiect a constat în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 </w:t>
      </w:r>
    </w:p>
    <w:p w14:paraId="1D1ADD66"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Școala Națională de Grefieri a contribuit și în anul 2023 la implementarea activității 8.1 din cadrul proiectului “Transparenţă, accesibilitate şi educaţie juridică prin îmbunătăţirea comunicării publice la nivelul sistemului judiciar”, respectiv campania de informare media.</w:t>
      </w:r>
    </w:p>
    <w:p w14:paraId="2AAC4B4D"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La data de 22 mai 2023 a avut loc Conferința de închidere a proiectului TAEJ, eveniment la care au participat reprezentanți ai Consiliului Superior al Magistraturii și instituțiilor partenere, inclusiv directorul Școlii Naționale de Grefieri.</w:t>
      </w:r>
    </w:p>
    <w:p w14:paraId="2ED19A1F" w14:textId="574725B9"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Totodată, în cadrul proiectului „TAEJ – Transparență, accesibilitate și educație juridică prin îmbunătățirea comunicării publice la nivelul sistemului judiciar” s-au desfășurat în perioada 10 aprilie - 12 mai 2023, în format online, pe platforma de formare continuă a Școlii Naționale de Grefieri, două cursuri eLearning cu tema „Instrumente și bune practici de comunicare pentru îmbunătățirea activității de relații publice a grefierilor la instanțe”, respectiv „Instrumente și bune practici de comunicare pentru îmbunătățirea activității de relații publice a grefierilor la parchete”. Cursurile eLearning, incluse în Programul multianual de formare profesională continuă pentru anii 2022-2023, s-au adresat grefierilor precum și grefierilor/specialiștilor de la biroul de relații cu publicul în scopul cunoașterii/diseminării Strategiei de comunicare unitară la nivelul sistemului judiciar și îmbunătățirii abilităților de comunicare persuasivă și eficientă în activitatea de relații cu publicul, în relația cu justițiabilii și colegii din cadrul instanțelor de judecată, respectiv al parchetelor. Elementele teoretice au fost susținute și de recomandări și soluții, tactici pentru compartimentele BIRP, arhivă și registratură, comunicarea în interiorul sistemului judiciar, comunicarea cu alte profesii juridice, comunicarea cu mas</w:t>
      </w:r>
      <w:r w:rsidR="001C45AF">
        <w:rPr>
          <w:rFonts w:asciiTheme="minorHAnsi" w:eastAsia="Calibri" w:hAnsiTheme="minorHAnsi" w:cstheme="minorHAnsi"/>
          <w:iCs/>
          <w:sz w:val="26"/>
          <w:szCs w:val="26"/>
        </w:rPr>
        <w:t>s</w:t>
      </w:r>
      <w:r w:rsidRPr="00564DC7">
        <w:rPr>
          <w:rFonts w:asciiTheme="minorHAnsi" w:eastAsia="Calibri" w:hAnsiTheme="minorHAnsi" w:cstheme="minorHAnsi"/>
          <w:iCs/>
          <w:sz w:val="26"/>
          <w:szCs w:val="26"/>
        </w:rPr>
        <w:t>-media, abordarea situațiilor de criză, comunicarea cu justițiabilii, comunicarea cu societatea civilă, comunicarea cu publicul larg și comunicarea prin can</w:t>
      </w:r>
      <w:r w:rsidR="001C45AF">
        <w:rPr>
          <w:rFonts w:asciiTheme="minorHAnsi" w:eastAsia="Calibri" w:hAnsiTheme="minorHAnsi" w:cstheme="minorHAnsi"/>
          <w:iCs/>
          <w:sz w:val="26"/>
          <w:szCs w:val="26"/>
        </w:rPr>
        <w:t>a</w:t>
      </w:r>
      <w:r w:rsidRPr="00564DC7">
        <w:rPr>
          <w:rFonts w:asciiTheme="minorHAnsi" w:eastAsia="Calibri" w:hAnsiTheme="minorHAnsi" w:cstheme="minorHAnsi"/>
          <w:iCs/>
          <w:sz w:val="26"/>
          <w:szCs w:val="26"/>
        </w:rPr>
        <w:t>lele proprii instituțiilor: website, materiale de prezentare. Explicațiile din cadrul cursului au fost dublate de exemplificări cu imagini, respectiv materiale audio-video, studii de caz, exerciții aplicate, precum și sesiuni de întrebări și răspunsuri.</w:t>
      </w:r>
    </w:p>
    <w:p w14:paraId="3A12663D"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De asemenea, în perioada 8 mai - 30 iunie 2023 s-a desfășurat cursul eLearning în domeniul comunicării cu tema „Formare formatori – Instrumente și bune practici de comunicare”. Acest modul de formare destinat formatorilor Școlii Naționale de Grefieri, organizat în format online pe platforma de formare continuă, a vizat prezentarea conceptului privind managementul unui proces de formare, deprinderea și îmbunătățirea abilităților de comunicare, de transmitere eficientă a informațiilor în cadrul sesiunilor de formare, precum și identificarea și utilizarea instrumentelor potrivite pentru a stimula interesul participanților și a facilita procesul de învățare. </w:t>
      </w:r>
    </w:p>
    <w:p w14:paraId="7A539223" w14:textId="77777777" w:rsidR="00B1514A" w:rsidRPr="00564DC7" w:rsidRDefault="00B1514A" w:rsidP="00690186">
      <w:pPr>
        <w:pStyle w:val="ListParagraph"/>
        <w:kinsoku w:val="0"/>
        <w:overflowPunct w:val="0"/>
        <w:ind w:left="644" w:firstLine="76"/>
        <w:jc w:val="both"/>
        <w:textAlignment w:val="baseline"/>
        <w:rPr>
          <w:rFonts w:asciiTheme="minorHAnsi" w:hAnsiTheme="minorHAnsi" w:cstheme="minorHAnsi"/>
          <w:sz w:val="26"/>
          <w:szCs w:val="26"/>
        </w:rPr>
      </w:pPr>
      <w:r w:rsidRPr="00564DC7">
        <w:rPr>
          <w:rFonts w:asciiTheme="minorHAnsi" w:hAnsiTheme="minorHAnsi" w:cstheme="minorHAnsi"/>
          <w:b/>
          <w:bCs/>
          <w:sz w:val="26"/>
          <w:szCs w:val="26"/>
        </w:rPr>
        <w:t>EJTN</w:t>
      </w:r>
    </w:p>
    <w:p w14:paraId="731A53B4" w14:textId="68FEC440"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Rețeaua Europeană de Formare Judiciară (EJTN) este o organizați</w:t>
      </w:r>
      <w:r w:rsidR="002A495B">
        <w:rPr>
          <w:rFonts w:asciiTheme="minorHAnsi" w:eastAsia="Calibri" w:hAnsiTheme="minorHAnsi" w:cstheme="minorHAnsi"/>
          <w:iCs/>
          <w:sz w:val="26"/>
          <w:szCs w:val="26"/>
        </w:rPr>
        <w:t>e</w:t>
      </w:r>
      <w:r w:rsidRPr="00564DC7">
        <w:rPr>
          <w:rFonts w:asciiTheme="minorHAnsi" w:eastAsia="Calibri" w:hAnsiTheme="minorHAnsi" w:cstheme="minorHAnsi"/>
          <w:iCs/>
          <w:sz w:val="26"/>
          <w:szCs w:val="26"/>
        </w:rPr>
        <w:t xml:space="preserve"> înființată încă din anul 2000 la nivel european, care promovează și asigură formarea judiciară și schimbul de cunoștințe pentru un număr important de judecători, procurori și formatori, în principal în domeniul dreptului Uniunii Europene. </w:t>
      </w:r>
    </w:p>
    <w:p w14:paraId="540A1E7E"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Începând cu anul 2021, prin Strategia 2021-2027 a EJTN s-a prevăzut noua axă de dezvoltare a EJTN în sensul extinderii formării la nivel european a personalului auxiliar din instanțe și parchete. </w:t>
      </w:r>
    </w:p>
    <w:p w14:paraId="2340BC97"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Astfel, posibilitatea acordată instituțiilor naționale care se ocupă cu formarea personalului auxiliar din instanțe și parchete a fost posibilă în urma introducerii unui nou articol în Statutul EJTN, respectiv art. 7 bis. Potrivit noului articol, statutul de membru asociat este disponibil pentru </w:t>
      </w:r>
      <w:r w:rsidRPr="00564DC7">
        <w:rPr>
          <w:rFonts w:asciiTheme="minorHAnsi" w:eastAsia="Calibri" w:hAnsiTheme="minorHAnsi" w:cstheme="minorHAnsi"/>
          <w:iCs/>
          <w:sz w:val="26"/>
          <w:szCs w:val="26"/>
        </w:rPr>
        <w:lastRenderedPageBreak/>
        <w:t>toate instituțiile naționale din Statele Membre ale Uniunii Europene responsabile în special pentru formarea personalului auxiliar din instanțe și parchete și care nu sunt eligibile pentru a dobândi statutul de membru cu drepturi depline conform art. 7 (1) din Statut.</w:t>
      </w:r>
    </w:p>
    <w:p w14:paraId="058FA727"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Cu ocazia Adunării Generale a EJTN (European Judicial Training Network) din 17-18 iunie 2021, SNG a dobândit statutul de membru asociat al acestei rețele. </w:t>
      </w:r>
    </w:p>
    <w:p w14:paraId="730C42C8"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Dobândirea de către Școala Națională de grefieri a statutului de membru asociat al EJTN a permis accesarea programelor internaționale de formare ale rețelei de către personalul auxiliar din instanțe și parchete, ceea ce a reprezentat un pas însemnat înainte în domeniul formării acestor profesioniști ai dreptului din țara noastră, a căror importantă contribuție la înfăptuirea unui act de justiție de calitate este de necontestat.</w:t>
      </w:r>
    </w:p>
    <w:p w14:paraId="386AD4AA"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Participarea grefierilor români la evenimentele de formare judiciară organizate de către EJTN reprezintă un pilon important al formării acestora în mai multe domenii, precum cooperarea internaţională în materie civilă şi penală şi dreptul Uniunii Europene. Totodată, schimbul de informaţii privind atribuţiile de zi cu zi ale grefierilor din spaţiul european, procedurile judiciare existente la nivelul fiecărui stat membru reprezintă o oportunitate pentru grefierii români să se familiarizeze cu diferitele sistemele de drept în scopul îmbunătăţirii propriilor rezultate. </w:t>
      </w:r>
    </w:p>
    <w:p w14:paraId="756D47B6"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Pentru a-şi atinge aceste obiective, Şcoala Naţională de Grefieri a fost reprezentată în cursul anului 2023 la cea de-a 26-a Adunare Generală a Reţelei Europene de Formare Judiciară (EJTN), la Stockholm, în perioada 15-16 iunie 2023, precum şi la „Conferinţa directorilor instituțiilor de formare din EJTN” și la Adunarea Generală Extraordinară a EJTN ce au avut loc la Madrid, în perioada 17-18 octombrie 2023. </w:t>
      </w:r>
    </w:p>
    <w:p w14:paraId="7C64F5AB"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Adunarea Generală a EJTN din iunie 2023 a fost organizată în jurul unor teme importante de discuție care constituie direcții de reflecție pentru EJTN în raport cu provocări viitoare imediate, precum: viitorul EJTN în era digitalizării, impactul activităților EJTN asupra mediului înconjurător și a schimbărilor climatice, necesitatea continuării integrării categoriei personalului auxiliar de specialitate al instanțelor și parchetelor în activitățile rețelei EJTN.</w:t>
      </w:r>
    </w:p>
    <w:p w14:paraId="48319855"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Totodată, în cadrul Adunării Generale de la Stockholm, Şcoala Naţională de Grefieri a obținut includerea ca membru în șase grupuri și subgrupuri de lucru ale EJTN, după cum urmează: Grupul de lucru privind Schimburile între magistrați și grefieri din state ale UE (inclusiv schimburi bilaterale); Grupul de lucru privind Tehnici și Metodologii de Predare; Grupul de lucru Programe; Subgrupul de lucru Justiție Penală; Subgrupul de lucru Justiție Civilă; Subgrupul de lucru Lingvistic.</w:t>
      </w:r>
    </w:p>
    <w:p w14:paraId="31ADCE6B" w14:textId="2909F82B"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În considerarea calității de membru în grupurile de lucru, Şcoala a asigurat participarea, prin reprezentanți, la reuniunile de lucru ce au avut loc în perioada septembrie-octombrie 2023, la Madrid, Napoli și Vilnius. Cu ocazia participării în cadrul grupului lingvistic, SNG a preluat moderarea unui webinar, organizat de EJTN în domeniul terminologiei juridice în sistemele judiciare francofone (sistemul judiciar din Franța, Belgia și Luxembourg), ce a avut loc în data de 5 octombrie 2023, la aceast</w:t>
      </w:r>
      <w:r w:rsidR="001C45AF">
        <w:rPr>
          <w:rFonts w:asciiTheme="minorHAnsi" w:eastAsia="Calibri" w:hAnsiTheme="minorHAnsi" w:cstheme="minorHAnsi"/>
          <w:iCs/>
          <w:sz w:val="26"/>
          <w:szCs w:val="26"/>
        </w:rPr>
        <w:t>ă</w:t>
      </w:r>
      <w:r w:rsidRPr="00564DC7">
        <w:rPr>
          <w:rFonts w:asciiTheme="minorHAnsi" w:eastAsia="Calibri" w:hAnsiTheme="minorHAnsi" w:cstheme="minorHAnsi"/>
          <w:iCs/>
          <w:sz w:val="26"/>
          <w:szCs w:val="26"/>
        </w:rPr>
        <w:t xml:space="preserve"> acțiune fiind înregistrați aproximativ 150 de participanți on-line.</w:t>
      </w:r>
    </w:p>
    <w:p w14:paraId="73D4BB08" w14:textId="7E82506D"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Totodată, în cadrul „Conferinţei directorilor instituțiilor de formare din EJTN” și a Adunării Generale Extraordinare ce au avut loc la Madrid, în perioada 17-18 octombrie 2023, Şcoala Naţională de Grefieri a obținut calitatea de membru și în noul Grup de lucru Digitalizare, a cărei înființare, propusă inițial încă din iunie 2023, a fost adoptată formal în cadrul Adunării Generale extraordinare de la Madrid, din 19 octombrie 2023.  Noul grup de lucru Digitalizare va avea ca misiune și atribuții principale promovarea și susținerea unei pregătiri eficiente a judecătorilor, procurorilor și grefierilor în privința tuturor aspectelor și implicațiilor transformărilor digitale ce vor impacta inevitabil activitatea judiciară. Aceasta include totodată și asigurarea unei formări în privința cunoașterii și stăpânirii diverselor resurse digitale dedicate, aplicabile sistemului judiciar european, precum și în privința dezvoltării de instrumente de formare digitale. </w:t>
      </w:r>
    </w:p>
    <w:p w14:paraId="43180BC8" w14:textId="06CFB24C"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 xml:space="preserve">În cadrul „Programului de schimburi generale pentru grefieri”pentru anul 2023 (ST/GEN-CS/2023), 18 grefieri români au participat în cadrul schimburilor de grup ori individuale în </w:t>
      </w:r>
      <w:r w:rsidRPr="00564DC7">
        <w:rPr>
          <w:rFonts w:asciiTheme="minorHAnsi" w:eastAsia="Calibri" w:hAnsiTheme="minorHAnsi" w:cstheme="minorHAnsi"/>
          <w:iCs/>
          <w:sz w:val="26"/>
          <w:szCs w:val="26"/>
        </w:rPr>
        <w:lastRenderedPageBreak/>
        <w:t>perioada ianuarie-septembrie 2023, urmând ca alţi 7 grefieri români să participe în lunile octombrie-noiembrie 2023 la alte schimburi generale, după caz, la instanţe și parchete din Grecia, Polonia, Olanda, Germania, Franța, Belgia, Portugalia, Lituania, Spania, Italia, Finlanda</w:t>
      </w:r>
      <w:r w:rsidR="001C45AF">
        <w:rPr>
          <w:rFonts w:asciiTheme="minorHAnsi" w:eastAsia="Calibri" w:hAnsiTheme="minorHAnsi" w:cstheme="minorHAnsi"/>
          <w:iCs/>
          <w:sz w:val="26"/>
          <w:szCs w:val="26"/>
        </w:rPr>
        <w:t>.</w:t>
      </w:r>
    </w:p>
    <w:p w14:paraId="0C88C476"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De asemenea, în cursul anului 2023, un număr de 22 de grefieri străini au fost primiţi la instanţele judecătoreşti şi la parchetele din România în cadrul schimburilor generale de grup şi individuale adresate grefierilor.</w:t>
      </w:r>
    </w:p>
    <w:p w14:paraId="75E59D4F" w14:textId="77DA4F02"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În cadrul „Programului de schimburi specializate pentru grefierii formatori” pentru</w:t>
      </w:r>
      <w:r w:rsidR="001C45AF">
        <w:rPr>
          <w:rFonts w:asciiTheme="minorHAnsi" w:eastAsia="Calibri" w:hAnsiTheme="minorHAnsi" w:cstheme="minorHAnsi"/>
          <w:iCs/>
          <w:sz w:val="26"/>
          <w:szCs w:val="26"/>
        </w:rPr>
        <w:t xml:space="preserve"> </w:t>
      </w:r>
      <w:r w:rsidRPr="00564DC7">
        <w:rPr>
          <w:rFonts w:asciiTheme="minorHAnsi" w:eastAsia="Calibri" w:hAnsiTheme="minorHAnsi" w:cstheme="minorHAnsi"/>
          <w:iCs/>
          <w:sz w:val="26"/>
          <w:szCs w:val="26"/>
        </w:rPr>
        <w:t>anul 2023, un numar de 5 grefieri români au participat în cadrul schimburilor de grup ori individuale în perioada ianuarie-septembrie 2023, urmând ca alţi 5 grefieri români să participe în lunile octombrie-noiembrie 2023 la alte schimburi, după caz, la instanţe și parchete din Grecia, Germania, Franța, Belgia, Portugalia, precum și în cadrul ERA. Schimburile vizează familiarizarea formatorilor grefieri cu sistemele judiciare din alte state precum şi schimbul de bune practici în domeniul formării şi al activității grefierilor, ca personal auxiliar din justiție.</w:t>
      </w:r>
    </w:p>
    <w:p w14:paraId="04D0D39E" w14:textId="77777777"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În cadrul vizitelor de studiu organizate de EJTN în cursul anului 2023 la Curtea de Justiţie a Uniunii Europene (CJUE), Curtea Europeană a Drepturilor Omului (CEDO), instituţiile europene (Parlamentul European, Comisia Europeană), la Agenţia Europeană a Drepturilor Omului (FRA), precum și la Conferința de la Haga privind Dreptul Internațional Privat (ECCH) au participat 16 grefieri români. Organizate pentru grupuri de participanți de diferite naționalități, vizitele de studiu oferă beneficiarilor informații despre funcționarea și procedurile instituțiilor gazdă.</w:t>
      </w:r>
    </w:p>
    <w:p w14:paraId="5A5307DF" w14:textId="0D15F78A" w:rsidR="00B1514A" w:rsidRPr="00564DC7" w:rsidRDefault="00B1514A" w:rsidP="00690186">
      <w:pPr>
        <w:ind w:firstLine="720"/>
        <w:jc w:val="both"/>
        <w:rPr>
          <w:rFonts w:asciiTheme="minorHAnsi" w:eastAsia="Calibri" w:hAnsiTheme="minorHAnsi" w:cstheme="minorHAnsi"/>
          <w:iCs/>
          <w:sz w:val="26"/>
          <w:szCs w:val="26"/>
        </w:rPr>
      </w:pPr>
      <w:r w:rsidRPr="00564DC7">
        <w:rPr>
          <w:rFonts w:asciiTheme="minorHAnsi" w:eastAsia="Calibri" w:hAnsiTheme="minorHAnsi" w:cstheme="minorHAnsi"/>
          <w:iCs/>
          <w:sz w:val="26"/>
          <w:szCs w:val="26"/>
        </w:rPr>
        <w:t>În privința seminarelor organizate în cadrul Catalogului EJTN, în cursul anului 2023 Școala Națională de Grefieri a transmis propuneri de participare pentru 61 de grefieri, din care 27 de grefieri au primit invitație de participare în urma selecției finale organizate de EJTN, în raport cu numărul de locuri puse la dipoziție pentru grefier</w:t>
      </w:r>
      <w:r w:rsidR="001C45AF">
        <w:rPr>
          <w:rFonts w:asciiTheme="minorHAnsi" w:eastAsia="Calibri" w:hAnsiTheme="minorHAnsi" w:cstheme="minorHAnsi"/>
          <w:iCs/>
          <w:sz w:val="26"/>
          <w:szCs w:val="26"/>
        </w:rPr>
        <w:t>i</w:t>
      </w:r>
      <w:r w:rsidRPr="00564DC7">
        <w:rPr>
          <w:rFonts w:asciiTheme="minorHAnsi" w:eastAsia="Calibri" w:hAnsiTheme="minorHAnsi" w:cstheme="minorHAnsi"/>
          <w:iCs/>
          <w:sz w:val="26"/>
          <w:szCs w:val="26"/>
        </w:rPr>
        <w:t>i din statele membre ale UE.</w:t>
      </w:r>
    </w:p>
    <w:p w14:paraId="4DF61BC0" w14:textId="77777777" w:rsidR="00B1514A" w:rsidRPr="00564DC7" w:rsidRDefault="00B1514A" w:rsidP="00690186">
      <w:pPr>
        <w:ind w:right="26" w:firstLine="720"/>
        <w:jc w:val="both"/>
        <w:rPr>
          <w:rFonts w:asciiTheme="minorHAnsi" w:hAnsiTheme="minorHAnsi" w:cstheme="minorHAnsi"/>
          <w:b/>
          <w:sz w:val="26"/>
          <w:szCs w:val="26"/>
        </w:rPr>
      </w:pPr>
      <w:r w:rsidRPr="00564DC7">
        <w:rPr>
          <w:rFonts w:asciiTheme="minorHAnsi" w:hAnsiTheme="minorHAnsi" w:cstheme="minorHAnsi"/>
          <w:b/>
          <w:sz w:val="26"/>
          <w:szCs w:val="26"/>
        </w:rPr>
        <w:t>Proiecte coordonate de Academia de Drept European (ERA)</w:t>
      </w:r>
    </w:p>
    <w:p w14:paraId="759362F9" w14:textId="1EC62DB2" w:rsidR="00B1514A" w:rsidRPr="00564DC7" w:rsidRDefault="00B1514A" w:rsidP="00690186">
      <w:pPr>
        <w:pStyle w:val="ListParagraph"/>
        <w:ind w:left="0" w:firstLine="720"/>
        <w:jc w:val="both"/>
        <w:rPr>
          <w:rFonts w:asciiTheme="minorHAnsi" w:hAnsiTheme="minorHAnsi" w:cstheme="minorHAnsi"/>
          <w:iCs/>
          <w:sz w:val="26"/>
          <w:szCs w:val="26"/>
        </w:rPr>
      </w:pPr>
      <w:r w:rsidRPr="00564DC7">
        <w:rPr>
          <w:rFonts w:asciiTheme="minorHAnsi" w:hAnsiTheme="minorHAnsi" w:cstheme="minorHAnsi"/>
          <w:iCs/>
          <w:sz w:val="26"/>
          <w:szCs w:val="26"/>
        </w:rPr>
        <w:t>La data de 22 martie 2022 a fost depusă în cadrul solicitării de propuneri a Comisiei Europene pentru co-finanțare prin Programul ”Justiție” al Uniunii Europene (JUST-2022-JTRA)</w:t>
      </w:r>
      <w:r w:rsidR="001C45AF">
        <w:rPr>
          <w:rFonts w:asciiTheme="minorHAnsi" w:hAnsiTheme="minorHAnsi" w:cstheme="minorHAnsi"/>
          <w:iCs/>
          <w:sz w:val="26"/>
          <w:szCs w:val="26"/>
        </w:rPr>
        <w:t>,</w:t>
      </w:r>
      <w:r w:rsidRPr="00564DC7">
        <w:rPr>
          <w:rFonts w:asciiTheme="minorHAnsi" w:hAnsiTheme="minorHAnsi" w:cstheme="minorHAnsi"/>
          <w:iCs/>
          <w:sz w:val="26"/>
          <w:szCs w:val="26"/>
        </w:rPr>
        <w:t xml:space="preserve"> candidatura consorțiului coordonat de Academia de Drept European (ERA) și Rețeaua Europeană de Formare Judiciară (EJTN) pentru dezvoltarea proiectului „Training court staff and bailiffs in cross-border civil and criminal law procedures” (Pregătirea profesională a grefierilor și a executorilor judecătorești cu privire la procedurile transfrontaliere în dreptul civil și dreptul penal). </w:t>
      </w:r>
    </w:p>
    <w:p w14:paraId="3248DC93" w14:textId="77777777" w:rsidR="00B1514A" w:rsidRPr="00564DC7" w:rsidRDefault="00B1514A" w:rsidP="00690186">
      <w:pPr>
        <w:pStyle w:val="ListParagraph"/>
        <w:ind w:left="0" w:firstLine="720"/>
        <w:jc w:val="both"/>
        <w:rPr>
          <w:rFonts w:asciiTheme="minorHAnsi" w:hAnsiTheme="minorHAnsi" w:cstheme="minorHAnsi"/>
          <w:iCs/>
          <w:sz w:val="26"/>
          <w:szCs w:val="26"/>
        </w:rPr>
      </w:pPr>
      <w:r w:rsidRPr="00564DC7">
        <w:rPr>
          <w:rFonts w:asciiTheme="minorHAnsi" w:hAnsiTheme="minorHAnsi" w:cstheme="minorHAnsi"/>
          <w:iCs/>
          <w:sz w:val="26"/>
          <w:szCs w:val="26"/>
        </w:rPr>
        <w:t>Participarea Școlii Naționale de Grefieri în cadrul proiectului a fost aprobată de către Consiliul de conducere prin Hotărârea nr. 8/17 februarie 2022 și de către Plenul Consiliului Superior al Magistraturii prin Hotărârea nr. 43/17 martie 2022.</w:t>
      </w:r>
    </w:p>
    <w:p w14:paraId="3042BF75" w14:textId="42B37F47" w:rsidR="00B1514A" w:rsidRPr="00564DC7" w:rsidRDefault="00B1514A" w:rsidP="00690186">
      <w:pPr>
        <w:ind w:right="26" w:firstLine="720"/>
        <w:jc w:val="both"/>
        <w:rPr>
          <w:rFonts w:asciiTheme="minorHAnsi" w:hAnsiTheme="minorHAnsi" w:cstheme="minorHAnsi"/>
          <w:iCs/>
          <w:sz w:val="26"/>
          <w:szCs w:val="26"/>
        </w:rPr>
      </w:pPr>
      <w:r w:rsidRPr="00564DC7">
        <w:rPr>
          <w:rFonts w:asciiTheme="minorHAnsi" w:hAnsiTheme="minorHAnsi" w:cstheme="minorHAnsi"/>
          <w:iCs/>
          <w:sz w:val="26"/>
          <w:szCs w:val="26"/>
        </w:rPr>
        <w:t>Proiectul urmărește crearea unui</w:t>
      </w:r>
      <w:r w:rsidR="00C83ACC">
        <w:rPr>
          <w:rFonts w:asciiTheme="minorHAnsi" w:hAnsiTheme="minorHAnsi" w:cstheme="minorHAnsi"/>
          <w:iCs/>
          <w:sz w:val="26"/>
          <w:szCs w:val="26"/>
        </w:rPr>
        <w:t xml:space="preserve"> ”</w:t>
      </w:r>
      <w:r w:rsidRPr="00564DC7">
        <w:rPr>
          <w:rFonts w:asciiTheme="minorHAnsi" w:hAnsiTheme="minorHAnsi" w:cstheme="minorHAnsi"/>
          <w:iCs/>
          <w:sz w:val="26"/>
          <w:szCs w:val="26"/>
        </w:rPr>
        <w:t>pachet de instruire</w:t>
      </w:r>
      <w:r w:rsidR="00C83ACC">
        <w:rPr>
          <w:rFonts w:asciiTheme="minorHAnsi" w:hAnsiTheme="minorHAnsi" w:cstheme="minorHAnsi"/>
          <w:iCs/>
          <w:sz w:val="26"/>
          <w:szCs w:val="26"/>
        </w:rPr>
        <w:t>”</w:t>
      </w:r>
      <w:r w:rsidRPr="00564DC7">
        <w:rPr>
          <w:rFonts w:asciiTheme="minorHAnsi" w:hAnsiTheme="minorHAnsi" w:cstheme="minorHAnsi"/>
          <w:iCs/>
          <w:sz w:val="26"/>
          <w:szCs w:val="26"/>
        </w:rPr>
        <w:t xml:space="preserve"> standardizat şi actualizat, precum și organizarea unei serii de seminare juridice și seminare de formare lingvistică pentru grefieri, în chestiuni de Drept civil și Drept penal al Uniunii Europene relevante pentru activitatea lor profesională. De asemenea, va oferi o platformă pentru schimbul de bune practici, informații și cunoștințe și pentru crearea de legături între personalul instanțelor din diferite </w:t>
      </w:r>
      <w:r w:rsidR="00C83ACC">
        <w:rPr>
          <w:rFonts w:asciiTheme="minorHAnsi" w:hAnsiTheme="minorHAnsi" w:cstheme="minorHAnsi"/>
          <w:iCs/>
          <w:sz w:val="26"/>
          <w:szCs w:val="26"/>
        </w:rPr>
        <w:t>s</w:t>
      </w:r>
      <w:r w:rsidRPr="00564DC7">
        <w:rPr>
          <w:rFonts w:asciiTheme="minorHAnsi" w:hAnsiTheme="minorHAnsi" w:cstheme="minorHAnsi"/>
          <w:iCs/>
          <w:sz w:val="26"/>
          <w:szCs w:val="26"/>
        </w:rPr>
        <w:t xml:space="preserve">tate </w:t>
      </w:r>
      <w:r w:rsidR="00C83ACC">
        <w:rPr>
          <w:rFonts w:asciiTheme="minorHAnsi" w:hAnsiTheme="minorHAnsi" w:cstheme="minorHAnsi"/>
          <w:iCs/>
          <w:sz w:val="26"/>
          <w:szCs w:val="26"/>
        </w:rPr>
        <w:t>m</w:t>
      </w:r>
      <w:r w:rsidRPr="00564DC7">
        <w:rPr>
          <w:rFonts w:asciiTheme="minorHAnsi" w:hAnsiTheme="minorHAnsi" w:cstheme="minorHAnsi"/>
          <w:iCs/>
          <w:sz w:val="26"/>
          <w:szCs w:val="26"/>
        </w:rPr>
        <w:t>embre ale UE.</w:t>
      </w:r>
    </w:p>
    <w:p w14:paraId="0BB7ACFF" w14:textId="77777777" w:rsidR="00B1514A" w:rsidRPr="00564DC7" w:rsidRDefault="00B1514A" w:rsidP="00690186">
      <w:pPr>
        <w:ind w:right="26" w:firstLine="720"/>
        <w:jc w:val="both"/>
        <w:rPr>
          <w:rFonts w:asciiTheme="minorHAnsi" w:hAnsiTheme="minorHAnsi" w:cstheme="minorHAnsi"/>
          <w:iCs/>
          <w:sz w:val="26"/>
          <w:szCs w:val="26"/>
        </w:rPr>
      </w:pPr>
      <w:r w:rsidRPr="00564DC7">
        <w:rPr>
          <w:rFonts w:asciiTheme="minorHAnsi" w:hAnsiTheme="minorHAnsi" w:cstheme="minorHAnsi"/>
          <w:iCs/>
          <w:sz w:val="26"/>
          <w:szCs w:val="26"/>
        </w:rPr>
        <w:t>Un nou element al acestui proiect este crearea unui instrument electronic autonom pentru limba engleză juridică în materie penală. Pe baza manualului dezvoltat, care a fost utilizat cu succes în timpul seriei de seminare lingvistice derulate în proiectele anterioare, această aplicaţie va oferi o posibilitate de învățare online interactivă. Scopul principal al aplicaţiei va fi de a ajuta utilizatorii care doresc să-şi îmbunătățească nivelul de limba engleză în acest domeniu de drept.</w:t>
      </w:r>
    </w:p>
    <w:p w14:paraId="20745CAC" w14:textId="77777777" w:rsidR="00B1514A" w:rsidRPr="00564DC7" w:rsidRDefault="00B1514A" w:rsidP="00690186">
      <w:pPr>
        <w:ind w:right="26" w:firstLine="720"/>
        <w:jc w:val="both"/>
        <w:rPr>
          <w:rFonts w:asciiTheme="minorHAnsi" w:hAnsiTheme="minorHAnsi" w:cstheme="minorHAnsi"/>
          <w:iCs/>
          <w:sz w:val="26"/>
          <w:szCs w:val="26"/>
        </w:rPr>
      </w:pPr>
      <w:r w:rsidRPr="00564DC7">
        <w:rPr>
          <w:rFonts w:asciiTheme="minorHAnsi" w:hAnsiTheme="minorHAnsi" w:cstheme="minorHAnsi"/>
          <w:iCs/>
          <w:sz w:val="26"/>
          <w:szCs w:val="26"/>
        </w:rPr>
        <w:t xml:space="preserve">Ca rezultat, proiectul va contribui la îmbunătățirea cunoștințelor și abilităților personalului instanțelor şi parchetelor prin crearea unor materiale personalizate și prin asigurarea unei instruiri practice. Acesta va crește gradul de conștientizare și va spori încrederea profesioniştilor din UE în utilizarea anumitor instrumente UE în materie civilă și penală, contribuind și la </w:t>
      </w:r>
      <w:r w:rsidRPr="00564DC7">
        <w:rPr>
          <w:rFonts w:asciiTheme="minorHAnsi" w:hAnsiTheme="minorHAnsi" w:cstheme="minorHAnsi"/>
          <w:iCs/>
          <w:sz w:val="26"/>
          <w:szCs w:val="26"/>
        </w:rPr>
        <w:lastRenderedPageBreak/>
        <w:t xml:space="preserve">îmbunătățirea abilităților de comunicare în limba engleză. La acțiunile de formare din cadrul proiectului vor participa și un număr de 37 grefieri români. </w:t>
      </w:r>
    </w:p>
    <w:p w14:paraId="2B140881" w14:textId="77777777" w:rsidR="00B1514A" w:rsidRPr="00564DC7" w:rsidRDefault="00B1514A" w:rsidP="00690186">
      <w:pPr>
        <w:ind w:right="26" w:firstLine="720"/>
        <w:jc w:val="both"/>
        <w:rPr>
          <w:rFonts w:asciiTheme="minorHAnsi" w:hAnsiTheme="minorHAnsi" w:cstheme="minorHAnsi"/>
          <w:iCs/>
          <w:sz w:val="26"/>
          <w:szCs w:val="26"/>
        </w:rPr>
      </w:pPr>
      <w:r w:rsidRPr="00564DC7">
        <w:rPr>
          <w:rFonts w:asciiTheme="minorHAnsi" w:hAnsiTheme="minorHAnsi" w:cstheme="minorHAnsi"/>
          <w:iCs/>
          <w:sz w:val="26"/>
          <w:szCs w:val="26"/>
        </w:rPr>
        <w:t xml:space="preserve">În cursul anului 2023, Școala Națională de Grefieri a fost implicată în organizarea seminarului din perioada 04-05 mai de la București (Drept penal, seminar juridic introductiv), pentru care a asigurat și selecția a 9 grefieri români. </w:t>
      </w:r>
    </w:p>
    <w:p w14:paraId="3A97046C" w14:textId="77777777" w:rsidR="00B1514A" w:rsidRPr="00564DC7" w:rsidRDefault="00B1514A" w:rsidP="00690186">
      <w:pPr>
        <w:ind w:right="26" w:firstLine="720"/>
        <w:jc w:val="both"/>
        <w:rPr>
          <w:rFonts w:asciiTheme="minorHAnsi" w:hAnsiTheme="minorHAnsi" w:cstheme="minorHAnsi"/>
          <w:iCs/>
          <w:sz w:val="26"/>
          <w:szCs w:val="26"/>
        </w:rPr>
      </w:pPr>
      <w:r w:rsidRPr="00564DC7">
        <w:rPr>
          <w:rFonts w:asciiTheme="minorHAnsi" w:hAnsiTheme="minorHAnsi" w:cstheme="minorHAnsi"/>
          <w:iCs/>
          <w:sz w:val="26"/>
          <w:szCs w:val="26"/>
        </w:rPr>
        <w:t xml:space="preserve">Totodată, SNG a realizat selecția a 13 grefieri români care au participat sau vor participa în cursul acestui an la 5 acțiuni de formare organizate în cadrul proiectului, atât în format face-to-face, cât și cu participare online. Seminarele vizează atât materia cooperarării judiciare internaționale în materie civilă și penală (unele dintre acestea la nivel introductiv, iar altele la nivel avansat), cât și domeniul lingvistic în materie civilă și penală. </w:t>
      </w:r>
    </w:p>
    <w:p w14:paraId="3B6756E1" w14:textId="77777777" w:rsidR="00B1514A" w:rsidRPr="00564DC7" w:rsidRDefault="00B1514A" w:rsidP="00C36995">
      <w:pPr>
        <w:pStyle w:val="ListParagraph"/>
        <w:keepNext/>
        <w:ind w:left="644"/>
        <w:rPr>
          <w:rFonts w:asciiTheme="minorHAnsi" w:hAnsiTheme="minorHAnsi" w:cstheme="minorHAnsi"/>
          <w:b/>
          <w:sz w:val="26"/>
          <w:szCs w:val="26"/>
        </w:rPr>
      </w:pPr>
      <w:r w:rsidRPr="00564DC7">
        <w:rPr>
          <w:rFonts w:asciiTheme="minorHAnsi" w:hAnsiTheme="minorHAnsi" w:cstheme="minorHAnsi"/>
          <w:b/>
          <w:sz w:val="26"/>
          <w:szCs w:val="26"/>
        </w:rPr>
        <w:t>Mecanismul Financiar Norvegian 2014-2021</w:t>
      </w:r>
    </w:p>
    <w:p w14:paraId="067CDBA5" w14:textId="77777777" w:rsidR="00B1514A" w:rsidRPr="00564DC7" w:rsidRDefault="00B1514A" w:rsidP="00C36995">
      <w:pPr>
        <w:keepNext/>
        <w:ind w:firstLine="644"/>
        <w:jc w:val="both"/>
        <w:rPr>
          <w:rFonts w:asciiTheme="minorHAnsi" w:hAnsiTheme="minorHAnsi" w:cstheme="minorHAnsi"/>
          <w:iCs/>
          <w:sz w:val="26"/>
          <w:szCs w:val="26"/>
        </w:rPr>
      </w:pPr>
      <w:r w:rsidRPr="00564DC7">
        <w:rPr>
          <w:rFonts w:asciiTheme="minorHAnsi" w:hAnsiTheme="minorHAnsi" w:cstheme="minorHAnsi"/>
          <w:sz w:val="26"/>
          <w:szCs w:val="26"/>
        </w:rPr>
        <w:t>Școala Națională de Grefieri participă, sub coordonarea Consiliului Superior al Magistraturii, la implementarea proiectului „Judicial Training and Capacity Building”,</w:t>
      </w:r>
      <w:r w:rsidRPr="00564DC7">
        <w:rPr>
          <w:rFonts w:asciiTheme="minorHAnsi" w:hAnsiTheme="minorHAnsi" w:cstheme="minorHAnsi"/>
          <w:iCs/>
          <w:sz w:val="26"/>
          <w:szCs w:val="26"/>
        </w:rPr>
        <w:t xml:space="preserve"> co-finanțat prin Programul Justiție aferent Mecanismului Financiar Norvegian 2014-2021.</w:t>
      </w:r>
    </w:p>
    <w:p w14:paraId="7F02FD9D" w14:textId="77777777" w:rsidR="00B1514A" w:rsidRPr="00564DC7" w:rsidRDefault="00B1514A" w:rsidP="00690186">
      <w:pPr>
        <w:ind w:firstLine="720"/>
        <w:jc w:val="both"/>
        <w:rPr>
          <w:rFonts w:asciiTheme="minorHAnsi" w:hAnsiTheme="minorHAnsi" w:cstheme="minorHAnsi"/>
          <w:sz w:val="26"/>
          <w:szCs w:val="26"/>
        </w:rPr>
      </w:pPr>
      <w:r w:rsidRPr="00564DC7">
        <w:rPr>
          <w:rFonts w:asciiTheme="minorHAnsi" w:hAnsiTheme="minorHAnsi" w:cstheme="minorHAnsi"/>
          <w:iCs/>
          <w:sz w:val="26"/>
          <w:szCs w:val="26"/>
        </w:rPr>
        <w:t xml:space="preserve">În cadrul componentei proiectului privind formarea personalului auxiliar de specialitate din cadrul instanțelor judecătorești, </w:t>
      </w:r>
      <w:r w:rsidRPr="00564DC7">
        <w:rPr>
          <w:rFonts w:asciiTheme="minorHAnsi" w:hAnsiTheme="minorHAnsi" w:cstheme="minorHAnsi"/>
          <w:sz w:val="26"/>
          <w:szCs w:val="26"/>
        </w:rPr>
        <w:t xml:space="preserve">în perioada martie - octombrie 2021 s-au derulat </w:t>
      </w:r>
      <w:r w:rsidRPr="00564DC7">
        <w:rPr>
          <w:rFonts w:asciiTheme="minorHAnsi" w:hAnsiTheme="minorHAnsi" w:cstheme="minorHAnsi"/>
          <w:iCs/>
          <w:sz w:val="26"/>
          <w:szCs w:val="26"/>
        </w:rPr>
        <w:t>toate</w:t>
      </w:r>
      <w:r w:rsidRPr="00564DC7">
        <w:rPr>
          <w:rFonts w:asciiTheme="minorHAnsi" w:hAnsiTheme="minorHAnsi" w:cstheme="minorHAnsi"/>
          <w:sz w:val="26"/>
          <w:szCs w:val="26"/>
        </w:rPr>
        <w:t xml:space="preserve"> cele 20 acțiuni de formare, în format </w:t>
      </w:r>
      <w:r w:rsidRPr="00564DC7">
        <w:rPr>
          <w:rFonts w:asciiTheme="minorHAnsi" w:hAnsiTheme="minorHAnsi" w:cstheme="minorHAnsi"/>
          <w:iCs/>
          <w:sz w:val="26"/>
          <w:szCs w:val="26"/>
        </w:rPr>
        <w:t xml:space="preserve">face to face, </w:t>
      </w:r>
      <w:r w:rsidRPr="00564DC7">
        <w:rPr>
          <w:rFonts w:asciiTheme="minorHAnsi" w:hAnsiTheme="minorHAnsi" w:cstheme="minorHAnsi"/>
          <w:sz w:val="26"/>
          <w:szCs w:val="26"/>
        </w:rPr>
        <w:t>în total fiind formați un număr de 308 grefieri</w:t>
      </w:r>
      <w:r w:rsidRPr="00564DC7">
        <w:rPr>
          <w:rFonts w:asciiTheme="minorHAnsi" w:hAnsiTheme="minorHAnsi" w:cstheme="minorHAnsi"/>
          <w:iCs/>
          <w:sz w:val="26"/>
          <w:szCs w:val="26"/>
        </w:rPr>
        <w:t>. Sesiunile de formare au fost structurate pe două paliere – managementul activității grefierului de ședință la început de carieră (distinct, în materie civilă, respectiv penală), respectiv managementul activității grefierului după ședința de judecată - tehnici/ standarde comune pentru redactarea încheierilor și a hotărârilor judecătorești (distinct, în materie civilă, respectiv în materie penală). De aceste acțiuni de formare au beneficiat grefieri din instanțele judecătorești, inclusiv grefieri la început de carieră (</w:t>
      </w:r>
      <w:r w:rsidRPr="00564DC7">
        <w:rPr>
          <w:rFonts w:asciiTheme="minorHAnsi" w:hAnsiTheme="minorHAnsi" w:cstheme="minorHAnsi"/>
          <w:sz w:val="26"/>
          <w:szCs w:val="26"/>
        </w:rPr>
        <w:t>grefieri de ședință care au studii medii sau studii superioare juridice și care nu au absolvit cursurile SNG și nici nu au o vechime mai mare de 5 ani în sistemul judiciar, pentru care activitățile de formare sunt concepute în așa fel încât să se urmărească înlăturarea disparităților de pregătire profesională față de absolvenții SNG și de grefierii cu o vechime mai mare de 5 ani în sistemul judiciar).</w:t>
      </w:r>
    </w:p>
    <w:p w14:paraId="30C8647A" w14:textId="77777777" w:rsidR="00B1514A" w:rsidRPr="00564DC7" w:rsidRDefault="00B1514A" w:rsidP="00690186">
      <w:pPr>
        <w:ind w:right="26" w:firstLine="720"/>
        <w:jc w:val="both"/>
        <w:rPr>
          <w:rFonts w:asciiTheme="minorHAnsi" w:hAnsiTheme="minorHAnsi" w:cstheme="minorHAnsi"/>
          <w:sz w:val="26"/>
          <w:szCs w:val="26"/>
        </w:rPr>
      </w:pPr>
      <w:r w:rsidRPr="00564DC7">
        <w:rPr>
          <w:rFonts w:asciiTheme="minorHAnsi" w:hAnsiTheme="minorHAnsi" w:cstheme="minorHAnsi"/>
          <w:sz w:val="26"/>
          <w:szCs w:val="26"/>
        </w:rPr>
        <w:t>În cadrul aceluiași proiect au fost achiziționate de către responsabilul de proiect, Consiliul Superior al Magistraturii, o serie de echipamente IT destinate creșterii capacității logistice și operaționale a Școlii Naționale de Grefieri în susținerea acțiunilor sale de formare profesională, în perioada 2021-2022 fiind predate partenerului SNG 3 video-proiectoare wireless și 15 laptopuri.</w:t>
      </w:r>
    </w:p>
    <w:p w14:paraId="7F859C25" w14:textId="73590186" w:rsidR="00B1514A" w:rsidRDefault="00B1514A" w:rsidP="00C36995">
      <w:pPr>
        <w:ind w:right="26" w:firstLine="720"/>
        <w:jc w:val="both"/>
        <w:rPr>
          <w:rFonts w:asciiTheme="minorHAnsi" w:hAnsiTheme="minorHAnsi" w:cstheme="minorHAnsi"/>
          <w:sz w:val="26"/>
          <w:szCs w:val="26"/>
        </w:rPr>
      </w:pPr>
      <w:r w:rsidRPr="00564DC7">
        <w:rPr>
          <w:rFonts w:asciiTheme="minorHAnsi" w:hAnsiTheme="minorHAnsi" w:cstheme="minorHAnsi"/>
          <w:sz w:val="26"/>
          <w:szCs w:val="26"/>
        </w:rPr>
        <w:t>În luna septembrie a anului 2023 a fost semnat actul adițional nr. 9/2023 la Acordul de parteneriat nr. 47/11358/2016/12.04.2019, modificările vizând aspecte de natură financiară în ceea ce privește partenerul Școala Națională de Grefieri, constând în demararea procedurilor în vederea achiziționării unei multifuncționale cu opțiune de capsare.</w:t>
      </w:r>
      <w:bookmarkEnd w:id="2"/>
    </w:p>
    <w:p w14:paraId="74F422ED" w14:textId="48C3183C" w:rsidR="006C1588" w:rsidRPr="000363DB" w:rsidRDefault="006C1588" w:rsidP="000363DB">
      <w:pPr>
        <w:pStyle w:val="Heading2"/>
        <w:keepLines w:val="0"/>
        <w:spacing w:line="240" w:lineRule="auto"/>
        <w:rPr>
          <w:rFonts w:cstheme="minorHAnsi"/>
          <w:color w:val="auto"/>
          <w:lang w:val="ro-RO"/>
        </w:rPr>
      </w:pPr>
      <w:bookmarkStart w:id="58" w:name="_Toc155267878"/>
      <w:r w:rsidRPr="00564DC7">
        <w:rPr>
          <w:rFonts w:cstheme="minorHAnsi"/>
          <w:color w:val="auto"/>
          <w:lang w:val="ro-RO"/>
        </w:rPr>
        <w:t>I.6.</w:t>
      </w:r>
      <w:bookmarkStart w:id="59" w:name="_Toc430867110"/>
      <w:r w:rsidR="004C16C8" w:rsidRPr="00564DC7">
        <w:rPr>
          <w:rFonts w:cstheme="minorHAnsi"/>
          <w:color w:val="auto"/>
          <w:lang w:val="ro-RO"/>
        </w:rPr>
        <w:t xml:space="preserve"> </w:t>
      </w:r>
      <w:r w:rsidRPr="00564DC7">
        <w:rPr>
          <w:rFonts w:cstheme="minorHAnsi"/>
          <w:color w:val="auto"/>
          <w:lang w:val="ro-RO"/>
        </w:rPr>
        <w:t>Apărarea independenţei, imparţialităţii şi a reputaţiei profesionale</w:t>
      </w:r>
      <w:bookmarkStart w:id="60" w:name="_Toc430867111"/>
      <w:bookmarkEnd w:id="58"/>
      <w:bookmarkEnd w:id="59"/>
    </w:p>
    <w:p w14:paraId="6E23FCC6" w14:textId="77777777" w:rsidR="00586A66" w:rsidRPr="0067766D" w:rsidRDefault="00586A66" w:rsidP="00690186">
      <w:pPr>
        <w:ind w:firstLine="708"/>
        <w:jc w:val="both"/>
        <w:rPr>
          <w:rFonts w:asciiTheme="minorHAnsi" w:hAnsiTheme="minorHAnsi" w:cstheme="minorHAnsi"/>
          <w:sz w:val="26"/>
          <w:szCs w:val="26"/>
        </w:rPr>
      </w:pPr>
      <w:r w:rsidRPr="0067766D">
        <w:rPr>
          <w:rFonts w:asciiTheme="minorHAnsi" w:hAnsiTheme="minorHAnsi" w:cstheme="minorHAnsi"/>
          <w:sz w:val="26"/>
          <w:szCs w:val="26"/>
        </w:rPr>
        <w:t>Consiliul Superior al Magistraturii este garantul independenței justiţiei, aspect consacrat atât la nivelul legii fundamentale, cât şi în art. 1 din Legea nr. 305/2022 privind Consiliul Superior al Magistraturii.</w:t>
      </w:r>
    </w:p>
    <w:p w14:paraId="75A53090" w14:textId="77777777" w:rsidR="00586A66" w:rsidRPr="0067766D" w:rsidRDefault="00586A66" w:rsidP="00690186">
      <w:pPr>
        <w:ind w:firstLine="708"/>
        <w:jc w:val="both"/>
        <w:rPr>
          <w:rFonts w:asciiTheme="minorHAnsi" w:hAnsiTheme="minorHAnsi" w:cstheme="minorHAnsi"/>
          <w:sz w:val="26"/>
          <w:szCs w:val="26"/>
        </w:rPr>
      </w:pPr>
      <w:r w:rsidRPr="0067766D">
        <w:rPr>
          <w:rFonts w:asciiTheme="minorHAnsi" w:hAnsiTheme="minorHAnsi" w:cstheme="minorHAnsi"/>
          <w:sz w:val="26"/>
          <w:szCs w:val="26"/>
        </w:rPr>
        <w:t xml:space="preserve">În îndeplinirea rolului său de garant al independenței justiţiei, Consiliul întreprinde demersuri nu doar pentru asigurarea independenței instituționale, ci şi pentru apărarea reputaţiei profesionale, a independenţei şi a imparţialităţii judecătorilor şi procurorilor. </w:t>
      </w:r>
    </w:p>
    <w:p w14:paraId="5D44EF3C" w14:textId="77777777" w:rsidR="00586A66" w:rsidRPr="0067766D" w:rsidRDefault="00586A66" w:rsidP="00690186">
      <w:pPr>
        <w:ind w:firstLine="708"/>
        <w:jc w:val="both"/>
        <w:rPr>
          <w:rFonts w:asciiTheme="minorHAnsi" w:hAnsiTheme="minorHAnsi" w:cstheme="minorHAnsi"/>
          <w:sz w:val="26"/>
          <w:szCs w:val="26"/>
        </w:rPr>
      </w:pPr>
      <w:r w:rsidRPr="0067766D">
        <w:rPr>
          <w:rFonts w:asciiTheme="minorHAnsi" w:hAnsiTheme="minorHAnsi" w:cstheme="minorHAnsi"/>
          <w:sz w:val="26"/>
          <w:szCs w:val="26"/>
        </w:rPr>
        <w:t xml:space="preserve">Independenţa judecătorului şi a procurorului reprezintă garanţia fundamentală a realizării actului de justiţie şi premisa statului de drept, respectarea garanţiilor de independenţă asigurând imparțialitatea în soluţionarea cauzelor. </w:t>
      </w:r>
    </w:p>
    <w:p w14:paraId="389AB26E" w14:textId="33BBCC26" w:rsidR="00586A66" w:rsidRPr="0067766D" w:rsidRDefault="00586A66" w:rsidP="00690186">
      <w:pPr>
        <w:ind w:firstLine="708"/>
        <w:jc w:val="both"/>
        <w:rPr>
          <w:rFonts w:asciiTheme="minorHAnsi" w:hAnsiTheme="minorHAnsi" w:cstheme="minorHAnsi"/>
          <w:sz w:val="26"/>
          <w:szCs w:val="26"/>
        </w:rPr>
      </w:pPr>
      <w:r w:rsidRPr="0067766D">
        <w:rPr>
          <w:rFonts w:asciiTheme="minorHAnsi" w:hAnsiTheme="minorHAnsi" w:cstheme="minorHAnsi"/>
          <w:sz w:val="26"/>
          <w:szCs w:val="26"/>
        </w:rPr>
        <w:t>Publicul trebuie să aibă încredere în capacitatea judecătorilor şi procurorilor de</w:t>
      </w:r>
      <w:r w:rsidR="00C83ACC" w:rsidRPr="0067766D">
        <w:rPr>
          <w:rFonts w:asciiTheme="minorHAnsi" w:hAnsiTheme="minorHAnsi" w:cstheme="minorHAnsi"/>
          <w:sz w:val="26"/>
          <w:szCs w:val="26"/>
        </w:rPr>
        <w:t xml:space="preserve"> </w:t>
      </w:r>
      <w:r w:rsidRPr="0067766D">
        <w:rPr>
          <w:rFonts w:asciiTheme="minorHAnsi" w:hAnsiTheme="minorHAnsi" w:cstheme="minorHAnsi"/>
          <w:sz w:val="26"/>
          <w:szCs w:val="26"/>
        </w:rPr>
        <w:t xml:space="preserve">a-și îndeplini funcțiile în mod independent şi imparțial, astfel că, ori de câte ori această încredere </w:t>
      </w:r>
      <w:r w:rsidRPr="0067766D">
        <w:rPr>
          <w:rFonts w:asciiTheme="minorHAnsi" w:hAnsiTheme="minorHAnsi" w:cstheme="minorHAnsi"/>
          <w:sz w:val="26"/>
          <w:szCs w:val="26"/>
        </w:rPr>
        <w:lastRenderedPageBreak/>
        <w:t>începe să fie erodată, percepţia publicului va fi diferită, fiind afectată cel puţin aparenţa de imparţialitate, dacă nu chiar independenţa sau imparţialitatea judecătorilor sau procurorilor ori chiar independenţa sistemului judiciar în ansamblul său.</w:t>
      </w:r>
    </w:p>
    <w:p w14:paraId="21BBF370" w14:textId="77777777" w:rsidR="00586A66" w:rsidRPr="0067766D" w:rsidRDefault="00586A66" w:rsidP="00690186">
      <w:pPr>
        <w:ind w:firstLine="708"/>
        <w:jc w:val="both"/>
        <w:rPr>
          <w:rFonts w:asciiTheme="minorHAnsi" w:hAnsiTheme="minorHAnsi" w:cstheme="minorHAnsi"/>
          <w:sz w:val="26"/>
          <w:szCs w:val="26"/>
        </w:rPr>
      </w:pPr>
      <w:r w:rsidRPr="0067766D">
        <w:rPr>
          <w:rFonts w:asciiTheme="minorHAnsi" w:hAnsiTheme="minorHAnsi" w:cstheme="minorHAnsi"/>
          <w:sz w:val="26"/>
          <w:szCs w:val="26"/>
        </w:rPr>
        <w:t>Totodată, reputaţia profesională a judecătorilor şi procurorilor trebuie circumscrisă aceloraşi repere în scopul asigurării unui act de justiţie de calitate.</w:t>
      </w:r>
    </w:p>
    <w:p w14:paraId="4276E27C" w14:textId="77777777" w:rsidR="00586A66" w:rsidRPr="0067766D" w:rsidRDefault="00586A66" w:rsidP="00690186">
      <w:pPr>
        <w:ind w:firstLine="708"/>
        <w:jc w:val="both"/>
        <w:rPr>
          <w:rFonts w:asciiTheme="minorHAnsi" w:hAnsiTheme="minorHAnsi" w:cstheme="minorHAnsi"/>
          <w:sz w:val="26"/>
          <w:szCs w:val="26"/>
        </w:rPr>
      </w:pPr>
      <w:r w:rsidRPr="0067766D">
        <w:rPr>
          <w:rFonts w:asciiTheme="minorHAnsi" w:hAnsiTheme="minorHAnsi" w:cstheme="minorHAnsi"/>
          <w:sz w:val="26"/>
          <w:szCs w:val="26"/>
        </w:rPr>
        <w:t xml:space="preserve">În acest scop, în situaţia în care anumite circumstanţe o impun, Consiliul Superior al Magistraturii întreprinde măsuri pentru oferirea unui cadru optim de desăşurare a activităţii judecătorilor şi procurorilor prin apărarea reputaţiei, a independenţei şi a imparţialităţii acestora, dar şi prin apărarea independenţei sistemului judiciar în ansamblul său. </w:t>
      </w:r>
    </w:p>
    <w:p w14:paraId="65DB7DDF" w14:textId="70B848F9" w:rsidR="00586A66" w:rsidRPr="00564DC7" w:rsidRDefault="00586A66"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În mod corelativ, judecătorilor şi procurorilor din sistem le revine obligaţia</w:t>
      </w:r>
      <w:r w:rsidR="00C83ACC">
        <w:rPr>
          <w:rFonts w:asciiTheme="minorHAnsi" w:hAnsiTheme="minorHAnsi" w:cstheme="minorHAnsi"/>
          <w:sz w:val="26"/>
          <w:szCs w:val="26"/>
        </w:rPr>
        <w:t xml:space="preserve"> </w:t>
      </w:r>
      <w:r w:rsidRPr="00564DC7">
        <w:rPr>
          <w:rFonts w:asciiTheme="minorHAnsi" w:hAnsiTheme="minorHAnsi" w:cstheme="minorHAnsi"/>
          <w:sz w:val="26"/>
          <w:szCs w:val="26"/>
        </w:rPr>
        <w:t>integrităţii profesionale şi morale, aceasta conferind magistratului credibilitate şi siguranţă în exercitarea profesiei, autoritate în exprimarea opiniilor, cu precădere a celor profesionale, reprezentând, totodată, impresia pe care magistratul o creează în conştiinţa colectivă despre modul în care îşi exercită profesia.</w:t>
      </w:r>
    </w:p>
    <w:p w14:paraId="05CBCAB6" w14:textId="77777777" w:rsidR="00614FA7" w:rsidRPr="00614FA7" w:rsidRDefault="00586A66" w:rsidP="00614FA7">
      <w:pPr>
        <w:ind w:firstLine="851"/>
        <w:jc w:val="both"/>
        <w:rPr>
          <w:rFonts w:asciiTheme="minorHAnsi" w:hAnsiTheme="minorHAnsi" w:cstheme="minorHAnsi"/>
          <w:sz w:val="26"/>
          <w:szCs w:val="26"/>
        </w:rPr>
      </w:pPr>
      <w:r w:rsidRPr="00614FA7">
        <w:rPr>
          <w:rFonts w:asciiTheme="minorHAnsi" w:hAnsiTheme="minorHAnsi" w:cstheme="minorHAnsi"/>
          <w:sz w:val="26"/>
          <w:szCs w:val="26"/>
        </w:rPr>
        <w:t xml:space="preserve">Prin urmare, deplin conştient de rolul său esenţial în asigurarea unui sistem juridic bazat pe respectul statului de drept, în anul 2023, Consiliul Superior al Magistraturii </w:t>
      </w:r>
      <w:r w:rsidR="00614FA7" w:rsidRPr="00614FA7">
        <w:rPr>
          <w:rFonts w:asciiTheme="minorHAnsi" w:hAnsiTheme="minorHAnsi" w:cstheme="minorHAnsi"/>
          <w:sz w:val="26"/>
          <w:szCs w:val="26"/>
        </w:rPr>
        <w:t>a adoptat 13 astfel de hotărâri.</w:t>
      </w:r>
    </w:p>
    <w:p w14:paraId="0EA38EE7" w14:textId="77777777" w:rsidR="00E2145C" w:rsidRPr="00E2145C" w:rsidRDefault="00E2145C" w:rsidP="00E2145C">
      <w:pPr>
        <w:ind w:firstLine="851"/>
        <w:jc w:val="both"/>
        <w:rPr>
          <w:rFonts w:asciiTheme="minorHAnsi" w:hAnsiTheme="minorHAnsi" w:cstheme="minorHAnsi"/>
          <w:sz w:val="26"/>
          <w:szCs w:val="26"/>
        </w:rPr>
      </w:pPr>
      <w:r w:rsidRPr="00E2145C">
        <w:rPr>
          <w:rFonts w:asciiTheme="minorHAnsi" w:hAnsiTheme="minorHAnsi" w:cstheme="minorHAnsi"/>
          <w:b/>
          <w:bCs/>
          <w:iCs/>
          <w:sz w:val="26"/>
          <w:szCs w:val="26"/>
        </w:rPr>
        <w:t>Secţia pentru judecători</w:t>
      </w:r>
      <w:r w:rsidRPr="00E2145C">
        <w:rPr>
          <w:rFonts w:asciiTheme="minorHAnsi" w:hAnsiTheme="minorHAnsi" w:cstheme="minorHAnsi"/>
          <w:i/>
          <w:sz w:val="26"/>
          <w:szCs w:val="26"/>
        </w:rPr>
        <w:t xml:space="preserve"> </w:t>
      </w:r>
      <w:r w:rsidRPr="00E2145C">
        <w:rPr>
          <w:rFonts w:asciiTheme="minorHAnsi" w:hAnsiTheme="minorHAnsi" w:cstheme="minorHAnsi"/>
          <w:sz w:val="26"/>
          <w:szCs w:val="26"/>
        </w:rPr>
        <w:t>a Consiliului Superior al Magistraturii, în perioada ianuarie 2023 – 22 decembrie 2023, a soluţionat 9 sesizări având ca obiect apărarea reputaţiei profesionale şi/sau a independenţei şi imparţialităţii judecătorilor. Au fost pronunţate 5 hotărâri de admitere şi 4 hotărâri de respingere, astfel:</w:t>
      </w:r>
    </w:p>
    <w:p w14:paraId="2426B9C8" w14:textId="68D469BF" w:rsidR="00586A66" w:rsidRPr="00564DC7" w:rsidRDefault="00586A66" w:rsidP="00690186">
      <w:pPr>
        <w:ind w:firstLine="851"/>
        <w:jc w:val="both"/>
        <w:rPr>
          <w:rFonts w:asciiTheme="minorHAnsi" w:hAnsiTheme="minorHAnsi" w:cstheme="minorHAnsi"/>
          <w:sz w:val="26"/>
          <w:szCs w:val="26"/>
          <w:lang w:eastAsia="ro-RO"/>
        </w:rPr>
      </w:pPr>
      <w:r w:rsidRPr="00564DC7">
        <w:rPr>
          <w:rFonts w:asciiTheme="minorHAnsi" w:hAnsiTheme="minorHAnsi" w:cstheme="minorHAnsi"/>
          <w:sz w:val="26"/>
          <w:szCs w:val="26"/>
        </w:rPr>
        <w:t>1.</w:t>
      </w:r>
      <w:r w:rsidR="00C83ACC">
        <w:rPr>
          <w:rFonts w:asciiTheme="minorHAnsi" w:hAnsiTheme="minorHAnsi" w:cstheme="minorHAnsi"/>
          <w:sz w:val="26"/>
          <w:szCs w:val="26"/>
        </w:rPr>
        <w:t xml:space="preserve"> </w:t>
      </w:r>
      <w:r w:rsidRPr="00564DC7">
        <w:rPr>
          <w:rFonts w:asciiTheme="minorHAnsi" w:hAnsiTheme="minorHAnsi" w:cstheme="minorHAnsi"/>
          <w:sz w:val="26"/>
          <w:szCs w:val="26"/>
        </w:rPr>
        <w:t>Prin Hotărârea nr. 1337 din 11.04.2023, Secţia pentru judecători a Consiliului Superior al Magistraturii, cu unanimitate, a hotărât admiterea cererii de apărare a reputației profesionale formulate de doamna CLAUDIA JDERU, judecător la Curtea de Apel București, dispunând, totodată, emiterea unui comunicat de presă de către Biroul de informare publică şi relaţii cu mass-media. Cu</w:t>
      </w:r>
      <w:r w:rsidRPr="00564DC7">
        <w:rPr>
          <w:rStyle w:val="Strong"/>
          <w:rFonts w:asciiTheme="minorHAnsi" w:hAnsiTheme="minorHAnsi" w:cstheme="minorHAnsi"/>
          <w:b w:val="0"/>
          <w:bCs w:val="0"/>
          <w:sz w:val="26"/>
          <w:szCs w:val="26"/>
        </w:rPr>
        <w:t xml:space="preserve"> privire la cererea menţionată, a fost întocmit Raportul </w:t>
      </w:r>
      <w:r w:rsidRPr="00564DC7">
        <w:rPr>
          <w:rFonts w:asciiTheme="minorHAnsi" w:hAnsiTheme="minorHAnsi" w:cstheme="minorHAnsi"/>
          <w:sz w:val="26"/>
          <w:szCs w:val="26"/>
          <w:lang w:eastAsia="ro-RO"/>
        </w:rPr>
        <w:t>Direcţiei de Inspecţie pentru</w:t>
      </w:r>
      <w:r w:rsidRPr="00564DC7">
        <w:rPr>
          <w:rStyle w:val="Strong"/>
          <w:rFonts w:asciiTheme="minorHAnsi" w:hAnsiTheme="minorHAnsi" w:cstheme="minorHAnsi"/>
          <w:b w:val="0"/>
          <w:bCs w:val="0"/>
          <w:sz w:val="26"/>
          <w:szCs w:val="26"/>
        </w:rPr>
        <w:t xml:space="preserve"> judecători nr. </w:t>
      </w:r>
      <w:r w:rsidRPr="00564DC7">
        <w:rPr>
          <w:rFonts w:asciiTheme="minorHAnsi" w:hAnsiTheme="minorHAnsi" w:cstheme="minorHAnsi"/>
          <w:sz w:val="26"/>
          <w:szCs w:val="26"/>
          <w:lang w:eastAsia="ro-RO"/>
        </w:rPr>
        <w:t>23-306/2023.</w:t>
      </w:r>
    </w:p>
    <w:p w14:paraId="7CB1F7E8" w14:textId="77777777" w:rsidR="00586A66" w:rsidRPr="00564DC7" w:rsidRDefault="00586A66"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2. Prin Hotărârea nr. 1514 din 11.05.2023, Secţia pentru judecători a Consiliului Superior al Magistraturii a hotărât, cu unanimitate, respingerea cererii de apărare a reputației profesionale formulate de doamna ANDRA RODICA MARINA, judecător la Tribunalul Vâlcea. Cu privire la cererea menţionată, a fost întocmit Raportul Direcţiei de Inspecţie pentru judecători nr. 22-3368.</w:t>
      </w:r>
    </w:p>
    <w:p w14:paraId="52807FB5" w14:textId="77777777" w:rsidR="00586A66" w:rsidRPr="00564DC7" w:rsidRDefault="00586A66"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3. Prin Hotărârea nr. 1515 din 11.05.2023, Secţia pentru judecători a Consiliului Superior al Magistraturii a hotărât, cu unanimitate, respingerea cererii de apărare a reputaţiei profesionale formulate de către doamna STANA FLORENTINA, judecător la Tribunalul Olt. Cu privire la cererea menţionată, a fost întocmit Raportul Direcţiei de Inspecţie pentru judecători nr. 22-3405/2023.</w:t>
      </w:r>
    </w:p>
    <w:p w14:paraId="26B0297C" w14:textId="77777777" w:rsidR="00586A66" w:rsidRPr="00564DC7" w:rsidRDefault="00586A66"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4. Prin Hotărârea nr. 1516 din 11.05.2023, Secţia pentru judecători a Consiliului Superior al Magistraturii a hotărât, cu unanimitate, respingerea cererii de apărare a reputației profesionale formulate de doamna POP ANCA ADRIANA, judecător la Curtea de Apel Cluj. Cu privire la cererea menţionată, a fost întocmit Raportul Direcţiei de Inspecţie pentru judecători nr. 22-3593.</w:t>
      </w:r>
    </w:p>
    <w:p w14:paraId="4F342EA5" w14:textId="77777777" w:rsidR="00586A66" w:rsidRPr="00564DC7" w:rsidRDefault="00586A66"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5. Prin Hotărârea nr. 1517 din 11.05.2023, Secţia pentru judecători a Consiliului Superior al Magistraturii a hotărât, cu unanimitate, respingerea cererii de apărare a reputației profesionale formulate de doamna ȚENEA IRINA MARIA, judecător la Judecătoria Craiova. Cu privire la cererea menţionată, a fost întocmit Raportul Direcţiei de Inspecţie pentru judecători nr. 22-3550.</w:t>
      </w:r>
    </w:p>
    <w:p w14:paraId="1FEE5D6A" w14:textId="20FBC20F" w:rsidR="00586A66" w:rsidRPr="00564DC7" w:rsidRDefault="00586A66"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6. Prin Hotărârea nr. 1552 din 18.05.2023, Secţia pentru judecători a Consiliului Superior al Magistraturii a hotărât, cu majoritate</w:t>
      </w:r>
      <w:r w:rsidR="00614FA7">
        <w:rPr>
          <w:rFonts w:asciiTheme="minorHAnsi" w:hAnsiTheme="minorHAnsi" w:cstheme="minorHAnsi"/>
          <w:sz w:val="26"/>
          <w:szCs w:val="26"/>
        </w:rPr>
        <w:t xml:space="preserve">, </w:t>
      </w:r>
      <w:r w:rsidRPr="00564DC7">
        <w:rPr>
          <w:rFonts w:asciiTheme="minorHAnsi" w:hAnsiTheme="minorHAnsi" w:cstheme="minorHAnsi"/>
          <w:sz w:val="26"/>
          <w:szCs w:val="26"/>
        </w:rPr>
        <w:t>apărarea independenţei puterii judecătoreşti față de aspectele reținute în Raportul Inspecției Judiciare ca urmare a sesizării referitoare la articolul publicat în data de 03.05.2023 pe site-ul www.g4media.ro și preluat în mass-media ”</w:t>
      </w:r>
      <w:r w:rsidRPr="00564DC7">
        <w:rPr>
          <w:rFonts w:asciiTheme="minorHAnsi" w:hAnsiTheme="minorHAnsi" w:cstheme="minorHAnsi"/>
          <w:i/>
          <w:sz w:val="26"/>
          <w:szCs w:val="26"/>
        </w:rPr>
        <w:t xml:space="preserve">Cum a vrut Secția Specială să îi acuze de șantaj pe ONG-iștii și jurnaliștii nemulțumiți de ghidul de comunicare cu presa făcut de CSM-ul condus de Lia Savonea / Secția a cerut mandat de interceptare pentru </w:t>
      </w:r>
      <w:r w:rsidRPr="00564DC7">
        <w:rPr>
          <w:rFonts w:asciiTheme="minorHAnsi" w:hAnsiTheme="minorHAnsi" w:cstheme="minorHAnsi"/>
          <w:i/>
          <w:sz w:val="26"/>
          <w:szCs w:val="26"/>
        </w:rPr>
        <w:lastRenderedPageBreak/>
        <w:t>șefa Freedom House, Cristina Guseth, și procuroarea Alexandra Lăncrănjan</w:t>
      </w:r>
      <w:r w:rsidRPr="00564DC7">
        <w:rPr>
          <w:rFonts w:asciiTheme="minorHAnsi" w:hAnsiTheme="minorHAnsi" w:cstheme="minorHAnsi"/>
          <w:sz w:val="26"/>
          <w:szCs w:val="26"/>
        </w:rPr>
        <w:t>”. Cu privire la cererea menţionată, a fost întocmit Raportul Direcţiei de Inspecţie pentru judecători nr. 23837/12.05.2023.</w:t>
      </w:r>
    </w:p>
    <w:p w14:paraId="16826D73" w14:textId="47E75D4A" w:rsidR="00586A66" w:rsidRPr="00564DC7" w:rsidRDefault="00586A66"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7. Prin Hotărârea nr. 2382 din 11.10.2023, Secţia pentru judecători a Consiliului Superior al Magistraturii a hotărât, cu majoritate, apărarea independenţei puterii judecătoreşti faţă de afirmaţiile publicate în mass-media în mai multe articole privind decizia penală pronunţată de Înalta Curte de Casaţie şi Justiţie în cazul Gheorghe Ursu. Cu privire la cererea menţionată, a fost întocmit Raportul Direcţiei de Inspecţie pentru judecători nr. 23-1577/2023.</w:t>
      </w:r>
    </w:p>
    <w:p w14:paraId="24AD8243" w14:textId="77777777" w:rsidR="00586A66" w:rsidRPr="00614FA7" w:rsidRDefault="00586A66" w:rsidP="00690186">
      <w:pPr>
        <w:ind w:firstLine="851"/>
        <w:jc w:val="both"/>
        <w:rPr>
          <w:rFonts w:asciiTheme="minorHAnsi" w:hAnsiTheme="minorHAnsi" w:cstheme="minorHAnsi"/>
          <w:sz w:val="26"/>
          <w:szCs w:val="26"/>
        </w:rPr>
      </w:pPr>
      <w:r w:rsidRPr="00614FA7">
        <w:rPr>
          <w:rFonts w:asciiTheme="minorHAnsi" w:hAnsiTheme="minorHAnsi" w:cstheme="minorHAnsi"/>
          <w:sz w:val="26"/>
          <w:szCs w:val="26"/>
        </w:rPr>
        <w:t>8. Prin Hotărârea nr. 2574 din 02.11.2023, Secţia pentru judecători a Consiliului Superior al Magistraturii a hotărât, cu unanimitate, aprobarea Raportului Inspecției Judiciare nr. 23-1347/2023 privind apărarea independenţei puterii judecătoreşti. Cu privire la cererea menţionată, a fost întocmit Raportul Direcţiei de Inspecţie pentru judecători nr. 23-1347/2023.</w:t>
      </w:r>
    </w:p>
    <w:p w14:paraId="2F6B01A2" w14:textId="02EC2CAD" w:rsidR="00586A66" w:rsidRPr="00614FA7" w:rsidRDefault="00614FA7" w:rsidP="00690186">
      <w:pPr>
        <w:ind w:firstLine="851"/>
        <w:jc w:val="both"/>
        <w:rPr>
          <w:rFonts w:asciiTheme="minorHAnsi" w:hAnsiTheme="minorHAnsi" w:cstheme="minorHAnsi"/>
          <w:sz w:val="24"/>
          <w:szCs w:val="24"/>
        </w:rPr>
      </w:pPr>
      <w:r w:rsidRPr="00614FA7">
        <w:rPr>
          <w:rFonts w:asciiTheme="minorHAnsi" w:hAnsiTheme="minorHAnsi" w:cstheme="minorHAnsi"/>
          <w:sz w:val="26"/>
          <w:szCs w:val="26"/>
        </w:rPr>
        <w:t xml:space="preserve">9. Prin Hotărârea nr. 3318 din 23.11.2023, Secţia pentru judecători a Consiliului Superior al Magistraturii a hotărât, cu majoritate, </w:t>
      </w:r>
      <w:r w:rsidRPr="00614FA7">
        <w:rPr>
          <w:rStyle w:val="Strong"/>
          <w:rFonts w:asciiTheme="minorHAnsi" w:hAnsiTheme="minorHAnsi" w:cstheme="minorHAnsi"/>
          <w:b w:val="0"/>
          <w:bCs w:val="0"/>
          <w:sz w:val="26"/>
          <w:szCs w:val="26"/>
          <w:shd w:val="clear" w:color="auto" w:fill="FFFFFF"/>
        </w:rPr>
        <w:t>apărarea independenţei puterii judecătoreşti față de aspectele relatate pe site-ul G4media.ro sub titlul ”Video - Cu câteva zile înainte de proces, fostul șef al Inspecției Judiciare Lucian Netejoru s-a întâlnit cu unul dintre magistrații din completul care judecă excluderea judecătoarelor Panioglu și Guluțanu”, însoțite de imagini ce redau aspecte referitoare la viața privată a unui judecător de la instanța supremă.</w:t>
      </w:r>
    </w:p>
    <w:p w14:paraId="606436AE" w14:textId="13A39614" w:rsidR="00E2145C" w:rsidRPr="00E2145C" w:rsidRDefault="00E2145C" w:rsidP="00E2145C">
      <w:pPr>
        <w:ind w:firstLine="851"/>
        <w:jc w:val="both"/>
        <w:rPr>
          <w:rFonts w:asciiTheme="minorHAnsi" w:hAnsiTheme="minorHAnsi" w:cstheme="minorHAnsi"/>
          <w:bCs/>
          <w:sz w:val="26"/>
          <w:szCs w:val="26"/>
          <w:lang w:eastAsia="ro-RO"/>
        </w:rPr>
      </w:pPr>
      <w:r w:rsidRPr="00E2145C">
        <w:rPr>
          <w:rFonts w:asciiTheme="minorHAnsi" w:hAnsiTheme="minorHAnsi" w:cstheme="minorHAnsi"/>
          <w:sz w:val="26"/>
          <w:szCs w:val="26"/>
        </w:rPr>
        <w:t>În aceeaşi perioadă de referinţă, 01.01.2023-</w:t>
      </w:r>
      <w:r w:rsidR="004A2B37">
        <w:rPr>
          <w:rFonts w:asciiTheme="minorHAnsi" w:hAnsiTheme="minorHAnsi" w:cstheme="minorHAnsi"/>
          <w:sz w:val="26"/>
          <w:szCs w:val="26"/>
        </w:rPr>
        <w:t>31</w:t>
      </w:r>
      <w:r w:rsidRPr="00E2145C">
        <w:rPr>
          <w:rFonts w:asciiTheme="minorHAnsi" w:hAnsiTheme="minorHAnsi" w:cstheme="minorHAnsi"/>
          <w:sz w:val="26"/>
          <w:szCs w:val="26"/>
        </w:rPr>
        <w:t>.12.2023, Secţia pentru procurori a pronunțat</w:t>
      </w:r>
      <w:r>
        <w:rPr>
          <w:rFonts w:asciiTheme="minorHAnsi" w:hAnsiTheme="minorHAnsi" w:cstheme="minorHAnsi"/>
          <w:sz w:val="26"/>
          <w:szCs w:val="26"/>
        </w:rPr>
        <w:t xml:space="preserve"> </w:t>
      </w:r>
      <w:r w:rsidRPr="00E2145C">
        <w:rPr>
          <w:rFonts w:asciiTheme="minorHAnsi" w:hAnsiTheme="minorHAnsi" w:cstheme="minorHAnsi"/>
          <w:sz w:val="26"/>
          <w:szCs w:val="26"/>
        </w:rPr>
        <w:t>4</w:t>
      </w:r>
      <w:r>
        <w:rPr>
          <w:rFonts w:asciiTheme="minorHAnsi" w:hAnsiTheme="minorHAnsi" w:cstheme="minorHAnsi"/>
          <w:sz w:val="26"/>
          <w:szCs w:val="26"/>
        </w:rPr>
        <w:t xml:space="preserve"> </w:t>
      </w:r>
      <w:r w:rsidRPr="00E2145C">
        <w:rPr>
          <w:rFonts w:asciiTheme="minorHAnsi" w:hAnsiTheme="minorHAnsi" w:cstheme="minorHAnsi"/>
          <w:sz w:val="26"/>
          <w:szCs w:val="26"/>
        </w:rPr>
        <w:t>hotărâri</w:t>
      </w:r>
      <w:r w:rsidRPr="00E2145C">
        <w:rPr>
          <w:rFonts w:asciiTheme="minorHAnsi" w:hAnsiTheme="minorHAnsi" w:cstheme="minorHAnsi"/>
          <w:b/>
          <w:bCs/>
          <w:sz w:val="26"/>
          <w:szCs w:val="26"/>
        </w:rPr>
        <w:t xml:space="preserve"> </w:t>
      </w:r>
      <w:r w:rsidRPr="00E2145C">
        <w:rPr>
          <w:rFonts w:asciiTheme="minorHAnsi" w:hAnsiTheme="minorHAnsi" w:cstheme="minorHAnsi"/>
          <w:sz w:val="26"/>
          <w:szCs w:val="26"/>
        </w:rPr>
        <w:t xml:space="preserve">având ca obiect cereri privind apărarea reputaţiei profesionale şi/sau a independenţei şi imparţialităţii procurorilor, </w:t>
      </w:r>
      <w:r w:rsidRPr="00E2145C">
        <w:rPr>
          <w:rFonts w:asciiTheme="minorHAnsi" w:hAnsiTheme="minorHAnsi" w:cstheme="minorHAnsi"/>
          <w:bCs/>
          <w:sz w:val="26"/>
          <w:szCs w:val="26"/>
          <w:lang w:eastAsia="ro-RO"/>
        </w:rPr>
        <w:t xml:space="preserve">dintre care 3 hotărâri de admitere și 1 hotărâre de respingere, astfel: </w:t>
      </w:r>
    </w:p>
    <w:p w14:paraId="71BD9CA5" w14:textId="77777777" w:rsidR="00586A66" w:rsidRPr="00564DC7" w:rsidRDefault="00586A66" w:rsidP="00690186">
      <w:pPr>
        <w:ind w:firstLine="851"/>
        <w:jc w:val="both"/>
        <w:rPr>
          <w:rFonts w:asciiTheme="minorHAnsi" w:hAnsiTheme="minorHAnsi" w:cstheme="minorHAnsi"/>
          <w:sz w:val="26"/>
          <w:szCs w:val="26"/>
          <w:lang w:val="pt-PT"/>
        </w:rPr>
      </w:pPr>
      <w:r w:rsidRPr="00564DC7">
        <w:rPr>
          <w:rStyle w:val="Strong"/>
          <w:rFonts w:asciiTheme="minorHAnsi" w:hAnsiTheme="minorHAnsi" w:cstheme="minorHAnsi"/>
          <w:b w:val="0"/>
          <w:bCs w:val="0"/>
          <w:sz w:val="26"/>
          <w:szCs w:val="26"/>
        </w:rPr>
        <w:t xml:space="preserve">1. Prin Hotărârea nr. 45/17.01.2023, Secţia pentru procurori a Consiliului Superior al Magistraturii, cu unanimitatea voturilor membrilor prezenţi, a hotărât </w:t>
      </w:r>
      <w:r w:rsidRPr="00564DC7">
        <w:rPr>
          <w:rFonts w:asciiTheme="minorHAnsi" w:hAnsiTheme="minorHAnsi" w:cstheme="minorHAnsi"/>
          <w:sz w:val="26"/>
          <w:szCs w:val="26"/>
        </w:rPr>
        <w:t xml:space="preserve">admiterea cererii de apărare a reputației profesionale formulate de către domnul procuror IANCULESCU TEODOR din cadrul Parchetului de pe lângă Tribunalul Sibiu și transmiterea comunicatului de presă către unitatea de parchet, conform prevederilor art.31 alin.(4) din Legea nr.305/2022. </w:t>
      </w:r>
      <w:r w:rsidRPr="00564DC7">
        <w:rPr>
          <w:rStyle w:val="Strong"/>
          <w:rFonts w:asciiTheme="minorHAnsi" w:hAnsiTheme="minorHAnsi" w:cstheme="minorHAnsi"/>
          <w:b w:val="0"/>
          <w:bCs w:val="0"/>
          <w:sz w:val="26"/>
          <w:szCs w:val="26"/>
        </w:rPr>
        <w:t xml:space="preserve">Urmare a formulării cererii de către domnul procuror, a fost întocmit Raportul Direcţiei de Inspecţie pentru procurori nr. </w:t>
      </w:r>
      <w:r w:rsidRPr="00564DC7">
        <w:rPr>
          <w:rFonts w:asciiTheme="minorHAnsi" w:hAnsiTheme="minorHAnsi" w:cstheme="minorHAnsi"/>
          <w:sz w:val="26"/>
          <w:szCs w:val="26"/>
          <w:lang w:val="pt-PT"/>
        </w:rPr>
        <w:t>22-3562/2023.</w:t>
      </w:r>
    </w:p>
    <w:p w14:paraId="122F653F" w14:textId="77777777" w:rsidR="00586A66" w:rsidRPr="00564DC7" w:rsidRDefault="00586A66" w:rsidP="00690186">
      <w:pPr>
        <w:ind w:firstLine="851"/>
        <w:jc w:val="both"/>
        <w:rPr>
          <w:rStyle w:val="Strong"/>
          <w:rFonts w:asciiTheme="minorHAnsi" w:hAnsiTheme="minorHAnsi" w:cstheme="minorHAnsi"/>
          <w:b w:val="0"/>
          <w:bCs w:val="0"/>
        </w:rPr>
      </w:pPr>
      <w:r w:rsidRPr="00564DC7">
        <w:rPr>
          <w:rStyle w:val="Strong"/>
          <w:rFonts w:asciiTheme="minorHAnsi" w:hAnsiTheme="minorHAnsi" w:cstheme="minorHAnsi"/>
          <w:b w:val="0"/>
          <w:bCs w:val="0"/>
          <w:sz w:val="26"/>
          <w:szCs w:val="26"/>
        </w:rPr>
        <w:t xml:space="preserve">2. Prin Hotărârea nr. 663/25.04.2023, Secţia pentru procurori a Consiliului Superior al Magistraturii, cu unanimitatea voturilor membrilor prezenţi, a hotărât </w:t>
      </w:r>
      <w:r w:rsidRPr="00564DC7">
        <w:rPr>
          <w:rFonts w:asciiTheme="minorHAnsi" w:hAnsiTheme="minorHAnsi" w:cstheme="minorHAnsi"/>
          <w:sz w:val="26"/>
          <w:szCs w:val="26"/>
        </w:rPr>
        <w:t xml:space="preserve">respingerea cererii de apărare a reputației profesionale formulată de către domnul NIȚĂ TEODOR, procuror în cadrul Parchetului de pe lângă Curtea de Apel </w:t>
      </w:r>
      <w:r w:rsidRPr="00564DC7">
        <w:rPr>
          <w:rStyle w:val="Strong"/>
          <w:rFonts w:asciiTheme="minorHAnsi" w:hAnsiTheme="minorHAnsi" w:cstheme="minorHAnsi"/>
          <w:b w:val="0"/>
          <w:bCs w:val="0"/>
          <w:sz w:val="26"/>
          <w:szCs w:val="26"/>
          <w:lang w:val="pt-PT"/>
        </w:rPr>
        <w:t xml:space="preserve">Constanța. </w:t>
      </w:r>
      <w:r w:rsidRPr="00564DC7">
        <w:rPr>
          <w:rStyle w:val="Strong"/>
          <w:rFonts w:asciiTheme="minorHAnsi" w:hAnsiTheme="minorHAnsi" w:cstheme="minorHAnsi"/>
          <w:b w:val="0"/>
          <w:bCs w:val="0"/>
          <w:sz w:val="26"/>
          <w:szCs w:val="26"/>
        </w:rPr>
        <w:t>Urmare a formulării cererii de către domnul procuror, a fost întocmit Raportul Direcţiei de Inspecţie pentru procurori nr. 23-413/2023.</w:t>
      </w:r>
    </w:p>
    <w:p w14:paraId="1534CF0B" w14:textId="3395B5F3" w:rsidR="00503220" w:rsidRDefault="00586A66" w:rsidP="00690186">
      <w:pPr>
        <w:ind w:firstLine="851"/>
        <w:jc w:val="both"/>
        <w:rPr>
          <w:rStyle w:val="Strong"/>
          <w:rFonts w:asciiTheme="minorHAnsi" w:hAnsiTheme="minorHAnsi" w:cstheme="minorHAnsi"/>
          <w:b w:val="0"/>
          <w:bCs w:val="0"/>
          <w:sz w:val="26"/>
          <w:szCs w:val="26"/>
        </w:rPr>
      </w:pPr>
      <w:r w:rsidRPr="00564DC7">
        <w:rPr>
          <w:rStyle w:val="Strong"/>
          <w:rFonts w:asciiTheme="minorHAnsi" w:hAnsiTheme="minorHAnsi" w:cstheme="minorHAnsi"/>
          <w:b w:val="0"/>
          <w:bCs w:val="0"/>
          <w:sz w:val="26"/>
          <w:szCs w:val="26"/>
        </w:rPr>
        <w:t>3. Prin Hotărârea nr. 1147/21.09.2023, Secţia pentru procurori a Consiliului Superior al Magistraturii, cu unanimitatea voturilor membrilor prezenţi, a hotărât apărarea independenţei și imparţialităţii procurorilor din cadrul Ministerului Public în raport cu manifestările publice ale unui parlamentar și ale simpatizanților acestuia. De asemenea, Secţia pentru procurori a hotărât sesizarea Plenului Consiliului Superior al Magistraturii pentru a se aprecia cu privire la incidența art. 36 alin. 1 lit. a) din Legea nr. 305/2022.</w:t>
      </w:r>
    </w:p>
    <w:p w14:paraId="68E1A265" w14:textId="5CAA1655" w:rsidR="00614FA7" w:rsidRPr="00564DC7" w:rsidRDefault="00614FA7" w:rsidP="00690186">
      <w:pPr>
        <w:ind w:firstLine="851"/>
        <w:jc w:val="both"/>
        <w:rPr>
          <w:rStyle w:val="Strong"/>
          <w:rFonts w:asciiTheme="minorHAnsi" w:hAnsiTheme="minorHAnsi" w:cstheme="minorHAnsi"/>
          <w:b w:val="0"/>
          <w:bCs w:val="0"/>
          <w:sz w:val="26"/>
          <w:szCs w:val="26"/>
        </w:rPr>
      </w:pPr>
      <w:r w:rsidRPr="00614FA7">
        <w:rPr>
          <w:rStyle w:val="Strong"/>
          <w:rFonts w:ascii="Calibri" w:hAnsi="Calibri" w:cs="Calibri"/>
          <w:b w:val="0"/>
          <w:bCs w:val="0"/>
          <w:sz w:val="26"/>
          <w:szCs w:val="26"/>
        </w:rPr>
        <w:t>4. Prin Hotărârea nr. 1503/28.11.2023, Secţia pentru procurori a Consiliului Superior al Magistraturii, cu unanimitatea voturilor membrilor prezenţi, a hotărât apărarea independenţei procurorilor</w:t>
      </w:r>
      <w:r>
        <w:rPr>
          <w:rStyle w:val="Strong"/>
          <w:rFonts w:ascii="Calibri" w:hAnsi="Calibri" w:cs="Calibri"/>
          <w:b w:val="0"/>
          <w:bCs w:val="0"/>
          <w:sz w:val="26"/>
          <w:szCs w:val="26"/>
        </w:rPr>
        <w:t xml:space="preserve"> </w:t>
      </w:r>
      <w:r w:rsidRPr="00614FA7">
        <w:rPr>
          <w:rStyle w:val="Strong"/>
          <w:rFonts w:ascii="Calibri" w:hAnsi="Calibri" w:cs="Calibri"/>
          <w:b w:val="0"/>
          <w:bCs w:val="0"/>
          <w:sz w:val="26"/>
          <w:szCs w:val="26"/>
        </w:rPr>
        <w:t>din</w:t>
      </w:r>
      <w:r>
        <w:rPr>
          <w:rStyle w:val="Strong"/>
          <w:rFonts w:ascii="Calibri" w:hAnsi="Calibri" w:cs="Calibri"/>
          <w:b w:val="0"/>
          <w:bCs w:val="0"/>
          <w:sz w:val="26"/>
          <w:szCs w:val="26"/>
        </w:rPr>
        <w:t xml:space="preserve"> </w:t>
      </w:r>
      <w:r w:rsidRPr="00614FA7">
        <w:rPr>
          <w:rStyle w:val="Strong"/>
          <w:rFonts w:ascii="Calibri" w:hAnsi="Calibri" w:cs="Calibri"/>
          <w:b w:val="0"/>
          <w:bCs w:val="0"/>
          <w:sz w:val="26"/>
          <w:szCs w:val="26"/>
        </w:rPr>
        <w:t>cadrul Direcţiei</w:t>
      </w:r>
      <w:r>
        <w:rPr>
          <w:rStyle w:val="Strong"/>
          <w:rFonts w:ascii="Calibri" w:hAnsi="Calibri" w:cs="Calibri"/>
          <w:b w:val="0"/>
          <w:bCs w:val="0"/>
          <w:sz w:val="26"/>
          <w:szCs w:val="26"/>
        </w:rPr>
        <w:t xml:space="preserve"> </w:t>
      </w:r>
      <w:r w:rsidRPr="00614FA7">
        <w:rPr>
          <w:rStyle w:val="Strong"/>
          <w:rFonts w:ascii="Calibri" w:hAnsi="Calibri" w:cs="Calibri"/>
          <w:b w:val="0"/>
          <w:bCs w:val="0"/>
          <w:sz w:val="26"/>
          <w:szCs w:val="26"/>
        </w:rPr>
        <w:t>Naţionale</w:t>
      </w:r>
      <w:r>
        <w:rPr>
          <w:rStyle w:val="Strong"/>
          <w:rFonts w:ascii="Calibri" w:hAnsi="Calibri" w:cs="Calibri"/>
          <w:b w:val="0"/>
          <w:bCs w:val="0"/>
          <w:sz w:val="26"/>
          <w:szCs w:val="26"/>
        </w:rPr>
        <w:t xml:space="preserve"> </w:t>
      </w:r>
      <w:r w:rsidRPr="00614FA7">
        <w:rPr>
          <w:rStyle w:val="Strong"/>
          <w:rFonts w:ascii="Calibri" w:hAnsi="Calibri" w:cs="Calibri"/>
          <w:b w:val="0"/>
          <w:bCs w:val="0"/>
          <w:sz w:val="26"/>
          <w:szCs w:val="26"/>
        </w:rPr>
        <w:t>Anticorupţie</w:t>
      </w:r>
      <w:r>
        <w:rPr>
          <w:rStyle w:val="Strong"/>
          <w:rFonts w:ascii="Calibri" w:hAnsi="Calibri" w:cs="Calibri"/>
          <w:b w:val="0"/>
          <w:bCs w:val="0"/>
          <w:sz w:val="26"/>
          <w:szCs w:val="26"/>
        </w:rPr>
        <w:t xml:space="preserve"> </w:t>
      </w:r>
      <w:r w:rsidRPr="00614FA7">
        <w:rPr>
          <w:rStyle w:val="Strong"/>
          <w:rFonts w:ascii="Calibri" w:hAnsi="Calibri" w:cs="Calibri"/>
          <w:b w:val="0"/>
          <w:bCs w:val="0"/>
          <w:sz w:val="26"/>
          <w:szCs w:val="26"/>
        </w:rPr>
        <w:t xml:space="preserve">faţă de afirmaţiile unor reprezentanţi/lideri ai unui partid politic. </w:t>
      </w:r>
    </w:p>
    <w:p w14:paraId="54ECC9D8" w14:textId="48A38683" w:rsidR="006C1588" w:rsidRPr="00564DC7" w:rsidRDefault="006C1588" w:rsidP="000363DB">
      <w:pPr>
        <w:pStyle w:val="Heading2"/>
        <w:keepLines w:val="0"/>
        <w:spacing w:line="240" w:lineRule="auto"/>
        <w:jc w:val="both"/>
        <w:rPr>
          <w:rFonts w:cstheme="minorHAnsi"/>
          <w:color w:val="auto"/>
          <w:lang w:val="ro-RO"/>
        </w:rPr>
      </w:pPr>
      <w:bookmarkStart w:id="61" w:name="_Toc155267879"/>
      <w:r w:rsidRPr="00564DC7">
        <w:rPr>
          <w:rFonts w:cstheme="minorHAnsi"/>
          <w:color w:val="auto"/>
          <w:lang w:val="ro-RO"/>
        </w:rPr>
        <w:t>I.7.</w:t>
      </w:r>
      <w:r w:rsidR="004C16C8" w:rsidRPr="00564DC7">
        <w:rPr>
          <w:rFonts w:cstheme="minorHAnsi"/>
          <w:color w:val="auto"/>
          <w:lang w:val="ro-RO"/>
        </w:rPr>
        <w:t xml:space="preserve"> </w:t>
      </w:r>
      <w:r w:rsidRPr="00564DC7">
        <w:rPr>
          <w:rFonts w:cstheme="minorHAnsi"/>
          <w:color w:val="auto"/>
          <w:lang w:val="ro-RO"/>
        </w:rPr>
        <w:t xml:space="preserve"> Raporturile Consiliului Superior al Magistraturii cu puterea legislativă şi cea </w:t>
      </w:r>
      <w:r w:rsidR="00B30BCF" w:rsidRPr="00564DC7">
        <w:rPr>
          <w:rFonts w:cstheme="minorHAnsi"/>
          <w:color w:val="auto"/>
          <w:lang w:val="ro-RO"/>
        </w:rPr>
        <w:t xml:space="preserve"> </w:t>
      </w:r>
      <w:r w:rsidRPr="00564DC7">
        <w:rPr>
          <w:rFonts w:cstheme="minorHAnsi"/>
          <w:color w:val="auto"/>
          <w:lang w:val="ro-RO"/>
        </w:rPr>
        <w:t>executivă</w:t>
      </w:r>
      <w:bookmarkStart w:id="62" w:name="_Toc375653690"/>
      <w:bookmarkStart w:id="63" w:name="_Toc430867112"/>
      <w:bookmarkEnd w:id="60"/>
      <w:bookmarkEnd w:id="61"/>
    </w:p>
    <w:p w14:paraId="094F4890" w14:textId="7EF2ADEF"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b/>
          <w:sz w:val="26"/>
          <w:szCs w:val="26"/>
        </w:rPr>
        <w:t>A.</w:t>
      </w:r>
      <w:r w:rsidRPr="00564DC7">
        <w:rPr>
          <w:rFonts w:asciiTheme="minorHAnsi" w:hAnsiTheme="minorHAnsi" w:cstheme="minorHAnsi"/>
          <w:sz w:val="26"/>
          <w:szCs w:val="26"/>
        </w:rPr>
        <w:t xml:space="preserve"> În cursul anului 2023, </w:t>
      </w:r>
      <w:r w:rsidRPr="00564DC7">
        <w:rPr>
          <w:rFonts w:asciiTheme="minorHAnsi" w:hAnsiTheme="minorHAnsi" w:cstheme="minorHAnsi"/>
          <w:b/>
          <w:sz w:val="26"/>
          <w:szCs w:val="26"/>
        </w:rPr>
        <w:t>raporturile Consiliului Superior al Magistraturii cu Parlamentul României</w:t>
      </w:r>
      <w:r w:rsidRPr="00564DC7">
        <w:rPr>
          <w:rFonts w:asciiTheme="minorHAnsi" w:hAnsiTheme="minorHAnsi" w:cstheme="minorHAnsi"/>
          <w:sz w:val="26"/>
          <w:szCs w:val="26"/>
        </w:rPr>
        <w:t xml:space="preserve"> s-au concretizat, în principal, în </w:t>
      </w:r>
      <w:r w:rsidRPr="00564DC7">
        <w:rPr>
          <w:rFonts w:asciiTheme="minorHAnsi" w:hAnsiTheme="minorHAnsi" w:cstheme="minorHAnsi"/>
          <w:iCs/>
          <w:sz w:val="26"/>
          <w:szCs w:val="26"/>
        </w:rPr>
        <w:t>avizarea</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propunerilor legislative aflate în dezbatere </w:t>
      </w:r>
      <w:r w:rsidRPr="00564DC7">
        <w:rPr>
          <w:rFonts w:asciiTheme="minorHAnsi" w:hAnsiTheme="minorHAnsi" w:cstheme="minorHAnsi"/>
          <w:sz w:val="26"/>
          <w:szCs w:val="26"/>
        </w:rPr>
        <w:lastRenderedPageBreak/>
        <w:t xml:space="preserve">parlamentară, despre care se va face vorbire în cuprinsul Secţiunii 1 a Capitolului III, şi în </w:t>
      </w:r>
      <w:r w:rsidRPr="00564DC7">
        <w:rPr>
          <w:rFonts w:asciiTheme="minorHAnsi" w:hAnsiTheme="minorHAnsi" w:cstheme="minorHAnsi"/>
          <w:iCs/>
          <w:sz w:val="26"/>
          <w:szCs w:val="26"/>
        </w:rPr>
        <w:t>exprimarea unor puncte de vedere</w:t>
      </w:r>
      <w:r w:rsidRPr="00564DC7">
        <w:rPr>
          <w:rFonts w:asciiTheme="minorHAnsi" w:hAnsiTheme="minorHAnsi" w:cstheme="minorHAnsi"/>
          <w:sz w:val="26"/>
          <w:szCs w:val="26"/>
        </w:rPr>
        <w:t xml:space="preserve"> faţă de o serie de propuneri legislative, atât de către Plen, cât şi prin intermediul comisiilor de specialitate.</w:t>
      </w:r>
    </w:p>
    <w:p w14:paraId="419F715D" w14:textId="1C16BE53"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De asemenea, este de menționat </w:t>
      </w:r>
      <w:r w:rsidRPr="00564DC7">
        <w:rPr>
          <w:rFonts w:asciiTheme="minorHAnsi" w:hAnsiTheme="minorHAnsi" w:cstheme="minorHAnsi"/>
          <w:iCs/>
          <w:sz w:val="26"/>
          <w:szCs w:val="26"/>
        </w:rPr>
        <w:t>participarea unor reprezentanți ai Consiliului la ședințele comisiilor de specialitate ale celor două camere ale Parlamentului</w:t>
      </w:r>
      <w:r w:rsidRPr="00564DC7">
        <w:rPr>
          <w:rFonts w:asciiTheme="minorHAnsi" w:hAnsiTheme="minorHAnsi" w:cstheme="minorHAnsi"/>
          <w:sz w:val="26"/>
          <w:szCs w:val="26"/>
        </w:rPr>
        <w:t xml:space="preserve"> în care s-au discutat acte normative care vizau sistemul judiciar, precum şi la întâlniri în cadrul Parlamentului în care au fost dezbătute aspecte ce ţin </w:t>
      </w:r>
      <w:r w:rsidR="00C83ACC">
        <w:rPr>
          <w:rFonts w:asciiTheme="minorHAnsi" w:hAnsiTheme="minorHAnsi" w:cstheme="minorHAnsi"/>
          <w:sz w:val="26"/>
          <w:szCs w:val="26"/>
        </w:rPr>
        <w:t>d</w:t>
      </w:r>
      <w:r w:rsidRPr="00564DC7">
        <w:rPr>
          <w:rFonts w:asciiTheme="minorHAnsi" w:hAnsiTheme="minorHAnsi" w:cstheme="minorHAnsi"/>
          <w:sz w:val="26"/>
          <w:szCs w:val="26"/>
        </w:rPr>
        <w:t xml:space="preserve">e acesta. </w:t>
      </w:r>
    </w:p>
    <w:p w14:paraId="1CCCC757"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 xml:space="preserve">Sub acest aspect, indicăm participarea la ședința din 16 octombrie 2023 a Comisiei pentru muncă şi protecţie socială din cadrul Camerei Deputaţilor, în care a fost dezbătută </w:t>
      </w:r>
      <w:r w:rsidRPr="00564DC7">
        <w:rPr>
          <w:rFonts w:asciiTheme="minorHAnsi" w:hAnsiTheme="minorHAnsi" w:cstheme="minorHAnsi"/>
          <w:iCs/>
          <w:sz w:val="26"/>
          <w:szCs w:val="26"/>
        </w:rPr>
        <w:t>Legea pentru modificarea şi completarea unor acte normative în domeniul pensiilor de serviciu şi a Legii nr. 227/2015 privind Codul fiscal –PLx244/2023.</w:t>
      </w:r>
    </w:p>
    <w:p w14:paraId="7708242D" w14:textId="243177FA"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Totodată, reprezentanți ai Consiliului Superior al Magistraturii au participat la ședinț</w:t>
      </w:r>
      <w:r w:rsidR="00C72546">
        <w:rPr>
          <w:rFonts w:asciiTheme="minorHAnsi" w:hAnsiTheme="minorHAnsi" w:cstheme="minorHAnsi"/>
          <w:sz w:val="26"/>
          <w:szCs w:val="26"/>
        </w:rPr>
        <w:t>ele</w:t>
      </w:r>
      <w:r w:rsidRPr="00564DC7">
        <w:rPr>
          <w:rFonts w:asciiTheme="minorHAnsi" w:hAnsiTheme="minorHAnsi" w:cstheme="minorHAnsi"/>
          <w:sz w:val="26"/>
          <w:szCs w:val="26"/>
        </w:rPr>
        <w:t xml:space="preserve"> Comisiei pentru apărare, ordine publică şi siguranţă naţională din data de 04.04.2023</w:t>
      </w:r>
      <w:r w:rsidR="00C72546">
        <w:rPr>
          <w:rFonts w:asciiTheme="minorHAnsi" w:hAnsiTheme="minorHAnsi" w:cstheme="minorHAnsi"/>
          <w:sz w:val="26"/>
          <w:szCs w:val="26"/>
        </w:rPr>
        <w:t xml:space="preserve"> </w:t>
      </w:r>
      <w:r w:rsidR="00C72546" w:rsidRPr="00C72546">
        <w:rPr>
          <w:rFonts w:asciiTheme="minorHAnsi" w:hAnsiTheme="minorHAnsi" w:cstheme="minorHAnsi"/>
          <w:sz w:val="26"/>
          <w:szCs w:val="26"/>
        </w:rPr>
        <w:t>şi 12.12.2023</w:t>
      </w:r>
      <w:r w:rsidR="00C72546">
        <w:rPr>
          <w:rFonts w:asciiTheme="minorHAnsi" w:hAnsiTheme="minorHAnsi" w:cstheme="minorHAnsi"/>
          <w:color w:val="FF0000"/>
          <w:sz w:val="26"/>
          <w:szCs w:val="26"/>
        </w:rPr>
        <w:t xml:space="preserve"> </w:t>
      </w:r>
      <w:r w:rsidR="00C83ACC">
        <w:rPr>
          <w:rFonts w:asciiTheme="minorHAnsi" w:hAnsiTheme="minorHAnsi" w:cstheme="minorHAnsi"/>
          <w:sz w:val="26"/>
          <w:szCs w:val="26"/>
        </w:rPr>
        <w:t>în</w:t>
      </w:r>
      <w:r w:rsidRPr="00564DC7">
        <w:rPr>
          <w:rFonts w:asciiTheme="minorHAnsi" w:hAnsiTheme="minorHAnsi" w:cstheme="minorHAnsi"/>
          <w:sz w:val="26"/>
          <w:szCs w:val="26"/>
        </w:rPr>
        <w:t xml:space="preserve"> care s-a dezbătut proiectul de Lege privind căutarea persoanelor dispărute (L410/2021), precum şi la şedinţa Comisiei pentru buget, finanţe şi bănci din data de 13.09.2023, </w:t>
      </w:r>
      <w:r w:rsidR="00C83ACC">
        <w:rPr>
          <w:rFonts w:asciiTheme="minorHAnsi" w:hAnsiTheme="minorHAnsi" w:cstheme="minorHAnsi"/>
          <w:sz w:val="26"/>
          <w:szCs w:val="26"/>
        </w:rPr>
        <w:t>în</w:t>
      </w:r>
      <w:r w:rsidRPr="00564DC7">
        <w:rPr>
          <w:rFonts w:asciiTheme="minorHAnsi" w:hAnsiTheme="minorHAnsi" w:cstheme="minorHAnsi"/>
          <w:sz w:val="26"/>
          <w:szCs w:val="26"/>
        </w:rPr>
        <w:t xml:space="preserve"> care s-a dezbătut Proiectul de Lege pentru modificarea art. 8 din Legea nr. 164/2014 privind unele măsuri pentru accelerarea şi finalizarea procesului de soluţionare a cererilor formulate în temeiul Legii nr. 9/1998 privind acordarea de compensaţii cetăţenilor români pentru bunurile trecute în proprietatea statului bulgar în urma aplicării Tratatului dintre România şi Bulgaria, semnat la Craiova la 7 septembrie 1940, precum şi al Legii nr. 290/2003 privind acordarea de despăgubiri sau compensaţii cetăţenilor români pentru bunurile proprietate a acestora, sechestrate, reţinute sau rămase în Basarabia, Bucovina de Nord şi Ţinutul Herţa, ca urmare a stării de război şi a aplicării Tratatului de Pace între România şi Puterile Aliate şi Asociate, semnat la Paris la 10 februarie 1947, şi pentru modificarea unor acte normative (PLx 445/2023).</w:t>
      </w:r>
    </w:p>
    <w:p w14:paraId="0E60CECF"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De asemenea, reprezentanţi ai Consiliului Superior al Magistraturii au participat la evenimentul de lansare al Ghidului „Prevenirea situațiilor de violență asupra copiilor și tinerilor din centrele rezidențiale” organizat în cadrul Senatului la data de 13.03.2023, precum şi la lansarea de către Comisia juridică, de numiri, disciplină, imunităţi şi validări a dezbaterilor privind „Asigurarea juridică”, la data de 13.09.2023.</w:t>
      </w:r>
    </w:p>
    <w:p w14:paraId="32EA8370"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Consiliul Superior al Magistraturii, prin comisiile sale de specialitate, a transmis o serie de puncte de vedere cu observații şi propuneri referitoare la unele acte normative aflate în dezbatere parlamentară. </w:t>
      </w:r>
    </w:p>
    <w:p w14:paraId="69C127EB" w14:textId="7CD93905"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Dintre acestea, menționăm adresa nr. 26249/2022 din 01.02.2023 prin care Consiliul Superior al Magistraturii a comunicat Senatului României observațiile sale referitoare la </w:t>
      </w:r>
      <w:r w:rsidRPr="00564DC7">
        <w:rPr>
          <w:rFonts w:asciiTheme="minorHAnsi" w:hAnsiTheme="minorHAnsi" w:cstheme="minorHAnsi"/>
          <w:iCs/>
          <w:sz w:val="26"/>
          <w:szCs w:val="26"/>
        </w:rPr>
        <w:t>Propunerea legislativă pentru modificarea şi completarea Legii nr. 53/2003 – Codul Muncii şi modificarea Legii nr. 62/2022 a dialogului social în vederea reglementării unitare a jurisdicţiei muncii</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(b778/28.11.2022). Proiectul, care a urmărit să reglementeze în mod unitar procedura de soluţionare a conflictelor de muncă, procedură cuprinsă atât în Codul Muncii, cât şi în Legea dialogului social nr. 62/2011,</w:t>
      </w:r>
      <w:r w:rsidR="00C83ACC">
        <w:rPr>
          <w:rFonts w:asciiTheme="minorHAnsi" w:hAnsiTheme="minorHAnsi" w:cstheme="minorHAnsi"/>
          <w:sz w:val="26"/>
          <w:szCs w:val="26"/>
        </w:rPr>
        <w:t xml:space="preserve"> </w:t>
      </w:r>
      <w:r w:rsidRPr="00564DC7">
        <w:rPr>
          <w:rFonts w:asciiTheme="minorHAnsi" w:hAnsiTheme="minorHAnsi" w:cstheme="minorHAnsi"/>
          <w:sz w:val="26"/>
          <w:szCs w:val="26"/>
        </w:rPr>
        <w:t xml:space="preserve">a fost analizat în ședința Comisiei nr. 1 - reunită „Legislație și cooperare interinstituțională” din data de 25 ianuarie 2023. </w:t>
      </w:r>
    </w:p>
    <w:p w14:paraId="3225401C"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31 ianuarie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273/2004</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(b835/19.12.2022). Observaţiile formulate au fost comunicate Senatului cu adresa nr. 174 din 06.02.2023.</w:t>
      </w:r>
    </w:p>
    <w:p w14:paraId="5A192E90"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În ședința din data de 13 februarie 2022, Comisia nr. 1 - reunită „Legislație şi cooperare interinstituțională”, la solicitarea Senatului României, a analizat Propunerea legislativă pentru modificarea art. 597 din Legea nr. 135/2010 privind Codul de procedură penală (b762/22.11.2022). Punctul de vedere favorabil, cu o singură observaţie punctuală, a fost comunicat Senatului României cu adresa nr. 25948/2022 din data de 20.02.2023.</w:t>
      </w:r>
    </w:p>
    <w:p w14:paraId="131C3397"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lastRenderedPageBreak/>
        <w:t>La solicitarea Comisiei juridice, de numiri, disciplină, imunităţi şi validări a Senatului României, în ședința din data de 13 februarie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educaţiei naţionale nr. 1/2011, cu modificările şi completările ulterioare, şi</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a Legii nr. 194/2011 privind combaterea operaţiunilor cu produse susceptibile de a avea efecte psihoactive, altele decât cele prevăzute de acte normative în vigoare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(L744/2022</w:t>
      </w:r>
      <w:r w:rsidRPr="00564DC7">
        <w:rPr>
          <w:rFonts w:asciiTheme="minorHAnsi" w:hAnsiTheme="minorHAnsi" w:cstheme="minorHAnsi"/>
          <w:i/>
          <w:sz w:val="26"/>
          <w:szCs w:val="26"/>
        </w:rPr>
        <w:t>)</w:t>
      </w:r>
      <w:r w:rsidRPr="00564DC7">
        <w:rPr>
          <w:rFonts w:asciiTheme="minorHAnsi" w:hAnsiTheme="minorHAnsi" w:cstheme="minorHAnsi"/>
          <w:sz w:val="26"/>
          <w:szCs w:val="26"/>
        </w:rPr>
        <w:t>. Cu această ocazie, Comisia a apreciat că, deşi politica penală a statului este lăsată la latitudinea legiuitorului, propunerea legislativă nu poate fi adoptată în forma propusă pentru argumentele comunicate comisiei de specialitate a Senatului României cu adresa nr. 25755/2022 din data de 20.02.2023.</w:t>
      </w:r>
    </w:p>
    <w:p w14:paraId="3BF3E333"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La solicitarea Comisiei juridice, de numiri, disciplină, imunităţi şi validări a Senatului României, în ședința din data de 13 februarie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194 din 7 noiembrie 2011 privind combaterea operaţiunilor cu produse susceptibile de a avea efecte psihoactive, altele decât cele prevăzute de acte normative în vigoare şi a Legii nr. 143 din 26 iulie 2000 privind prevenirea şi combaterea traficului şi consumului ilicit de droguri</w:t>
      </w:r>
      <w:r w:rsidRPr="00564DC7">
        <w:rPr>
          <w:rFonts w:asciiTheme="minorHAnsi" w:hAnsiTheme="minorHAnsi" w:cstheme="minorHAnsi"/>
          <w:sz w:val="26"/>
          <w:szCs w:val="26"/>
        </w:rPr>
        <w:t xml:space="preserve"> (b741/16.11.2022). Cu această ocazie, Comisia a decis comunicarea unui punct de vedere negativ cu privire la propunerea legislativă menționată, pentru argumentele care au fost comunicate Senatului României </w:t>
      </w:r>
      <w:r w:rsidRPr="00564DC7">
        <w:rPr>
          <w:rFonts w:asciiTheme="minorHAnsi" w:hAnsiTheme="minorHAnsi" w:cstheme="minorHAnsi"/>
          <w:iCs/>
          <w:sz w:val="26"/>
          <w:szCs w:val="26"/>
        </w:rPr>
        <w:t>cu adresa nr. 25090/2022 din 20.02.2023.</w:t>
      </w:r>
    </w:p>
    <w:p w14:paraId="165FEFF9" w14:textId="346D7791"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Consiliul Superior al Magistraturii a comunicat Senatului României observații referitoare la</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286/2009  privind Codul Penal</w:t>
      </w:r>
      <w:r w:rsidRPr="00564DC7">
        <w:rPr>
          <w:rFonts w:asciiTheme="minorHAnsi" w:hAnsiTheme="minorHAnsi" w:cstheme="minorHAnsi"/>
          <w:sz w:val="26"/>
          <w:szCs w:val="26"/>
        </w:rPr>
        <w:t xml:space="preserve"> (b763/22.11.2022). Proiectul a fost analizat în şedinţa Comisiei nr. 1 – reunită „Legislaţie şi cooperare interinstituțională” din data de 22 februarie 2023,</w:t>
      </w:r>
      <w:r w:rsidRPr="00261D6B">
        <w:rPr>
          <w:rStyle w:val="NoSpacingChar"/>
          <w:rFonts w:asciiTheme="minorHAnsi" w:hAnsiTheme="minorHAnsi" w:cstheme="minorHAnsi"/>
          <w:sz w:val="26"/>
          <w:szCs w:val="26"/>
          <w:lang w:val="ro-RO"/>
        </w:rPr>
        <w:t xml:space="preserve"> apreciindu-se că</w:t>
      </w:r>
      <w:r w:rsidR="00C83ACC" w:rsidRPr="00261D6B">
        <w:rPr>
          <w:rStyle w:val="NoSpacingChar"/>
          <w:rFonts w:asciiTheme="minorHAnsi" w:hAnsiTheme="minorHAnsi" w:cstheme="minorHAnsi"/>
          <w:sz w:val="26"/>
          <w:szCs w:val="26"/>
          <w:lang w:val="ro-RO"/>
        </w:rPr>
        <w:t>,</w:t>
      </w:r>
      <w:r w:rsidRPr="00261D6B">
        <w:rPr>
          <w:rStyle w:val="NoSpacingChar"/>
          <w:rFonts w:asciiTheme="minorHAnsi" w:hAnsiTheme="minorHAnsi" w:cstheme="minorHAnsi"/>
          <w:sz w:val="26"/>
          <w:szCs w:val="26"/>
          <w:lang w:val="ro-RO"/>
        </w:rPr>
        <w:t xml:space="preserve"> </w:t>
      </w:r>
      <w:r w:rsidRPr="00564DC7">
        <w:rPr>
          <w:rFonts w:asciiTheme="minorHAnsi" w:hAnsiTheme="minorHAnsi" w:cstheme="minorHAnsi"/>
          <w:sz w:val="26"/>
          <w:szCs w:val="26"/>
        </w:rPr>
        <w:t xml:space="preserve">deși politica penală a statului este lăsată la latitudinea legiuitorului, propunerea legislativă nu poate fi adoptată în forma propusă pentru argumentele comunicate Senatului României cu adresa nr. 25952/28.02.2022. </w:t>
      </w:r>
    </w:p>
    <w:p w14:paraId="7985F221"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22 februarie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286/2009 privind Codul Penal, precum şi a altor acte normative (b772/24.11.2022),</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formulând o serie de observaţii pe care le-a comunicat Senatului cu adresa nr. 25956/2022 din data de 02.03.2023.</w:t>
      </w:r>
    </w:p>
    <w:p w14:paraId="22A6D18E"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La solicitarea Senatului României, în ședința din data de 22 februarie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286/2009  privind Codul Penal, precum şi a altor acte normative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(b772/24.11.2022),</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formulând o serie de observaţii pe care le-a comunicat Senatului cu adresa nr. 25956/2022 din 02.03.2023. În aceeaşi şedinţă a Comisiei nr. 1 - reunită a fost analizată </w:t>
      </w:r>
      <w:r w:rsidRPr="00564DC7">
        <w:rPr>
          <w:rFonts w:asciiTheme="minorHAnsi" w:hAnsiTheme="minorHAnsi" w:cstheme="minorHAnsi"/>
          <w:iCs/>
          <w:sz w:val="26"/>
          <w:szCs w:val="26"/>
        </w:rPr>
        <w:t>Propunerea legislativă pentru completarea art. 91 alin. (3) din Legea nr. 286/2009 privind Codul penal</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(b778/29.11.2022). Comisia a apreciat că este de analizat dacă dezideratele urmărite prin promovarea propunerii legislative nu ar putea fi atinse prin intermediul altor soluţii legislative, cum ar fi, de exemplu, majorarea limitelor de pedeapsă pentru infracţiunile prevăzute la art. 335 şi art. 336 din Codul Penal. Observaţiile şi propunerile formulate au fost comunicate atât Senatului României, cât şi Camerei Deputaţilor, cu adresele nr. 26254/2022 din data de 01.03.2023.</w:t>
      </w:r>
    </w:p>
    <w:p w14:paraId="74C1E7E9"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La solicitarea Senatului României, în ședința din data de 22 februarie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51/1995 privind organizarea şi exercitarea profesiei de avocat (b840/20.12.2022),</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formulând o serie de observaţii pe care le-a comunicat Senatului cu adresa nr. 7/281 din data de 28.02.2023. Printre altele, Comisia a apreciat că, pentru a răspunde cerinţelor de calitate a normei juridice şi pentru a evita supraîncărcarea rolului instanţelor, se impune clarificarea textului propus la art. 81 alin. (3</w:t>
      </w:r>
      <w:r w:rsidRPr="00564DC7">
        <w:rPr>
          <w:rFonts w:asciiTheme="minorHAnsi" w:hAnsiTheme="minorHAnsi" w:cstheme="minorHAnsi"/>
          <w:sz w:val="26"/>
          <w:szCs w:val="26"/>
          <w:vertAlign w:val="superscript"/>
        </w:rPr>
        <w:t>2</w:t>
      </w:r>
      <w:r w:rsidRPr="00564DC7">
        <w:rPr>
          <w:rFonts w:asciiTheme="minorHAnsi" w:hAnsiTheme="minorHAnsi" w:cstheme="minorHAnsi"/>
          <w:sz w:val="26"/>
          <w:szCs w:val="26"/>
        </w:rPr>
        <w:t xml:space="preserve">) din lege, prin precizarea condiţiilor în care </w:t>
      </w:r>
      <w:r w:rsidRPr="00564DC7">
        <w:rPr>
          <w:rFonts w:asciiTheme="minorHAnsi" w:hAnsiTheme="minorHAnsi" w:cstheme="minorHAnsi"/>
          <w:sz w:val="26"/>
          <w:szCs w:val="26"/>
        </w:rPr>
        <w:lastRenderedPageBreak/>
        <w:t>se restituie eventualele diferenţe atunci când avocatul încetează acordarea asistenţei juridice anterior terminării urmăririi penale, cu menţiunea că procedura ar putea fi detaliată la nivelul legislaţiei secundare. De asemenea, în contextul economico-social existent, s-a apreciat necesară şi reglementarea la nivel de lege a indexării onorariilor pentru asistenţa juridică acordată.</w:t>
      </w:r>
    </w:p>
    <w:p w14:paraId="4DEABFBE"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La solicitarea Comisiei juridice, de numiri, disciplină, imunităţi şi validări a Senatului României, în ședința din data de 22 februarie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286/2009 privind Codul penal precum şi a altor acte normative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(L1/2023</w:t>
      </w:r>
      <w:r w:rsidRPr="00564DC7">
        <w:rPr>
          <w:rFonts w:asciiTheme="minorHAnsi" w:hAnsiTheme="minorHAnsi" w:cstheme="minorHAnsi"/>
          <w:i/>
          <w:sz w:val="26"/>
          <w:szCs w:val="26"/>
        </w:rPr>
        <w:t>)</w:t>
      </w:r>
      <w:r w:rsidRPr="00564DC7">
        <w:rPr>
          <w:rFonts w:asciiTheme="minorHAnsi" w:hAnsiTheme="minorHAnsi" w:cstheme="minorHAnsi"/>
          <w:sz w:val="26"/>
          <w:szCs w:val="26"/>
        </w:rPr>
        <w:t>. În plus faţă de punctul de vedere exprimat cu privire la propunerile cuprinse în proiect, comisia de specialitate a Consiliului a formulat propuneri suplimentare de modificare şi completare a Codului Penal, transmise în tabelul ataşat adresei cu nr. 3177/2023 din data de 02.03.2023.</w:t>
      </w:r>
    </w:p>
    <w:p w14:paraId="41CABDA8"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Comisia nr. 1 - reunită ”Legislație și cooperare interinstituțională” a analizat în şedinţa din data de 28 februarie 2023 </w:t>
      </w:r>
      <w:r w:rsidRPr="00564DC7">
        <w:rPr>
          <w:rFonts w:asciiTheme="minorHAnsi" w:hAnsiTheme="minorHAnsi" w:cstheme="minorHAnsi"/>
          <w:iCs/>
          <w:sz w:val="26"/>
          <w:szCs w:val="26"/>
        </w:rPr>
        <w:t xml:space="preserve">Proiectul de lege privind aprobarea Ordonanţei de Urgenţă a Guvernului nr. 26/2022 pentru modificarea şi completarea unor acte normative în domeniul investiţiilor publice </w:t>
      </w:r>
      <w:r w:rsidRPr="00564DC7">
        <w:rPr>
          <w:rFonts w:asciiTheme="minorHAnsi" w:hAnsiTheme="minorHAnsi" w:cstheme="minorHAnsi"/>
          <w:sz w:val="26"/>
          <w:szCs w:val="26"/>
        </w:rPr>
        <w:t>(Pl-x nr. 224/2022). S-a constatat că prin proiectul de act normativ se propune, printre altele, amendarea Legii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14:paraId="19DAA382" w14:textId="6D447D7B"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În acest context, la solicitarea Comisiei juridice, de numiri, disciplină, imunităţi şi validări a Senatului României, în ședința din data de 15 martie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135/2010 privind Codul de procedură penală, precum şi pentru modificarea altor acte normative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(L2/2023</w:t>
      </w:r>
      <w:r w:rsidRPr="00564DC7">
        <w:rPr>
          <w:rFonts w:asciiTheme="minorHAnsi" w:hAnsiTheme="minorHAnsi" w:cstheme="minorHAnsi"/>
          <w:i/>
          <w:sz w:val="26"/>
          <w:szCs w:val="26"/>
        </w:rPr>
        <w:t>)</w:t>
      </w:r>
      <w:r w:rsidRPr="00564DC7">
        <w:rPr>
          <w:rFonts w:asciiTheme="minorHAnsi" w:hAnsiTheme="minorHAnsi" w:cstheme="minorHAnsi"/>
          <w:sz w:val="26"/>
          <w:szCs w:val="26"/>
        </w:rPr>
        <w:t>. Comisia de specialitate a Consiliului Superior al Magistraturii a formulat mai multe observaţii şi propuneri cu privire la proiectul de lege şi au fost comunicate cu adresa nr. 3274/2023 din 24.03.2023.</w:t>
      </w:r>
      <w:r w:rsidR="00C83ACC">
        <w:rPr>
          <w:rFonts w:asciiTheme="minorHAnsi" w:hAnsiTheme="minorHAnsi" w:cstheme="minorHAnsi"/>
          <w:sz w:val="26"/>
          <w:szCs w:val="26"/>
        </w:rPr>
        <w:t xml:space="preserve"> </w:t>
      </w:r>
      <w:r w:rsidRPr="00564DC7">
        <w:rPr>
          <w:rFonts w:asciiTheme="minorHAnsi" w:hAnsiTheme="minorHAnsi" w:cstheme="minorHAnsi"/>
          <w:sz w:val="26"/>
          <w:szCs w:val="26"/>
        </w:rPr>
        <w:t>În acelaşi timp, au fost formulate şi propuneri suplimentare de modificare şi completare a Codului de procedură penală. Totodată, comisia de specialitate a apreciat că pentru asigurarea unei reglementări complete, din perspectiva punerii în acord a Codului de procedură penală cu toate deciziile adoptate de Curtea Constituţională până în prezent, ar trebui avute în vedere şi alte două decizii ale instanţei de contencios constituţional, după cum urmează: Decizia nr. 357/2022, publicată în Monitorul Oficial nr. 1.061 din 2 noiembrie 2022 şi Decizia nr. 490/2022,  publicată în Monitorul Oficial nr. 1.240 din 22 decembrie 2022.</w:t>
      </w:r>
    </w:p>
    <w:p w14:paraId="73BF8505"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15 martie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135/2010  privind Codul de procedură penală, precum şi a altor acte normative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(b773/24.11.2022).</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Propunerile şi observaţiile comisiei de specialitate a Consiliului au fost comunicate Senatului cu adresa nr. 25962/2022 din data de 24.03.2023.</w:t>
      </w:r>
    </w:p>
    <w:p w14:paraId="155F0602"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La solicitarea Senatului României, în ședința din data de 15 martie 2023, Comisia nr. 1 - judecători „Legislație și cooperare interinstituțională” a analizat Propunerea legislativă privind modificarea Legii nr. 367/2022 a dialogului social</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(b45/06.02.2023).</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Comisia a reţinut că, deşi este necesară o reglementare în sensul celei propuse, soluţia legislativă ar trebui să vizeze doar competenţa de soluţionare a conflictelor individuale de muncă şi să aibă ca obiect completarea Legii nr. 53/2003 privind Codul Muncii. În plus, Comisia a apreciat că este necesară o normă tranzitorie care să reglementeze situaţia dosarelor înregistrate pe rolul instanţelor de la data abrogării Legii dialogului social nr. 62/2022 şi până la intrarea în vigoare a noilor dispoziţii. Propunerile şi observaţiile comisiei de specialitate a Consiliului au fost comunicate Senatului cu adresa nr. 4109/2023 din 21.03.2023.</w:t>
      </w:r>
    </w:p>
    <w:p w14:paraId="7976317F" w14:textId="77777777" w:rsidR="003D2838" w:rsidRPr="00564DC7" w:rsidRDefault="003D2838" w:rsidP="00690186">
      <w:pPr>
        <w:ind w:firstLine="708"/>
        <w:jc w:val="both"/>
        <w:rPr>
          <w:rFonts w:asciiTheme="minorHAnsi" w:hAnsiTheme="minorHAnsi" w:cstheme="minorHAnsi"/>
          <w:sz w:val="26"/>
          <w:szCs w:val="26"/>
        </w:rPr>
      </w:pPr>
      <w:r w:rsidRPr="00261D6B">
        <w:rPr>
          <w:rStyle w:val="NoSpacingChar"/>
          <w:rFonts w:asciiTheme="minorHAnsi" w:hAnsiTheme="minorHAnsi" w:cstheme="minorHAnsi"/>
          <w:sz w:val="26"/>
          <w:szCs w:val="26"/>
          <w:lang w:val="ro-RO"/>
        </w:rPr>
        <w:t xml:space="preserve">Propunerea legislativă pentru modificarea şi completarea Legii nr. 53/2003 – Codul Muncii (b48/07.02.2023) a fost analizată, la solicitarea Senatului României, în ședința din data de 15 </w:t>
      </w:r>
      <w:r w:rsidRPr="00261D6B">
        <w:rPr>
          <w:rStyle w:val="NoSpacingChar"/>
          <w:rFonts w:asciiTheme="minorHAnsi" w:hAnsiTheme="minorHAnsi" w:cstheme="minorHAnsi"/>
          <w:sz w:val="26"/>
          <w:szCs w:val="26"/>
          <w:lang w:val="ro-RO"/>
        </w:rPr>
        <w:lastRenderedPageBreak/>
        <w:t xml:space="preserve">martie 2023 a Comisiei nr. 1 - judecători „Legislație şi cooperare interinstituțională”.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împreună</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argumentele</w:t>
      </w:r>
      <w:proofErr w:type="spellEnd"/>
      <w:r w:rsidRPr="00261D6B">
        <w:rPr>
          <w:rStyle w:val="NoSpacingChar"/>
          <w:rFonts w:asciiTheme="minorHAnsi" w:hAnsiTheme="minorHAnsi" w:cstheme="minorHAnsi"/>
          <w:sz w:val="26"/>
          <w:szCs w:val="26"/>
          <w:lang w:val="fr-FR"/>
        </w:rPr>
        <w:t xml:space="preserve"> care au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avute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prin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4583/2023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data de 23.03.2023.</w:t>
      </w:r>
    </w:p>
    <w:p w14:paraId="4655CCDF" w14:textId="3CDD5E7E" w:rsidR="003D2838" w:rsidRPr="00564DC7" w:rsidRDefault="003D2838" w:rsidP="0097656B">
      <w:pPr>
        <w:ind w:firstLine="709"/>
        <w:jc w:val="both"/>
        <w:rPr>
          <w:rFonts w:asciiTheme="minorHAnsi" w:hAnsiTheme="minorHAnsi" w:cstheme="minorHAnsi"/>
          <w:sz w:val="26"/>
          <w:szCs w:val="26"/>
        </w:rPr>
      </w:pPr>
      <w:r w:rsidRPr="00564DC7">
        <w:rPr>
          <w:rFonts w:asciiTheme="minorHAnsi" w:hAnsiTheme="minorHAnsi" w:cstheme="minorHAnsi"/>
          <w:iCs/>
          <w:sz w:val="26"/>
          <w:szCs w:val="26"/>
        </w:rPr>
        <w:t xml:space="preserve">Propunerea legislativă pentru modificarea şi completarea Ordonanţei Guvernului nr. 137/2000 </w:t>
      </w:r>
      <w:r w:rsidRPr="00564DC7">
        <w:rPr>
          <w:rFonts w:asciiTheme="minorHAnsi" w:hAnsiTheme="minorHAnsi" w:cstheme="minorHAnsi"/>
          <w:bCs/>
          <w:iCs/>
          <w:sz w:val="26"/>
          <w:szCs w:val="26"/>
          <w:shd w:val="clear" w:color="auto" w:fill="FFFFFF"/>
        </w:rPr>
        <w:t>privind prevenirea şi sancţionarea tuturor formelor de discriminare, republicată, cu modificările şi completările ulterioare</w:t>
      </w:r>
      <w:r w:rsidRPr="00564DC7">
        <w:rPr>
          <w:rFonts w:asciiTheme="minorHAnsi" w:hAnsiTheme="minorHAnsi" w:cstheme="minorHAnsi"/>
          <w:i/>
          <w:sz w:val="26"/>
          <w:szCs w:val="26"/>
        </w:rPr>
        <w:t>‚</w:t>
      </w:r>
      <w:r w:rsidRPr="00564DC7">
        <w:rPr>
          <w:rFonts w:asciiTheme="minorHAnsi" w:hAnsiTheme="minorHAnsi" w:cstheme="minorHAnsi"/>
          <w:bCs/>
          <w:i/>
          <w:sz w:val="26"/>
          <w:szCs w:val="26"/>
          <w:shd w:val="clear" w:color="auto" w:fill="FFFFFF"/>
        </w:rPr>
        <w:t xml:space="preserve"> </w:t>
      </w:r>
      <w:r w:rsidRPr="00564DC7">
        <w:rPr>
          <w:rFonts w:asciiTheme="minorHAnsi" w:hAnsiTheme="minorHAnsi" w:cstheme="minorHAnsi"/>
          <w:sz w:val="26"/>
          <w:szCs w:val="26"/>
        </w:rPr>
        <w:t xml:space="preserve">a fost analizată, </w:t>
      </w:r>
      <w:r w:rsidRPr="00261D6B">
        <w:rPr>
          <w:rStyle w:val="NoSpacingChar"/>
          <w:rFonts w:asciiTheme="minorHAnsi" w:hAnsiTheme="minorHAnsi" w:cstheme="minorHAnsi"/>
          <w:sz w:val="26"/>
          <w:szCs w:val="26"/>
          <w:lang w:val="ro-RO"/>
        </w:rPr>
        <w:t xml:space="preserve">la solicitarea Senatului României, </w:t>
      </w:r>
      <w:r w:rsidRPr="00564DC7">
        <w:rPr>
          <w:rFonts w:asciiTheme="minorHAnsi" w:hAnsiTheme="minorHAnsi" w:cstheme="minorHAnsi"/>
          <w:sz w:val="26"/>
          <w:szCs w:val="26"/>
        </w:rPr>
        <w:t>în ședința din data de 23.03.2023 a Comisiei nr. 1 - reunită ”Legislație și cooperare interinstituțională”.</w:t>
      </w:r>
      <w:r w:rsidRPr="00261D6B">
        <w:rPr>
          <w:rStyle w:val="NoSpacingChar"/>
          <w:rFonts w:asciiTheme="minorHAnsi" w:hAnsiTheme="minorHAnsi" w:cstheme="minorHAnsi"/>
          <w:sz w:val="26"/>
          <w:szCs w:val="26"/>
          <w:lang w:val="ro-RO"/>
        </w:rPr>
        <w:t xml:space="preserve"> Punctul de vedere al Comisiei, care cuprinde observații punctuale atât în legătură cu fondul propunerii, cât şi referitoare la abateri de la tehnica legislativă, a fost comunicat Senatului României cu adresa nr. 4110/28.03.2023.</w:t>
      </w:r>
    </w:p>
    <w:p w14:paraId="64A16B0A" w14:textId="77777777" w:rsidR="003D2838" w:rsidRPr="00564DC7" w:rsidRDefault="003D2838" w:rsidP="00690186">
      <w:pPr>
        <w:ind w:firstLine="708"/>
        <w:jc w:val="both"/>
        <w:rPr>
          <w:rFonts w:asciiTheme="minorHAnsi" w:hAnsiTheme="minorHAnsi" w:cstheme="minorHAnsi"/>
          <w:i/>
          <w:sz w:val="26"/>
          <w:szCs w:val="26"/>
        </w:rPr>
      </w:pPr>
      <w:r w:rsidRPr="00564DC7">
        <w:rPr>
          <w:rFonts w:asciiTheme="minorHAnsi" w:hAnsiTheme="minorHAnsi" w:cstheme="minorHAnsi"/>
          <w:iCs/>
          <w:sz w:val="26"/>
          <w:szCs w:val="26"/>
        </w:rPr>
        <w:t xml:space="preserve">Propunerea legislativă pentru modificarea şi completarea Legii nr. 196 din 13 mai 2003, republicată în Monitorul Oficial nr. 198 din 20 martie 2014, privind prevenirea şi combaterea pornografiei (b68/14.02.2023) a fost analizată de Comisia nr. 1 - reunită „Legislație și cooperare interinstituțională” în ședința din data de 23 martie 2023, la solicitarea Senatului României. </w:t>
      </w:r>
      <w:r w:rsidRPr="00261D6B">
        <w:rPr>
          <w:rStyle w:val="NoSpacingChar"/>
          <w:rFonts w:asciiTheme="minorHAnsi" w:hAnsiTheme="minorHAnsi" w:cstheme="minorHAnsi"/>
          <w:sz w:val="26"/>
          <w:szCs w:val="26"/>
          <w:lang w:val="ro-RO"/>
        </w:rPr>
        <w:t>Punctul de vedere al Comisiei, care cuprinde şi observații punctuale atât în legătură cu fondul propunerii, cât şi referitoare la abateri de la tehnica legislativă, a fost comunicat Senatului României cu adresa nr. 4576/2023 din 30.03.2023.</w:t>
      </w:r>
      <w:r w:rsidRPr="00564DC7">
        <w:rPr>
          <w:rFonts w:asciiTheme="minorHAnsi" w:hAnsiTheme="minorHAnsi" w:cstheme="minorHAnsi"/>
          <w:i/>
          <w:sz w:val="26"/>
          <w:szCs w:val="26"/>
        </w:rPr>
        <w:t xml:space="preserve"> </w:t>
      </w:r>
    </w:p>
    <w:p w14:paraId="1F944B48"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 xml:space="preserve">Propunerea legislativă pentru modificarea şi completarea Legii nr. 77/2016 privind darea în plată a unor bunuri imobile în vederea stingerii obligaţiilor asumate prin credite (b86/17.02.2023) a fost analizată de Comisia nr. 1 - reunită „Legislație și cooperare interinstituțională” în ședința din data de 23 martie 2023, la solicitarea Senatului României. </w:t>
      </w:r>
      <w:r w:rsidRPr="00261D6B">
        <w:rPr>
          <w:rStyle w:val="NoSpacingChar"/>
          <w:rFonts w:asciiTheme="minorHAnsi" w:hAnsiTheme="minorHAnsi" w:cstheme="minorHAnsi"/>
          <w:sz w:val="26"/>
          <w:szCs w:val="26"/>
          <w:lang w:val="ro-RO"/>
        </w:rPr>
        <w:t xml:space="preserve">Comisia a apreciat ca fiind oportună propunerea de modificare a </w:t>
      </w:r>
      <w:r w:rsidRPr="00564DC7">
        <w:rPr>
          <w:rFonts w:asciiTheme="minorHAnsi" w:hAnsiTheme="minorHAnsi" w:cstheme="minorHAnsi"/>
          <w:sz w:val="26"/>
          <w:szCs w:val="26"/>
        </w:rPr>
        <w:t>Legii nr. 77/2016 în sensul abrogării alineatului (4) al articolului 1 care exclude de la aplicarea prevederilor legii creditele acordate prin programul „Prima casă”, fiind necesară însă reglementarea în detaliu a aspectelor referitoare la darea în plată raportat la specificul raporturilor care se nasc în cadrul creditelor acordate prin programul „Prima casă”.</w:t>
      </w:r>
      <w:r w:rsidRPr="00261D6B">
        <w:rPr>
          <w:rStyle w:val="NoSpacingChar"/>
          <w:rFonts w:asciiTheme="minorHAnsi" w:hAnsiTheme="minorHAnsi" w:cstheme="minorHAnsi"/>
          <w:sz w:val="26"/>
          <w:szCs w:val="26"/>
          <w:lang w:val="ro-RO"/>
        </w:rPr>
        <w:t xml:space="preserve">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împreună</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argumentele</w:t>
      </w:r>
      <w:proofErr w:type="spellEnd"/>
      <w:r w:rsidRPr="00261D6B">
        <w:rPr>
          <w:rStyle w:val="NoSpacingChar"/>
          <w:rFonts w:asciiTheme="minorHAnsi" w:hAnsiTheme="minorHAnsi" w:cstheme="minorHAnsi"/>
          <w:sz w:val="26"/>
          <w:szCs w:val="26"/>
          <w:lang w:val="fr-FR"/>
        </w:rPr>
        <w:t xml:space="preserve"> care au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avute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prin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4584/2023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data de 29.03.2023.</w:t>
      </w:r>
    </w:p>
    <w:p w14:paraId="1718CB2C"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Consiliul Superior al Magistraturii a comunicat Senatului României observații referitoare la</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286/2009  privind Codul Penal</w:t>
      </w:r>
      <w:r w:rsidRPr="00564DC7">
        <w:rPr>
          <w:rFonts w:asciiTheme="minorHAnsi" w:hAnsiTheme="minorHAnsi" w:cstheme="minorHAnsi"/>
          <w:sz w:val="26"/>
          <w:szCs w:val="26"/>
        </w:rPr>
        <w:t xml:space="preserve"> (b88/17.02.2022). Proiectul a fost analizat în şedinţa Comisiei nr. 1 – reunită „Legislaţie şi cooperare interinstituțională” din data de 23 martie 2023,</w:t>
      </w:r>
      <w:r w:rsidRPr="00261D6B">
        <w:rPr>
          <w:rStyle w:val="NoSpacingChar"/>
          <w:rFonts w:asciiTheme="minorHAnsi" w:hAnsiTheme="minorHAnsi" w:cstheme="minorHAnsi"/>
          <w:sz w:val="26"/>
          <w:szCs w:val="26"/>
          <w:lang w:val="ro-RO"/>
        </w:rPr>
        <w:t xml:space="preserve"> apreciindu-se că, </w:t>
      </w:r>
      <w:r w:rsidRPr="00564DC7">
        <w:rPr>
          <w:rFonts w:asciiTheme="minorHAnsi" w:hAnsiTheme="minorHAnsi" w:cstheme="minorHAnsi"/>
          <w:sz w:val="26"/>
          <w:szCs w:val="26"/>
        </w:rPr>
        <w:t xml:space="preserve">deși politica penală a statului este lăsată la latitudinea legiuitorului, propunerea legislativă nu poate fi adoptată în forma propusă pentru argumentele comunicate Senatului României cu adresa nr. 4588/2023 din  data de 30.03.2022. </w:t>
      </w:r>
    </w:p>
    <w:p w14:paraId="2D370B70" w14:textId="77777777" w:rsidR="003D2838" w:rsidRPr="00564DC7" w:rsidRDefault="003D2838" w:rsidP="00690186">
      <w:pPr>
        <w:ind w:firstLine="708"/>
        <w:jc w:val="both"/>
        <w:rPr>
          <w:rFonts w:asciiTheme="minorHAnsi" w:hAnsiTheme="minorHAnsi" w:cstheme="minorHAnsi"/>
          <w:sz w:val="26"/>
          <w:szCs w:val="26"/>
        </w:rPr>
      </w:pPr>
      <w:r w:rsidRPr="00261D6B">
        <w:rPr>
          <w:rStyle w:val="NoSpacingChar"/>
          <w:rFonts w:asciiTheme="minorHAnsi" w:hAnsiTheme="minorHAnsi" w:cstheme="minorHAnsi"/>
          <w:sz w:val="26"/>
          <w:szCs w:val="26"/>
          <w:lang w:val="ro-RO"/>
        </w:rPr>
        <w:t xml:space="preserve">Propunerea legislativă pentru modificarea şi completarea Legii nr. 286/2009 privind Codul Penal (b48/07.02.2023) a fost analizată, la solicitarea Senatului României, în ședința din data de 23 martie 2023 a Comisiei nr. 1 - reunită „Legislație şi cooperare interinstituțională”.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împreună</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argumentele</w:t>
      </w:r>
      <w:proofErr w:type="spellEnd"/>
      <w:r w:rsidRPr="00261D6B">
        <w:rPr>
          <w:rStyle w:val="NoSpacingChar"/>
          <w:rFonts w:asciiTheme="minorHAnsi" w:hAnsiTheme="minorHAnsi" w:cstheme="minorHAnsi"/>
          <w:sz w:val="26"/>
          <w:szCs w:val="26"/>
          <w:lang w:val="fr-FR"/>
        </w:rPr>
        <w:t xml:space="preserve"> care au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avute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prin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3938/2023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data de 30.03.2023.</w:t>
      </w:r>
    </w:p>
    <w:p w14:paraId="33BE80DC"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10 aprilie 2023, Comisia nr. 1 - judecători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Legii nr. 217/2003 privind prevenirea şi combaterea violenţei domestice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(b128/08.03.2023).</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Cu privire la modificarea duratei maxime pentru care se pot dispune măsuri prin ordinul de protecţie, trebuie avută în vedere necesitatea stabilirii unui echilibru între drepturile celor două părţi implicate în acte de violenţă în familie, ţinând cont că ingerinţa asupra drepturilor fundamentale ale persoanei împotriva căreia se emite ordinul este una serioasă, şi că reglementarea în vigoare asigură un mecanism corespunzător de protecţie a victimei, fiind posibilă emiterea unui nou ordin de protecţie după momentul expirării duratei măsurilor de </w:t>
      </w:r>
      <w:r w:rsidRPr="00564DC7">
        <w:rPr>
          <w:rFonts w:asciiTheme="minorHAnsi" w:hAnsiTheme="minorHAnsi" w:cstheme="minorHAnsi"/>
          <w:sz w:val="26"/>
          <w:szCs w:val="26"/>
        </w:rPr>
        <w:lastRenderedPageBreak/>
        <w:t xml:space="preserve">protecţie anterioare. </w:t>
      </w:r>
      <w:r w:rsidRPr="00564DC7">
        <w:rPr>
          <w:rFonts w:asciiTheme="minorHAnsi" w:hAnsiTheme="minorHAnsi" w:cstheme="minorHAnsi"/>
          <w:iCs/>
          <w:sz w:val="26"/>
          <w:szCs w:val="26"/>
        </w:rPr>
        <w:t xml:space="preserve">Răspunsul Consiliului Superior al Magistraturii a fost comunicat Senatului României </w:t>
      </w:r>
      <w:r w:rsidRPr="00564DC7">
        <w:rPr>
          <w:rFonts w:asciiTheme="minorHAnsi" w:hAnsiTheme="minorHAnsi" w:cstheme="minorHAnsi"/>
          <w:sz w:val="26"/>
          <w:szCs w:val="26"/>
        </w:rPr>
        <w:t>cu adresa nr. 6158/2023 din 13.04.2023.</w:t>
      </w:r>
    </w:p>
    <w:p w14:paraId="2E62421A"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Propunerea legislativă pentru modificarea Legii nr. 95/2006 privind reforma în domeniul sănătăţii (b92/20.02.2023) a fost analizată de Comisia nr. 1 - judecători „Legislație și cooperare interinstituțională” în ședința din data de 10 aprilie 2023, la solicitarea Senatului României. Propunerea urmăreşte abrogarea dispoziţiilor legale care reglementează procedura facultativă de stabilire a cazurilor de malpraxis în faţa comisiiilor de monitorizare şi competenţă profesională pentru cazurile de malpraxis. Comisia a apreciat că, deşi este o opţiune a legiuitorului, este necesară o analiză de ansamblu a aspectelor referitoare la eficienţa/ineficienţa acestei proceduri prealabile. Răspunsul Consiliului Superior al Magistraturii a fost comunicat Senatului României cu adresa nr. 4961/2023 din data de 12.04.2023.</w:t>
      </w:r>
    </w:p>
    <w:p w14:paraId="0A8EB28B" w14:textId="77777777" w:rsidR="003D2838"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2 mai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Ordonanţei Guvernului nr. 2/2002 privind regimul juridic al contravenţiilor şi a Legii nr. 227/2015 privind Codul de procedură fiscală</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(b119/06.03.2023). </w:t>
      </w:r>
      <w:r w:rsidRPr="00564DC7">
        <w:rPr>
          <w:rFonts w:asciiTheme="minorHAnsi" w:hAnsiTheme="minorHAnsi" w:cstheme="minorHAnsi"/>
          <w:iCs/>
          <w:sz w:val="26"/>
          <w:szCs w:val="26"/>
        </w:rPr>
        <w:t xml:space="preserve">Observațiile Consiliului Superior al Magistraturii s-au circumscris competenţelor ce revin acestei instituţii potrivit Legii fundamentale şi legii sale organice. </w:t>
      </w:r>
      <w:bookmarkStart w:id="64" w:name="_Hlk122355570"/>
      <w:r w:rsidRPr="00564DC7">
        <w:rPr>
          <w:rFonts w:asciiTheme="minorHAnsi" w:hAnsiTheme="minorHAnsi" w:cstheme="minorHAnsi"/>
          <w:iCs/>
          <w:sz w:val="26"/>
          <w:szCs w:val="26"/>
        </w:rPr>
        <w:t xml:space="preserve">Răspunsul Consiliului Superior al Magistraturii a fost comunicat Senatului României cu adresa nr. </w:t>
      </w:r>
      <w:bookmarkEnd w:id="64"/>
      <w:r w:rsidRPr="00564DC7">
        <w:rPr>
          <w:rFonts w:asciiTheme="minorHAnsi" w:hAnsiTheme="minorHAnsi" w:cstheme="minorHAnsi"/>
          <w:iCs/>
          <w:sz w:val="26"/>
          <w:szCs w:val="26"/>
        </w:rPr>
        <w:t>5919/08.05.2023.</w:t>
      </w:r>
    </w:p>
    <w:p w14:paraId="5170A039" w14:textId="77777777" w:rsidR="00295716" w:rsidRPr="00564DC7" w:rsidRDefault="00295716" w:rsidP="00295716">
      <w:pPr>
        <w:ind w:firstLine="709"/>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2 mai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95/2006 privind reforma în domeniul sănătăţii</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(b450/29.06.2023). </w:t>
      </w:r>
      <w:r w:rsidRPr="00564DC7">
        <w:rPr>
          <w:rFonts w:asciiTheme="minorHAnsi" w:hAnsiTheme="minorHAnsi" w:cstheme="minorHAnsi"/>
          <w:iCs/>
          <w:sz w:val="26"/>
          <w:szCs w:val="26"/>
        </w:rPr>
        <w:t xml:space="preserve">Proiectul vizează modificarea </w:t>
      </w:r>
      <w:r w:rsidRPr="00564DC7">
        <w:rPr>
          <w:rFonts w:asciiTheme="minorHAnsi" w:hAnsiTheme="minorHAnsi" w:cstheme="minorHAnsi"/>
          <w:sz w:val="26"/>
          <w:szCs w:val="26"/>
        </w:rPr>
        <w:t>Legii nr. 95/2006 sub aspectul răspunderii civile delictuale pentru acte de malpraxis medical, în sensul eliminării posibilităţii persoanelor prejudiciate de a exercita o acţiune directă împotriva personalului medical şi reglementarea unei acţiuni directe împotriva furnizorului de servicii medicale şi a asigurătorului său, cu posibilitatea pentru aceştia din urmă de a exercita ulterior o acţiune în regres împotriva asigurătorului personalului medical în culpă sau împotriva personalului medical exclusiv pentru daunele care nu sunt acoperite din poliţa de asigurare.</w:t>
      </w:r>
      <w:r w:rsidRPr="00564DC7">
        <w:rPr>
          <w:rFonts w:asciiTheme="minorHAnsi" w:hAnsiTheme="minorHAnsi" w:cstheme="minorHAnsi"/>
          <w:iCs/>
          <w:sz w:val="26"/>
          <w:szCs w:val="26"/>
        </w:rPr>
        <w:t xml:space="preserve"> Punctul de vedere al comisiei de specialitate a Consiliului Superior al Magistraturii a fost comunicat Senatului României, împreună cu argumentele care au fost avute în vedere, cu adresa nr. 14882/2023 din 11.09.2023.</w:t>
      </w:r>
    </w:p>
    <w:p w14:paraId="1F6442D5" w14:textId="191E7D06" w:rsidR="003D2838"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Propunerea legislativă pentru modificarea şi completarea Legii nr. 135/2010 privind Codul de procedură penală</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(b189/28.03.2023)</w:t>
      </w:r>
      <w:r w:rsidRPr="00564DC7">
        <w:rPr>
          <w:rFonts w:asciiTheme="minorHAnsi" w:hAnsiTheme="minorHAnsi" w:cstheme="minorHAnsi"/>
          <w:iCs/>
          <w:sz w:val="26"/>
          <w:szCs w:val="26"/>
        </w:rPr>
        <w:t xml:space="preserve"> a fost analizată de Comisia nr. 1 - reunită „Legislație și cooperare interinstituțională” în ședința din data de 16 mai 2023, la solicitarea Senatului României. </w:t>
      </w:r>
      <w:r w:rsidRPr="00564DC7">
        <w:rPr>
          <w:rFonts w:asciiTheme="minorHAnsi" w:hAnsiTheme="minorHAnsi" w:cstheme="minorHAnsi"/>
          <w:sz w:val="26"/>
          <w:szCs w:val="26"/>
        </w:rPr>
        <w:t>Comisia a apreciat că posibila sustragere de la executarea unei pedepse neaplicate în mod definitiv de către o instanţă de judecată (indiferent dacă procesul penal se află în stadiul anterior sau ulterior pronunţării unei soluţii de condamnare de către instanţa care soluţionează fondul) nu poate constitui</w:t>
      </w:r>
      <w:r w:rsidR="00C83ACC">
        <w:rPr>
          <w:rFonts w:asciiTheme="minorHAnsi" w:hAnsiTheme="minorHAnsi" w:cstheme="minorHAnsi"/>
          <w:sz w:val="26"/>
          <w:szCs w:val="26"/>
        </w:rPr>
        <w:t xml:space="preserve">, </w:t>
      </w:r>
      <w:r w:rsidRPr="00564DC7">
        <w:rPr>
          <w:rFonts w:asciiTheme="minorHAnsi" w:hAnsiTheme="minorHAnsi" w:cstheme="minorHAnsi"/>
          <w:i/>
          <w:sz w:val="26"/>
          <w:szCs w:val="26"/>
        </w:rPr>
        <w:t>per se</w:t>
      </w:r>
      <w:r w:rsidR="00C83ACC">
        <w:rPr>
          <w:rFonts w:asciiTheme="minorHAnsi" w:hAnsiTheme="minorHAnsi" w:cstheme="minorHAnsi"/>
          <w:i/>
          <w:sz w:val="26"/>
          <w:szCs w:val="26"/>
        </w:rPr>
        <w:t xml:space="preserve">, </w:t>
      </w:r>
      <w:r w:rsidRPr="00564DC7">
        <w:rPr>
          <w:rFonts w:asciiTheme="minorHAnsi" w:hAnsiTheme="minorHAnsi" w:cstheme="minorHAnsi"/>
          <w:sz w:val="26"/>
          <w:szCs w:val="26"/>
        </w:rPr>
        <w:t>temei pentru luarea unei măsuri preventive. Totodată, Comisia a apreciat că nu este oportună majorarea de la 5 la 7 ani a perioadei pentru care poate fi menţinută măsura controlului judiciar în faza judecăţii, cu atât mai mult cu cât propunerea formulată nu este fundamentată de o analiză jurisprudenţială care să reflecte o asemenea necesitate.</w:t>
      </w:r>
      <w:r w:rsidRPr="00564DC7">
        <w:rPr>
          <w:rFonts w:asciiTheme="minorHAnsi" w:hAnsiTheme="minorHAnsi" w:cstheme="minorHAnsi"/>
          <w:iCs/>
          <w:sz w:val="26"/>
          <w:szCs w:val="26"/>
        </w:rPr>
        <w:t xml:space="preserve"> Răspunsul Consiliului Superior al Magistraturii a fost comunicat Senatului României cu adresa nr. 7573/2023 din data de 19.05.2023.</w:t>
      </w:r>
    </w:p>
    <w:p w14:paraId="69FE9CE9" w14:textId="77777777" w:rsidR="00295716" w:rsidRPr="00564DC7" w:rsidRDefault="00295716" w:rsidP="00295716">
      <w:pPr>
        <w:ind w:firstLine="709"/>
        <w:jc w:val="both"/>
        <w:rPr>
          <w:rFonts w:asciiTheme="minorHAnsi" w:hAnsiTheme="minorHAnsi" w:cstheme="minorHAnsi"/>
          <w:iCs/>
          <w:sz w:val="26"/>
          <w:szCs w:val="26"/>
        </w:rPr>
      </w:pPr>
      <w:r w:rsidRPr="00564DC7">
        <w:rPr>
          <w:rFonts w:asciiTheme="minorHAnsi" w:hAnsiTheme="minorHAnsi" w:cstheme="minorHAnsi"/>
          <w:iCs/>
          <w:sz w:val="26"/>
          <w:szCs w:val="26"/>
        </w:rPr>
        <w:t>Prin Hotărârea nr. 90 din 24 mai 2023, Plenul Consiliului Superior al Magistraturii a comunicat Camerei Deputaţilor punctul de vedere al sistemului judiciar, în vederea asigurării independenţei judecătorilor şi procurorilor din perspectiva pensiei de serviciu.</w:t>
      </w:r>
    </w:p>
    <w:p w14:paraId="6464B207" w14:textId="6D7F2D06" w:rsidR="003D2838" w:rsidRPr="00261D6B" w:rsidRDefault="003D2838" w:rsidP="0097656B">
      <w:pPr>
        <w:ind w:firstLine="709"/>
        <w:jc w:val="both"/>
        <w:rPr>
          <w:rStyle w:val="NoSpacingChar"/>
          <w:rFonts w:asciiTheme="minorHAnsi" w:hAnsiTheme="minorHAnsi" w:cstheme="minorHAnsi"/>
          <w:sz w:val="26"/>
          <w:szCs w:val="26"/>
          <w:lang w:val="ro-RO"/>
        </w:rPr>
      </w:pPr>
      <w:r w:rsidRPr="00564DC7">
        <w:rPr>
          <w:rFonts w:asciiTheme="minorHAnsi" w:hAnsiTheme="minorHAnsi" w:cstheme="minorHAnsi"/>
          <w:iCs/>
          <w:sz w:val="26"/>
          <w:szCs w:val="26"/>
        </w:rPr>
        <w:t>Propunerea legislativă privind plafonarea veniturilor din sectorul public la nivelul salariului Preşedintelui României</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(b258/25.04.2023)</w:t>
      </w:r>
      <w:r w:rsidRPr="00564DC7">
        <w:rPr>
          <w:rFonts w:asciiTheme="minorHAnsi" w:hAnsiTheme="minorHAnsi" w:cstheme="minorHAnsi"/>
          <w:iCs/>
          <w:sz w:val="26"/>
          <w:szCs w:val="26"/>
        </w:rPr>
        <w:t xml:space="preserve"> a fost analizată de Comisia nr. 1  - reunită „Legislație și cooperare interinstituțională” în ședința din data de 29 mai 2023, la solicitarea Senatului României. Printre altele, Comisia a apreciat că propunerea legislativă este criticabilă întrucât, în </w:t>
      </w:r>
      <w:r w:rsidRPr="00564DC7">
        <w:rPr>
          <w:rFonts w:asciiTheme="minorHAnsi" w:hAnsiTheme="minorHAnsi" w:cstheme="minorHAnsi"/>
          <w:iCs/>
          <w:sz w:val="26"/>
          <w:szCs w:val="26"/>
        </w:rPr>
        <w:lastRenderedPageBreak/>
        <w:t xml:space="preserve">concepţia acesteia, ar urma să fie realizată o plafonare de plano la nivelul „salariului de bază în plată al Preşedintelui României” a „câştigului salarial total lunar”, fără a fi avute în vedere criterii necesare care, fără îndoială, ar impune o diferenţiere a veniturilor în raport de elementele de specificitate ale fiecărei funcţii. </w:t>
      </w:r>
      <w:r w:rsidRPr="00261D6B">
        <w:rPr>
          <w:rStyle w:val="NoSpacingChar"/>
          <w:rFonts w:asciiTheme="minorHAnsi" w:hAnsiTheme="minorHAnsi" w:cstheme="minorHAnsi"/>
          <w:sz w:val="26"/>
          <w:szCs w:val="26"/>
          <w:lang w:val="ro-RO"/>
        </w:rPr>
        <w:t>Punctul de vedere al Comisiei, care cuprinde observații punctuale în legătură cu fondul propunerii, cât şi referitoare la abateri de la tehnica legislativă, a fost comunicat Senatului României cu adresa nr. 9441/2023 din data de 07.06.2023.</w:t>
      </w:r>
    </w:p>
    <w:p w14:paraId="060EAFC8"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Propunerea legislativă pentru modificarea Legii nr. 134/2010 privind Codul de procedură civilă</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(b249/20.04.2023)</w:t>
      </w:r>
      <w:r w:rsidRPr="00564DC7">
        <w:rPr>
          <w:rFonts w:asciiTheme="minorHAnsi" w:hAnsiTheme="minorHAnsi" w:cstheme="minorHAnsi"/>
          <w:iCs/>
          <w:sz w:val="26"/>
          <w:szCs w:val="26"/>
        </w:rPr>
        <w:t xml:space="preserve"> a fost analizată de Comisia nr. 1 – reunită  „Legislație și cooperare interinstituțională” în ședința din data de 29 mai 2023, la solicitarea Senatului României. Comisia nu a formulat observaţii cu privire la propunerile formulate, apreciind că acestea sunt oportune, fiind de natură a duce la degrevarea Înaltei Curţi de Casaţie şi Justiţie. Răspunsul Consiliului Superior al Magistraturii a fost comunicat Senatului României cu adresa nr. 8910/2023 din data de 31.05.2023.</w:t>
      </w:r>
    </w:p>
    <w:p w14:paraId="7C7A3B15"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iCs/>
          <w:sz w:val="26"/>
          <w:szCs w:val="26"/>
        </w:rPr>
        <w:t>Propunerea legislativă pentru completarea Legii nr. 46/2008 privind Codul silvic</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(b225/12.04.2023)</w:t>
      </w:r>
      <w:r w:rsidRPr="00564DC7">
        <w:rPr>
          <w:rFonts w:asciiTheme="minorHAnsi" w:hAnsiTheme="minorHAnsi" w:cstheme="minorHAnsi"/>
          <w:iCs/>
          <w:sz w:val="26"/>
          <w:szCs w:val="26"/>
        </w:rPr>
        <w:t xml:space="preserve"> a fost analizată de Comisia nr. 1 - reunită „Legislație și cooperare interinstituțională” în ședința din data de 29 mai 2023, la solicitarea Senatului României. </w:t>
      </w:r>
      <w:r w:rsidRPr="00564DC7">
        <w:rPr>
          <w:rFonts w:asciiTheme="minorHAnsi" w:hAnsiTheme="minorHAnsi" w:cstheme="minorHAnsi"/>
          <w:sz w:val="26"/>
          <w:szCs w:val="26"/>
        </w:rPr>
        <w:t>Comisia a decis comunicarea unui punct de vedere negativ cu privire la propunerea legislativă menționată, pentru argumentele care au fost comunicate Senatului cu adresa nr. 8625/2023 din 07.06.2023.</w:t>
      </w:r>
    </w:p>
    <w:p w14:paraId="552535D1" w14:textId="77777777" w:rsidR="00295716" w:rsidRDefault="003D2838" w:rsidP="0029571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Propunerea legislativă pentru modificarea art. 331 din Legea nr. 134/2010</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(b195/29.03.2023)</w:t>
      </w:r>
      <w:r w:rsidRPr="00564DC7">
        <w:rPr>
          <w:rFonts w:asciiTheme="minorHAnsi" w:hAnsiTheme="minorHAnsi" w:cstheme="minorHAnsi"/>
          <w:iCs/>
          <w:sz w:val="26"/>
          <w:szCs w:val="26"/>
        </w:rPr>
        <w:t xml:space="preserve"> a fost analizată de Comisia nr. 1 judecători - „Legislație și cooperare interinstituțională” în ședința din data de 29 mai 2023, la solicitarea Senatului României. </w:t>
      </w:r>
      <w:r w:rsidRPr="00564DC7">
        <w:rPr>
          <w:rFonts w:asciiTheme="minorHAnsi" w:hAnsiTheme="minorHAnsi" w:cstheme="minorHAnsi"/>
          <w:sz w:val="26"/>
          <w:szCs w:val="26"/>
        </w:rPr>
        <w:t>Comisia a apreciat că oportunitatea modificării art. 331 alin. (1) din Codul de procedură civilă, în sensul reglementării sistemului informatizat ca fiind unica metodă de desemnare aleatorie a experţilor, trebuie analizată din perspectiva necesităţii generalizării în prealabil a acestei metode, respectiv implementarea la nivelul tuturor instanţelor şi a birourilor locale de expertiză a soluţiei software care să asigure evidenţa şi gestiunea datelor cu privire la experţii judiciari, celeritatea şi disponibilitatea procedurii de selectare şi desemnarea experţilor în raport de criteriul volumului de muncă al acestora.</w:t>
      </w:r>
      <w:r w:rsidRPr="00564DC7">
        <w:rPr>
          <w:rFonts w:asciiTheme="minorHAnsi" w:hAnsiTheme="minorHAnsi" w:cstheme="minorHAnsi"/>
          <w:iCs/>
          <w:sz w:val="26"/>
          <w:szCs w:val="26"/>
        </w:rPr>
        <w:t xml:space="preserve"> Răspunsul Consiliului Superior al Magistraturii a fost comunicat Senatului României cu adresa nr. 7711/2023 din data de 31.05.2023.</w:t>
      </w:r>
    </w:p>
    <w:p w14:paraId="53EFE279" w14:textId="2AF35C35" w:rsidR="003D2838" w:rsidRPr="00295716" w:rsidRDefault="003D2838" w:rsidP="0029571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 xml:space="preserve">Propunerea legislativă pentru modificarea art.  378 din </w:t>
      </w:r>
      <w:r w:rsidRPr="00564DC7">
        <w:rPr>
          <w:rFonts w:asciiTheme="minorHAnsi" w:hAnsiTheme="minorHAnsi" w:cstheme="minorHAnsi"/>
          <w:bCs/>
          <w:iCs/>
          <w:sz w:val="26"/>
          <w:szCs w:val="26"/>
        </w:rPr>
        <w:t>Legea nr. 286/2009 privind Codul penal</w:t>
      </w:r>
      <w:r w:rsidRPr="00564DC7">
        <w:rPr>
          <w:rFonts w:asciiTheme="minorHAnsi" w:hAnsiTheme="minorHAnsi" w:cstheme="minorHAnsi"/>
          <w:bCs/>
          <w:i/>
          <w:iCs/>
          <w:sz w:val="26"/>
          <w:szCs w:val="26"/>
        </w:rPr>
        <w:t xml:space="preserve"> </w:t>
      </w:r>
      <w:r w:rsidRPr="00564DC7">
        <w:rPr>
          <w:rFonts w:asciiTheme="minorHAnsi" w:hAnsiTheme="minorHAnsi" w:cstheme="minorHAnsi"/>
          <w:bCs/>
          <w:iCs/>
          <w:sz w:val="26"/>
          <w:szCs w:val="26"/>
        </w:rPr>
        <w:t>(b275/03.05.2023)</w:t>
      </w:r>
      <w:r w:rsidRPr="00564DC7">
        <w:rPr>
          <w:rFonts w:asciiTheme="minorHAnsi" w:hAnsiTheme="minorHAnsi" w:cstheme="minorHAnsi"/>
          <w:iCs/>
          <w:sz w:val="26"/>
          <w:szCs w:val="26"/>
        </w:rPr>
        <w:t xml:space="preserve"> a fost analizată de Comisia nr. 1 -  reunită  „Legislație și cooperare interinstituțională” în ședința din data de 29 mai 2023, la solicitarea Senatului României. </w:t>
      </w:r>
      <w:r w:rsidRPr="00564DC7">
        <w:rPr>
          <w:rFonts w:asciiTheme="minorHAnsi" w:hAnsiTheme="minorHAnsi" w:cstheme="minorHAnsi"/>
          <w:sz w:val="26"/>
          <w:szCs w:val="26"/>
        </w:rPr>
        <w:t xml:space="preserve">Analizându-se propunerea legislativă înaintată, Comisia a reținut că, în esență, aceasta urmărește punerea în acord a dispozițiilor art. 378 alin. (1) lit. c) din Codul penal cu decizia Curții Constituționale pronunțată la data de 20.04.2023. </w:t>
      </w:r>
      <w:r w:rsidRPr="00564DC7">
        <w:rPr>
          <w:rFonts w:asciiTheme="minorHAnsi" w:hAnsiTheme="minorHAnsi" w:cstheme="minorHAnsi"/>
          <w:iCs/>
          <w:sz w:val="26"/>
          <w:szCs w:val="26"/>
        </w:rPr>
        <w:t>Răspunsul Consiliului Superior al Magistraturii a fost comunicat</w:t>
      </w:r>
      <w:r w:rsidRPr="00564DC7">
        <w:rPr>
          <w:rFonts w:asciiTheme="minorHAnsi" w:hAnsiTheme="minorHAnsi" w:cstheme="minorHAnsi"/>
          <w:sz w:val="26"/>
          <w:szCs w:val="26"/>
        </w:rPr>
        <w:t xml:space="preserve"> Senatului României</w:t>
      </w:r>
      <w:r w:rsidRPr="00564DC7">
        <w:rPr>
          <w:rFonts w:asciiTheme="minorHAnsi" w:hAnsiTheme="minorHAnsi" w:cstheme="minorHAnsi"/>
          <w:iCs/>
          <w:sz w:val="26"/>
          <w:szCs w:val="26"/>
        </w:rPr>
        <w:t xml:space="preserve"> cu adresa nr. 10154/2023 din data de 31.05.2023.</w:t>
      </w:r>
    </w:p>
    <w:p w14:paraId="34D01C64"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Comisiei juridice, de numiri, disciplină, imunităţi şi validări a Senatului României, în ședința din data de 29 mai 2023, Comisia nr. 1 - reunită  „Legislație și cooperare interinstituțională” a analizat amendamentele depuse la</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286/2009 privind Codul Penal</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(L139/2022) de către Uniunea Naţională  a Executorilor Judecătoreşti.</w:t>
      </w:r>
      <w:r w:rsidRPr="00564DC7">
        <w:rPr>
          <w:rFonts w:asciiTheme="minorHAnsi" w:hAnsiTheme="minorHAnsi" w:cstheme="minorHAnsi"/>
          <w:iCs/>
          <w:sz w:val="26"/>
          <w:szCs w:val="26"/>
        </w:rPr>
        <w:t xml:space="preserve"> Răspunsul Consiliului Superior al Magistraturii a fost comunicat</w:t>
      </w:r>
      <w:r w:rsidRPr="00564DC7">
        <w:rPr>
          <w:rFonts w:asciiTheme="minorHAnsi" w:hAnsiTheme="minorHAnsi" w:cstheme="minorHAnsi"/>
          <w:sz w:val="26"/>
          <w:szCs w:val="26"/>
        </w:rPr>
        <w:t xml:space="preserve"> Comisiei juridice, de numiri, disciplină, imunităţi şi validări a Senatului României</w:t>
      </w:r>
      <w:r w:rsidRPr="00564DC7">
        <w:rPr>
          <w:rFonts w:asciiTheme="minorHAnsi" w:hAnsiTheme="minorHAnsi" w:cstheme="minorHAnsi"/>
          <w:iCs/>
          <w:sz w:val="26"/>
          <w:szCs w:val="26"/>
        </w:rPr>
        <w:t xml:space="preserve"> cu adresa nr. 7987/2023 din data de  07.06.2023.</w:t>
      </w:r>
    </w:p>
    <w:p w14:paraId="2EDDF967"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13 iunie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 xml:space="preserve">Propunerea legislativă pentru modificarea articolului 8 din Legea nr. 164 din 11 decembrie 2014 privind unele măsuri pentru accelerarea şi finalizarea procesului de soluţionare a cererilor formulate în temeiul Legii nr. 9/1998 privind acordarea de compensaţii cetăţenilor români pentru bunurile trecute în proprietatea statului bulgar în urma aplicării Tratatului dintre România şi Bulgaria, semnat la </w:t>
      </w:r>
      <w:r w:rsidRPr="00564DC7">
        <w:rPr>
          <w:rFonts w:asciiTheme="minorHAnsi" w:hAnsiTheme="minorHAnsi" w:cstheme="minorHAnsi"/>
          <w:iCs/>
          <w:sz w:val="26"/>
          <w:szCs w:val="26"/>
        </w:rPr>
        <w:lastRenderedPageBreak/>
        <w:t>Craiova la 7 septembrie 1940, precum şi al Legii nr. 290/2003 privind acordarea de despăgubiri sau compensaţii cetăţenilor români pentru bunurile proprietate a acestora, sechestrate, reţinute sau rămase în Basarabia, Bucovina de Nord şi Ţinutul Herţa, ca urmare a stării de război şi a aplicării Tratatului de Pace între România şi Puterile Aliate şi Asociate, semnat la Paris la 10 februarie 1947, şi pentru modificarea unor acte normative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(b250/20.04.2023). Deşi în fundamentarea propunerii nu au fost indicate date statistice cu privire la numărul acestor cauze soluţionate în recurs sau aflate în recurs pe rolul Înaltei Curţi de Casaţie şi Justiţie, neputând fi aşadar evaluat impactul pe care  o asemenea modificare l-ar avea asupra volumului de activitate al instanţei supreme, având însă în vedere că prin această propunere se intenţionează degrevarea Înaltei Curţi de Casaţie şi Justiţie, Comisia a apreciat că demersul legislativ este oportun.</w:t>
      </w:r>
      <w:r w:rsidRPr="00564DC7">
        <w:rPr>
          <w:rFonts w:asciiTheme="minorHAnsi" w:hAnsiTheme="minorHAnsi" w:cstheme="minorHAnsi"/>
          <w:iCs/>
          <w:sz w:val="26"/>
          <w:szCs w:val="26"/>
        </w:rPr>
        <w:t xml:space="preserve"> Răspunsul Consiliului Superior al Magistraturii a fost comunicat Senatului României cu adresa nr. 9048/2023 din data de 19.06.2023.</w:t>
      </w:r>
    </w:p>
    <w:p w14:paraId="14B5AC6D" w14:textId="72563514"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20 iunie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 xml:space="preserve">Propunerea legislativă pentru completarea Legii nr. 143/2000 privind prevenirea şi combaterea traficului şi consumului ilicit de droguri </w:t>
      </w:r>
      <w:r w:rsidRPr="00564DC7">
        <w:rPr>
          <w:rFonts w:asciiTheme="minorHAnsi" w:hAnsiTheme="minorHAnsi" w:cstheme="minorHAnsi"/>
          <w:sz w:val="26"/>
          <w:szCs w:val="26"/>
        </w:rPr>
        <w:t xml:space="preserve">(b282/08.05.2023). </w:t>
      </w:r>
      <w:r w:rsidRPr="00261D6B">
        <w:rPr>
          <w:rStyle w:val="NoSpacingChar"/>
          <w:rFonts w:asciiTheme="minorHAnsi" w:hAnsiTheme="minorHAnsi" w:cstheme="minorHAnsi"/>
          <w:sz w:val="26"/>
          <w:szCs w:val="26"/>
          <w:lang w:val="ro-RO"/>
        </w:rPr>
        <w:t>Punctul de vedere al Comisiei, care cuprinde observații punctuale în legătură cu fondul propunerii</w:t>
      </w:r>
      <w:r w:rsidR="00C83ACC" w:rsidRPr="00261D6B">
        <w:rPr>
          <w:rStyle w:val="NoSpacingChar"/>
          <w:rFonts w:asciiTheme="minorHAnsi" w:hAnsiTheme="minorHAnsi" w:cstheme="minorHAnsi"/>
          <w:sz w:val="26"/>
          <w:szCs w:val="26"/>
          <w:lang w:val="ro-RO"/>
        </w:rPr>
        <w:t>,</w:t>
      </w:r>
      <w:r w:rsidRPr="00261D6B">
        <w:rPr>
          <w:rStyle w:val="NoSpacingChar"/>
          <w:rFonts w:asciiTheme="minorHAnsi" w:hAnsiTheme="minorHAnsi" w:cstheme="minorHAnsi"/>
          <w:sz w:val="26"/>
          <w:szCs w:val="26"/>
          <w:lang w:val="ro-RO"/>
        </w:rPr>
        <w:t xml:space="preserve"> a fost comunicat Senatului României cu adresa nr. 10807/2023 din data de 22.06.2023.</w:t>
      </w:r>
    </w:p>
    <w:p w14:paraId="18A49A6E" w14:textId="41AF04C1"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20 iunie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privind unele măsuri de prevenire şi combatere a activităţilor economice ilicite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(b283/09.05.2023). </w:t>
      </w:r>
      <w:r w:rsidRPr="00261D6B">
        <w:rPr>
          <w:rStyle w:val="NoSpacingChar"/>
          <w:rFonts w:asciiTheme="minorHAnsi" w:hAnsiTheme="minorHAnsi" w:cstheme="minorHAnsi"/>
          <w:sz w:val="26"/>
          <w:szCs w:val="26"/>
          <w:lang w:val="ro-RO"/>
        </w:rPr>
        <w:t>Punctul de vedere al Comisiei, care cuprinde observații punctuale în legătură cu fondul propunerii</w:t>
      </w:r>
      <w:r w:rsidR="00C83ACC" w:rsidRPr="00261D6B">
        <w:rPr>
          <w:rStyle w:val="NoSpacingChar"/>
          <w:rFonts w:asciiTheme="minorHAnsi" w:hAnsiTheme="minorHAnsi" w:cstheme="minorHAnsi"/>
          <w:sz w:val="26"/>
          <w:szCs w:val="26"/>
          <w:lang w:val="ro-RO"/>
        </w:rPr>
        <w:t>,</w:t>
      </w:r>
      <w:r w:rsidRPr="00261D6B">
        <w:rPr>
          <w:rStyle w:val="NoSpacingChar"/>
          <w:rFonts w:asciiTheme="minorHAnsi" w:hAnsiTheme="minorHAnsi" w:cstheme="minorHAnsi"/>
          <w:sz w:val="26"/>
          <w:szCs w:val="26"/>
          <w:lang w:val="ro-RO"/>
        </w:rPr>
        <w:t xml:space="preserve"> a fost comunicat Senatului României cu adresa nr. 10807/2023 din data de 22.06.2023.</w:t>
      </w:r>
    </w:p>
    <w:p w14:paraId="7DC536B6"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iCs/>
          <w:sz w:val="26"/>
          <w:szCs w:val="26"/>
        </w:rPr>
        <w:t>Propunerea legislativă pentru modificarea Legii nr. 287/2009 privind Codul civil, republicată, cu modificările şi completările ulterioare, şi modificarea Legii nr. 134/2010 privind Codul de procedură civilă, republicată cu modificările şi completările ulterioare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(b251/20.04.2023)</w:t>
      </w:r>
      <w:r w:rsidRPr="00564DC7">
        <w:rPr>
          <w:rFonts w:asciiTheme="minorHAnsi" w:hAnsiTheme="minorHAnsi" w:cstheme="minorHAnsi"/>
          <w:iCs/>
          <w:sz w:val="26"/>
          <w:szCs w:val="26"/>
        </w:rPr>
        <w:t xml:space="preserve"> a fost analizată de Comisia nr. 1 - reunită „Legislație și cooperare interinstituțională” în ședința din data de 3 iulie 2023, la solicitarea Senatului României.</w:t>
      </w:r>
      <w:r w:rsidRPr="00261D6B">
        <w:rPr>
          <w:rStyle w:val="NoSpacingChar"/>
          <w:rFonts w:asciiTheme="minorHAnsi" w:hAnsiTheme="minorHAnsi" w:cstheme="minorHAnsi"/>
          <w:sz w:val="26"/>
          <w:szCs w:val="26"/>
          <w:lang w:val="ro-RO"/>
        </w:rPr>
        <w:t xml:space="preserve">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împreună</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argumentele</w:t>
      </w:r>
      <w:proofErr w:type="spellEnd"/>
      <w:r w:rsidRPr="00261D6B">
        <w:rPr>
          <w:rStyle w:val="NoSpacingChar"/>
          <w:rFonts w:asciiTheme="minorHAnsi" w:hAnsiTheme="minorHAnsi" w:cstheme="minorHAnsi"/>
          <w:sz w:val="26"/>
          <w:szCs w:val="26"/>
          <w:lang w:val="fr-FR"/>
        </w:rPr>
        <w:t xml:space="preserve"> care au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avute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prin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3/9054/2023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data de 07.07.2023.</w:t>
      </w:r>
    </w:p>
    <w:p w14:paraId="11D0F2A2" w14:textId="01FD65AF"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La solicitarea Comisiei juridice, de numiri, disciplină, imunităţi şi validări a Senatului României, în ședința din data de 5 iulie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Proiectul de lege privind statutul grefierilor şi al altor categorii de personal care ocupă funcţii de specialitate în cadrul instanţelor judecătoreşti, al parchetelor de pe lângă acestea şi al Institutului Naţional de Expertize Criminalistice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(L 288/2023</w:t>
      </w:r>
      <w:r w:rsidRPr="00564DC7">
        <w:rPr>
          <w:rFonts w:asciiTheme="minorHAnsi" w:hAnsiTheme="minorHAnsi" w:cstheme="minorHAnsi"/>
          <w:i/>
          <w:sz w:val="26"/>
          <w:szCs w:val="26"/>
        </w:rPr>
        <w:t>)</w:t>
      </w:r>
      <w:r w:rsidRPr="00564DC7">
        <w:rPr>
          <w:rFonts w:asciiTheme="minorHAnsi" w:hAnsiTheme="minorHAnsi" w:cstheme="minorHAnsi"/>
          <w:sz w:val="26"/>
          <w:szCs w:val="26"/>
        </w:rPr>
        <w:t xml:space="preserve">. Comisia de specialitate a Consiliului Superior al Magistraturii a formulat mai multe observaţii şi propuneri cu privire la proiectul de lege </w:t>
      </w:r>
      <w:r w:rsidR="00C83ACC">
        <w:rPr>
          <w:rFonts w:asciiTheme="minorHAnsi" w:hAnsiTheme="minorHAnsi" w:cstheme="minorHAnsi"/>
          <w:sz w:val="26"/>
          <w:szCs w:val="26"/>
        </w:rPr>
        <w:t>ce</w:t>
      </w:r>
      <w:r w:rsidRPr="00564DC7">
        <w:rPr>
          <w:rFonts w:asciiTheme="minorHAnsi" w:hAnsiTheme="minorHAnsi" w:cstheme="minorHAnsi"/>
          <w:sz w:val="26"/>
          <w:szCs w:val="26"/>
        </w:rPr>
        <w:t xml:space="preserve"> au fost comunicate Comisiei juridice, de numiri, disciplină, imunităţi şi validări a Senatului, precum şi Camerei Deputaţilor, cu adresa nr. 3/11802 din 05.07.2023.  </w:t>
      </w:r>
    </w:p>
    <w:p w14:paraId="17F8F6EA" w14:textId="77777777" w:rsidR="003D2838" w:rsidRPr="00261D6B" w:rsidRDefault="003D2838" w:rsidP="00690186">
      <w:pPr>
        <w:ind w:firstLine="708"/>
        <w:jc w:val="both"/>
        <w:rPr>
          <w:rStyle w:val="NoSpacingChar"/>
          <w:rFonts w:asciiTheme="minorHAnsi" w:hAnsiTheme="minorHAnsi" w:cstheme="minorHAnsi"/>
          <w:sz w:val="26"/>
          <w:szCs w:val="26"/>
          <w:lang w:val="fr-FR"/>
        </w:rPr>
      </w:pPr>
      <w:r w:rsidRPr="00564DC7">
        <w:rPr>
          <w:rFonts w:asciiTheme="minorHAnsi" w:hAnsiTheme="minorHAnsi" w:cstheme="minorHAnsi"/>
          <w:sz w:val="26"/>
          <w:szCs w:val="26"/>
        </w:rPr>
        <w:t>La solicitarea Senatului României, în ședința din data de 11 iulie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Propunerea legislativă pentru modificarea şi completarea Legii nr. 135/2010 privind Codul de procedură penală</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(b371/06.06.2023). Propunerea vizează modificarea şi completarea dispoziţiilor referitoare la măsurile asigurătorii dispuse în procesul penal.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3/12325/2023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13.07.2023.</w:t>
      </w:r>
    </w:p>
    <w:p w14:paraId="45251C1D"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sz w:val="26"/>
          <w:szCs w:val="26"/>
        </w:rPr>
        <w:t>La solicitarea Senatului României, în ședința din data de 11 iulie 2023, Comisia nr. 1 – reunită „Legislație și cooperare interinstituțională” a analizat</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 xml:space="preserve">Propunerea legislativă – „Zero toleranţă pentru hărţuirea sexuală în şcoli şi universităţi” pentru modificarea şi completarea Legii nr. 286/2009 privind Codul Penal </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(b382/08.06.2023), reţinându-se că aceasta răspunde scopului prezentat în expunerea de motive şi nu cuprinde necorelări sau inconsecvenţe care să conducă la </w:t>
      </w:r>
      <w:r w:rsidRPr="00564DC7">
        <w:rPr>
          <w:rFonts w:asciiTheme="minorHAnsi" w:hAnsiTheme="minorHAnsi" w:cstheme="minorHAnsi"/>
          <w:sz w:val="26"/>
          <w:szCs w:val="26"/>
        </w:rPr>
        <w:lastRenderedPageBreak/>
        <w:t xml:space="preserve">dificultăţi în aplicarea dispoziţiilor propuse. </w:t>
      </w:r>
      <w:r w:rsidRPr="00564DC7">
        <w:rPr>
          <w:rFonts w:asciiTheme="minorHAnsi" w:hAnsiTheme="minorHAnsi" w:cstheme="minorHAnsi"/>
          <w:iCs/>
          <w:sz w:val="26"/>
          <w:szCs w:val="26"/>
        </w:rPr>
        <w:t>Răspunsul Consiliului Superior al Magistraturii a fost comunicat Senatului României cu adresa nr. 3/12719/2023 din 14.07.2023.</w:t>
      </w:r>
    </w:p>
    <w:p w14:paraId="3BB46BB6" w14:textId="77777777" w:rsidR="003D2838" w:rsidRPr="00261D6B" w:rsidRDefault="003D2838" w:rsidP="00690186">
      <w:pPr>
        <w:ind w:firstLine="708"/>
        <w:jc w:val="both"/>
        <w:rPr>
          <w:rStyle w:val="NoSpacingChar"/>
          <w:rFonts w:asciiTheme="minorHAnsi" w:hAnsiTheme="minorHAnsi" w:cstheme="minorHAnsi"/>
          <w:sz w:val="26"/>
          <w:szCs w:val="26"/>
          <w:lang w:val="fr-FR"/>
        </w:rPr>
      </w:pPr>
      <w:r w:rsidRPr="00564DC7">
        <w:rPr>
          <w:rFonts w:asciiTheme="minorHAnsi" w:hAnsiTheme="minorHAnsi" w:cstheme="minorHAnsi"/>
          <w:iCs/>
          <w:sz w:val="26"/>
          <w:szCs w:val="26"/>
        </w:rPr>
        <w:t>Propunerea legislativă pentru completarea Legii nr. 286/2009 privind Codul penal</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(b388/09.06.2023)</w:t>
      </w:r>
      <w:r w:rsidRPr="00564DC7">
        <w:rPr>
          <w:rFonts w:asciiTheme="minorHAnsi" w:hAnsiTheme="minorHAnsi" w:cstheme="minorHAnsi"/>
          <w:iCs/>
          <w:sz w:val="26"/>
          <w:szCs w:val="26"/>
        </w:rPr>
        <w:t xml:space="preserve"> a fost analizată de Comisia nr. 1 - reunită „Legislație și cooperare interinstituțională” în ședința din data de 11 iulie 2023, la solicitarea Senatului României.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împreună</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argumentele</w:t>
      </w:r>
      <w:proofErr w:type="spellEnd"/>
      <w:r w:rsidRPr="00261D6B">
        <w:rPr>
          <w:rStyle w:val="NoSpacingChar"/>
          <w:rFonts w:asciiTheme="minorHAnsi" w:hAnsiTheme="minorHAnsi" w:cstheme="minorHAnsi"/>
          <w:sz w:val="26"/>
          <w:szCs w:val="26"/>
          <w:lang w:val="fr-FR"/>
        </w:rPr>
        <w:t xml:space="preserve"> care au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avute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prin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3/12722/2023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data de 13.07.2023.</w:t>
      </w:r>
    </w:p>
    <w:p w14:paraId="13950388" w14:textId="77777777" w:rsidR="003D2838" w:rsidRPr="00564DC7" w:rsidRDefault="003D2838" w:rsidP="00690186">
      <w:pPr>
        <w:ind w:firstLine="708"/>
        <w:jc w:val="both"/>
        <w:rPr>
          <w:rFonts w:asciiTheme="minorHAnsi" w:hAnsiTheme="minorHAnsi" w:cstheme="minorHAnsi"/>
          <w:i/>
          <w:sz w:val="26"/>
          <w:szCs w:val="26"/>
        </w:rPr>
      </w:pPr>
      <w:r w:rsidRPr="00564DC7">
        <w:rPr>
          <w:rFonts w:asciiTheme="minorHAnsi" w:hAnsiTheme="minorHAnsi" w:cstheme="minorHAnsi"/>
          <w:iCs/>
          <w:sz w:val="26"/>
          <w:szCs w:val="26"/>
        </w:rPr>
        <w:t xml:space="preserve">Propunerea legislativă pentru completarea </w:t>
      </w:r>
      <w:r w:rsidRPr="00564DC7">
        <w:rPr>
          <w:rFonts w:asciiTheme="minorHAnsi" w:hAnsiTheme="minorHAnsi" w:cstheme="minorHAnsi"/>
          <w:bCs/>
          <w:iCs/>
          <w:sz w:val="26"/>
          <w:szCs w:val="26"/>
        </w:rPr>
        <w:t>art. 378 din Legea nr. 286/2010 privind Codul penal, precum și pentru completarea art. 530 din Legea nr. 287/2010 privind Codul civil</w:t>
      </w:r>
      <w:r w:rsidRPr="00564DC7">
        <w:rPr>
          <w:rFonts w:asciiTheme="minorHAnsi" w:hAnsiTheme="minorHAnsi" w:cstheme="minorHAnsi"/>
          <w:bCs/>
          <w:i/>
          <w:iCs/>
          <w:sz w:val="26"/>
          <w:szCs w:val="26"/>
        </w:rPr>
        <w:t xml:space="preserve"> </w:t>
      </w:r>
      <w:r w:rsidRPr="00564DC7">
        <w:rPr>
          <w:rFonts w:asciiTheme="minorHAnsi" w:hAnsiTheme="minorHAnsi" w:cstheme="minorHAnsi"/>
          <w:bCs/>
          <w:iCs/>
          <w:sz w:val="26"/>
          <w:szCs w:val="26"/>
        </w:rPr>
        <w:t>(b416/21.06.2023)</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 xml:space="preserve">a fost analizată de Comisia nr. 1 - reunită  „Legislație și cooperare interinstituțională” în ședința din data de 11 iulie 2023, la solicitarea Senatului României. </w:t>
      </w:r>
      <w:r w:rsidRPr="00564DC7">
        <w:rPr>
          <w:rFonts w:asciiTheme="minorHAnsi" w:hAnsiTheme="minorHAnsi" w:cstheme="minorHAnsi"/>
          <w:bCs/>
          <w:sz w:val="26"/>
          <w:szCs w:val="26"/>
        </w:rPr>
        <w:t>Propunerea legislativă</w:t>
      </w:r>
      <w:r w:rsidRPr="00564DC7">
        <w:rPr>
          <w:rFonts w:asciiTheme="minorHAnsi" w:hAnsiTheme="minorHAnsi" w:cstheme="minorHAnsi"/>
          <w:sz w:val="26"/>
          <w:szCs w:val="26"/>
        </w:rPr>
        <w:t xml:space="preserve"> vizează, în esență, reglementarea unor forme suplimentare de protecție a celui îndreptățit la întreținere în raport cu cel care are obligația legală de întreținere.</w:t>
      </w:r>
      <w:r w:rsidRPr="00261D6B">
        <w:rPr>
          <w:rStyle w:val="NoSpacingChar"/>
          <w:rFonts w:asciiTheme="minorHAnsi" w:hAnsiTheme="minorHAnsi" w:cstheme="minorHAnsi"/>
          <w:sz w:val="26"/>
          <w:szCs w:val="26"/>
          <w:lang w:val="ro-RO"/>
        </w:rPr>
        <w:t xml:space="preserve"> </w:t>
      </w:r>
      <w:proofErr w:type="spellStart"/>
      <w:r w:rsidRPr="00261D6B">
        <w:rPr>
          <w:rStyle w:val="NoSpacingChar"/>
          <w:rFonts w:asciiTheme="minorHAnsi" w:hAnsiTheme="minorHAnsi" w:cstheme="minorHAnsi"/>
          <w:sz w:val="26"/>
          <w:szCs w:val="26"/>
          <w:lang w:val="fr-FR"/>
        </w:rPr>
        <w:t>Punctul</w:t>
      </w:r>
      <w:proofErr w:type="spellEnd"/>
      <w:r w:rsidRPr="00261D6B">
        <w:rPr>
          <w:rStyle w:val="NoSpacingChar"/>
          <w:rFonts w:asciiTheme="minorHAnsi" w:hAnsiTheme="minorHAnsi" w:cstheme="minorHAnsi"/>
          <w:sz w:val="26"/>
          <w:szCs w:val="26"/>
          <w:lang w:val="fr-FR"/>
        </w:rPr>
        <w:t xml:space="preserve"> de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al </w:t>
      </w:r>
      <w:proofErr w:type="spellStart"/>
      <w:r w:rsidRPr="00261D6B">
        <w:rPr>
          <w:rStyle w:val="NoSpacingChar"/>
          <w:rFonts w:asciiTheme="minorHAnsi" w:hAnsiTheme="minorHAnsi" w:cstheme="minorHAnsi"/>
          <w:sz w:val="26"/>
          <w:szCs w:val="26"/>
          <w:lang w:val="fr-FR"/>
        </w:rPr>
        <w:t>Comisiei</w:t>
      </w:r>
      <w:proofErr w:type="spellEnd"/>
      <w:r w:rsidRPr="00261D6B">
        <w:rPr>
          <w:rStyle w:val="NoSpacingChar"/>
          <w:rFonts w:asciiTheme="minorHAnsi" w:hAnsiTheme="minorHAnsi" w:cstheme="minorHAnsi"/>
          <w:sz w:val="26"/>
          <w:szCs w:val="26"/>
          <w:lang w:val="fr-FR"/>
        </w:rPr>
        <w:t xml:space="preserve"> a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comunicat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Senatului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României</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împreună</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cu</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argumentele</w:t>
      </w:r>
      <w:proofErr w:type="spellEnd"/>
      <w:r w:rsidRPr="00261D6B">
        <w:rPr>
          <w:rStyle w:val="NoSpacingChar"/>
          <w:rFonts w:asciiTheme="minorHAnsi" w:hAnsiTheme="minorHAnsi" w:cstheme="minorHAnsi"/>
          <w:sz w:val="26"/>
          <w:szCs w:val="26"/>
          <w:lang w:val="fr-FR"/>
        </w:rPr>
        <w:t xml:space="preserve"> care au </w:t>
      </w:r>
      <w:proofErr w:type="spellStart"/>
      <w:r w:rsidRPr="00261D6B">
        <w:rPr>
          <w:rStyle w:val="NoSpacingChar"/>
          <w:rFonts w:asciiTheme="minorHAnsi" w:hAnsiTheme="minorHAnsi" w:cstheme="minorHAnsi"/>
          <w:sz w:val="26"/>
          <w:szCs w:val="26"/>
          <w:lang w:val="fr-FR"/>
        </w:rPr>
        <w:t>fost</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avute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în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vedere</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prin</w:t>
      </w:r>
      <w:proofErr w:type="spellEnd"/>
      <w:r w:rsidRPr="00261D6B">
        <w:rPr>
          <w:rStyle w:val="NoSpacingChar"/>
          <w:rFonts w:asciiTheme="minorHAnsi" w:hAnsiTheme="minorHAnsi" w:cstheme="minorHAnsi"/>
          <w:sz w:val="26"/>
          <w:szCs w:val="26"/>
          <w:lang w:val="fr-FR"/>
        </w:rPr>
        <w:t xml:space="preserve"> </w:t>
      </w:r>
      <w:proofErr w:type="spellStart"/>
      <w:r w:rsidRPr="00261D6B">
        <w:rPr>
          <w:rStyle w:val="NoSpacingChar"/>
          <w:rFonts w:asciiTheme="minorHAnsi" w:hAnsiTheme="minorHAnsi" w:cstheme="minorHAnsi"/>
          <w:sz w:val="26"/>
          <w:szCs w:val="26"/>
          <w:lang w:val="fr-FR"/>
        </w:rPr>
        <w:t>adresa</w:t>
      </w:r>
      <w:proofErr w:type="spellEnd"/>
      <w:r w:rsidRPr="00261D6B">
        <w:rPr>
          <w:rStyle w:val="NoSpacingChar"/>
          <w:rFonts w:asciiTheme="minorHAnsi" w:hAnsiTheme="minorHAnsi" w:cstheme="minorHAnsi"/>
          <w:sz w:val="26"/>
          <w:szCs w:val="26"/>
          <w:lang w:val="fr-FR"/>
        </w:rPr>
        <w:t xml:space="preserve"> nr. 3/13822/2023 </w:t>
      </w:r>
      <w:proofErr w:type="spellStart"/>
      <w:r w:rsidRPr="00261D6B">
        <w:rPr>
          <w:rStyle w:val="NoSpacingChar"/>
          <w:rFonts w:asciiTheme="minorHAnsi" w:hAnsiTheme="minorHAnsi" w:cstheme="minorHAnsi"/>
          <w:sz w:val="26"/>
          <w:szCs w:val="26"/>
          <w:lang w:val="fr-FR"/>
        </w:rPr>
        <w:t>din</w:t>
      </w:r>
      <w:proofErr w:type="spellEnd"/>
      <w:r w:rsidRPr="00261D6B">
        <w:rPr>
          <w:rStyle w:val="NoSpacingChar"/>
          <w:rFonts w:asciiTheme="minorHAnsi" w:hAnsiTheme="minorHAnsi" w:cstheme="minorHAnsi"/>
          <w:sz w:val="26"/>
          <w:szCs w:val="26"/>
          <w:lang w:val="fr-FR"/>
        </w:rPr>
        <w:t xml:space="preserve"> data de 13.07.2023.</w:t>
      </w:r>
    </w:p>
    <w:p w14:paraId="56B526C9"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bCs/>
          <w:sz w:val="26"/>
          <w:szCs w:val="26"/>
        </w:rPr>
        <w:t>Propunerea legislativă pentru modificarea şi completarea articolului 10 din Legea nr. 115/2015 pentru alegerea autorităților administrației publice locale, pentru modificarea Legii administrației publice locale nr. 215/2001, precum şi pentru modificarea şi completarea Legii nr. 393/2004 privind Statutul aleșilor locali</w:t>
      </w:r>
      <w:r w:rsidRPr="00564DC7">
        <w:rPr>
          <w:rFonts w:asciiTheme="minorHAnsi" w:hAnsiTheme="minorHAnsi" w:cstheme="minorHAnsi"/>
          <w:bCs/>
          <w:iCs/>
          <w:sz w:val="26"/>
          <w:szCs w:val="26"/>
        </w:rPr>
        <w:t xml:space="preserve"> (b429/27.06.2023)</w:t>
      </w:r>
      <w:r w:rsidRPr="00564DC7">
        <w:rPr>
          <w:rFonts w:asciiTheme="minorHAnsi" w:hAnsiTheme="minorHAnsi" w:cstheme="minorHAnsi"/>
          <w:bCs/>
          <w:i/>
          <w:iCs/>
          <w:sz w:val="26"/>
          <w:szCs w:val="26"/>
        </w:rPr>
        <w:t xml:space="preserve"> </w:t>
      </w:r>
      <w:r w:rsidRPr="00564DC7">
        <w:rPr>
          <w:rFonts w:asciiTheme="minorHAnsi" w:hAnsiTheme="minorHAnsi" w:cstheme="minorHAnsi"/>
          <w:sz w:val="26"/>
          <w:szCs w:val="26"/>
        </w:rPr>
        <w:t>a fost analizată în ședința din data de 7 septembrie 2023 a Comisiei nr. 1 – reunită ”Legislație și cooperare interinstituțională”.</w:t>
      </w:r>
      <w:r w:rsidRPr="00564DC7">
        <w:rPr>
          <w:rFonts w:asciiTheme="minorHAnsi" w:hAnsiTheme="minorHAnsi" w:cstheme="minorHAnsi"/>
          <w:bCs/>
          <w:iCs/>
          <w:sz w:val="26"/>
          <w:szCs w:val="26"/>
        </w:rPr>
        <w:t xml:space="preserve"> Comisia a apreciat că instituirea unor reguli speciale de procedură în privinţa cererilor formulate pe calea contenciosului administrativ, care să aibă ca obiect obligarea Guvernului României să emită hotărârea vizând stabilirea datei alegerilor locale parţiale pentru funcţia de primar ori pentru cea de preşedinte al consiliului judeţean, precum şi mijloacele de constrângere care să asigure executarea hotărârii judecătoreşti definitive pronunţate într-o astfel de cauză, reprezintă o chestiune de oportunitate, nefiind identificate aspecte care să contravină regulilor constituționale sau care să afecteze activitatea instanţelor.</w:t>
      </w:r>
      <w:r w:rsidRPr="00564DC7">
        <w:rPr>
          <w:rFonts w:asciiTheme="minorHAnsi" w:hAnsiTheme="minorHAnsi" w:cstheme="minorHAnsi"/>
          <w:iCs/>
          <w:sz w:val="26"/>
          <w:szCs w:val="26"/>
        </w:rPr>
        <w:t xml:space="preserve"> Răspunsul Consiliului Superior al Magistraturii a fost comunicat Senatului României cu adresa nr. 14862 din 13.09.2023.</w:t>
      </w:r>
    </w:p>
    <w:p w14:paraId="7E9DD790"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bCs/>
          <w:sz w:val="26"/>
          <w:szCs w:val="26"/>
        </w:rPr>
        <w:t xml:space="preserve">Propunerea legislativă pentru modificarea Legii nr. 134/2010 privind Codul de procedură civilă </w:t>
      </w:r>
      <w:r w:rsidRPr="00564DC7">
        <w:rPr>
          <w:rFonts w:asciiTheme="minorHAnsi" w:hAnsiTheme="minorHAnsi" w:cstheme="minorHAnsi"/>
          <w:bCs/>
          <w:iCs/>
          <w:sz w:val="26"/>
          <w:szCs w:val="26"/>
        </w:rPr>
        <w:t>(b436/28.06.2023)</w:t>
      </w:r>
      <w:r w:rsidRPr="00564DC7">
        <w:rPr>
          <w:rFonts w:asciiTheme="minorHAnsi" w:hAnsiTheme="minorHAnsi" w:cstheme="minorHAnsi"/>
          <w:bCs/>
          <w:i/>
          <w:iCs/>
          <w:sz w:val="26"/>
          <w:szCs w:val="26"/>
        </w:rPr>
        <w:t xml:space="preserve"> </w:t>
      </w:r>
      <w:r w:rsidRPr="00564DC7">
        <w:rPr>
          <w:rFonts w:asciiTheme="minorHAnsi" w:hAnsiTheme="minorHAnsi" w:cstheme="minorHAnsi"/>
          <w:sz w:val="26"/>
          <w:szCs w:val="26"/>
        </w:rPr>
        <w:t>a fost analizată în ședința din data de 7 septembrie 2023 a Comisiei nr. 1 – reunită ”Legislație și cooperare interinstituțională”. Comisia de specialitate a Consiliului a apreciat oportună propunerea de modificare a art. 1026 alin. (1) din Codul de procedură civilă în sensul creşterii pragului valoric de la 10.000 lei la 50.000 lei.</w:t>
      </w:r>
      <w:r w:rsidRPr="00564DC7">
        <w:rPr>
          <w:rFonts w:asciiTheme="minorHAnsi" w:hAnsiTheme="minorHAnsi" w:cstheme="minorHAnsi"/>
          <w:iCs/>
          <w:sz w:val="26"/>
          <w:szCs w:val="26"/>
        </w:rPr>
        <w:t xml:space="preserve"> Răspunsul Consiliului Superior al Magistraturii a fost comunicat Senatului României cu adresa nr. 14869 din 12.09.2023.</w:t>
      </w:r>
    </w:p>
    <w:p w14:paraId="0863BAC2" w14:textId="77777777" w:rsidR="003D2838" w:rsidRPr="00564DC7" w:rsidRDefault="003D2838" w:rsidP="00690186">
      <w:pPr>
        <w:ind w:firstLine="708"/>
        <w:jc w:val="both"/>
        <w:rPr>
          <w:rFonts w:asciiTheme="minorHAnsi" w:hAnsiTheme="minorHAnsi" w:cstheme="minorHAnsi"/>
          <w:iCs/>
          <w:sz w:val="26"/>
          <w:szCs w:val="26"/>
        </w:rPr>
      </w:pPr>
      <w:r w:rsidRPr="00564DC7">
        <w:rPr>
          <w:rFonts w:asciiTheme="minorHAnsi" w:hAnsiTheme="minorHAnsi" w:cstheme="minorHAnsi"/>
          <w:bCs/>
          <w:sz w:val="26"/>
          <w:szCs w:val="26"/>
        </w:rPr>
        <w:t>Propunerea legislativă pentru modificarea art. 13 alin. (5) din Legea nr. 213/2015 privind Fondul de garantare a asiguraţilor</w:t>
      </w:r>
      <w:r w:rsidRPr="00564DC7">
        <w:rPr>
          <w:rFonts w:asciiTheme="minorHAnsi" w:hAnsiTheme="minorHAnsi" w:cstheme="minorHAnsi"/>
          <w:bCs/>
          <w:i/>
          <w:iCs/>
          <w:sz w:val="26"/>
          <w:szCs w:val="26"/>
        </w:rPr>
        <w:t xml:space="preserve"> </w:t>
      </w:r>
      <w:r w:rsidRPr="00564DC7">
        <w:rPr>
          <w:rFonts w:asciiTheme="minorHAnsi" w:hAnsiTheme="minorHAnsi" w:cstheme="minorHAnsi"/>
          <w:bCs/>
          <w:iCs/>
          <w:sz w:val="26"/>
          <w:szCs w:val="26"/>
        </w:rPr>
        <w:t>(b441/28.06.2023)</w:t>
      </w:r>
      <w:r w:rsidRPr="00564DC7">
        <w:rPr>
          <w:rFonts w:asciiTheme="minorHAnsi" w:hAnsiTheme="minorHAnsi" w:cstheme="minorHAnsi"/>
          <w:bCs/>
          <w:i/>
          <w:iCs/>
          <w:sz w:val="26"/>
          <w:szCs w:val="26"/>
        </w:rPr>
        <w:t xml:space="preserve"> </w:t>
      </w:r>
      <w:r w:rsidRPr="00564DC7">
        <w:rPr>
          <w:rFonts w:asciiTheme="minorHAnsi" w:hAnsiTheme="minorHAnsi" w:cstheme="minorHAnsi"/>
          <w:sz w:val="26"/>
          <w:szCs w:val="26"/>
        </w:rPr>
        <w:t xml:space="preserve">a fost analizată în ședința din data de 7 septembrie 2023 a Comisiei nr. 1 – reunită ”Legislație și cooperare interinstituțională”. Comisia de specialitate a Consiliului a apreciat că este oportună modificarea dispoziţiilor </w:t>
      </w:r>
      <w:r w:rsidRPr="00564DC7">
        <w:rPr>
          <w:rFonts w:asciiTheme="minorHAnsi" w:hAnsiTheme="minorHAnsi" w:cstheme="minorHAnsi"/>
          <w:bCs/>
          <w:iCs/>
          <w:sz w:val="26"/>
          <w:szCs w:val="26"/>
        </w:rPr>
        <w:t>art. 13 alin. (5) din Legea nr. 213/2015, însă nu în forma propusă de iniţiatori care stabilea o competenţă alternativă în favoarea instanţelor civile în a căror circumscripţie se află domiciliul sau sediul persoanei păgubite ori locul producerii pagubei, ci în sensul stabilirii competenţei în favoarea instanţelor civile în circumscripţia cărora îşi are domiciliul sau sediul creditorul de asigurări.</w:t>
      </w:r>
      <w:r w:rsidRPr="00564DC7">
        <w:rPr>
          <w:rFonts w:asciiTheme="minorHAnsi" w:hAnsiTheme="minorHAnsi" w:cstheme="minorHAnsi"/>
          <w:sz w:val="26"/>
          <w:szCs w:val="26"/>
        </w:rPr>
        <w:t xml:space="preserve"> </w:t>
      </w:r>
      <w:r w:rsidRPr="00564DC7">
        <w:rPr>
          <w:rFonts w:asciiTheme="minorHAnsi" w:hAnsiTheme="minorHAnsi" w:cstheme="minorHAnsi"/>
          <w:iCs/>
          <w:sz w:val="26"/>
          <w:szCs w:val="26"/>
        </w:rPr>
        <w:t>Răspunsul Consiliului Superior al Magistraturii a fost comunicat Senatului României cu adresa nr. 14878/2023 din 12.09.2023.</w:t>
      </w:r>
    </w:p>
    <w:p w14:paraId="7500594C" w14:textId="77777777" w:rsidR="003D2838" w:rsidRPr="00564DC7" w:rsidRDefault="003D2838" w:rsidP="00690186">
      <w:pPr>
        <w:ind w:firstLine="900"/>
        <w:jc w:val="both"/>
        <w:rPr>
          <w:rFonts w:asciiTheme="minorHAnsi" w:hAnsiTheme="minorHAnsi" w:cstheme="minorHAnsi"/>
          <w:sz w:val="26"/>
          <w:szCs w:val="26"/>
        </w:rPr>
      </w:pPr>
      <w:r w:rsidRPr="00564DC7">
        <w:rPr>
          <w:rFonts w:asciiTheme="minorHAnsi" w:hAnsiTheme="minorHAnsi" w:cstheme="minorHAnsi"/>
          <w:sz w:val="26"/>
          <w:szCs w:val="26"/>
        </w:rPr>
        <w:t xml:space="preserve">Propunerea legislativă pentru completarea art. 331 din Legea nr. </w:t>
      </w:r>
      <w:r w:rsidRPr="00564DC7">
        <w:rPr>
          <w:rFonts w:asciiTheme="minorHAnsi" w:hAnsiTheme="minorHAnsi" w:cstheme="minorHAnsi"/>
          <w:bCs/>
          <w:sz w:val="26"/>
          <w:szCs w:val="26"/>
        </w:rPr>
        <w:t>286/2009 privind Codul penal</w:t>
      </w:r>
      <w:r w:rsidRPr="00564DC7">
        <w:rPr>
          <w:rFonts w:asciiTheme="minorHAnsi" w:hAnsiTheme="minorHAnsi" w:cstheme="minorHAnsi"/>
          <w:bCs/>
          <w:i/>
          <w:iCs/>
          <w:sz w:val="26"/>
          <w:szCs w:val="26"/>
        </w:rPr>
        <w:t xml:space="preserve"> </w:t>
      </w:r>
      <w:r w:rsidRPr="00564DC7">
        <w:rPr>
          <w:rFonts w:asciiTheme="minorHAnsi" w:hAnsiTheme="minorHAnsi" w:cstheme="minorHAnsi"/>
          <w:bCs/>
          <w:iCs/>
          <w:sz w:val="26"/>
          <w:szCs w:val="26"/>
        </w:rPr>
        <w:t>(b430/27.06.2023)</w:t>
      </w:r>
      <w:r w:rsidRPr="00564DC7">
        <w:rPr>
          <w:rFonts w:asciiTheme="minorHAnsi" w:hAnsiTheme="minorHAnsi" w:cstheme="minorHAnsi"/>
          <w:sz w:val="26"/>
          <w:szCs w:val="26"/>
        </w:rPr>
        <w:t xml:space="preserve"> a fost analizată în ședința din data de 7 septembrie 2023 a Comisiei nr. 1 – reunită ”Legislație și cooperare interinstituțională”. Propunerea legislativă vizează reglementarea ca infracțiune a faptei angajatului cu atribuții pe linia siguranței mijloacelor de transport, intervenție și manevră pe calea ferată de a se supune prelevării de mostre biologice în </w:t>
      </w:r>
      <w:r w:rsidRPr="00564DC7">
        <w:rPr>
          <w:rFonts w:asciiTheme="minorHAnsi" w:hAnsiTheme="minorHAnsi" w:cstheme="minorHAnsi"/>
          <w:sz w:val="26"/>
          <w:szCs w:val="26"/>
        </w:rPr>
        <w:lastRenderedPageBreak/>
        <w:t xml:space="preserve">vederea stabilirii alcoolemiei ori a prezenței unor substanțe psihoactive. </w:t>
      </w:r>
      <w:r w:rsidRPr="00564DC7">
        <w:rPr>
          <w:rFonts w:asciiTheme="minorHAnsi" w:hAnsiTheme="minorHAnsi" w:cstheme="minorHAnsi"/>
          <w:iCs/>
          <w:sz w:val="26"/>
          <w:szCs w:val="26"/>
        </w:rPr>
        <w:t>Răspunsul Consiliului Superior al Magistraturii a fost comunicat Senatului României cu adresa nr. 3/14866 din 15.09.2023.</w:t>
      </w:r>
    </w:p>
    <w:p w14:paraId="18CE6D8C"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La solicitarea Senatului României, în ședința din data de 17 octombrie 2023 a Comisiei nr. 1 – reunită „Legislație și cooperare interinstituțională” a fost analizată </w:t>
      </w:r>
      <w:r w:rsidRPr="00564DC7">
        <w:rPr>
          <w:rFonts w:asciiTheme="minorHAnsi" w:hAnsiTheme="minorHAnsi" w:cstheme="minorHAnsi"/>
          <w:iCs/>
          <w:sz w:val="26"/>
          <w:szCs w:val="26"/>
        </w:rPr>
        <w:t>Propunerea legislativă pentru modificarea și completarea Legii nr. 143/2000 privind prevenirea și combaterea traficului și consumului ilicit de droguri</w:t>
      </w:r>
      <w:r w:rsidRPr="00564DC7">
        <w:rPr>
          <w:rFonts w:asciiTheme="minorHAnsi" w:hAnsiTheme="minorHAnsi" w:cstheme="minorHAnsi"/>
          <w:sz w:val="26"/>
          <w:szCs w:val="26"/>
        </w:rPr>
        <w:t xml:space="preserve"> (b506/12.09.2023). Prin iniţierea acestui demers legislativ se urmăreşte majorarea limitelor de pedeapsă stabilite pentru infracţiunile prevăzute de Legea nr. 143/2000 privind prevenirea și combaterea traficului și consumului ilicit de droguri.</w:t>
      </w:r>
    </w:p>
    <w:p w14:paraId="424D4636" w14:textId="77777777" w:rsidR="003D2838" w:rsidRPr="00564DC7" w:rsidRDefault="003D2838" w:rsidP="00690186">
      <w:pPr>
        <w:ind w:firstLine="709"/>
        <w:jc w:val="both"/>
        <w:rPr>
          <w:rFonts w:asciiTheme="minorHAnsi" w:hAnsiTheme="minorHAnsi" w:cstheme="minorHAnsi"/>
          <w:iCs/>
          <w:sz w:val="26"/>
          <w:szCs w:val="26"/>
        </w:rPr>
      </w:pPr>
      <w:r w:rsidRPr="00564DC7">
        <w:rPr>
          <w:rFonts w:asciiTheme="minorHAnsi" w:hAnsiTheme="minorHAnsi" w:cstheme="minorHAnsi"/>
          <w:sz w:val="26"/>
          <w:szCs w:val="26"/>
        </w:rPr>
        <w:t xml:space="preserve">La solicitarea Senatului României, în ședința din data de 17 octombrie 2023 a Comisiei nr. 1 – reunită „Legislație și cooperare interinstituțională” a fost analizată </w:t>
      </w:r>
      <w:r w:rsidRPr="00564DC7">
        <w:rPr>
          <w:rFonts w:asciiTheme="minorHAnsi" w:hAnsiTheme="minorHAnsi" w:cstheme="minorHAnsi"/>
          <w:iCs/>
          <w:sz w:val="26"/>
          <w:szCs w:val="26"/>
        </w:rPr>
        <w:t xml:space="preserve">Propunerea legislativă pentru creşterea </w:t>
      </w:r>
      <w:r w:rsidRPr="00564DC7">
        <w:rPr>
          <w:rFonts w:asciiTheme="minorHAnsi" w:hAnsiTheme="minorHAnsi" w:cstheme="minorHAnsi"/>
          <w:bCs/>
          <w:iCs/>
          <w:sz w:val="26"/>
          <w:szCs w:val="26"/>
          <w:lang w:eastAsia="ro-RO"/>
        </w:rPr>
        <w:t>siguranţei rutiere, precum şi pentru modificarea şi completarea OUG nr. 195/2002 privind circulaţia pe drumurile publice şi completarea Legii nr. 286/2009 privind Codul penal</w:t>
      </w:r>
      <w:r w:rsidRPr="00564DC7">
        <w:rPr>
          <w:rFonts w:asciiTheme="minorHAnsi" w:hAnsiTheme="minorHAnsi" w:cstheme="minorHAnsi"/>
          <w:bCs/>
          <w:i/>
          <w:sz w:val="26"/>
          <w:szCs w:val="26"/>
          <w:lang w:eastAsia="ro-RO"/>
        </w:rPr>
        <w:t xml:space="preserve"> </w:t>
      </w:r>
      <w:r w:rsidRPr="00564DC7">
        <w:rPr>
          <w:rFonts w:asciiTheme="minorHAnsi" w:hAnsiTheme="minorHAnsi" w:cstheme="minorHAnsi"/>
          <w:bCs/>
          <w:sz w:val="26"/>
          <w:szCs w:val="26"/>
          <w:lang w:eastAsia="ro-RO"/>
        </w:rPr>
        <w:t>(b507/12.09.2023)</w:t>
      </w:r>
      <w:r w:rsidRPr="00564DC7">
        <w:rPr>
          <w:rFonts w:asciiTheme="minorHAnsi" w:hAnsiTheme="minorHAnsi" w:cstheme="minorHAnsi"/>
          <w:sz w:val="26"/>
          <w:szCs w:val="26"/>
        </w:rPr>
        <w:t xml:space="preserve">. În ceea ce privește </w:t>
      </w:r>
      <w:r w:rsidRPr="00564DC7">
        <w:rPr>
          <w:rFonts w:asciiTheme="minorHAnsi" w:hAnsiTheme="minorHAnsi" w:cstheme="minorHAnsi"/>
          <w:bCs/>
          <w:sz w:val="26"/>
          <w:szCs w:val="26"/>
        </w:rPr>
        <w:t>modificarea și completarea O.U.G. nr. 195/2002 privind circulaţia pe drumurile publice,</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republicată</w:t>
      </w:r>
      <w:r w:rsidRPr="00564DC7">
        <w:rPr>
          <w:rFonts w:asciiTheme="minorHAnsi" w:hAnsiTheme="minorHAnsi" w:cstheme="minorHAnsi"/>
          <w:sz w:val="26"/>
          <w:szCs w:val="26"/>
        </w:rPr>
        <w:t>, propunerea legislativă măreşte durata în care persoana care nu deţine permis de conducere și a fost condamnată, prin hotărâre definitivă, pentru oricare dintre infracţiunile prevăzute la art. 334, art. 335 alin. (1), art. 336, art. 337, art. 338 alin. (1) şi art. 339 alin. (2) - (4) din Codul penal sau pentru o infracţiune care a avut ca rezultat uciderea sau vătămarea corporală a unei persoane, săvârşită ca urmare a nerespectării regulilor de circulaţie, precum şi persoana al cărei permis de conducere a fost anulat în condiţiile art. 114 alin. (1) lit. a) - d) sau ale art. 115 alin. (1) are dreptul de a se prezenta la examen pentru obţinerea permisului de conducere, respectiv pentru obţinerea unui nou permis de conducere.</w:t>
      </w:r>
      <w:r w:rsidRPr="00564DC7">
        <w:rPr>
          <w:rFonts w:asciiTheme="minorHAnsi" w:hAnsiTheme="minorHAnsi" w:cstheme="minorHAnsi"/>
          <w:iCs/>
          <w:sz w:val="26"/>
          <w:szCs w:val="26"/>
        </w:rPr>
        <w:t xml:space="preserve"> Punctul de vedere al comisiei de specialitate a Consiliului Superior al Magistraturii a fost comunicat Senatului României, împreună cu argumentele care au fost avute în vedere, cu adresa nr. 18196/2023 din 20.10.2023.</w:t>
      </w:r>
    </w:p>
    <w:p w14:paraId="298B61DB" w14:textId="77777777" w:rsidR="003D2838" w:rsidRDefault="003D2838" w:rsidP="00690186">
      <w:pPr>
        <w:tabs>
          <w:tab w:val="left" w:pos="709"/>
        </w:tabs>
        <w:ind w:firstLine="709"/>
        <w:jc w:val="both"/>
        <w:rPr>
          <w:rFonts w:asciiTheme="minorHAnsi" w:hAnsiTheme="minorHAnsi" w:cstheme="minorHAnsi"/>
          <w:iCs/>
          <w:sz w:val="26"/>
          <w:szCs w:val="26"/>
        </w:rPr>
      </w:pPr>
      <w:r w:rsidRPr="00564DC7">
        <w:rPr>
          <w:rFonts w:asciiTheme="minorHAnsi" w:hAnsiTheme="minorHAnsi" w:cstheme="minorHAnsi"/>
          <w:sz w:val="26"/>
          <w:szCs w:val="26"/>
        </w:rPr>
        <w:t xml:space="preserve">La solicitarea Senatului României, în ședința din data de 17 octombrie 2023 a Comisiei nr. 1 – reunită „Legislație și cooperare interinstituțională” a fost analizată </w:t>
      </w:r>
      <w:r w:rsidRPr="00564DC7">
        <w:rPr>
          <w:rFonts w:asciiTheme="minorHAnsi" w:hAnsiTheme="minorHAnsi" w:cstheme="minorHAnsi"/>
          <w:iCs/>
          <w:sz w:val="26"/>
          <w:szCs w:val="26"/>
        </w:rPr>
        <w:t>Propunerea legislativă pentru modificarea şi completarea unor acte normative în domeniul prevenirii şi combaterii traficului şi consumului ilicit de droguri şi alte substanţe susceptibile de a avea efecte psihoactive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(b533/21.09.2023). Comisia a reţinut că propunerea legislativă răspunde raţiunilor prezentate în expunerea de motive, astfel încât este necesară promovarea sa, însă reglementarea propusă este susceptibilă de unele îmbunătăţiri.</w:t>
      </w:r>
      <w:r w:rsidRPr="00564DC7">
        <w:rPr>
          <w:rFonts w:asciiTheme="minorHAnsi" w:hAnsiTheme="minorHAnsi" w:cstheme="minorHAnsi"/>
          <w:iCs/>
          <w:sz w:val="26"/>
          <w:szCs w:val="26"/>
        </w:rPr>
        <w:t xml:space="preserve"> Propunerile Consiliului Superior al Magistraturii în acest sens au fost comunicate Senatului României cu adresa nr. 18905/2023 din 20.10.2023. </w:t>
      </w:r>
    </w:p>
    <w:p w14:paraId="672B8859" w14:textId="77777777" w:rsidR="00875F4D" w:rsidRPr="00875F4D" w:rsidRDefault="00875F4D" w:rsidP="00875F4D">
      <w:pPr>
        <w:ind w:firstLine="708"/>
        <w:jc w:val="both"/>
        <w:rPr>
          <w:rFonts w:asciiTheme="minorHAnsi" w:hAnsiTheme="minorHAnsi" w:cstheme="minorHAnsi"/>
          <w:sz w:val="26"/>
          <w:szCs w:val="26"/>
        </w:rPr>
      </w:pPr>
      <w:r w:rsidRPr="00875F4D">
        <w:rPr>
          <w:rFonts w:asciiTheme="minorHAnsi" w:hAnsiTheme="minorHAnsi" w:cstheme="minorHAnsi"/>
          <w:sz w:val="26"/>
          <w:szCs w:val="26"/>
        </w:rPr>
        <w:t>Propunerea legislativă privind modificarea şi completarea Legii nr. 217/2023 pentru modificarea şi completarea Legii nr. 286 privind Codul penal, a Legii nr. 135/2010 privind Codul de procedură penală, precum şi a Legii audiovizualului nr. 504/2002 (b601/18.10.20223) a fost analizată în ședința din data de 24 octombrie 2023 a Comisiei nr. 1 - reunită „Legislație și cooperare interinstituțională”. Punctul de vedere al comisiei de specialitate a Consiliului Superior al Magistraturii a fost comunicat Senatului României, împreună cu argumentele care au fost avute în vedere, cu adresa nr. 19946/2023 din 25.10.2023.</w:t>
      </w:r>
    </w:p>
    <w:p w14:paraId="0C1AA7E8" w14:textId="77777777" w:rsidR="00875F4D" w:rsidRPr="00875F4D" w:rsidRDefault="00875F4D" w:rsidP="00875F4D">
      <w:pPr>
        <w:ind w:firstLine="708"/>
        <w:jc w:val="both"/>
        <w:rPr>
          <w:rFonts w:asciiTheme="minorHAnsi" w:hAnsiTheme="minorHAnsi" w:cstheme="minorHAnsi"/>
          <w:iCs/>
          <w:sz w:val="26"/>
          <w:szCs w:val="26"/>
        </w:rPr>
      </w:pPr>
      <w:r w:rsidRPr="00875F4D">
        <w:rPr>
          <w:rFonts w:asciiTheme="minorHAnsi" w:hAnsiTheme="minorHAnsi" w:cstheme="minorHAnsi"/>
          <w:sz w:val="26"/>
          <w:szCs w:val="26"/>
        </w:rPr>
        <w:t>Propunerea legislativă pentru completarea art. 192 din Legea nr. 286/2009 privind Codul penal (b526/20.09.2023) a fost analizată în ședința din data de 24 octombrie 2023 a Comisiei nr. 1 - reunită „Legislație și cooperare interinstituțională” care a apreciat că aceasta nu poate fi adoptată în forma în care a fost transmisă de către inițiatori.</w:t>
      </w:r>
      <w:r w:rsidRPr="00875F4D">
        <w:rPr>
          <w:rFonts w:asciiTheme="minorHAnsi" w:hAnsiTheme="minorHAnsi" w:cstheme="minorHAnsi"/>
          <w:iCs/>
          <w:sz w:val="26"/>
          <w:szCs w:val="26"/>
        </w:rPr>
        <w:t xml:space="preserve"> </w:t>
      </w:r>
      <w:r w:rsidRPr="00875F4D">
        <w:rPr>
          <w:rFonts w:asciiTheme="minorHAnsi" w:hAnsiTheme="minorHAnsi" w:cstheme="minorHAnsi"/>
          <w:sz w:val="26"/>
          <w:szCs w:val="26"/>
        </w:rPr>
        <w:t>Argumentele Consiliului Superior al Magistraturii au fost comunicate Senatului României cu adresa nr. 18892/2023 din 25.10.2023.</w:t>
      </w:r>
    </w:p>
    <w:p w14:paraId="75A8187D" w14:textId="77777777" w:rsidR="00875F4D" w:rsidRPr="00261D6B" w:rsidRDefault="00875F4D" w:rsidP="00875F4D">
      <w:pPr>
        <w:ind w:firstLine="708"/>
        <w:jc w:val="both"/>
        <w:rPr>
          <w:rFonts w:asciiTheme="minorHAnsi" w:hAnsiTheme="minorHAnsi" w:cstheme="minorHAnsi"/>
          <w:sz w:val="26"/>
          <w:szCs w:val="26"/>
          <w:lang w:val="fr-FR"/>
        </w:rPr>
      </w:pPr>
      <w:r w:rsidRPr="00875F4D">
        <w:rPr>
          <w:rFonts w:asciiTheme="minorHAnsi" w:hAnsiTheme="minorHAnsi" w:cstheme="minorHAnsi"/>
          <w:sz w:val="26"/>
          <w:szCs w:val="26"/>
        </w:rPr>
        <w:t xml:space="preserve">Propunerea legislativă pentru modificarea şi completarea Ordonanţei Guvernului nr. 26/2000 cu privire la asociaţii şi fundaţii (b523/20.09.2023) a fost analizată în ședința din data de 24 octombrie 2023 a Comisiei nr. 1 - reunită „Legislație și cooperare interinstituțională”. Comisia a apreciat că adoptarea soluţiei legislative propuse, respectiv implementarea la nivelul </w:t>
      </w:r>
      <w:r w:rsidRPr="00875F4D">
        <w:rPr>
          <w:rFonts w:asciiTheme="minorHAnsi" w:hAnsiTheme="minorHAnsi" w:cstheme="minorHAnsi"/>
          <w:sz w:val="26"/>
          <w:szCs w:val="26"/>
        </w:rPr>
        <w:lastRenderedPageBreak/>
        <w:t>Ministerului Justiţiei a portalului de servicii online dedicate asociaţiilor şi fundaţiilor, ar facilita accesul cetăţenilor la serviciile oferite de administraţia publică, contribuind, totodată, la eficientizarea activităţii acesteia şi gestionarea mai rapidă a cererilor. Răspunsul Consiliului Superior al Magistraturii au fost comunicat Senatului României cu adresa nr. 18685/2023 din 25.10.2023</w:t>
      </w:r>
    </w:p>
    <w:p w14:paraId="4CC06FDE" w14:textId="77777777" w:rsidR="00875F4D" w:rsidRPr="00875F4D" w:rsidRDefault="00875F4D" w:rsidP="00875F4D">
      <w:pPr>
        <w:tabs>
          <w:tab w:val="left" w:pos="709"/>
        </w:tabs>
        <w:ind w:firstLine="708"/>
        <w:jc w:val="both"/>
        <w:rPr>
          <w:rFonts w:asciiTheme="minorHAnsi" w:hAnsiTheme="minorHAnsi" w:cstheme="minorHAnsi"/>
          <w:sz w:val="26"/>
          <w:szCs w:val="26"/>
        </w:rPr>
      </w:pPr>
      <w:bookmarkStart w:id="65" w:name="_Hlk148359841"/>
      <w:r w:rsidRPr="00875F4D">
        <w:rPr>
          <w:rFonts w:asciiTheme="minorHAnsi" w:hAnsiTheme="minorHAnsi" w:cstheme="minorHAnsi"/>
          <w:sz w:val="26"/>
          <w:szCs w:val="26"/>
        </w:rPr>
        <w:t>Propunerea legislativă privind modificarea art. I pct. 17 din Legea nr. 217/2023 pentru modificarea şi completarea Legii nr. 286/2009 privind Codul penal, a Legii nr. 135/2010 privind Codul de procedură penală, precum şi a Legii audiovizualului nr. 504/2002</w:t>
      </w:r>
      <w:bookmarkEnd w:id="65"/>
      <w:r w:rsidRPr="00875F4D">
        <w:rPr>
          <w:rFonts w:asciiTheme="minorHAnsi" w:hAnsiTheme="minorHAnsi" w:cstheme="minorHAnsi"/>
          <w:sz w:val="26"/>
          <w:szCs w:val="26"/>
        </w:rPr>
        <w:t xml:space="preserve"> (b562/05.10.2023) a fost analizată în ședința din data de 24 octombrie 2023 a Comisiei nr. 1 – reunită „Legislație şi cooperare interinstituțională”. Comisia de specialitate a Consiliului Superior al Magistraturii a apreciat că este necesară promovarea propunerii legislative, astfel încât să fie evitată dezincriminarea, începând cu data de 1 ianuarie 2024, a faptelor vizate de aceasta. În același timp, pe fondul reglementării propuse, s-a reținut că aceasta ar trebui să aibă în vedere, printre situațiile de vulnerabilitate a minorului, și pe aceea cauzată de boală. Punctul de vedere al comisiei de specialitate a Consiliului Superior al Magistraturii a fost comunicat Senatului României cu adresa nr. 19691/2023 din 30.10.2023.</w:t>
      </w:r>
    </w:p>
    <w:p w14:paraId="0D906640" w14:textId="77777777" w:rsidR="00875F4D" w:rsidRPr="00875F4D" w:rsidRDefault="00875F4D" w:rsidP="00875F4D">
      <w:pPr>
        <w:tabs>
          <w:tab w:val="left" w:pos="709"/>
        </w:tabs>
        <w:ind w:firstLine="708"/>
        <w:jc w:val="both"/>
        <w:rPr>
          <w:rFonts w:asciiTheme="minorHAnsi" w:hAnsiTheme="minorHAnsi" w:cstheme="minorHAnsi"/>
          <w:sz w:val="26"/>
          <w:szCs w:val="26"/>
        </w:rPr>
      </w:pPr>
      <w:r w:rsidRPr="00875F4D">
        <w:rPr>
          <w:rFonts w:asciiTheme="minorHAnsi" w:hAnsiTheme="minorHAnsi" w:cstheme="minorHAnsi"/>
          <w:sz w:val="26"/>
          <w:szCs w:val="26"/>
        </w:rPr>
        <w:t>Propunerea legislativă pentru modificarea Ordonanţei de Urgenţă nr. 195 din 12 decembrie 2002 privind circulaţia pe drumurile publice (b527/20.09.2023) a fost analizată în ședința din data de 24 octombrie 2023 a Comisiei nr. 1 - reunită „Legislație și cooperare interinstituțională” care a apreciat că aceasta nu poate fi adoptată în forma în care a fost transmisă de către inițiatori.</w:t>
      </w:r>
      <w:r w:rsidRPr="00875F4D">
        <w:rPr>
          <w:rFonts w:asciiTheme="minorHAnsi" w:hAnsiTheme="minorHAnsi" w:cstheme="minorHAnsi"/>
          <w:iCs/>
          <w:sz w:val="26"/>
          <w:szCs w:val="26"/>
        </w:rPr>
        <w:t xml:space="preserve"> </w:t>
      </w:r>
      <w:r w:rsidRPr="00875F4D">
        <w:rPr>
          <w:rFonts w:asciiTheme="minorHAnsi" w:hAnsiTheme="minorHAnsi" w:cstheme="minorHAnsi"/>
          <w:sz w:val="26"/>
          <w:szCs w:val="26"/>
        </w:rPr>
        <w:t>Argumentele Consiliului Superior al Magistraturii au fost comunicate Senatului României cu adresa nr. 18895/2023 din 25.10.2023.</w:t>
      </w:r>
    </w:p>
    <w:p w14:paraId="77AF6D7A" w14:textId="77777777" w:rsidR="00875F4D" w:rsidRPr="00875F4D" w:rsidRDefault="00875F4D" w:rsidP="00875F4D">
      <w:pPr>
        <w:tabs>
          <w:tab w:val="left" w:pos="709"/>
        </w:tabs>
        <w:ind w:firstLine="708"/>
        <w:jc w:val="both"/>
        <w:rPr>
          <w:rFonts w:asciiTheme="minorHAnsi" w:hAnsiTheme="minorHAnsi" w:cstheme="minorHAnsi"/>
          <w:sz w:val="26"/>
          <w:szCs w:val="26"/>
        </w:rPr>
      </w:pPr>
      <w:r w:rsidRPr="00875F4D">
        <w:rPr>
          <w:rFonts w:asciiTheme="minorHAnsi" w:hAnsiTheme="minorHAnsi" w:cstheme="minorHAnsi"/>
          <w:sz w:val="26"/>
          <w:szCs w:val="26"/>
        </w:rPr>
        <w:t xml:space="preserve">La solicitarea Senatului României, în ședința din data de 2 noiembrie 2023, Comisia nr. 1 - reunită „Legislație și cooperare interinstituțională” a analizat </w:t>
      </w:r>
      <w:bookmarkStart w:id="66" w:name="_Hlk129088705"/>
      <w:r w:rsidRPr="00875F4D">
        <w:rPr>
          <w:rFonts w:asciiTheme="minorHAnsi" w:hAnsiTheme="minorHAnsi" w:cstheme="minorHAnsi"/>
          <w:sz w:val="26"/>
          <w:szCs w:val="26"/>
        </w:rPr>
        <w:t xml:space="preserve">Propunerea legislativă pentru modificarea </w:t>
      </w:r>
      <w:bookmarkEnd w:id="66"/>
      <w:r w:rsidRPr="00875F4D">
        <w:rPr>
          <w:rFonts w:asciiTheme="minorHAnsi" w:hAnsiTheme="minorHAnsi" w:cstheme="minorHAnsi"/>
          <w:sz w:val="26"/>
          <w:szCs w:val="26"/>
        </w:rPr>
        <w:t>unor acte normative în materie electorală (b563/05.10.2023), formulând o serie de observaţii pe care le-a comunicat Senatului cu adresa nr. 19720/2023 din 08.11.2023.</w:t>
      </w:r>
    </w:p>
    <w:p w14:paraId="2007E56C" w14:textId="77777777" w:rsidR="00875F4D" w:rsidRPr="00875F4D" w:rsidRDefault="00875F4D" w:rsidP="00875F4D">
      <w:pPr>
        <w:tabs>
          <w:tab w:val="left" w:pos="709"/>
        </w:tabs>
        <w:ind w:firstLine="708"/>
        <w:jc w:val="both"/>
        <w:rPr>
          <w:rFonts w:asciiTheme="minorHAnsi" w:hAnsiTheme="minorHAnsi" w:cstheme="minorHAnsi"/>
          <w:sz w:val="26"/>
          <w:szCs w:val="26"/>
        </w:rPr>
      </w:pPr>
      <w:r w:rsidRPr="00875F4D">
        <w:rPr>
          <w:rFonts w:asciiTheme="minorHAnsi" w:hAnsiTheme="minorHAnsi" w:cstheme="minorHAnsi"/>
          <w:sz w:val="26"/>
          <w:szCs w:val="26"/>
        </w:rPr>
        <w:t xml:space="preserve">La solicitarea Senatului României, în ședința din data de 2 noiembrie 2023, Comisia nr. 1 - reunită „Legislație și cooperare interinstituțională” a analizat Propunerea legislativă pentru modificarea și completarea Legii nr. 143/2000 privind prevenirea și combaterea traficului și consumului ilicit de droguri și modificarea Legii nr. 194/2011 privind combaterea operațiunilor cu produse susceptibile de a avea efecte psihoactive, altele decât cele prevăzute de acte normative în vigoare (b556/04.10.2023), formulând o serie de observaţii pe care le-a comunicat Senatului cu adresa nr. 19677/2023 din 08.11.2023. </w:t>
      </w:r>
    </w:p>
    <w:p w14:paraId="69F91CB3" w14:textId="77777777" w:rsidR="00875F4D" w:rsidRPr="00875F4D" w:rsidRDefault="00875F4D" w:rsidP="00875F4D">
      <w:pPr>
        <w:tabs>
          <w:tab w:val="left" w:pos="709"/>
        </w:tabs>
        <w:ind w:firstLine="708"/>
        <w:jc w:val="both"/>
        <w:rPr>
          <w:rFonts w:asciiTheme="minorHAnsi" w:hAnsiTheme="minorHAnsi" w:cstheme="minorHAnsi"/>
          <w:sz w:val="26"/>
          <w:szCs w:val="26"/>
        </w:rPr>
      </w:pPr>
      <w:r w:rsidRPr="00875F4D">
        <w:rPr>
          <w:rFonts w:asciiTheme="minorHAnsi" w:hAnsiTheme="minorHAnsi" w:cstheme="minorHAnsi"/>
          <w:sz w:val="26"/>
          <w:szCs w:val="26"/>
        </w:rPr>
        <w:tab/>
        <w:t>La solicitarea Senatului României, în ședința din data de 2 noiembrie 2023, Comisia nr. 1 - reunită „Legislație și cooperare interinstituțională” a analizat Propunerea legislativă privind reglementarea Abuzului de putere și completarea Legii nr. 286/2009 privind Codul penal, actualizat cu modificările și completările ulterioare (b575/09.10.2023), formulând o serie de observaţii pe care le-a comunicat Senatului cu adresa nr. 20070/2023 din 09.11.2023.</w:t>
      </w:r>
    </w:p>
    <w:p w14:paraId="3C2A1845" w14:textId="291EDFF9" w:rsidR="00875F4D" w:rsidRDefault="00875F4D" w:rsidP="00875F4D">
      <w:pPr>
        <w:tabs>
          <w:tab w:val="left" w:pos="709"/>
        </w:tabs>
        <w:ind w:firstLine="708"/>
        <w:jc w:val="both"/>
        <w:rPr>
          <w:rFonts w:asciiTheme="minorHAnsi" w:hAnsiTheme="minorHAnsi" w:cstheme="minorHAnsi"/>
          <w:sz w:val="26"/>
          <w:szCs w:val="26"/>
        </w:rPr>
      </w:pPr>
      <w:r w:rsidRPr="00875F4D">
        <w:rPr>
          <w:rFonts w:asciiTheme="minorHAnsi" w:hAnsiTheme="minorHAnsi" w:cstheme="minorHAnsi"/>
          <w:sz w:val="26"/>
          <w:szCs w:val="26"/>
        </w:rPr>
        <w:t>La solicitarea Senatului României, în ședința din data de 28 noiembrie 2023, Comisia nr. 1 - reunită „Legislație și cooperare interinstituțională” a analizat Propunerea legislativă</w:t>
      </w:r>
      <w:r w:rsidRPr="00875F4D">
        <w:rPr>
          <w:rFonts w:asciiTheme="minorHAnsi" w:hAnsiTheme="minorHAnsi" w:cstheme="minorHAnsi"/>
          <w:i/>
          <w:sz w:val="26"/>
          <w:szCs w:val="26"/>
        </w:rPr>
        <w:t xml:space="preserve"> </w:t>
      </w:r>
      <w:r w:rsidRPr="00875F4D">
        <w:rPr>
          <w:rFonts w:asciiTheme="minorHAnsi" w:hAnsiTheme="minorHAnsi" w:cstheme="minorHAnsi"/>
          <w:sz w:val="26"/>
          <w:szCs w:val="26"/>
        </w:rPr>
        <w:t>pentru modificarea art. 1121 din Legea nr. 286/2009 privind Codul penal şi pentru modificarea şi completarea Legii nr. 135/2010 privind Codul de procedură penală (b551/03.10.2023). Comisia a apreciat că propunerea nu poate fi adoptată în forma în care a fost transmisă de către inițiatori.</w:t>
      </w:r>
      <w:r w:rsidRPr="00875F4D">
        <w:rPr>
          <w:rFonts w:asciiTheme="minorHAnsi" w:hAnsiTheme="minorHAnsi" w:cstheme="minorHAnsi"/>
          <w:iCs/>
          <w:sz w:val="26"/>
          <w:szCs w:val="26"/>
        </w:rPr>
        <w:t xml:space="preserve"> </w:t>
      </w:r>
      <w:r w:rsidRPr="00875F4D">
        <w:rPr>
          <w:rFonts w:asciiTheme="minorHAnsi" w:hAnsiTheme="minorHAnsi" w:cstheme="minorHAnsi"/>
          <w:sz w:val="26"/>
          <w:szCs w:val="26"/>
        </w:rPr>
        <w:t>Argumentele Consiliului Superior al Magistraturii au fost comunicate Senatului României cu adresa nr. 19585/2023 din 05.12.2023</w:t>
      </w:r>
      <w:r>
        <w:rPr>
          <w:rFonts w:asciiTheme="minorHAnsi" w:hAnsiTheme="minorHAnsi" w:cstheme="minorHAnsi"/>
          <w:sz w:val="26"/>
          <w:szCs w:val="26"/>
        </w:rPr>
        <w:t>.</w:t>
      </w:r>
    </w:p>
    <w:p w14:paraId="46C0A304" w14:textId="49AED72B" w:rsidR="00C72546" w:rsidRPr="00C72546" w:rsidRDefault="00C72546" w:rsidP="00C72546">
      <w:pPr>
        <w:spacing w:line="276" w:lineRule="auto"/>
        <w:ind w:firstLine="708"/>
        <w:jc w:val="both"/>
        <w:rPr>
          <w:rFonts w:ascii="Calibri" w:hAnsi="Calibri" w:cs="Calibri"/>
          <w:bCs/>
          <w:sz w:val="26"/>
          <w:szCs w:val="26"/>
        </w:rPr>
      </w:pPr>
      <w:r w:rsidRPr="00C72546">
        <w:rPr>
          <w:rFonts w:asciiTheme="minorHAnsi" w:hAnsiTheme="minorHAnsi" w:cstheme="minorHAnsi"/>
          <w:sz w:val="26"/>
          <w:szCs w:val="26"/>
        </w:rPr>
        <w:t>La solicitarea Senatului României, în ședința din data de 11 decembrie 2023, Comisia nr. 1 - judecători „Legislație și cooperare interinstituțională” a analizat Propunerea legislativă</w:t>
      </w:r>
      <w:r w:rsidRPr="00C72546">
        <w:rPr>
          <w:rFonts w:asciiTheme="minorHAnsi" w:hAnsiTheme="minorHAnsi" w:cstheme="minorHAnsi"/>
          <w:i/>
          <w:sz w:val="26"/>
          <w:szCs w:val="26"/>
        </w:rPr>
        <w:t xml:space="preserve"> </w:t>
      </w:r>
      <w:r w:rsidRPr="00C72546">
        <w:rPr>
          <w:rFonts w:asciiTheme="minorHAnsi" w:hAnsiTheme="minorHAnsi" w:cstheme="minorHAnsi"/>
          <w:sz w:val="26"/>
          <w:szCs w:val="26"/>
        </w:rPr>
        <w:t xml:space="preserve">pentru modificarea art. 30 din Legea nr. 51/1995 pentru organizarea și exercitarea profesiei de avocat și </w:t>
      </w:r>
      <w:r w:rsidRPr="00C72546">
        <w:rPr>
          <w:rFonts w:asciiTheme="minorHAnsi" w:hAnsiTheme="minorHAnsi" w:cstheme="minorHAnsi"/>
          <w:sz w:val="26"/>
          <w:szCs w:val="26"/>
        </w:rPr>
        <w:lastRenderedPageBreak/>
        <w:t>art. 451 din Legea nr. 134/2010 privind Codul de procedură civilă (638/07.11.2023), formulând o serie de observaţii pe care le-a comunicat Senatului cu adresa nr. 21692/2023 din 20.12.2023. Raportat la modificarea art. 30 alin. (1) din Legea nr. 51/1995 în sensul instituirii unei prezumții legale conform căreia „în fața instanței, onorariul contractat între avocat și client este unul corect în raport cu valoarea sau complexitatea cauzei ori cu activitatea desfășurată de avocat în aceasta”, s-a apreciat că propunerea formulată nu este în măsură să conducă la rezolvarea problematicii care stă la baza demersului legislativ, respectiv aceea a reducerii din oficiu de către instanță a cheltuielilor de judecată constând în onorariul avocatului. În ceea ce privește modificarea dispozițiilor art. 451 alin. (2) din Codul de procedură civilă, s-a reținut că reglementarea actuală prevede criterii clare prin raportare la care instanţa de judecată poate reduce, motivat, partea din cheltuielile de judecată reprezentând onorariul avocaţilor, iar prerogativa acordată instanței de a reduce și din oficiu aceste cheltuieli reprezintă o garanție a respectării dreptului la un proces echitabil și a dreptului de proprietate, iar nu un impediment pentru realizarea acestora.</w:t>
      </w:r>
    </w:p>
    <w:p w14:paraId="1AFD057A" w14:textId="77777777" w:rsidR="00C72546" w:rsidRPr="00564DC7" w:rsidRDefault="00C72546" w:rsidP="00875F4D">
      <w:pPr>
        <w:tabs>
          <w:tab w:val="left" w:pos="709"/>
        </w:tabs>
        <w:ind w:firstLine="708"/>
        <w:jc w:val="both"/>
        <w:rPr>
          <w:rFonts w:asciiTheme="minorHAnsi" w:hAnsiTheme="minorHAnsi" w:cstheme="minorHAnsi"/>
          <w:sz w:val="26"/>
          <w:szCs w:val="26"/>
        </w:rPr>
      </w:pPr>
    </w:p>
    <w:p w14:paraId="23D41D3E"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b/>
          <w:sz w:val="26"/>
          <w:szCs w:val="26"/>
        </w:rPr>
        <w:t xml:space="preserve">B. </w:t>
      </w:r>
      <w:r w:rsidRPr="00564DC7">
        <w:rPr>
          <w:rFonts w:asciiTheme="minorHAnsi" w:hAnsiTheme="minorHAnsi" w:cstheme="minorHAnsi"/>
          <w:sz w:val="26"/>
          <w:szCs w:val="26"/>
        </w:rPr>
        <w:t>În ceea ce privește</w:t>
      </w:r>
      <w:r w:rsidRPr="00564DC7">
        <w:rPr>
          <w:rFonts w:asciiTheme="minorHAnsi" w:hAnsiTheme="minorHAnsi" w:cstheme="minorHAnsi"/>
          <w:b/>
          <w:sz w:val="26"/>
          <w:szCs w:val="26"/>
        </w:rPr>
        <w:t xml:space="preserve"> raporturile Consiliului Superior al Magistraturii cu puterea executivă</w:t>
      </w:r>
      <w:r w:rsidRPr="00564DC7">
        <w:rPr>
          <w:rFonts w:asciiTheme="minorHAnsi" w:hAnsiTheme="minorHAnsi" w:cstheme="minorHAnsi"/>
          <w:sz w:val="26"/>
          <w:szCs w:val="26"/>
        </w:rPr>
        <w:t xml:space="preserve">, se evidențiază colaborarea cu Ministerul Justiţiei din perspectiva procesului legislativ, colaborare în cadrul căreia Consiliul şi-a exercitat atribuţiile referitoare la </w:t>
      </w:r>
      <w:r w:rsidRPr="00564DC7">
        <w:rPr>
          <w:rFonts w:asciiTheme="minorHAnsi" w:hAnsiTheme="minorHAnsi" w:cstheme="minorHAnsi"/>
          <w:iCs/>
          <w:sz w:val="26"/>
          <w:szCs w:val="26"/>
        </w:rPr>
        <w:t>avizarea actelor normative care privesc activitatea autorităţii judecătoreşti</w:t>
      </w:r>
      <w:r w:rsidRPr="00564DC7">
        <w:rPr>
          <w:rFonts w:asciiTheme="minorHAnsi" w:hAnsiTheme="minorHAnsi" w:cstheme="minorHAnsi"/>
          <w:sz w:val="26"/>
          <w:szCs w:val="26"/>
        </w:rPr>
        <w:t>, prevăzute de art. 39 alin. (3) din Legea nr. 305/2022 privind Consiliul Superior al Magistraturii, prezentate în cadrul Secţiunii 1 a Capitolului III.</w:t>
      </w:r>
    </w:p>
    <w:p w14:paraId="1B728760"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O altă componentă importantă a acestor raporturi se referă la sesizările transmise Ministerului Justiţiei prin intermediul Plenului sau comisiilor sale de specialitate, în contextul cooperării dintre aceste instituţii şi al necesităţii asigurării unei bune funcționări a autorității judecătorești.</w:t>
      </w:r>
    </w:p>
    <w:p w14:paraId="13C03C07"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Astfel, prin Hotărârea nr. 14 din 26 ianuarie 2023, Plenul Consiliului Superior al Magistraturii a decis sesizarea ministrului justiţiei cu propunerea de </w:t>
      </w:r>
      <w:bookmarkStart w:id="67" w:name="_Hlk125964437"/>
      <w:r w:rsidRPr="00564DC7">
        <w:rPr>
          <w:rFonts w:asciiTheme="minorHAnsi" w:hAnsiTheme="minorHAnsi" w:cstheme="minorHAnsi"/>
          <w:sz w:val="26"/>
          <w:szCs w:val="26"/>
        </w:rPr>
        <w:t>completare a Ordonanţei Guvernului nr. 41/1994 privind autorizarea plăţii cotizațiilor la organizațiile internaţionale interguvernamentale la care România este parte</w:t>
      </w:r>
      <w:bookmarkEnd w:id="67"/>
      <w:r w:rsidRPr="00564DC7">
        <w:rPr>
          <w:rFonts w:asciiTheme="minorHAnsi" w:hAnsiTheme="minorHAnsi" w:cstheme="minorHAnsi"/>
          <w:sz w:val="26"/>
          <w:szCs w:val="26"/>
        </w:rPr>
        <w:t>, publicată în Monitorul Oficial al României, Partea I, nr. 241 din 29 august 1994, aprobată prin Legea nr. 126/1994, cu modificările şi completările ulterioare.</w:t>
      </w:r>
    </w:p>
    <w:p w14:paraId="50CB9D54" w14:textId="77777777" w:rsidR="003D2838" w:rsidRPr="00564DC7" w:rsidRDefault="003D2838" w:rsidP="00690186">
      <w:pPr>
        <w:tabs>
          <w:tab w:val="left" w:pos="5475"/>
        </w:tabs>
        <w:ind w:firstLine="720"/>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Ca urmare a sesizării de către Inspecţia Judiciară vizând existenţa unor impedimente de natură legală care pot conduce la imposibilitatea obiectivă de elaborare a normelor regulamentare privind concursul pentru numirea în funcţia de inspector judiciar, </w:t>
      </w:r>
      <w:r w:rsidRPr="00564DC7">
        <w:rPr>
          <w:rFonts w:asciiTheme="minorHAnsi" w:hAnsiTheme="minorHAnsi" w:cstheme="minorHAnsi"/>
          <w:sz w:val="26"/>
          <w:szCs w:val="26"/>
        </w:rPr>
        <w:t>prin Hotărârea nr. 63 din 11 aprilie 2023, Plenul Consiliului Superior al Magistraturii a decis sesizarea ministrului justiţiei cu</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propunerea de modificare a art. 80 alin. (4), (7) şi (12) din Legea nr. 305/2022 privind Consiliul Superior al Magistraturii. </w:t>
      </w:r>
    </w:p>
    <w:p w14:paraId="2E5F6F9E" w14:textId="77777777" w:rsidR="003D2838" w:rsidRPr="00564DC7" w:rsidRDefault="003D2838" w:rsidP="00690186">
      <w:pPr>
        <w:tabs>
          <w:tab w:val="left" w:pos="5475"/>
        </w:tabs>
        <w:ind w:firstLine="720"/>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564DC7">
        <w:rPr>
          <w:rFonts w:asciiTheme="minorHAnsi" w:hAnsiTheme="minorHAnsi" w:cstheme="minorHAnsi"/>
          <w:sz w:val="26"/>
          <w:szCs w:val="26"/>
        </w:rPr>
        <w:t xml:space="preserve">Consiliul Superior al Magistraturii a sesizat ministrul justiţiei în legătură cu </w:t>
      </w:r>
      <w:r w:rsidRPr="00564DC7">
        <w:rPr>
          <w:rFonts w:asciiTheme="minorHAnsi" w:hAnsiTheme="minorHAnsi" w:cstheme="minorHAnsi"/>
          <w:iCs/>
          <w:sz w:val="26"/>
          <w:szCs w:val="26"/>
          <w14:shadow w14:blurRad="63500" w14:dist="50800" w14:dir="13500000" w14:sx="0" w14:sy="0" w14:kx="0" w14:ky="0" w14:algn="none">
            <w14:srgbClr w14:val="000000">
              <w14:alpha w14:val="50000"/>
            </w14:srgbClr>
          </w14:shadow>
        </w:rPr>
        <w:t>proiectul Ordonanței de urgență privind unele măsuri fiscal bugetare în domeniul cheltuielilor publice, descentralizarea serviciilor publice, disciplină economico-financiară, precum și pentru modificarea și completarea unor acte normative</w:t>
      </w:r>
      <w:r w:rsidRPr="00564DC7">
        <w:rPr>
          <w:rFonts w:asciiTheme="minorHAnsi" w:hAnsiTheme="minorHAnsi" w:cstheme="minorHAnsi"/>
          <w:i/>
          <w:sz w:val="26"/>
          <w:szCs w:val="26"/>
          <w14:shadow w14:blurRad="63500" w14:dist="50800" w14:dir="13500000" w14:sx="0" w14:sy="0" w14:kx="0" w14:ky="0" w14:algn="none">
            <w14:srgbClr w14:val="000000">
              <w14:alpha w14:val="50000"/>
            </w14:srgbClr>
          </w14:shadow>
        </w:rPr>
        <w:t xml:space="preserve">,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apreciindu-se că unele propuneri cuprinse în acest proiect de act normativ pot genera disfuncționalități majore în activitatea sistemului judiciar, fiind necesar să se prevadă expres că acestea nu se aplică în cazul instituțiilor din sistemul judiciar. Argumentele Consiliului Superior al Magistraturii au fost transmise cu adresa nr. 15934 din 04.08.2023.</w:t>
      </w:r>
    </w:p>
    <w:p w14:paraId="1E49BA8C" w14:textId="77777777" w:rsidR="003D2838" w:rsidRPr="00564DC7" w:rsidRDefault="003D2838"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 xml:space="preserve">Prin Hotărârea nr. 146 din 11 octombrie 2023, Plenul Consiliului Superior al Magistraturii a decis sesizarea ministrului justiţiei cu propunerea de </w:t>
      </w:r>
      <w:r w:rsidRPr="00564DC7">
        <w:rPr>
          <w:rFonts w:asciiTheme="minorHAnsi" w:hAnsiTheme="minorHAnsi" w:cstheme="minorHAnsi"/>
          <w:bCs/>
          <w:sz w:val="26"/>
          <w:szCs w:val="26"/>
        </w:rPr>
        <w:t>modificare a art. 13 alin. (5) din</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 xml:space="preserve">Legea nr. 213/2015 privind Fondul de garantare a asiguraților, cu modificările și completările ulterioare.  </w:t>
      </w:r>
      <w:r w:rsidRPr="00564DC7">
        <w:rPr>
          <w:rFonts w:asciiTheme="minorHAnsi" w:hAnsiTheme="minorHAnsi" w:cstheme="minorHAnsi"/>
          <w:bCs/>
          <w:sz w:val="26"/>
          <w:szCs w:val="26"/>
        </w:rPr>
        <w:lastRenderedPageBreak/>
        <w:t xml:space="preserve">Plenul a reţinut că </w:t>
      </w:r>
      <w:r w:rsidRPr="00564DC7">
        <w:rPr>
          <w:rFonts w:asciiTheme="minorHAnsi" w:hAnsiTheme="minorHAnsi" w:cstheme="minorHAnsi"/>
          <w:sz w:val="26"/>
          <w:szCs w:val="26"/>
        </w:rPr>
        <w:t>textul art. 13 alin. (5) a primit actuala formă prin O.U.G. nr. 102/2021 pentru modificarea şi completarea Legii nr. 213/2015 privind Fondul de garantare a asiguraţilor şi pentru modificarea altor acte normative, urmărindu-se creșterea gradului de protecție a creditorilor de asigurări prin construirea unei proceduri de natură a permite păgubiților să își recupereze rapid și facil prejudiciul, astfel cum reiese din expunerea de motive.</w:t>
      </w:r>
    </w:p>
    <w:p w14:paraId="0D863E8A" w14:textId="77777777" w:rsidR="003D2838" w:rsidRPr="00564DC7" w:rsidRDefault="003D2838" w:rsidP="00690186">
      <w:pPr>
        <w:ind w:firstLine="851"/>
        <w:jc w:val="both"/>
        <w:rPr>
          <w:rFonts w:asciiTheme="minorHAnsi" w:hAnsiTheme="minorHAnsi" w:cstheme="minorHAnsi"/>
          <w:sz w:val="26"/>
          <w:szCs w:val="26"/>
        </w:rPr>
      </w:pPr>
      <w:r w:rsidRPr="00564DC7">
        <w:rPr>
          <w:rFonts w:asciiTheme="minorHAnsi" w:hAnsiTheme="minorHAnsi" w:cstheme="minorHAnsi"/>
          <w:sz w:val="26"/>
          <w:szCs w:val="26"/>
        </w:rPr>
        <w:t>Plenul a reţinut că instanțele cărora le-a fost atribuită competența exclusivă, respectiv Judecătoria Sectorului 2 și Tribunalul București, sunt unele dintre cele mai încărcate instanțe din țară, iar înregistrarea pe rolul acestora a unui număr uriaș de litigii generate de falimentul primilor doi asigurători pe piața asigurărilor obligatorii de răspundere civilă pentru prejudicii produse prin accidente de autovehicule va conduce în mod inevitabil la creșterea duratei de soluționare a cauzelor, dificultăți în administrarea probatoriilor și la suportarea unor cheltuieli suplimentare de către persoanele păgubite.</w:t>
      </w:r>
    </w:p>
    <w:p w14:paraId="17CDF855" w14:textId="77777777" w:rsidR="00C72546" w:rsidRDefault="003D2838" w:rsidP="00C72546">
      <w:pPr>
        <w:ind w:firstLine="851"/>
        <w:jc w:val="both"/>
        <w:rPr>
          <w:rFonts w:asciiTheme="minorHAnsi" w:hAnsiTheme="minorHAnsi" w:cstheme="minorHAnsi"/>
          <w:sz w:val="26"/>
          <w:szCs w:val="26"/>
        </w:rPr>
      </w:pPr>
      <w:r w:rsidRPr="00564DC7">
        <w:rPr>
          <w:rFonts w:asciiTheme="minorHAnsi" w:hAnsiTheme="minorHAnsi" w:cstheme="minorHAnsi"/>
          <w:sz w:val="26"/>
          <w:szCs w:val="26"/>
        </w:rPr>
        <w:t xml:space="preserve">Prin urmare, stabilirea competenței exclusive în favoarea instanțelor civile de la sediul Fondului de garantare a asiguraților, fără a se ține cont de domiciliul sau sediul persoanei păgubite, este de natură a genera efecte contrare celor care au fost urmărire la momentul edictării normei de competență, îngreunând accesul la justiție al acestora. </w:t>
      </w:r>
    </w:p>
    <w:p w14:paraId="28E58457" w14:textId="77777777" w:rsidR="00C72546" w:rsidRDefault="00FD6353" w:rsidP="00C72546">
      <w:pPr>
        <w:ind w:firstLine="851"/>
        <w:jc w:val="both"/>
        <w:rPr>
          <w:rFonts w:asciiTheme="minorHAnsi" w:eastAsia="Trebuchet MS" w:hAnsiTheme="minorHAnsi" w:cstheme="minorHAnsi"/>
          <w:bCs/>
          <w:i/>
          <w:sz w:val="26"/>
          <w:szCs w:val="26"/>
        </w:rPr>
      </w:pPr>
      <w:r w:rsidRPr="00FD6353">
        <w:rPr>
          <w:rFonts w:asciiTheme="minorHAnsi" w:hAnsiTheme="minorHAnsi" w:cstheme="minorHAnsi"/>
          <w:sz w:val="26"/>
          <w:szCs w:val="26"/>
        </w:rPr>
        <w:t xml:space="preserve">La nivelul Consiliului Superior al Magistraturii a fost analizată </w:t>
      </w:r>
      <w:r w:rsidRPr="00FD6353">
        <w:rPr>
          <w:rFonts w:asciiTheme="minorHAnsi" w:hAnsiTheme="minorHAnsi" w:cstheme="minorHAnsi"/>
          <w:sz w:val="26"/>
          <w:szCs w:val="26"/>
          <w:lang w:eastAsia="ro-RO"/>
        </w:rPr>
        <w:t xml:space="preserve">necesitatea identificării </w:t>
      </w:r>
      <w:r w:rsidRPr="00FD6353">
        <w:rPr>
          <w:rFonts w:asciiTheme="minorHAnsi" w:hAnsiTheme="minorHAnsi" w:cstheme="minorHAnsi"/>
          <w:bCs/>
          <w:sz w:val="26"/>
          <w:szCs w:val="26"/>
        </w:rPr>
        <w:t>unor soluţii legislative pentru situaţia magistraţilor în cazul cărora se constată încetarea suspendării din funcţie ca urmare a unei soluţii de clasare sau de încetare a procesului penal.</w:t>
      </w:r>
      <w:r w:rsidRPr="00FD6353">
        <w:rPr>
          <w:rFonts w:asciiTheme="minorHAnsi" w:hAnsiTheme="minorHAnsi" w:cstheme="minorHAnsi"/>
          <w:b/>
          <w:bCs/>
          <w:sz w:val="26"/>
          <w:szCs w:val="26"/>
        </w:rPr>
        <w:t xml:space="preserve"> </w:t>
      </w:r>
      <w:r w:rsidRPr="00FD6353">
        <w:rPr>
          <w:rFonts w:asciiTheme="minorHAnsi" w:eastAsia="Calibri" w:hAnsiTheme="minorHAnsi" w:cstheme="minorHAnsi"/>
          <w:kern w:val="2"/>
          <w:sz w:val="26"/>
          <w:szCs w:val="26"/>
          <w14:ligatures w14:val="standardContextual"/>
        </w:rPr>
        <w:t xml:space="preserve">În acest context, prin Hotărârea nr. 156 din 26 octombrie 2023, </w:t>
      </w:r>
      <w:r w:rsidRPr="00FD6353">
        <w:rPr>
          <w:rFonts w:asciiTheme="minorHAnsi" w:hAnsiTheme="minorHAnsi" w:cstheme="minorHAnsi"/>
          <w:bCs/>
          <w:sz w:val="26"/>
          <w:szCs w:val="26"/>
          <w:lang w:eastAsia="ro-RO"/>
        </w:rPr>
        <w:t xml:space="preserve">Plenul Consiliului Superior al Magistraturii a decis sesizarea Ministerului Justiţiei </w:t>
      </w:r>
      <w:r w:rsidRPr="00FD6353">
        <w:rPr>
          <w:rFonts w:asciiTheme="minorHAnsi" w:hAnsiTheme="minorHAnsi" w:cstheme="minorHAnsi"/>
          <w:bCs/>
          <w:sz w:val="26"/>
          <w:szCs w:val="26"/>
        </w:rPr>
        <w:t>cu propuneri de modificare şi completare a Legii nr. 303/2022 privind statutul judecătorilor şi procurorilor şi a Legii nr. 305/2022 privind Consiliul Superior al Magistraturii</w:t>
      </w:r>
      <w:r w:rsidRPr="00FD6353">
        <w:rPr>
          <w:rFonts w:asciiTheme="minorHAnsi" w:eastAsia="Trebuchet MS" w:hAnsiTheme="minorHAnsi" w:cstheme="minorHAnsi"/>
          <w:bCs/>
          <w:i/>
          <w:sz w:val="26"/>
          <w:szCs w:val="26"/>
        </w:rPr>
        <w:t>.</w:t>
      </w:r>
    </w:p>
    <w:p w14:paraId="3BCA287D" w14:textId="02E1BB92" w:rsidR="003D2838" w:rsidRPr="00564DC7" w:rsidRDefault="003D2838" w:rsidP="00C72546">
      <w:pPr>
        <w:ind w:firstLine="851"/>
        <w:jc w:val="both"/>
        <w:rPr>
          <w:rFonts w:asciiTheme="minorHAnsi" w:hAnsiTheme="minorHAnsi" w:cstheme="minorHAnsi"/>
          <w:sz w:val="26"/>
          <w:szCs w:val="26"/>
        </w:rPr>
      </w:pPr>
      <w:r w:rsidRPr="00564DC7">
        <w:rPr>
          <w:rFonts w:asciiTheme="minorHAnsi" w:hAnsiTheme="minorHAnsi" w:cstheme="minorHAnsi"/>
          <w:sz w:val="26"/>
          <w:szCs w:val="26"/>
        </w:rPr>
        <w:t xml:space="preserve">La </w:t>
      </w:r>
      <w:r w:rsidRPr="00564DC7">
        <w:rPr>
          <w:rFonts w:asciiTheme="minorHAnsi" w:hAnsiTheme="minorHAnsi" w:cstheme="minorHAnsi"/>
          <w:iCs/>
          <w:sz w:val="26"/>
          <w:szCs w:val="26"/>
        </w:rPr>
        <w:t>solicitarea Ministerului Justiției</w:t>
      </w: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comisia de specialitate</w:t>
      </w:r>
      <w:r w:rsidRPr="00564DC7">
        <w:rPr>
          <w:rFonts w:asciiTheme="minorHAnsi" w:hAnsiTheme="minorHAnsi" w:cstheme="minorHAnsi"/>
          <w:sz w:val="26"/>
          <w:szCs w:val="26"/>
        </w:rPr>
        <w:t xml:space="preserve"> din cadrul Consiliului Superior al Magistraturii a transmis o serie de </w:t>
      </w:r>
      <w:r w:rsidRPr="00564DC7">
        <w:rPr>
          <w:rFonts w:asciiTheme="minorHAnsi" w:hAnsiTheme="minorHAnsi" w:cstheme="minorHAnsi"/>
          <w:b/>
          <w:sz w:val="26"/>
          <w:szCs w:val="26"/>
        </w:rPr>
        <w:t>puncte de vedere</w:t>
      </w:r>
      <w:r w:rsidRPr="00564DC7">
        <w:rPr>
          <w:rFonts w:asciiTheme="minorHAnsi" w:hAnsiTheme="minorHAnsi" w:cstheme="minorHAnsi"/>
          <w:sz w:val="26"/>
          <w:szCs w:val="26"/>
        </w:rPr>
        <w:t xml:space="preserve"> referitoare la adoptarea, modificarea sau completarea unor acte normative. Dintre acestea, menționăm: </w:t>
      </w:r>
    </w:p>
    <w:p w14:paraId="55801DEC" w14:textId="77777777" w:rsidR="003D2838" w:rsidRPr="00564DC7" w:rsidRDefault="003D2838" w:rsidP="00690186">
      <w:pPr>
        <w:pStyle w:val="NormalWeb"/>
        <w:shd w:val="clear" w:color="auto" w:fill="FFFFFF"/>
        <w:spacing w:before="0" w:beforeAutospacing="0" w:after="0" w:afterAutospacing="0"/>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referitor la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proiectul de</w:t>
      </w:r>
      <w:r w:rsidRPr="00564DC7">
        <w:rPr>
          <w:rFonts w:asciiTheme="minorHAnsi" w:hAnsiTheme="minorHAnsi" w:cstheme="minorHAnsi"/>
          <w:i/>
          <w:sz w:val="26"/>
          <w:szCs w:val="26"/>
          <w14:shadow w14:blurRad="63500" w14:dist="50800" w14:dir="13500000" w14:sx="0" w14:sy="0" w14:kx="0" w14:ky="0" w14:algn="none">
            <w14:srgbClr w14:val="000000">
              <w14:alpha w14:val="50000"/>
            </w14:srgbClr>
          </w14:shadow>
        </w:rPr>
        <w:t xml:space="preserve"> </w:t>
      </w:r>
      <w:r w:rsidRPr="00564DC7">
        <w:rPr>
          <w:rFonts w:asciiTheme="minorHAnsi" w:hAnsiTheme="minorHAnsi" w:cstheme="minorHAnsi"/>
          <w:iCs/>
          <w:sz w:val="26"/>
          <w:szCs w:val="26"/>
          <w14:shadow w14:blurRad="63500" w14:dist="50800" w14:dir="13500000" w14:sx="0" w14:sy="0" w14:kx="0" w14:ky="0" w14:algn="none">
            <w14:srgbClr w14:val="000000">
              <w14:alpha w14:val="50000"/>
            </w14:srgbClr>
          </w14:shadow>
        </w:rPr>
        <w:t>Hotărâre a Guvernului pentru modificarea și completarea Hotărârii Guvernului nr. 652/2009 privind organizarea și funcționarea Ministerului Justiției,</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analizat în ședința Comisiei nr. 1 – reunită „Legislație și cooperare interinstituțională” din 25 ianuarie 2023.</w:t>
      </w:r>
    </w:p>
    <w:p w14:paraId="2F08D0C2"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cu privire la </w:t>
      </w:r>
      <w:r w:rsidRPr="00564DC7">
        <w:rPr>
          <w:rFonts w:asciiTheme="minorHAnsi" w:hAnsiTheme="minorHAnsi" w:cstheme="minorHAnsi"/>
          <w:iCs/>
          <w:sz w:val="26"/>
          <w:szCs w:val="26"/>
        </w:rPr>
        <w:t>p</w:t>
      </w:r>
      <w:r w:rsidRPr="00564DC7">
        <w:rPr>
          <w:rFonts w:asciiTheme="minorHAnsi" w:hAnsiTheme="minorHAnsi" w:cstheme="minorHAnsi"/>
          <w:sz w:val="26"/>
          <w:szCs w:val="26"/>
        </w:rPr>
        <w:t>roiectul de</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Hotărâre a Guvernului privind stabilirea numărului maxim de posturi pentru Înalta Curte de Casație și Justiție</w:t>
      </w:r>
      <w:r w:rsidRPr="00564DC7">
        <w:rPr>
          <w:rFonts w:asciiTheme="minorHAnsi" w:hAnsiTheme="minorHAnsi" w:cstheme="minorHAnsi"/>
          <w:sz w:val="26"/>
          <w:szCs w:val="26"/>
        </w:rPr>
        <w:t xml:space="preserve">, analizat în şedinţa din data de 13 februarie 2023 a Comisei nr. 1 judecători – „Legislaţie şi cooperare interinstituţională”.  </w:t>
      </w:r>
    </w:p>
    <w:p w14:paraId="003D7D25" w14:textId="77777777" w:rsidR="003D2838" w:rsidRPr="00564DC7" w:rsidRDefault="003D2838" w:rsidP="00690186">
      <w:pPr>
        <w:tabs>
          <w:tab w:val="left" w:pos="720"/>
        </w:tabs>
        <w:ind w:firstLine="708"/>
        <w:jc w:val="both"/>
        <w:rPr>
          <w:rFonts w:asciiTheme="minorHAnsi" w:hAnsiTheme="minorHAnsi" w:cstheme="minorHAnsi"/>
          <w:sz w:val="26"/>
          <w:szCs w:val="26"/>
        </w:rPr>
      </w:pP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punctul de vedere vizând propunerea de </w:t>
      </w:r>
      <w:r w:rsidRPr="00564DC7">
        <w:rPr>
          <w:rFonts w:asciiTheme="minorHAnsi" w:hAnsiTheme="minorHAnsi" w:cstheme="minorHAnsi"/>
          <w:iCs/>
          <w:sz w:val="26"/>
          <w:szCs w:val="26"/>
          <w14:shadow w14:blurRad="63500" w14:dist="50800" w14:dir="13500000" w14:sx="0" w14:sy="0" w14:kx="0" w14:ky="0" w14:algn="none">
            <w14:srgbClr w14:val="000000">
              <w14:alpha w14:val="50000"/>
            </w14:srgbClr>
          </w14:shadow>
        </w:rPr>
        <w:t>Directivă privind armonizarea anumitor aspecte ale normelor de drept în materie de insolvență</w:t>
      </w:r>
      <w:r w:rsidRPr="00564DC7">
        <w:rPr>
          <w:rFonts w:asciiTheme="minorHAnsi" w:hAnsiTheme="minorHAnsi" w:cstheme="minorHAnsi"/>
          <w:iCs/>
          <w:sz w:val="26"/>
          <w:szCs w:val="26"/>
        </w:rPr>
        <w:t xml:space="preserve"> 5/87447/12.01.2023</w:t>
      </w:r>
      <w:r w:rsidRPr="00564DC7">
        <w:rPr>
          <w:rFonts w:asciiTheme="minorHAnsi" w:hAnsiTheme="minorHAnsi" w:cstheme="minorHAnsi"/>
          <w:sz w:val="26"/>
          <w:szCs w:val="26"/>
        </w:rPr>
        <w:t>, analizată în ședința Comisiei nr. 1 – judecători „Legislație și cooperare interinstituțională” din 15 martie 2023. În acest context, pentru a evita încărcarea rolului instanțelor și pentru a răspunde obiectivelor propunerii, Comisia a apreciat util ca, în procesul de transpunere a viitoarei directive, să fie desemnată o autoritate administrativă cu competențe referitoare la deschiderea procedurilor simplificate de lichidare.</w:t>
      </w:r>
    </w:p>
    <w:p w14:paraId="51F69FAD" w14:textId="77777777" w:rsidR="003D2838" w:rsidRPr="00564DC7" w:rsidRDefault="003D2838" w:rsidP="00690186">
      <w:pPr>
        <w:tabs>
          <w:tab w:val="left" w:pos="720"/>
        </w:tabs>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cu privire </w:t>
      </w:r>
      <w:r w:rsidRPr="00564DC7">
        <w:rPr>
          <w:rFonts w:asciiTheme="minorHAnsi" w:hAnsiTheme="minorHAnsi" w:cstheme="minorHAnsi"/>
          <w:sz w:val="26"/>
          <w:szCs w:val="26"/>
          <w14:ligatures w14:val="standardContextual"/>
        </w:rPr>
        <w:t xml:space="preserve">la </w:t>
      </w:r>
      <w:r w:rsidRPr="00564DC7">
        <w:rPr>
          <w:rFonts w:asciiTheme="minorHAnsi" w:hAnsiTheme="minorHAnsi" w:cstheme="minorHAnsi"/>
          <w:bCs/>
          <w:iCs/>
          <w:sz w:val="26"/>
          <w:szCs w:val="26"/>
          <w14:ligatures w14:val="standardContextual"/>
        </w:rPr>
        <w:t>proiectul de Lege pentru modificarea și completarea Legii societăților nr. 31/1990 și pentru modificarea și completarea Legii nr. 265/2022 privind registrul comerţului şi pentru modificarea şi completarea altor acte normative cu incidenţă asupra înregistrării în registrul comerţului,</w:t>
      </w:r>
      <w:r w:rsidRPr="00564DC7">
        <w:rPr>
          <w:rFonts w:asciiTheme="minorHAnsi" w:hAnsiTheme="minorHAnsi" w:cstheme="minorHAnsi"/>
          <w:b/>
          <w:sz w:val="26"/>
          <w:szCs w:val="26"/>
          <w14:ligatures w14:val="standardContextual"/>
        </w:rPr>
        <w:t xml:space="preserve"> </w:t>
      </w:r>
      <w:r w:rsidRPr="00564DC7">
        <w:rPr>
          <w:rFonts w:asciiTheme="minorHAnsi" w:hAnsiTheme="minorHAnsi" w:cstheme="minorHAnsi"/>
          <w:bCs/>
          <w:sz w:val="26"/>
          <w:szCs w:val="26"/>
          <w:lang w:eastAsia="ro-RO"/>
          <w14:ligatures w14:val="standardContextual"/>
        </w:rPr>
        <w:t>analizat</w:t>
      </w:r>
      <w:r w:rsidRPr="00564DC7">
        <w:rPr>
          <w:rFonts w:asciiTheme="minorHAnsi" w:hAnsiTheme="minorHAnsi" w:cstheme="minorHAnsi"/>
          <w:sz w:val="26"/>
          <w:szCs w:val="26"/>
          <w14:ligatures w14:val="standardContextual"/>
        </w:rPr>
        <w:t xml:space="preserve"> în ședința din data de 16 mai 2023 a Comisiei nr. 1 – reunită „Legislație şi cooperare interinstituțională”. Analiza conținutului proiectului de lege în vederea exprimării unui punct de vedere de către Consiliul Superior al Magistraturii a fost efectuată din perspectiva prevederilor referitoare la procedurile judiciare ce vizează soluționarea cererilor asociaților, creditorilor și a acțiunii în anulare împotriva hotărârii adunării generale a asociaților de aprobare a operațiunii transfrontaliere, precum și a reglementării propuse pentru controlul legalității operațiunii transfrontaliere.</w:t>
      </w:r>
    </w:p>
    <w:p w14:paraId="7D588244" w14:textId="77777777" w:rsidR="003D2838" w:rsidRPr="00564DC7" w:rsidRDefault="003D2838" w:rsidP="00690186">
      <w:pPr>
        <w:ind w:right="124" w:firstLine="708"/>
        <w:jc w:val="both"/>
        <w:rPr>
          <w:rFonts w:asciiTheme="minorHAnsi" w:hAnsiTheme="minorHAnsi" w:cstheme="minorHAnsi"/>
          <w:sz w:val="26"/>
          <w:szCs w:val="26"/>
        </w:rPr>
      </w:pPr>
      <w:r w:rsidRPr="00564DC7">
        <w:rPr>
          <w:rFonts w:asciiTheme="minorHAnsi" w:hAnsiTheme="minorHAnsi" w:cstheme="minorHAnsi"/>
          <w:sz w:val="26"/>
          <w:szCs w:val="26"/>
          <w14:ligatures w14:val="standardContextual"/>
        </w:rPr>
        <w:lastRenderedPageBreak/>
        <w:t xml:space="preserve">- </w:t>
      </w:r>
      <w:r w:rsidRPr="00564DC7">
        <w:rPr>
          <w:rFonts w:asciiTheme="minorHAnsi" w:hAnsiTheme="minorHAnsi" w:cstheme="minorHAnsi"/>
          <w:sz w:val="26"/>
          <w:szCs w:val="26"/>
        </w:rPr>
        <w:t xml:space="preserve">punctul de vedere cu privire la proiectul de </w:t>
      </w:r>
      <w:r w:rsidRPr="00564DC7">
        <w:rPr>
          <w:rFonts w:asciiTheme="minorHAnsi" w:hAnsiTheme="minorHAnsi" w:cstheme="minorHAnsi"/>
          <w:iCs/>
          <w:sz w:val="26"/>
          <w:szCs w:val="26"/>
        </w:rPr>
        <w:t>Lege pentru completarea Ordonanţei de Urgenţă a Guvernului nr. 119/2006 privind unele măsuri necesare pentru aplicarea unor regulamente comunitare de la data aderării României la Uniunea Europeană, aprobată cu completări prin Legea nr. 191/2007, cu modificările şi completările ulterioare,</w:t>
      </w:r>
      <w:r w:rsidRPr="00564DC7">
        <w:rPr>
          <w:rFonts w:asciiTheme="minorHAnsi" w:hAnsiTheme="minorHAnsi" w:cstheme="minorHAnsi"/>
          <w:sz w:val="26"/>
          <w:szCs w:val="26"/>
        </w:rPr>
        <w:t xml:space="preserve"> analizat în şedinţa din data de 16 mai 2023 a Comisiei nr. 1 – judecători „Legislaţie şi cooperare interinstitutională”. În urma analizei, Comisia a constatat că atribuţiile date în competenţa instanţelor judecătoreşti prin proiectul de lege, în scopul recunoaşterii sau încuviinţării executării  pe teritoriul României a hotărârilor pronunţate într-un stat care nu este membru al Uniunii Europene, dar care este stat contractant la Convenţia de la Haga din 2019 sau la Convenția de la Haga din 2005, precum şi atribuţiile care vizează recunoașterea și încuviințarea executării în străinătate, în temeiul Convenției de la Haga din 2019 sau al Convenției de la Haga din 2005, a hotărârilor judecătorești pronunţate de instanţele române, inclusiv a tranzacțiilor judiciare încuviinţate prin hotărâri judecătoreşti, sunt în concordanţă cu modul general de reglementare, prin O.U.G. nr. 119/2006, a competenţei de eliberare, în aplicarea unor regulamente europene, a certificatului care atestă caracterul executoriu al hotărârilor pronunţate de instanţele române, respectiv în competenţa primei instanţe  sau a instanţei care a încuviinţat tranzacţia a cărei recunoaştere şi executare în stat terţ se solicită.</w:t>
      </w:r>
    </w:p>
    <w:p w14:paraId="478A71CC" w14:textId="77777777" w:rsidR="003D2838" w:rsidRPr="00564DC7" w:rsidRDefault="003D2838" w:rsidP="00690186">
      <w:pPr>
        <w:tabs>
          <w:tab w:val="left" w:pos="709"/>
        </w:tabs>
        <w:ind w:firstLine="708"/>
        <w:jc w:val="both"/>
        <w:rPr>
          <w:rFonts w:asciiTheme="minorHAnsi" w:hAnsiTheme="minorHAnsi" w:cstheme="minorHAnsi"/>
          <w:sz w:val="26"/>
          <w:szCs w:val="26"/>
        </w:rPr>
      </w:pPr>
      <w:r w:rsidRPr="00564DC7">
        <w:rPr>
          <w:rFonts w:asciiTheme="minorHAnsi" w:hAnsiTheme="minorHAnsi" w:cstheme="minorHAnsi"/>
          <w:sz w:val="26"/>
          <w:szCs w:val="26"/>
        </w:rPr>
        <w:tab/>
        <w:t xml:space="preserve">- punctul de vedere cu privire la proiectul </w:t>
      </w:r>
      <w:r w:rsidRPr="00564DC7">
        <w:rPr>
          <w:rFonts w:asciiTheme="minorHAnsi" w:hAnsiTheme="minorHAnsi" w:cstheme="minorHAnsi"/>
          <w:iCs/>
          <w:sz w:val="26"/>
          <w:szCs w:val="26"/>
        </w:rPr>
        <w:t>de Lege pentru modificarea și completarea Legii nr. 286/2009 privind Codul penal,</w:t>
      </w:r>
      <w:r w:rsidRPr="00564DC7">
        <w:rPr>
          <w:rFonts w:asciiTheme="minorHAnsi" w:hAnsiTheme="minorHAnsi" w:cstheme="minorHAnsi"/>
          <w:sz w:val="26"/>
          <w:szCs w:val="26"/>
        </w:rPr>
        <w:t xml:space="preserve"> analizat de Comisia nr. 1 – reunită „Legislație și cooperare interinstituțională” în ședința din data de 7 septembrie 2023. Proiectul viza, în esenţă, incriminarea penală a faptei persoanei condamnate la pedeapsa detenţiunii pe viaţă sau la pedeapsa închisorii de a nu se prezenta la organul de poliţie în vederea punerii în executare a pedepsei în termen de şapte zile de la data la care a rămas definitivă hotărârea prin care s-a dispus executarea pedepsei sau în termen de şapte zile de la data intrării în vigoare a acestei legi, în cazul hotărârilor care au rămas definitive anterior intrării în vigoare a acestei legi.</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Comisia a reiterat punctul de vedere exprimat anterior de Consiliul Superior al Magistraturii, în special din perspectiva necesității conformării la exigențele principiului ultima ratio</w:t>
      </w:r>
      <w:r w:rsidRPr="00564DC7">
        <w:rPr>
          <w:rFonts w:asciiTheme="minorHAnsi" w:hAnsiTheme="minorHAnsi" w:cstheme="minorHAnsi"/>
          <w:i/>
          <w:iCs/>
          <w:sz w:val="26"/>
          <w:szCs w:val="26"/>
          <w14:shadow w14:blurRad="63500" w14:dist="50800" w14:dir="13500000" w14:sx="0" w14:sy="0" w14:kx="0" w14:ky="0" w14:algn="none">
            <w14:srgbClr w14:val="000000">
              <w14:alpha w14:val="50000"/>
            </w14:srgbClr>
          </w14:shadow>
        </w:rPr>
        <w:t>.</w:t>
      </w:r>
      <w:r w:rsidRPr="00564DC7">
        <w:rPr>
          <w:rFonts w:asciiTheme="minorHAnsi" w:hAnsiTheme="minorHAnsi" w:cstheme="minorHAnsi"/>
          <w:sz w:val="26"/>
          <w:szCs w:val="26"/>
        </w:rPr>
        <w:t xml:space="preserve">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Aceasta impune legiuitorului să analizeze dacă alte măsuri decât cele de drept penal nu sunt suficiente pentru realizarea scopului urmărit, </w:t>
      </w:r>
      <w:r w:rsidRPr="00564DC7">
        <w:rPr>
          <w:rFonts w:asciiTheme="minorHAnsi" w:hAnsiTheme="minorHAnsi" w:cstheme="minorHAnsi"/>
          <w:sz w:val="26"/>
          <w:szCs w:val="26"/>
        </w:rPr>
        <w:t xml:space="preserve">astfel încât incriminarea penală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să rămână întotdeauna o măsură la care se recurge în ultimă instanţă.</w:t>
      </w:r>
      <w:r w:rsidRPr="00564DC7">
        <w:rPr>
          <w:rFonts w:asciiTheme="minorHAnsi" w:hAnsiTheme="minorHAnsi" w:cstheme="minorHAnsi"/>
          <w:i/>
          <w:iCs/>
          <w:sz w:val="26"/>
          <w:szCs w:val="26"/>
          <w14:shadow w14:blurRad="63500" w14:dist="50800" w14:dir="13500000" w14:sx="0" w14:sy="0" w14:kx="0" w14:ky="0" w14:algn="none">
            <w14:srgbClr w14:val="000000">
              <w14:alpha w14:val="50000"/>
            </w14:srgbClr>
          </w14:shadow>
        </w:rPr>
        <w:t xml:space="preserve"> </w:t>
      </w:r>
    </w:p>
    <w:p w14:paraId="3F0CB46E" w14:textId="77777777" w:rsidR="00C72546" w:rsidRDefault="003D2838" w:rsidP="00C7254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cu privire la </w:t>
      </w:r>
      <w:r w:rsidRPr="00564DC7">
        <w:rPr>
          <w:rFonts w:asciiTheme="minorHAnsi" w:hAnsiTheme="minorHAnsi" w:cstheme="minorHAnsi"/>
          <w:bCs/>
          <w:iCs/>
          <w:sz w:val="26"/>
          <w:szCs w:val="26"/>
        </w:rPr>
        <w:t>proiectul de</w:t>
      </w:r>
      <w:r w:rsidRPr="00564DC7">
        <w:rPr>
          <w:rFonts w:asciiTheme="minorHAnsi" w:hAnsiTheme="minorHAnsi" w:cstheme="minorHAnsi"/>
          <w:bCs/>
          <w:i/>
          <w:iCs/>
          <w:sz w:val="26"/>
          <w:szCs w:val="26"/>
        </w:rPr>
        <w:t xml:space="preserve"> </w:t>
      </w:r>
      <w:r w:rsidRPr="00564DC7">
        <w:rPr>
          <w:rFonts w:asciiTheme="minorHAnsi" w:hAnsiTheme="minorHAnsi" w:cstheme="minorHAnsi"/>
          <w:bCs/>
          <w:sz w:val="26"/>
          <w:szCs w:val="26"/>
        </w:rPr>
        <w:t>Lege pentru aderarea Inspecției Judiciare la Rețeaua Europeană a Serviciilor de Inspecție Judiciară (RESIJ) și pentru aprobarea plății cotizației anuale la aceasta, precum și pentru completarea Ordonanței Guvernului nr. 41/1994 privind autorizarea plății cotizațiilor la organizațiile internaționale interguvernamentale la care România este parte,</w:t>
      </w:r>
      <w:r w:rsidRPr="00564DC7">
        <w:rPr>
          <w:rFonts w:asciiTheme="minorHAnsi" w:hAnsiTheme="minorHAnsi" w:cstheme="minorHAnsi"/>
          <w:bCs/>
          <w:sz w:val="26"/>
          <w:szCs w:val="26"/>
          <w:lang w:eastAsia="ro-RO"/>
        </w:rPr>
        <w:t xml:space="preserve"> analizat</w:t>
      </w:r>
      <w:r w:rsidRPr="00564DC7">
        <w:rPr>
          <w:rFonts w:asciiTheme="minorHAnsi" w:hAnsiTheme="minorHAnsi" w:cstheme="minorHAnsi"/>
          <w:sz w:val="26"/>
          <w:szCs w:val="26"/>
        </w:rPr>
        <w:t xml:space="preserve"> în ședința din data de 18 septembrie 2023 a Comisiei nr. 1 - reunită „Legislație şi cooperare interinstituțională”.</w:t>
      </w:r>
    </w:p>
    <w:p w14:paraId="4C9B108B" w14:textId="283014D4" w:rsidR="000A3D59" w:rsidRPr="000A3D59" w:rsidRDefault="00C72546" w:rsidP="00C72546">
      <w:pPr>
        <w:ind w:firstLine="708"/>
        <w:jc w:val="both"/>
        <w:rPr>
          <w:rFonts w:asciiTheme="minorHAnsi" w:hAnsiTheme="minorHAnsi" w:cstheme="minorHAnsi"/>
          <w:sz w:val="26"/>
          <w:szCs w:val="26"/>
        </w:rPr>
      </w:pPr>
      <w:r>
        <w:rPr>
          <w:rFonts w:asciiTheme="minorHAnsi" w:hAnsiTheme="minorHAnsi" w:cstheme="minorHAnsi"/>
          <w:sz w:val="26"/>
          <w:szCs w:val="26"/>
        </w:rPr>
        <w:t xml:space="preserve">- </w:t>
      </w:r>
      <w:r w:rsidR="000A3D59" w:rsidRPr="000A3D59">
        <w:rPr>
          <w:rFonts w:asciiTheme="minorHAnsi" w:hAnsiTheme="minorHAnsi" w:cstheme="minorHAnsi"/>
          <w:sz w:val="26"/>
          <w:szCs w:val="26"/>
        </w:rPr>
        <w:t xml:space="preserve">punctul de vedere cu privire la </w:t>
      </w:r>
      <w:r w:rsidR="000A3D59" w:rsidRPr="000A3D59">
        <w:rPr>
          <w:rFonts w:asciiTheme="minorHAnsi" w:hAnsiTheme="minorHAnsi" w:cstheme="minorHAnsi"/>
          <w:iCs/>
          <w:sz w:val="26"/>
          <w:szCs w:val="26"/>
        </w:rPr>
        <w:t>proiectul de Lege pentru ratificarea Acordului privind Curtea unică în materie de brevete, deschis spre semnare și semnat de România la Bruxelles, în data de 19 februarie 2013</w:t>
      </w:r>
      <w:r w:rsidR="000A3D59" w:rsidRPr="000A3D59">
        <w:rPr>
          <w:rFonts w:asciiTheme="minorHAnsi" w:hAnsiTheme="minorHAnsi" w:cstheme="minorHAnsi"/>
          <w:sz w:val="26"/>
          <w:szCs w:val="26"/>
        </w:rPr>
        <w:t>. Având în vedere demersurile asumate de statul român în legătură cu semnarea Acordului privind Curtea unică în materie de brevete, la nivelul Consiliului Superior al Magistraturii s-a apreciat că ratificarea Acordului este o măsură necesară pentru concretizarea acestei inițiative.</w:t>
      </w:r>
    </w:p>
    <w:p w14:paraId="7A51CEAC" w14:textId="77777777" w:rsidR="003D2838" w:rsidRPr="00564DC7" w:rsidRDefault="003D2838" w:rsidP="00690186">
      <w:pPr>
        <w:pStyle w:val="NormalWeb"/>
        <w:shd w:val="clear" w:color="auto" w:fill="FFFFFF"/>
        <w:spacing w:before="0" w:beforeAutospacing="0" w:after="0" w:afterAutospacing="0"/>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Referitor la colaborarea cu puterea executivă, Consiliul Superior al Magistraturii a exprimat şi </w:t>
      </w:r>
      <w:r w:rsidRPr="00564DC7">
        <w:rPr>
          <w:rFonts w:asciiTheme="minorHAnsi" w:hAnsiTheme="minorHAnsi" w:cstheme="minorHAnsi"/>
          <w:b/>
          <w:sz w:val="26"/>
          <w:szCs w:val="26"/>
        </w:rPr>
        <w:t xml:space="preserve">puncte de vedere la solicitarea unor ministere </w:t>
      </w:r>
      <w:r w:rsidRPr="00564DC7">
        <w:rPr>
          <w:rFonts w:asciiTheme="minorHAnsi" w:hAnsiTheme="minorHAnsi" w:cstheme="minorHAnsi"/>
          <w:sz w:val="26"/>
          <w:szCs w:val="26"/>
        </w:rPr>
        <w:t>(altele decât Ministerul Justiției) sau a altor autorități publice.</w:t>
      </w:r>
    </w:p>
    <w:p w14:paraId="2F72A441" w14:textId="77777777" w:rsidR="003D2838" w:rsidRPr="00564DC7" w:rsidRDefault="003D2838" w:rsidP="00690186">
      <w:pPr>
        <w:ind w:firstLine="709"/>
        <w:jc w:val="both"/>
        <w:rPr>
          <w:rFonts w:asciiTheme="minorHAnsi" w:hAnsiTheme="minorHAnsi" w:cstheme="minorHAnsi"/>
          <w:b/>
          <w:sz w:val="26"/>
          <w:szCs w:val="26"/>
          <w:u w:val="single"/>
        </w:rPr>
      </w:pPr>
      <w:r w:rsidRPr="00564DC7">
        <w:rPr>
          <w:rFonts w:asciiTheme="minorHAnsi" w:hAnsiTheme="minorHAnsi" w:cstheme="minorHAnsi"/>
          <w:sz w:val="26"/>
          <w:szCs w:val="26"/>
        </w:rPr>
        <w:t>În acest sens, putem exemplifica:</w:t>
      </w:r>
      <w:r w:rsidRPr="00564DC7">
        <w:rPr>
          <w:rFonts w:asciiTheme="minorHAnsi" w:hAnsiTheme="minorHAnsi" w:cstheme="minorHAnsi"/>
          <w:b/>
          <w:sz w:val="26"/>
          <w:szCs w:val="26"/>
          <w:u w:val="single"/>
        </w:rPr>
        <w:t xml:space="preserve"> </w:t>
      </w:r>
    </w:p>
    <w:p w14:paraId="5C14308C"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cu privire la </w:t>
      </w:r>
      <w:r w:rsidRPr="00564DC7">
        <w:rPr>
          <w:rFonts w:asciiTheme="minorHAnsi" w:hAnsiTheme="minorHAnsi" w:cstheme="minorHAnsi"/>
          <w:iCs/>
          <w:sz w:val="26"/>
          <w:szCs w:val="26"/>
        </w:rPr>
        <w:t>proiectul Hotărârii Guvernului pentru aprobarea Mecanismului naţional de identificare şi referire a victimelor traficului de persoane</w:t>
      </w:r>
      <w:r w:rsidRPr="00564DC7">
        <w:rPr>
          <w:rFonts w:asciiTheme="minorHAnsi" w:hAnsiTheme="minorHAnsi" w:cstheme="minorHAnsi"/>
          <w:sz w:val="26"/>
          <w:szCs w:val="26"/>
        </w:rPr>
        <w:t xml:space="preserve">, analizat de Comisia nr. 1 - reunită „Legislație și cooperare interinstituțională”, în ședința din data de 25 </w:t>
      </w:r>
      <w:r w:rsidRPr="00564DC7">
        <w:rPr>
          <w:rFonts w:asciiTheme="minorHAnsi" w:hAnsiTheme="minorHAnsi" w:cstheme="minorHAnsi"/>
          <w:sz w:val="26"/>
          <w:szCs w:val="26"/>
        </w:rPr>
        <w:lastRenderedPageBreak/>
        <w:t xml:space="preserve">ianuarie 2023, a fost transmis Ministerului Afacerilor Interne cu adresa nr. 25015/2022 din 27.01.2023. Analizând proiectul de act normativ în limitele competențelor ce revin Consiliului Superior al Magistraturii, potrivit Legii fundamentale și legii sale organice, Comisia a apreciat că prevederile din cuprinsul </w:t>
      </w:r>
      <w:r w:rsidRPr="00564DC7">
        <w:rPr>
          <w:rFonts w:asciiTheme="minorHAnsi" w:hAnsiTheme="minorHAnsi" w:cstheme="minorHAnsi"/>
          <w:iCs/>
          <w:sz w:val="26"/>
          <w:szCs w:val="26"/>
        </w:rPr>
        <w:t xml:space="preserve">Cap. 7, pct. 7.1, ce vizează „Acordarea tolerării rămânerii pe teritoriul României/dreptului de şedere temporară pe teritoriul României/dreptului de rezidenţă în România”, </w:t>
      </w:r>
      <w:r w:rsidRPr="00564DC7">
        <w:rPr>
          <w:rFonts w:asciiTheme="minorHAnsi" w:hAnsiTheme="minorHAnsi" w:cstheme="minorHAnsi"/>
          <w:sz w:val="26"/>
          <w:szCs w:val="26"/>
        </w:rPr>
        <w:t>ar trebui să fie redactate cu mai multă precizie, prin indicarea dispozițiilor legale în baza cărora se dispun măsurile respective, precum și prin înlocuirea sintagmei generale „magistratul” cu referirea la procuror, respectiv la instanța de judecată. De asemenea, Comisia a apreciat că sunt pertinente și observațiile Ministerului Justiției vizând necesitatea utilizării unei terminologii juridice corecte în tot cuprinsul proiectului de act normativ, cu referire la noțiunea de „parte vătămată", având în vedere că aceasta nu se mai regăsește ca atare în noul Cod de procedură penală.</w:t>
      </w:r>
    </w:p>
    <w:p w14:paraId="0D974A06"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punctul de vedere cu privire la proiectul</w:t>
      </w:r>
      <w:r w:rsidRPr="00564DC7">
        <w:rPr>
          <w:rFonts w:asciiTheme="minorHAnsi" w:hAnsiTheme="minorHAnsi" w:cstheme="minorHAnsi"/>
          <w:bCs/>
          <w:i/>
          <w:iCs/>
          <w:sz w:val="26"/>
          <w:szCs w:val="26"/>
        </w:rPr>
        <w:t xml:space="preserve"> </w:t>
      </w:r>
      <w:r w:rsidRPr="00564DC7">
        <w:rPr>
          <w:rFonts w:asciiTheme="minorHAnsi" w:hAnsiTheme="minorHAnsi" w:cstheme="minorHAnsi"/>
          <w:bCs/>
          <w:sz w:val="26"/>
          <w:szCs w:val="26"/>
        </w:rPr>
        <w:t>Legii privind asigurarea cadrului național pentru interoperabilitatea dintre sistemele de informații ale Uniunii Europene în domeniul frontierelor și vizelor, al cooperării polițienești și judiciare și al azilului și migrației</w:t>
      </w:r>
      <w:r w:rsidRPr="00564DC7">
        <w:rPr>
          <w:rFonts w:asciiTheme="minorHAnsi" w:hAnsiTheme="minorHAnsi" w:cstheme="minorHAnsi"/>
          <w:sz w:val="26"/>
          <w:szCs w:val="26"/>
        </w:rPr>
        <w:t>, analizat în ședința din data de 13 februarie 2023 a Comisiei nr. 1 - reunită „Legislație și cooperare interinstituțională”, a fost comunicat Ministerului Afacerilor Interne cu adresa nr. 25361/2022 din 20.02.2023.</w:t>
      </w:r>
    </w:p>
    <w:p w14:paraId="7FFF6F83" w14:textId="77777777" w:rsidR="003D2838" w:rsidRPr="00564DC7" w:rsidRDefault="003D2838" w:rsidP="00690186">
      <w:pPr>
        <w:ind w:firstLine="708"/>
        <w:jc w:val="both"/>
        <w:rPr>
          <w:rFonts w:asciiTheme="minorHAnsi" w:hAnsiTheme="minorHAnsi" w:cstheme="minorHAnsi"/>
          <w:sz w:val="26"/>
          <w:szCs w:val="26"/>
          <w14:ligatures w14:val="standardContextual"/>
        </w:rPr>
      </w:pPr>
      <w:r w:rsidRPr="00564DC7">
        <w:rPr>
          <w:rFonts w:asciiTheme="minorHAnsi" w:hAnsiTheme="minorHAnsi" w:cstheme="minorHAnsi"/>
          <w:sz w:val="26"/>
          <w:szCs w:val="26"/>
        </w:rPr>
        <w:t xml:space="preserve">- punctul de vedere cu privire la </w:t>
      </w:r>
      <w:r w:rsidRPr="00564DC7">
        <w:rPr>
          <w:rFonts w:asciiTheme="minorHAnsi" w:hAnsiTheme="minorHAnsi" w:cstheme="minorHAnsi"/>
          <w:bCs/>
          <w:sz w:val="26"/>
          <w:szCs w:val="26"/>
          <w14:ligatures w14:val="standardContextual"/>
        </w:rPr>
        <w:t>Proiectul de hotărâre a Guvernului pentru aprobarea Regulamentului privind procedura de înregistrare, investigare și soluționare a sesizărilor ce vizează practicile comerciale neloiale dintre întreprinderi în cadrul lanțului de aprovizionare agricol și alimentar</w:t>
      </w:r>
      <w:r w:rsidRPr="00564DC7">
        <w:rPr>
          <w:rFonts w:asciiTheme="minorHAnsi" w:hAnsiTheme="minorHAnsi" w:cstheme="minorHAnsi"/>
          <w:sz w:val="26"/>
          <w:szCs w:val="26"/>
          <w14:ligatures w14:val="standardContextual"/>
        </w:rPr>
        <w:t xml:space="preserve">, </w:t>
      </w:r>
      <w:r w:rsidRPr="00564DC7">
        <w:rPr>
          <w:rFonts w:asciiTheme="minorHAnsi" w:hAnsiTheme="minorHAnsi" w:cstheme="minorHAnsi"/>
          <w:bCs/>
          <w:sz w:val="26"/>
          <w:szCs w:val="26"/>
          <w:lang w:eastAsia="ro-RO"/>
          <w14:ligatures w14:val="standardContextual"/>
        </w:rPr>
        <w:t>analizat</w:t>
      </w:r>
      <w:r w:rsidRPr="00564DC7">
        <w:rPr>
          <w:rFonts w:asciiTheme="minorHAnsi" w:hAnsiTheme="minorHAnsi" w:cstheme="minorHAnsi"/>
          <w:sz w:val="26"/>
          <w:szCs w:val="26"/>
          <w14:ligatures w14:val="standardContextual"/>
        </w:rPr>
        <w:t xml:space="preserve"> în ședința din data de 22 februarie 2023 a Comisiei nr. 1 – judecători „Legislație şi cooperare interinstituțională”, a fost comunicat Ministerului Agriculturii şi Dezvoltării Rurale prin adresa nr. 2005/2023 din 28 februarie 2023.</w:t>
      </w:r>
    </w:p>
    <w:p w14:paraId="056602A8" w14:textId="77777777" w:rsidR="003D2838" w:rsidRPr="00564DC7" w:rsidRDefault="003D2838" w:rsidP="00690186">
      <w:pPr>
        <w:ind w:right="6" w:firstLine="708"/>
        <w:jc w:val="both"/>
        <w:rPr>
          <w:rFonts w:asciiTheme="minorHAnsi" w:hAnsiTheme="minorHAnsi" w:cstheme="minorHAnsi"/>
          <w:i/>
          <w:iCs/>
          <w:sz w:val="26"/>
          <w:szCs w:val="26"/>
          <w14:shadow w14:blurRad="63500" w14:dist="50800" w14:dir="13500000" w14:sx="0" w14:sy="0" w14:kx="0" w14:ky="0" w14:algn="none">
            <w14:srgbClr w14:val="000000">
              <w14:alpha w14:val="50000"/>
            </w14:srgbClr>
          </w14:shadow>
        </w:rPr>
      </w:pPr>
      <w:r w:rsidRPr="00564DC7">
        <w:rPr>
          <w:rFonts w:asciiTheme="minorHAnsi" w:hAnsiTheme="minorHAnsi" w:cstheme="minorHAnsi"/>
          <w:sz w:val="26"/>
          <w:szCs w:val="26"/>
        </w:rPr>
        <w:t xml:space="preserve">- punctul de vedere cu privire la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proiectul de</w:t>
      </w:r>
      <w:r w:rsidRPr="00564DC7">
        <w:rPr>
          <w:rFonts w:asciiTheme="minorHAnsi" w:hAnsiTheme="minorHAnsi" w:cstheme="minorHAnsi"/>
          <w:i/>
          <w:sz w:val="26"/>
          <w:szCs w:val="26"/>
          <w14:shadow w14:blurRad="63500" w14:dist="50800" w14:dir="13500000" w14:sx="0" w14:sy="0" w14:kx="0" w14:ky="0" w14:algn="none">
            <w14:srgbClr w14:val="000000">
              <w14:alpha w14:val="50000"/>
            </w14:srgbClr>
          </w14:shadow>
        </w:rPr>
        <w:t xml:space="preserve"> </w:t>
      </w:r>
      <w:r w:rsidRPr="00564DC7">
        <w:rPr>
          <w:rFonts w:asciiTheme="minorHAnsi" w:hAnsiTheme="minorHAnsi" w:cstheme="minorHAnsi"/>
          <w:iCs/>
          <w:sz w:val="26"/>
          <w:szCs w:val="26"/>
          <w14:shadow w14:blurRad="63500" w14:dist="50800" w14:dir="13500000" w14:sx="0" w14:sy="0" w14:kx="0" w14:ky="0" w14:algn="none">
            <w14:srgbClr w14:val="000000">
              <w14:alpha w14:val="50000"/>
            </w14:srgbClr>
          </w14:shadow>
        </w:rPr>
        <w:t>Lege privind stabilirea unor măsuri de punere în aplicare a Regulamentului (UE) 2021/23 al Parlamentului European şi al Consiliului din 16 decembrie 2020 privind un cadru pentru redresarea şi rezoluţia contrapărților centrale şi de modificare a Regulamentelor (UE) nr. 1095/2010, (UE) nr. 648/2012, (UE) nr. 600/2014, (UE) nr. 806/2014 şi (UE) 2015/2365 şi a Directivelor 2002/47/CE, 2004/25/CE, 2007/36/CE, 2014/59/UE şi (UE) 2017/1132, precum şi pentru modificarea şi completarea unor acte normative</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analizat în ședința Comisiei nr. 1 – judecători „Legislație și cooperare interinstituțională” din 31 ianuarie 2023, a fost comunicat Ministerului Finanţelor cu adresa nr. 1358 din 01.02.2023.</w:t>
      </w:r>
      <w:r w:rsidRPr="00564DC7">
        <w:rPr>
          <w:rFonts w:asciiTheme="minorHAnsi" w:hAnsiTheme="minorHAnsi" w:cstheme="minorHAnsi"/>
          <w:i/>
          <w:iCs/>
          <w:sz w:val="26"/>
          <w:szCs w:val="26"/>
          <w14:shadow w14:blurRad="63500" w14:dist="50800" w14:dir="13500000" w14:sx="0" w14:sy="0" w14:kx="0" w14:ky="0" w14:algn="none">
            <w14:srgbClr w14:val="000000">
              <w14:alpha w14:val="50000"/>
            </w14:srgbClr>
          </w14:shadow>
        </w:rPr>
        <w:t xml:space="preserve"> </w:t>
      </w:r>
      <w:r w:rsidRPr="00564DC7">
        <w:rPr>
          <w:rFonts w:asciiTheme="minorHAnsi" w:hAnsiTheme="minorHAnsi" w:cstheme="minorHAnsi"/>
          <w:sz w:val="26"/>
          <w:szCs w:val="26"/>
        </w:rPr>
        <w:t>Raportat la competențele Consiliului Superior al Magistraturii, Comisia a analizat doar conținutul art. 13 din proiect, referitor la calea de atac ce poate fi formulată împotriva deciziei de sancţionare şi a celorlalte acte administrative adoptate de Autoritatea de Supraveghere Financiară.</w:t>
      </w:r>
    </w:p>
    <w:p w14:paraId="3580A97E"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cu privire la </w:t>
      </w:r>
      <w:r w:rsidRPr="00564DC7">
        <w:rPr>
          <w:rFonts w:asciiTheme="minorHAnsi" w:hAnsiTheme="minorHAnsi" w:cstheme="minorHAnsi"/>
          <w:bCs/>
          <w:iCs/>
          <w:sz w:val="26"/>
          <w:szCs w:val="26"/>
        </w:rPr>
        <w:t>proiectul</w:t>
      </w:r>
      <w:r w:rsidRPr="00564DC7">
        <w:rPr>
          <w:rFonts w:asciiTheme="minorHAnsi" w:hAnsiTheme="minorHAnsi" w:cstheme="minorHAnsi"/>
          <w:bCs/>
          <w:i/>
          <w:iCs/>
          <w:sz w:val="26"/>
          <w:szCs w:val="26"/>
        </w:rPr>
        <w:t xml:space="preserve"> </w:t>
      </w:r>
      <w:r w:rsidRPr="00564DC7">
        <w:rPr>
          <w:rFonts w:asciiTheme="minorHAnsi" w:hAnsiTheme="minorHAnsi" w:cstheme="minorHAnsi"/>
          <w:bCs/>
          <w:sz w:val="26"/>
          <w:szCs w:val="26"/>
        </w:rPr>
        <w:t>Hotărârii de Guvern</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privind aprobarea Strategiei naţionale pentru protecţia şi promovarea drepturilor copilului „Copii protejați, România sigură” 2023-2027 și a Planului operaţional pentru implementarea Strategiei naţionale pentru protecţia şi promovarea drepturilor copilului „Copii protejați, România sigură” 2023 – 2027</w:t>
      </w:r>
      <w:r w:rsidRPr="00564DC7">
        <w:rPr>
          <w:rFonts w:asciiTheme="minorHAnsi" w:hAnsiTheme="minorHAnsi" w:cstheme="minorHAnsi"/>
          <w:i/>
          <w:iCs/>
          <w:sz w:val="26"/>
          <w:szCs w:val="26"/>
        </w:rPr>
        <w:t xml:space="preserve">. </w:t>
      </w:r>
      <w:r w:rsidRPr="00564DC7">
        <w:rPr>
          <w:rFonts w:asciiTheme="minorHAnsi" w:hAnsiTheme="minorHAnsi" w:cstheme="minorHAnsi"/>
          <w:iCs/>
          <w:sz w:val="26"/>
          <w:szCs w:val="26"/>
        </w:rPr>
        <w:t xml:space="preserve">Proiectul a fost </w:t>
      </w:r>
      <w:r w:rsidRPr="00564DC7">
        <w:rPr>
          <w:rFonts w:asciiTheme="minorHAnsi" w:hAnsiTheme="minorHAnsi" w:cstheme="minorHAnsi"/>
          <w:bCs/>
          <w:sz w:val="26"/>
          <w:szCs w:val="26"/>
          <w:lang w:eastAsia="ro-RO"/>
        </w:rPr>
        <w:t>analizat</w:t>
      </w:r>
      <w:r w:rsidRPr="00564DC7">
        <w:rPr>
          <w:rFonts w:asciiTheme="minorHAnsi" w:hAnsiTheme="minorHAnsi" w:cstheme="minorHAnsi"/>
          <w:sz w:val="26"/>
          <w:szCs w:val="26"/>
        </w:rPr>
        <w:t xml:space="preserve"> în ședința din data de 13 februarie 2023 a Comisiei nr. 1 - reunită „Legislație şi cooperare interinstituțională” în vederea analizării măsurilor propuse a fi implementate. Răspunsul a fost comunicat ministrului familiei, tineretului şi egalităţii de şanse cu adresa nr. 335 din 20.02.2023.</w:t>
      </w:r>
    </w:p>
    <w:p w14:paraId="23F32509"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punctul de vedere cu privire la proiectul de</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Hotărâre a Guvernului privind normele referitoare la întocmirea, actualizarea și administrarea Sistemului electronic național de evidență a ocupării în sectorul public, precum și detalierea operațiunilor necesare completării bazei de date,</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analizat în ședința din data de 23 martie 2023 a Comisiei nr. 1 – reunită ”Legislație și cooperare interinstituțională”, a fost comunicat Agenţiei Naţionale a Funcţionarilor Publici cu adresa nr. 3529 din 29.03.2023.</w:t>
      </w:r>
    </w:p>
    <w:p w14:paraId="41E09114" w14:textId="77777777" w:rsidR="003D2838" w:rsidRPr="00564DC7" w:rsidRDefault="003D2838"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w:t>
      </w:r>
      <w:r w:rsidRPr="00564DC7">
        <w:rPr>
          <w:rFonts w:asciiTheme="minorHAnsi" w:hAnsiTheme="minorHAnsi" w:cstheme="minorHAnsi"/>
          <w:bCs/>
          <w:sz w:val="26"/>
          <w:szCs w:val="26"/>
        </w:rPr>
        <w:t>referitor la</w:t>
      </w:r>
      <w:r w:rsidRPr="00564DC7">
        <w:rPr>
          <w:rFonts w:asciiTheme="minorHAnsi" w:hAnsiTheme="minorHAnsi" w:cstheme="minorHAnsi"/>
          <w:bCs/>
          <w:i/>
          <w:iCs/>
          <w:sz w:val="26"/>
          <w:szCs w:val="26"/>
        </w:rPr>
        <w:t xml:space="preserve"> </w:t>
      </w:r>
      <w:r w:rsidRPr="00564DC7">
        <w:rPr>
          <w:rFonts w:asciiTheme="minorHAnsi" w:hAnsiTheme="minorHAnsi" w:cstheme="minorHAnsi"/>
          <w:bCs/>
          <w:iCs/>
          <w:sz w:val="26"/>
          <w:szCs w:val="26"/>
        </w:rPr>
        <w:t>proiectul</w:t>
      </w:r>
      <w:r w:rsidRPr="00564DC7">
        <w:rPr>
          <w:rFonts w:asciiTheme="minorHAnsi" w:hAnsiTheme="minorHAnsi" w:cstheme="minorHAnsi"/>
          <w:bCs/>
          <w:i/>
          <w:iCs/>
          <w:sz w:val="26"/>
          <w:szCs w:val="26"/>
        </w:rPr>
        <w:t xml:space="preserve"> </w:t>
      </w:r>
      <w:r w:rsidRPr="00564DC7">
        <w:rPr>
          <w:rFonts w:asciiTheme="minorHAnsi" w:hAnsiTheme="minorHAnsi" w:cstheme="minorHAnsi"/>
          <w:bCs/>
          <w:iCs/>
          <w:sz w:val="26"/>
          <w:szCs w:val="26"/>
        </w:rPr>
        <w:t>de</w:t>
      </w:r>
      <w:r w:rsidRPr="00564DC7">
        <w:rPr>
          <w:rFonts w:asciiTheme="minorHAnsi" w:hAnsiTheme="minorHAnsi" w:cstheme="minorHAnsi"/>
          <w:bCs/>
          <w:sz w:val="26"/>
          <w:szCs w:val="26"/>
        </w:rPr>
        <w:t xml:space="preserve"> Ordonanță de urgență pentru modificarea şi completarea Legii nr. 367/2022 privind dialogul social şi a Legii nr. 53/2003 Codul muncii, cu </w:t>
      </w:r>
      <w:r w:rsidRPr="00564DC7">
        <w:rPr>
          <w:rFonts w:asciiTheme="minorHAnsi" w:hAnsiTheme="minorHAnsi" w:cstheme="minorHAnsi"/>
          <w:bCs/>
          <w:sz w:val="26"/>
          <w:szCs w:val="26"/>
        </w:rPr>
        <w:lastRenderedPageBreak/>
        <w:t>modificările şi completările ulterioare</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lang w:eastAsia="ro-RO"/>
        </w:rPr>
        <w:t>analizat</w:t>
      </w:r>
      <w:r w:rsidRPr="00564DC7">
        <w:rPr>
          <w:rFonts w:asciiTheme="minorHAnsi" w:hAnsiTheme="minorHAnsi" w:cstheme="minorHAnsi"/>
          <w:sz w:val="26"/>
          <w:szCs w:val="26"/>
        </w:rPr>
        <w:t xml:space="preserve"> în ședința din data de 15 martie 2023 a Comisiei nr. 1 - judecători „Legislație şi cooperare interinstituțională”, a fost comunicat Ministerului Muncii şi Solidarităţii Sociale cu adresa nr. 4272 din 25.05.2023. Prin Hotărârea nr. 20 din 26 ianuarie 2023, Plenul Consiliului Superior al Magistraturii a decis sesizarea ministrul muncii şi solidarității sociale </w:t>
      </w:r>
      <w:bookmarkStart w:id="68" w:name="_Hlk127175886"/>
      <w:r w:rsidRPr="00564DC7">
        <w:rPr>
          <w:rFonts w:asciiTheme="minorHAnsi" w:hAnsiTheme="minorHAnsi" w:cstheme="minorHAnsi"/>
          <w:sz w:val="26"/>
          <w:szCs w:val="26"/>
        </w:rPr>
        <w:t>pentru a iniția demersurile necesare modificării art. 269 din Legea nr. 53/2003 privind Codul Muncii, republicată, cu modificările şi completările ulterioare</w:t>
      </w:r>
      <w:bookmarkEnd w:id="68"/>
      <w:r w:rsidRPr="00564DC7">
        <w:rPr>
          <w:rFonts w:asciiTheme="minorHAnsi" w:hAnsiTheme="minorHAnsi" w:cstheme="minorHAnsi"/>
          <w:sz w:val="26"/>
          <w:szCs w:val="26"/>
        </w:rPr>
        <w:t xml:space="preserve">. În concret, prin modificarea propusă s-a urmărit evitarea interpretării neunitare a normelor referitoare la competență, Plenul apreciind că se impune reglementarea expresă în Codul muncii a competenței materiale a tribunalului în soluționarea în primă instanță a conflictelor individuale de muncă. </w:t>
      </w:r>
      <w:r w:rsidRPr="00564DC7">
        <w:rPr>
          <w:rFonts w:asciiTheme="minorHAnsi" w:hAnsiTheme="minorHAnsi" w:cstheme="minorHAnsi"/>
          <w:bCs/>
          <w:iCs/>
          <w:sz w:val="26"/>
          <w:szCs w:val="26"/>
        </w:rPr>
        <w:t>Aşa cum rezultă din proiectul de ordonanţă de urgență refăcut, observațiile</w:t>
      </w:r>
      <w:r w:rsidRPr="00564DC7">
        <w:rPr>
          <w:rFonts w:asciiTheme="minorHAnsi" w:hAnsiTheme="minorHAnsi" w:cstheme="minorHAnsi"/>
          <w:sz w:val="26"/>
          <w:szCs w:val="26"/>
        </w:rPr>
        <w:t xml:space="preserve"> transmise de Consiliul Superior al Magistraturii </w:t>
      </w:r>
      <w:r w:rsidRPr="00564DC7">
        <w:rPr>
          <w:rFonts w:asciiTheme="minorHAnsi" w:hAnsiTheme="minorHAnsi" w:cstheme="minorHAnsi"/>
          <w:bCs/>
          <w:iCs/>
          <w:sz w:val="26"/>
          <w:szCs w:val="26"/>
        </w:rPr>
        <w:t xml:space="preserve">referitoare la competența tribunalului de a soluționa în primă instanță litigiile de muncă, precum şi cele referitoare la nulitatea clauzelor contractului colectiv de muncă au fost însușite, fiind astfel reformulate propunerile de modificare ale art. 269 din Codul muncii şi ale art. 109 din Legea nr. 367/2022 în sensul celor reținute de comisia de specialitate din cadrul Consiliului în şedinţa din data de 15.03.2023. </w:t>
      </w:r>
    </w:p>
    <w:p w14:paraId="5F2A78B1" w14:textId="77777777" w:rsidR="003D2838" w:rsidRPr="00564DC7" w:rsidRDefault="003D2838" w:rsidP="00690186">
      <w:pPr>
        <w:ind w:firstLine="708"/>
        <w:jc w:val="both"/>
        <w:rPr>
          <w:rFonts w:asciiTheme="minorHAnsi" w:hAnsiTheme="minorHAnsi" w:cstheme="minorHAnsi"/>
          <w:sz w:val="26"/>
          <w:szCs w:val="26"/>
          <w14:shadow w14:blurRad="63500" w14:dist="50800" w14:dir="13500000" w14:sx="0" w14:sy="0" w14:kx="0" w14:ky="0" w14:algn="none">
            <w14:srgbClr w14:val="000000">
              <w14:alpha w14:val="50000"/>
            </w14:srgbClr>
          </w14:shadow>
        </w:rPr>
      </w:pPr>
      <w:r w:rsidRPr="00564DC7">
        <w:rPr>
          <w:rFonts w:asciiTheme="minorHAnsi" w:hAnsiTheme="minorHAnsi" w:cstheme="minorHAnsi"/>
          <w:sz w:val="26"/>
          <w:szCs w:val="26"/>
        </w:rPr>
        <w:t xml:space="preserve">- punctul de vedere cu privire la proiectul de </w:t>
      </w:r>
      <w:r w:rsidRPr="00564DC7">
        <w:rPr>
          <w:rFonts w:asciiTheme="minorHAnsi" w:hAnsiTheme="minorHAnsi" w:cstheme="minorHAnsi"/>
          <w:bCs/>
          <w:iCs/>
          <w:sz w:val="26"/>
          <w:szCs w:val="26"/>
        </w:rPr>
        <w:t>Ordin comun al ministrului muncii şi solidarităţii sociale şi al ministrului justiţiei pentru aprobarea modelului şi a procedurii de completare şi operare a registrului special al organizațiilor sindicale şi patronale,</w:t>
      </w:r>
      <w:r w:rsidRPr="00564DC7">
        <w:rPr>
          <w:rFonts w:asciiTheme="minorHAnsi" w:hAnsiTheme="minorHAnsi" w:cstheme="minorHAnsi"/>
          <w:bCs/>
          <w:sz w:val="26"/>
          <w:szCs w:val="26"/>
        </w:rPr>
        <w:t xml:space="preserve"> analizat în şedinţa din data de 7 septembrie 2023 a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Comisiei nr. 1 – judecători „Legislație și cooperare interinstituțională”,  a fost comunicat Ministerului Muncii şi Solidarităţii Sociale cu adresa nr. 14025 din 13.09.2023.</w:t>
      </w:r>
    </w:p>
    <w:p w14:paraId="7B6502A0" w14:textId="3B0A3494" w:rsidR="003D2838" w:rsidRPr="00564DC7" w:rsidRDefault="003D2838" w:rsidP="00B11FD4">
      <w:pPr>
        <w:ind w:firstLine="720"/>
        <w:jc w:val="both"/>
        <w:rPr>
          <w:rFonts w:asciiTheme="minorHAnsi" w:hAnsiTheme="minorHAnsi" w:cstheme="minorHAnsi"/>
          <w:sz w:val="26"/>
          <w:szCs w:val="26"/>
        </w:rPr>
      </w:pP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w:t>
      </w:r>
      <w:r w:rsidRPr="00B11FD4">
        <w:rPr>
          <w:rFonts w:asciiTheme="minorHAnsi" w:hAnsiTheme="minorHAnsi" w:cstheme="minorHAnsi"/>
          <w:sz w:val="26"/>
          <w:szCs w:val="26"/>
          <w14:shadow w14:blurRad="63500" w14:dist="50800" w14:dir="13500000" w14:sx="0" w14:sy="0" w14:kx="0" w14:ky="0" w14:algn="none">
            <w14:srgbClr w14:val="000000">
              <w14:alpha w14:val="50000"/>
            </w14:srgbClr>
          </w14:shadow>
        </w:rPr>
        <w:t>punctul de vedere cu privire la proiectul de</w:t>
      </w:r>
      <w:r w:rsidRPr="00B11FD4">
        <w:rPr>
          <w:rFonts w:asciiTheme="minorHAnsi" w:hAnsiTheme="minorHAnsi" w:cstheme="minorHAnsi"/>
          <w:i/>
          <w:sz w:val="26"/>
          <w:szCs w:val="26"/>
          <w14:shadow w14:blurRad="63500" w14:dist="50800" w14:dir="13500000" w14:sx="0" w14:sy="0" w14:kx="0" w14:ky="0" w14:algn="none">
            <w14:srgbClr w14:val="000000">
              <w14:alpha w14:val="50000"/>
            </w14:srgbClr>
          </w14:shadow>
        </w:rPr>
        <w:t xml:space="preserve"> </w:t>
      </w:r>
      <w:r w:rsidRPr="00B11FD4">
        <w:rPr>
          <w:rFonts w:asciiTheme="minorHAnsi" w:hAnsiTheme="minorHAnsi" w:cstheme="minorHAnsi"/>
          <w:iCs/>
          <w:sz w:val="26"/>
          <w:szCs w:val="26"/>
          <w14:shadow w14:blurRad="63500" w14:dist="50800" w14:dir="13500000" w14:sx="0" w14:sy="0" w14:kx="0" w14:ky="0" w14:algn="none">
            <w14:srgbClr w14:val="000000">
              <w14:alpha w14:val="50000"/>
            </w14:srgbClr>
          </w14:shadow>
        </w:rPr>
        <w:t>Lege pentru modificarea şi completarea unor acte normative în domeniul asistenţei sociale,</w:t>
      </w:r>
      <w:r w:rsidRPr="00B11FD4">
        <w:rPr>
          <w:rFonts w:asciiTheme="minorHAnsi" w:hAnsiTheme="minorHAnsi" w:cstheme="minorHAnsi"/>
          <w:i/>
          <w:sz w:val="26"/>
          <w:szCs w:val="26"/>
          <w14:shadow w14:blurRad="63500" w14:dist="50800" w14:dir="13500000" w14:sx="0" w14:sy="0" w14:kx="0" w14:ky="0" w14:algn="none">
            <w14:srgbClr w14:val="000000">
              <w14:alpha w14:val="50000"/>
            </w14:srgbClr>
          </w14:shadow>
        </w:rPr>
        <w:t xml:space="preserve"> </w:t>
      </w:r>
      <w:r w:rsidRPr="00B11FD4">
        <w:rPr>
          <w:rFonts w:asciiTheme="minorHAnsi" w:hAnsiTheme="minorHAnsi" w:cstheme="minorHAnsi"/>
          <w:sz w:val="26"/>
          <w:szCs w:val="26"/>
          <w14:shadow w14:blurRad="63500" w14:dist="50800" w14:dir="13500000" w14:sx="0" w14:sy="0" w14:kx="0" w14:ky="0" w14:algn="none">
            <w14:srgbClr w14:val="000000">
              <w14:alpha w14:val="50000"/>
            </w14:srgbClr>
          </w14:shadow>
        </w:rPr>
        <w:t xml:space="preserve"> </w:t>
      </w:r>
      <w:r w:rsidRPr="00B11FD4">
        <w:rPr>
          <w:rFonts w:asciiTheme="minorHAnsi" w:hAnsiTheme="minorHAnsi" w:cstheme="minorHAnsi"/>
          <w:bCs/>
          <w:sz w:val="26"/>
          <w:szCs w:val="26"/>
          <w:lang w:eastAsia="ro-RO"/>
        </w:rPr>
        <w:t>analizat</w:t>
      </w:r>
      <w:r w:rsidRPr="00B11FD4">
        <w:rPr>
          <w:rFonts w:asciiTheme="minorHAnsi" w:hAnsiTheme="minorHAnsi" w:cstheme="minorHAnsi"/>
          <w:sz w:val="26"/>
          <w:szCs w:val="26"/>
        </w:rPr>
        <w:t xml:space="preserve"> în ședința din data de 17 octombrie 2023 a Comisiei nr. 1 - reunită „Legislație şi cooperare interinstituțională”, a fost comunicat Ministerului Muncii şi Solidarităţii Sociale cu adresa nr. 18216 din 18.10.2023.</w:t>
      </w:r>
      <w:r w:rsidR="00B11FD4" w:rsidRPr="00B11FD4">
        <w:rPr>
          <w:rFonts w:asciiTheme="minorHAnsi" w:hAnsiTheme="minorHAnsi" w:cstheme="minorHAnsi"/>
          <w:sz w:val="26"/>
          <w:szCs w:val="26"/>
        </w:rPr>
        <w:t xml:space="preserve"> Punctul de vedere vizând forma proiectului refăcut ca urmare a observaţiilor formulate în etapa consultării preliminare instituţionale a fost transmis Ministerului Muncii şi Solidarităţii Sociale cu adresa nr. 18216 din 22.11.2023.</w:t>
      </w:r>
    </w:p>
    <w:p w14:paraId="6D22BCA4" w14:textId="77777777" w:rsidR="003D2838" w:rsidRDefault="003D2838" w:rsidP="00690186">
      <w:pPr>
        <w:ind w:right="34"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 punctul de vedere cu privire la proiectul de </w:t>
      </w:r>
      <w:r w:rsidRPr="00564DC7">
        <w:rPr>
          <w:rFonts w:asciiTheme="minorHAnsi" w:hAnsiTheme="minorHAnsi" w:cstheme="minorHAnsi"/>
          <w:iCs/>
          <w:sz w:val="26"/>
          <w:szCs w:val="26"/>
        </w:rPr>
        <w:t xml:space="preserve">Lege privind măsurile necesare pentru exploatarea energiei eoliene offshore şi pentru modificarea şi completarea unor acte normative din domeniul energiei, </w:t>
      </w:r>
      <w:r w:rsidRPr="00564DC7">
        <w:rPr>
          <w:rFonts w:asciiTheme="minorHAnsi" w:hAnsiTheme="minorHAnsi" w:cstheme="minorHAnsi"/>
          <w:sz w:val="26"/>
          <w:szCs w:val="26"/>
        </w:rPr>
        <w:t>analizat în ședința din data de 10 octombrie 2023 a Comisiei nr. 1 reunită - „Legislație şi cooperare interinstituțională”, a fost comunicat Ministerului Energiei cu adresa nr. 17169/2023 din 20.20.2023.</w:t>
      </w:r>
    </w:p>
    <w:p w14:paraId="6ED333D6" w14:textId="77777777" w:rsidR="00E708BB" w:rsidRPr="00E708BB" w:rsidRDefault="00E708BB" w:rsidP="00E708BB">
      <w:pPr>
        <w:tabs>
          <w:tab w:val="left" w:pos="5475"/>
        </w:tabs>
        <w:ind w:firstLine="720"/>
        <w:jc w:val="both"/>
        <w:rPr>
          <w:rFonts w:asciiTheme="minorHAnsi" w:hAnsiTheme="minorHAnsi" w:cstheme="minorHAnsi"/>
          <w:sz w:val="26"/>
          <w:szCs w:val="26"/>
        </w:rPr>
      </w:pPr>
      <w:r w:rsidRPr="00E708BB">
        <w:rPr>
          <w:rFonts w:asciiTheme="minorHAnsi" w:hAnsiTheme="minorHAnsi" w:cstheme="minorHAnsi"/>
          <w:sz w:val="26"/>
          <w:szCs w:val="26"/>
        </w:rPr>
        <w:t>- punctul de vedere cu privire la Proiectul de Lege privind sistemul public de pensii, analizat în ședința Comisiei nr. 1 reunită – „Legislație și cooperare interinstituțională” din data de 07 noiembrie 2023, a fost comunicat Ministerului Muncii şi Solidarităţii Sociale cu adresa nr. 20938 din 07.11.2023.</w:t>
      </w:r>
    </w:p>
    <w:p w14:paraId="37788BFC" w14:textId="6EE5B6A2" w:rsidR="00E708BB" w:rsidRPr="00E708BB" w:rsidRDefault="00E708BB" w:rsidP="00E708BB">
      <w:pPr>
        <w:tabs>
          <w:tab w:val="left" w:pos="5475"/>
        </w:tabs>
        <w:ind w:firstLine="720"/>
        <w:jc w:val="both"/>
        <w:rPr>
          <w:rFonts w:asciiTheme="minorHAnsi" w:hAnsiTheme="minorHAnsi" w:cstheme="minorHAnsi"/>
          <w:sz w:val="26"/>
          <w:szCs w:val="26"/>
        </w:rPr>
      </w:pPr>
      <w:r w:rsidRPr="00E708BB">
        <w:rPr>
          <w:rFonts w:asciiTheme="minorHAnsi" w:hAnsiTheme="minorHAnsi" w:cstheme="minorHAnsi"/>
          <w:sz w:val="26"/>
          <w:szCs w:val="26"/>
        </w:rPr>
        <w:t xml:space="preserve">- punctul de vedere cu privire la proiectul Legii privind stabilirea unor măsuri pentru aplicarea Regulamentului (UE) 2022/2065 al Parlamentului European şi al Consiliului din 19 octombrie 2022 privind o piaţă unică pentru serviciile digitale şi de modificare a Directivei 2000/31/CE, precum şi pentru modificarea şi completarea Legii nr. 365/2002 privind comerţul electronic, analizat în ședința din data de 4 decembrie 2023 a Comisiei nr. 1 - reunită „Legislație și cooperare interinstituțională”, a fost comunicat Autorității Naționale pentru Administrare și Reglementare în Comunicații cu adresa nr. 22046 din 04.12.2023.                 </w:t>
      </w:r>
    </w:p>
    <w:p w14:paraId="246FD082"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Nu în ultimul rând, trebuie menționată participarea reprezentanților Consiliului la lucrările diverselor</w:t>
      </w:r>
      <w:r w:rsidRPr="00564DC7">
        <w:rPr>
          <w:rFonts w:asciiTheme="minorHAnsi" w:hAnsiTheme="minorHAnsi" w:cstheme="minorHAnsi"/>
          <w:b/>
          <w:sz w:val="26"/>
          <w:szCs w:val="26"/>
        </w:rPr>
        <w:t xml:space="preserve"> grupuri de lucru interinstituţionale </w:t>
      </w:r>
      <w:r w:rsidRPr="00564DC7">
        <w:rPr>
          <w:rFonts w:asciiTheme="minorHAnsi" w:hAnsiTheme="minorHAnsi" w:cstheme="minorHAnsi"/>
          <w:sz w:val="26"/>
          <w:szCs w:val="26"/>
        </w:rPr>
        <w:t xml:space="preserve">constituite la nivelul Consiliului Superior al Magistraturii, Ministerului Justiţiei sau, după caz, la nivelul altor instituții, pe teme privind sistemul judiciar. De asemenea, reprezentanți ai Consiliului Superior al Magistraturii au participat la mai multe întâlniri de lucru organizate de Ministerul Justiției. </w:t>
      </w:r>
    </w:p>
    <w:p w14:paraId="709EDB66"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bCs/>
          <w:sz w:val="26"/>
          <w:szCs w:val="26"/>
        </w:rPr>
        <w:lastRenderedPageBreak/>
        <w:t xml:space="preserve">În şedinţa din data de 31 ianuarie 2023 a </w:t>
      </w:r>
      <w:r w:rsidRPr="00564DC7">
        <w:rPr>
          <w:rFonts w:asciiTheme="minorHAnsi" w:hAnsiTheme="minorHAnsi" w:cstheme="minorHAnsi"/>
          <w:sz w:val="26"/>
          <w:szCs w:val="26"/>
          <w14:shadow w14:blurRad="63500" w14:dist="50800" w14:dir="13500000" w14:sx="0" w14:sy="0" w14:kx="0" w14:ky="0" w14:algn="none">
            <w14:srgbClr w14:val="000000">
              <w14:alpha w14:val="50000"/>
            </w14:srgbClr>
          </w14:shadow>
        </w:rPr>
        <w:t>Comisiei nr. 1 – reunită „Legislație și cooperare interinstituțională” s-a decis constituirea l</w:t>
      </w:r>
      <w:r w:rsidRPr="00564DC7">
        <w:rPr>
          <w:rFonts w:asciiTheme="minorHAnsi" w:hAnsiTheme="minorHAnsi" w:cstheme="minorHAnsi"/>
          <w:sz w:val="26"/>
          <w:szCs w:val="26"/>
        </w:rPr>
        <w:t xml:space="preserve">a nivelul Consiliului Superior al Magistraturii a unui grup de lucru în vederea reluării demersurilor privind modificarea Anexei la Ordinul comun al ministrului justiţiei, preşedintelui Consiliului Superior al Magistraturii, preşedintelui Înaltei Curţi de Casaţie şi Justiţie, procurorului general al Parchetului de pe lângă Înalta Curte de Casaţie şi Justiţie şi al procurorului-şef al Direcţiei Naţionale Anticorupţie nr. 545/C/1/4.794/1.154/259/300/C/379/C din 2012 </w:t>
      </w:r>
      <w:r w:rsidRPr="00564DC7">
        <w:rPr>
          <w:rFonts w:asciiTheme="minorHAnsi" w:hAnsiTheme="minorHAnsi" w:cstheme="minorHAnsi"/>
          <w:iCs/>
          <w:sz w:val="26"/>
          <w:szCs w:val="26"/>
        </w:rPr>
        <w:t>privind procedura de acordare a compensaţiei lunare pentru chirie, precum şi pentru stabilirea plafonului maxim în limita căruia se poate deconta chiria pentru unele categorii de personal din sistemul justiţiei.</w:t>
      </w:r>
    </w:p>
    <w:p w14:paraId="1953BF89"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şedinţa din data de 28 februarie 2023 a Comisiei nr. 1 – reunită „Legislație și cooperare interinstituțională” s-a decis constituirea la nivelul Consiliului Superior al Magistraturii a unui grup de lucru la care să participe şi reprezentanți ai Înaltei Curţi de Casaţie şi Justiţie şi ai Parchetului de pe lângă Înalta Curte de Casaţie şi Justiţie pentru formularea unor propuneri concrete privind grila de salarizare pentru categoriile profesionale din sistemul judiciar.</w:t>
      </w:r>
    </w:p>
    <w:p w14:paraId="3CE79867" w14:textId="0F8E8798"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La data de 11 ianuarie 2023, la invitaţia Agenţiei Naţionale pentru Achiziţii Publice, un reprezentant al Consiliului Superior al Magistraturii a participat la reuniunea grupului de lucru la nivel tehnic din cadrul Comitetului Interministerial pentru Achiziţii Publice vizând proiectul noii Strategii în domeniul achiziţiilor publice, activitate implementată în cadrul PNRR Componenta C14 – Buna guvernanţă – Obiectiv specific 5 – Un sistem naţional de achiziţii publice mai eficient, inclusiv prin consolidarea capacităţii administrative a autiorităţilor/entităţilor contractante, într-un cadru legal flexibil şi coerent – Reforma 8 Reformarea sistemului naţional de achiziţii publice.</w:t>
      </w:r>
    </w:p>
    <w:p w14:paraId="1BCE72A6"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La invitaţia Agenției Naționale pentru Egalitate de Șanse Între Femei și Bărbați, reprezentanţi ai Consiliului Superior al Magistraturii au participat la şedinţele grupului de lucru constituit în vederea analizării și formulării propunerilor de modificarea a Legii nr. 217/2003 pentru prevenirea și combaterea violenței domestice, republicată, cu modificările și completările ulterioare, precum  și a Ordinului nr. 146/2578/2018 privind modalitatea de gestionare a cazurilor de violență domestică de către polițiști.</w:t>
      </w:r>
    </w:p>
    <w:p w14:paraId="5A110BDE"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La invitaţia Ministerului Muncii şi Solidarităţii Sociale, la data de 27 aprilie 2023, reprezentanţi ai Consiliului Superior al Magistraturii au participat la reuniunea grupului de lucru constituit în baza Ordinului nr. 905/06.04.2023 al ministrului muncii şi solidarităţii sociale, vizând „Modificarea şi modernizarea legislaţiei privnd sistemul de salarizare” din cadrul Reformei 4 – Dezvoltarea unui sistem de salarizare echitabil şi unitar în sectorul public, componenta C14 – Bună guvernanţă, reformă asumată de Guvernul României în cadrul Planului Naţional de Redresare şi Rezilienţă (PNRR). </w:t>
      </w:r>
    </w:p>
    <w:p w14:paraId="5B011B03"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La invitaţia Autorităţii Naționale de Supraveghere a Prelucrării Datelor cu Caracter Personal, la data de 16 mai 2023, reprezentanţi ai Consiliului Superior al Magistraturii au participat la reuniunea vizând implementarea prevederilor legale și regulamentare pentru exercitarea de către Consiliu a rolului de autoritate competentă pentru supravegherea operaţiunilor de prelucrare a datelor cu caracter personal de către instanţele judecătoreşti în exercitarea atribuţiilor lor judiciare.</w:t>
      </w:r>
    </w:p>
    <w:p w14:paraId="54763A59"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şedinţa din data de 3 iulie 2023 a Comisiei nr. 1 – reunită „Legislație și cooperare interinstituțională” s-a decis constituirea unui grup de lucru pentru implementarea Metodologiei de evaluare a riscurilor de corupţie la nivelul Consiliului, alcătuit din conducătorii tuturor compartimentelor din aparatul propriu al Consiliului Superior al Magistraturii, sub coordonarea secretarului general. </w:t>
      </w:r>
    </w:p>
    <w:p w14:paraId="56A956A0"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La data de 26 iulie 2023, reprezentanţi ai Consiliului Superior al Magistraturii au participat la şedinţa grupului de lucru comun cu Ministerul Justiţiei şi Înalta Curte de Casaţie şi Justiţie, constituit în vederea aducerii la îndeplinire a obiectivelor pentru dezvoltarea politicii de resurse </w:t>
      </w:r>
      <w:r w:rsidRPr="00564DC7">
        <w:rPr>
          <w:rFonts w:asciiTheme="minorHAnsi" w:hAnsiTheme="minorHAnsi" w:cstheme="minorHAnsi"/>
          <w:sz w:val="26"/>
          <w:szCs w:val="26"/>
        </w:rPr>
        <w:lastRenderedPageBreak/>
        <w:t>umane la nivelul sistemului judiciar, prevăzute în Strategia de dezvoltare a sistemului judiciar 2022-2025 și în planul de acțiune aferent acesteia.</w:t>
      </w:r>
    </w:p>
    <w:p w14:paraId="396D205A"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La invitaţia Ministerului Muncii şi Solidarităţii Sociale, la data de 17 august 2023, reprezentanţi ai Consiliului Superior al Magistraturii au participat la întâlnirea organizată cu reprezentanţii familiilor ocupaţionale de funcţii bugetare în vederea elaborării noii legi a salarizării personalului plătit din fonduri publice. </w:t>
      </w:r>
    </w:p>
    <w:p w14:paraId="2A7EE993" w14:textId="5B32A404" w:rsidR="003D2838" w:rsidRDefault="003D2838" w:rsidP="00690186">
      <w:pPr>
        <w:ind w:firstLine="709"/>
        <w:jc w:val="both"/>
        <w:rPr>
          <w:rFonts w:asciiTheme="minorHAnsi" w:hAnsiTheme="minorHAnsi" w:cstheme="minorHAnsi"/>
          <w:iCs/>
          <w:sz w:val="26"/>
          <w:szCs w:val="26"/>
        </w:rPr>
      </w:pPr>
      <w:r w:rsidRPr="00564DC7">
        <w:rPr>
          <w:rFonts w:asciiTheme="minorHAnsi" w:hAnsiTheme="minorHAnsi" w:cstheme="minorHAnsi"/>
          <w:sz w:val="26"/>
          <w:szCs w:val="26"/>
        </w:rPr>
        <w:t>La invitaţia Guvernului României, comunicată prin poştă electronică la data de 8 septembrie 2023, înregistrată sub nr. 17489/2023,</w:t>
      </w:r>
      <w:r w:rsidR="00295716">
        <w:rPr>
          <w:rFonts w:asciiTheme="minorHAnsi" w:hAnsiTheme="minorHAnsi" w:cstheme="minorHAnsi"/>
          <w:sz w:val="26"/>
          <w:szCs w:val="26"/>
        </w:rPr>
        <w:t xml:space="preserve"> </w:t>
      </w:r>
      <w:r w:rsidRPr="00564DC7">
        <w:rPr>
          <w:rFonts w:asciiTheme="minorHAnsi" w:hAnsiTheme="minorHAnsi" w:cstheme="minorHAnsi"/>
          <w:sz w:val="26"/>
          <w:szCs w:val="26"/>
        </w:rPr>
        <w:t xml:space="preserve">un reprezentant al Consiliului Superior al Magistraturii a participat la şedinţa din data de 26 septembrie 2023 a </w:t>
      </w:r>
      <w:r w:rsidRPr="00564DC7">
        <w:rPr>
          <w:rFonts w:asciiTheme="minorHAnsi" w:hAnsiTheme="minorHAnsi" w:cstheme="minorHAnsi"/>
          <w:iCs/>
          <w:sz w:val="26"/>
          <w:szCs w:val="26"/>
        </w:rPr>
        <w:t>Comitetului interministerial pentru monitorizarea implementării Strategiei naționale pentru prevenirea și combaterea antisemitismului, xenofobiei, radicalizării și discursului instigator la ură, aferente perioadei 2021-2023,</w:t>
      </w:r>
      <w:r w:rsidRPr="00564DC7">
        <w:rPr>
          <w:rFonts w:asciiTheme="minorHAnsi" w:hAnsiTheme="minorHAnsi" w:cstheme="minorHAnsi"/>
          <w:sz w:val="26"/>
          <w:szCs w:val="26"/>
        </w:rPr>
        <w:t xml:space="preserve"> înființat prin Decizia prim ministrului nr. 173/28.02.2022 şi, respectiv, la prima reuniune a </w:t>
      </w:r>
      <w:r w:rsidRPr="00564DC7">
        <w:rPr>
          <w:rFonts w:asciiTheme="minorHAnsi" w:hAnsiTheme="minorHAnsi" w:cstheme="minorHAnsi"/>
          <w:iCs/>
          <w:sz w:val="26"/>
          <w:szCs w:val="26"/>
        </w:rPr>
        <w:t>Comitetului interministerial pentru elaborarea Strategiei naţionale pentru prevenirea și combaterea antisemitismului, xenofobiei, radicalizării și discursului instigator la ură, aferentă perioadei 2024-2027 şi a Planului de acţiune.</w:t>
      </w:r>
    </w:p>
    <w:p w14:paraId="45FE00F8" w14:textId="77777777" w:rsidR="00C72546" w:rsidRPr="00C72546" w:rsidRDefault="00C72546" w:rsidP="00C72546">
      <w:pPr>
        <w:ind w:firstLine="709"/>
        <w:jc w:val="both"/>
        <w:rPr>
          <w:rFonts w:asciiTheme="minorHAnsi" w:hAnsiTheme="minorHAnsi" w:cstheme="minorHAnsi"/>
          <w:iCs/>
          <w:sz w:val="26"/>
          <w:szCs w:val="26"/>
        </w:rPr>
      </w:pPr>
      <w:r w:rsidRPr="00C72546">
        <w:rPr>
          <w:rFonts w:asciiTheme="minorHAnsi" w:hAnsiTheme="minorHAnsi" w:cstheme="minorHAnsi"/>
          <w:iCs/>
          <w:sz w:val="26"/>
          <w:szCs w:val="26"/>
        </w:rPr>
        <w:t>La data de 14 noiembrie 2023, un reprezentant al Consiliului Superior al Magistraturii a participat la şedinţa grupului de lucru comun MJ-CSM-ICCJ constituit pentru îndeplinirea obiectivelor SDSJ, respectiv suplimentarea posturilor de grefier la nivelul instanţelor judecătoreşti.</w:t>
      </w:r>
    </w:p>
    <w:p w14:paraId="3C7805BB" w14:textId="77777777" w:rsidR="00C72546" w:rsidRPr="00C72546" w:rsidRDefault="00C72546" w:rsidP="00C72546">
      <w:pPr>
        <w:ind w:firstLine="709"/>
        <w:jc w:val="both"/>
        <w:rPr>
          <w:rFonts w:asciiTheme="minorHAnsi" w:hAnsiTheme="minorHAnsi" w:cstheme="minorHAnsi"/>
          <w:i/>
          <w:sz w:val="26"/>
          <w:szCs w:val="26"/>
        </w:rPr>
      </w:pPr>
      <w:r w:rsidRPr="00C72546">
        <w:rPr>
          <w:rFonts w:asciiTheme="minorHAnsi" w:hAnsiTheme="minorHAnsi" w:cstheme="minorHAnsi"/>
          <w:iCs/>
          <w:sz w:val="26"/>
          <w:szCs w:val="26"/>
        </w:rPr>
        <w:t>La invitaţia Ministerului Justiţiei, comunicată prin poştă electronică la data de 12 decembrie 2023, reprezentanţi ai Consiliului Superior al Magistraturii au participat la întâlnirea de lucru din data de 18 decembrie 2023 al cărei obiectiv a fost identificarea măsurilor necesare pentru asigurarea liberului acces la justiţie din perspectiva costurilor, promovarea soluţiilor alternative de soluţionare a litigiilor, în special a instituţiei medierii, dar şi pentru degrevarea instanţelor de judecată.</w:t>
      </w:r>
    </w:p>
    <w:p w14:paraId="235D1BBE" w14:textId="77777777" w:rsidR="00C72546" w:rsidRPr="00C72546" w:rsidRDefault="00C72546" w:rsidP="00690186">
      <w:pPr>
        <w:ind w:firstLine="709"/>
        <w:jc w:val="both"/>
        <w:rPr>
          <w:rFonts w:asciiTheme="minorHAnsi" w:hAnsiTheme="minorHAnsi" w:cstheme="minorHAnsi"/>
          <w:iCs/>
          <w:sz w:val="26"/>
          <w:szCs w:val="26"/>
        </w:rPr>
      </w:pPr>
    </w:p>
    <w:p w14:paraId="0728B45C" w14:textId="77777777" w:rsidR="003D2838" w:rsidRPr="00564DC7" w:rsidRDefault="003D2838" w:rsidP="00690186">
      <w:pPr>
        <w:ind w:firstLine="709"/>
        <w:jc w:val="both"/>
        <w:rPr>
          <w:rFonts w:asciiTheme="minorHAnsi" w:hAnsiTheme="minorHAnsi" w:cstheme="minorHAnsi"/>
          <w:sz w:val="26"/>
          <w:szCs w:val="26"/>
        </w:rPr>
      </w:pPr>
      <w:r w:rsidRPr="00564DC7">
        <w:rPr>
          <w:rFonts w:asciiTheme="minorHAnsi" w:hAnsiTheme="minorHAnsi" w:cstheme="minorHAnsi"/>
          <w:b/>
          <w:sz w:val="26"/>
          <w:szCs w:val="26"/>
        </w:rPr>
        <w:t>C.</w:t>
      </w:r>
      <w:r w:rsidRPr="00564DC7">
        <w:rPr>
          <w:rFonts w:asciiTheme="minorHAnsi" w:hAnsiTheme="minorHAnsi" w:cstheme="minorHAnsi"/>
          <w:sz w:val="26"/>
          <w:szCs w:val="26"/>
        </w:rPr>
        <w:t xml:space="preserve"> Referitor la </w:t>
      </w:r>
      <w:r w:rsidRPr="00564DC7">
        <w:rPr>
          <w:rFonts w:asciiTheme="minorHAnsi" w:hAnsiTheme="minorHAnsi" w:cstheme="minorHAnsi"/>
          <w:b/>
          <w:sz w:val="26"/>
          <w:szCs w:val="26"/>
        </w:rPr>
        <w:t>relaţia Consiliului Superior al Magistraturii cu Preşedintele României</w:t>
      </w:r>
      <w:r w:rsidRPr="00564DC7">
        <w:rPr>
          <w:rFonts w:asciiTheme="minorHAnsi" w:hAnsiTheme="minorHAnsi" w:cstheme="minorHAnsi"/>
          <w:sz w:val="26"/>
          <w:szCs w:val="26"/>
        </w:rPr>
        <w:t>, aceasta s-a circumscris prevederilor art. 134 din Constituţia României, republicată, ale Legii nr. 305/2022 privind Consiliul Superior al Magistraturii şi ale Legii nr. 303/2022 privind statutul judecătorilor şi procurorilor.</w:t>
      </w:r>
    </w:p>
    <w:p w14:paraId="6EE9266B" w14:textId="37C8C944" w:rsidR="00972729" w:rsidRDefault="003D2838" w:rsidP="00690186">
      <w:pPr>
        <w:tabs>
          <w:tab w:val="left" w:pos="5475"/>
        </w:tabs>
        <w:ind w:firstLine="709"/>
        <w:jc w:val="both"/>
        <w:rPr>
          <w:rFonts w:asciiTheme="minorHAnsi" w:hAnsiTheme="minorHAnsi" w:cstheme="minorHAnsi"/>
          <w:sz w:val="26"/>
          <w:szCs w:val="26"/>
        </w:rPr>
      </w:pPr>
      <w:r w:rsidRPr="00564DC7">
        <w:rPr>
          <w:rFonts w:asciiTheme="minorHAnsi" w:hAnsiTheme="minorHAnsi" w:cstheme="minorHAnsi"/>
          <w:sz w:val="26"/>
          <w:szCs w:val="26"/>
        </w:rPr>
        <w:t>Astfel, au fost înaintate Președintelui României hotărârile Secțiilor Consiliului Superior al Magistraturii privind propunerile de numire şi eliberare în şi din funcțiile de execuție de judecător şi procuror.</w:t>
      </w:r>
    </w:p>
    <w:p w14:paraId="71B07AE0" w14:textId="77777777" w:rsidR="00972729" w:rsidRPr="00261D6B" w:rsidRDefault="00972729" w:rsidP="007556D5">
      <w:pPr>
        <w:pStyle w:val="Heading2"/>
        <w:keepLines w:val="0"/>
        <w:spacing w:line="240" w:lineRule="auto"/>
        <w:jc w:val="both"/>
        <w:rPr>
          <w:rFonts w:cstheme="minorHAnsi"/>
          <w:color w:val="auto"/>
          <w:lang w:val="ro-RO"/>
        </w:rPr>
      </w:pPr>
      <w:bookmarkStart w:id="69" w:name="_Toc155267880"/>
      <w:r w:rsidRPr="00261D6B">
        <w:rPr>
          <w:rFonts w:cstheme="minorHAnsi"/>
          <w:color w:val="auto"/>
          <w:lang w:val="ro-RO"/>
        </w:rPr>
        <w:t>Relația cu celelalte profesii juridice</w:t>
      </w:r>
      <w:bookmarkEnd w:id="69"/>
    </w:p>
    <w:p w14:paraId="7604EFA7" w14:textId="77777777" w:rsidR="00972729" w:rsidRPr="00261D6B" w:rsidRDefault="00972729" w:rsidP="00972729">
      <w:pPr>
        <w:ind w:firstLine="720"/>
        <w:jc w:val="both"/>
        <w:rPr>
          <w:rFonts w:asciiTheme="minorHAnsi" w:hAnsiTheme="minorHAnsi" w:cstheme="minorHAnsi"/>
          <w:sz w:val="26"/>
          <w:szCs w:val="26"/>
        </w:rPr>
      </w:pPr>
      <w:r w:rsidRPr="00261D6B">
        <w:rPr>
          <w:rFonts w:asciiTheme="minorHAnsi" w:hAnsiTheme="minorHAnsi" w:cstheme="minorHAnsi"/>
          <w:sz w:val="26"/>
          <w:szCs w:val="26"/>
        </w:rPr>
        <w:t>În cursul anului 2023, în ceea ce privește relația cu celelalte profesii juridice, activitatea Consiliului Superior al Magistraturii a implicat o relaționare mai susținută cu corpul profesional al avocaților.</w:t>
      </w:r>
    </w:p>
    <w:p w14:paraId="366AD766" w14:textId="1D0D5F20"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bCs/>
          <w:sz w:val="26"/>
          <w:szCs w:val="26"/>
        </w:rPr>
        <w:t xml:space="preserve">La data de 02.11.2023 a avut loc, la sediul Consiliului Superior al Magistraturii, o întâlnire între reprezentanții Consiliului, membrii Secției pentru judecători și membrii aleși </w:t>
      </w:r>
      <w:r w:rsidR="0067766D" w:rsidRPr="00261D6B">
        <w:rPr>
          <w:rFonts w:asciiTheme="minorHAnsi" w:hAnsiTheme="minorHAnsi" w:cstheme="minorHAnsi"/>
          <w:bCs/>
          <w:sz w:val="26"/>
          <w:szCs w:val="26"/>
        </w:rPr>
        <w:t xml:space="preserve">reprezentanți ai </w:t>
      </w:r>
      <w:r w:rsidRPr="00261D6B">
        <w:rPr>
          <w:rFonts w:asciiTheme="minorHAnsi" w:hAnsiTheme="minorHAnsi" w:cstheme="minorHAnsi"/>
          <w:bCs/>
          <w:sz w:val="26"/>
          <w:szCs w:val="26"/>
        </w:rPr>
        <w:t>societății civile, și reprezentanții Uniunii Naționale a Barourilor din România, în care au fost discutate mai multe aspecte menite să asigure buna colaborare între instituțiile din cadrul sistemului judiciar și corpul profesional al avocaților, pentru realizarea unui act de justiție de calitate.</w:t>
      </w:r>
    </w:p>
    <w:p w14:paraId="3BD6361A" w14:textId="1D8027BA"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bCs/>
          <w:sz w:val="26"/>
          <w:szCs w:val="26"/>
        </w:rPr>
        <w:t>În acest context, a fost pusă în discuție</w:t>
      </w:r>
      <w:r w:rsidR="0067766D" w:rsidRPr="00261D6B">
        <w:rPr>
          <w:rFonts w:asciiTheme="minorHAnsi" w:hAnsiTheme="minorHAnsi" w:cstheme="minorHAnsi"/>
          <w:bCs/>
          <w:sz w:val="26"/>
          <w:szCs w:val="26"/>
        </w:rPr>
        <w:t xml:space="preserve"> </w:t>
      </w:r>
      <w:r w:rsidRPr="00261D6B">
        <w:rPr>
          <w:rFonts w:asciiTheme="minorHAnsi" w:hAnsiTheme="minorHAnsi" w:cstheme="minorHAnsi"/>
          <w:bCs/>
          <w:sz w:val="26"/>
          <w:szCs w:val="26"/>
        </w:rPr>
        <w:t>necesitatea identificării celor mai eficiente mecanisme pentru a evita în viitor unele deficiențe întâmpinate de avocați în desfășurarea procedurilor judiciare.</w:t>
      </w:r>
    </w:p>
    <w:p w14:paraId="23E65951" w14:textId="77777777"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bCs/>
          <w:sz w:val="26"/>
          <w:szCs w:val="26"/>
        </w:rPr>
        <w:t xml:space="preserve">Au fost discutate punctual aspectele semnalate de către UNBR referitoare la reducerea onorariilor avocaților din oficiu sau a cheltuielilor de judecată aferente onorariilor avocaților aleși, </w:t>
      </w:r>
      <w:r w:rsidRPr="00261D6B">
        <w:rPr>
          <w:rFonts w:asciiTheme="minorHAnsi" w:hAnsiTheme="minorHAnsi" w:cstheme="minorHAnsi"/>
          <w:bCs/>
          <w:sz w:val="26"/>
          <w:szCs w:val="26"/>
        </w:rPr>
        <w:lastRenderedPageBreak/>
        <w:t>nestabilirea unor intervale orare de judecare a cauzelor, necesitatea verificării puterii de reprezentare a avocatului pentru a se evita situațiile în care profesia este practicată fără drept, identificarea în continuare a unor soluții pentru acoperirea deficitului de personal în instanțe, precum și posibile consecințe negative privind prelungirea duratei procedurilor de judecată.</w:t>
      </w:r>
    </w:p>
    <w:p w14:paraId="56FD320B" w14:textId="77777777"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bCs/>
          <w:sz w:val="26"/>
          <w:szCs w:val="26"/>
        </w:rPr>
        <w:t>O soluție agreată a fost posibilitatea organizării unor întâlniri la nivelul curților de apel în care să fie dezbătute aspecte privind practica administrativă/judiciară a instanțelor, pentru care să fie consultați/invitați reprezentanți ai Barourilor și reprezentanți ai parchetelor de pe lângă instanțele judecătorești, similar întâlnirilor trimestriale în care sunt dezbătute problemele de drept care generează practică neunitară.</w:t>
      </w:r>
    </w:p>
    <w:p w14:paraId="4A75C3FC" w14:textId="7777777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În urma acestei întâlniri, au fost comunicate public concluziile prin intermediul unui comunicat de presă publicat pe site-ul Consiliului.</w:t>
      </w:r>
    </w:p>
    <w:p w14:paraId="22EC7B48" w14:textId="77777777"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sz w:val="26"/>
          <w:szCs w:val="26"/>
        </w:rPr>
        <w:t xml:space="preserve">Ulterior, continuând demersurile necesare susținerii angajamentului de colaborare între profesii, în cursul lunii decembrie 2023, Secția pentru judecători a Consiliului Superior al Magistraturii a dispus în unanimitate modificarea </w:t>
      </w:r>
      <w:r w:rsidRPr="00261D6B">
        <w:rPr>
          <w:rFonts w:asciiTheme="minorHAnsi" w:hAnsiTheme="minorHAnsi" w:cstheme="minorHAnsi"/>
          <w:bCs/>
          <w:sz w:val="26"/>
          <w:szCs w:val="26"/>
        </w:rPr>
        <w:t>Hotărârii nr. 148/2015, modificată și completată prin Hotărârea Secției pentru judecători nr. 725/2015, având ca obiect aprobarea procedurii întâlnirilor trimestriale în care sunt dezbătute problemele de drept care generează practică neunitară și metodologia de organizare și desfășurare a întâlnirilor președinților de secții din cadrul curților de apel.</w:t>
      </w:r>
    </w:p>
    <w:p w14:paraId="65423FBD" w14:textId="77777777"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bCs/>
          <w:sz w:val="26"/>
          <w:szCs w:val="26"/>
        </w:rPr>
        <w:t>Ca urmare a modificării hotărârii Secției pentru judecători nr. 148/2015, a fost inclusă o secțiune destinată dezbaterii problemelor de practică administrativă/ judiciară identificate de avocați pe parcursul desfășurării procedurilor judiciare. În acest sens, curțile de apel vor consulta toate barourilor din circumscripția instanței, în vederea transmiterii principalelor probleme de practică administrativă/judiciară întâmpinate în cadrul procedurilor judiciare.</w:t>
      </w:r>
    </w:p>
    <w:p w14:paraId="3994138C" w14:textId="77777777" w:rsidR="00972729" w:rsidRPr="00261D6B" w:rsidRDefault="00972729" w:rsidP="00972729">
      <w:pPr>
        <w:ind w:firstLine="720"/>
        <w:jc w:val="both"/>
        <w:rPr>
          <w:rFonts w:asciiTheme="minorHAnsi" w:hAnsiTheme="minorHAnsi" w:cstheme="minorHAnsi"/>
          <w:bCs/>
          <w:sz w:val="26"/>
          <w:szCs w:val="26"/>
        </w:rPr>
      </w:pPr>
      <w:r w:rsidRPr="00261D6B">
        <w:rPr>
          <w:rFonts w:asciiTheme="minorHAnsi" w:hAnsiTheme="minorHAnsi" w:cstheme="minorHAnsi"/>
          <w:bCs/>
          <w:sz w:val="26"/>
          <w:szCs w:val="26"/>
        </w:rPr>
        <w:t>Soluțiile adoptate în ședințele de practică neunitară se consemnează într-o minută, care se va comunica barourilor din circumscripția curții de apel și se va publica pe intranetul instanței și în secțiunea din EMAP dedicată unificării practicii, astfel încât corpul profesional al avocaților să cunoască soluțiile de practică neunitară adoptate la nivelul curților de apel.</w:t>
      </w:r>
    </w:p>
    <w:p w14:paraId="2DE08E79" w14:textId="77777777" w:rsidR="00972729" w:rsidRPr="00261D6B" w:rsidRDefault="00972729" w:rsidP="007556D5">
      <w:pPr>
        <w:pStyle w:val="Heading2"/>
        <w:keepLines w:val="0"/>
        <w:spacing w:line="240" w:lineRule="auto"/>
        <w:jc w:val="both"/>
        <w:rPr>
          <w:rFonts w:cstheme="minorHAnsi"/>
          <w:color w:val="auto"/>
          <w:lang w:val="ro-RO"/>
        </w:rPr>
      </w:pPr>
      <w:bookmarkStart w:id="70" w:name="_Toc155267881"/>
      <w:r w:rsidRPr="00261D6B">
        <w:rPr>
          <w:rFonts w:cstheme="minorHAnsi"/>
          <w:color w:val="auto"/>
          <w:lang w:val="ro-RO"/>
        </w:rPr>
        <w:t>Educație juridică</w:t>
      </w:r>
      <w:bookmarkEnd w:id="70"/>
    </w:p>
    <w:p w14:paraId="4A5EEFA0" w14:textId="7777777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În anul 2023 a continuat linia demersurilor necesare implementării Protocolului încheiat în anul anterior între Consiliul Superior al Magistraturii, Ministerul Justiției, Ministerul Educație, Înalta Curte de Casație și Justiție, Parchetul de pe lângă Înalta Curte de Casație și Justiție și Uniunea Națională a Barourilor din România.</w:t>
      </w:r>
    </w:p>
    <w:p w14:paraId="3AF99244" w14:textId="661CB505" w:rsidR="00972729" w:rsidRPr="00261D6B" w:rsidRDefault="00BB65E5" w:rsidP="00BB65E5">
      <w:pPr>
        <w:shd w:val="clear" w:color="auto" w:fill="FFFFFF"/>
        <w:ind w:firstLine="720"/>
        <w:jc w:val="both"/>
        <w:rPr>
          <w:rFonts w:asciiTheme="minorHAnsi" w:hAnsiTheme="minorHAnsi" w:cstheme="minorHAnsi"/>
          <w:color w:val="050505"/>
          <w:sz w:val="26"/>
          <w:szCs w:val="26"/>
          <w:lang w:eastAsia="en-GB"/>
        </w:rPr>
      </w:pPr>
      <w:r w:rsidRPr="00261D6B">
        <w:rPr>
          <w:rFonts w:asciiTheme="minorHAnsi" w:hAnsiTheme="minorHAnsi" w:cstheme="minorHAnsi"/>
          <w:color w:val="050505"/>
          <w:sz w:val="26"/>
          <w:szCs w:val="26"/>
          <w:lang w:eastAsia="en-GB"/>
        </w:rPr>
        <w:t xml:space="preserve">Prin </w:t>
      </w:r>
      <w:r w:rsidR="00F42DC0" w:rsidRPr="00261D6B">
        <w:rPr>
          <w:rFonts w:asciiTheme="minorHAnsi" w:hAnsiTheme="minorHAnsi" w:cstheme="minorHAnsi"/>
          <w:color w:val="050505"/>
          <w:sz w:val="26"/>
          <w:szCs w:val="26"/>
          <w:lang w:eastAsia="en-GB"/>
        </w:rPr>
        <w:t>H</w:t>
      </w:r>
      <w:r w:rsidRPr="00261D6B">
        <w:rPr>
          <w:rFonts w:asciiTheme="minorHAnsi" w:hAnsiTheme="minorHAnsi" w:cstheme="minorHAnsi"/>
          <w:color w:val="050505"/>
          <w:sz w:val="26"/>
          <w:szCs w:val="26"/>
          <w:lang w:eastAsia="en-GB"/>
        </w:rPr>
        <w:t>otărârea Secției pentru judecători nr. 1726/15.06.2023 a</w:t>
      </w:r>
      <w:r w:rsidR="00972729" w:rsidRPr="00261D6B">
        <w:rPr>
          <w:rFonts w:asciiTheme="minorHAnsi" w:hAnsiTheme="minorHAnsi" w:cstheme="minorHAnsi"/>
          <w:color w:val="050505"/>
          <w:sz w:val="26"/>
          <w:szCs w:val="26"/>
          <w:lang w:eastAsia="en-GB"/>
        </w:rPr>
        <w:t>u fost desemnați 276 de judecători</w:t>
      </w:r>
      <w:r w:rsidRPr="00261D6B">
        <w:rPr>
          <w:rFonts w:asciiTheme="minorHAnsi" w:hAnsiTheme="minorHAnsi" w:cstheme="minorHAnsi"/>
          <w:color w:val="050505"/>
          <w:sz w:val="26"/>
          <w:szCs w:val="26"/>
          <w:lang w:eastAsia="en-GB"/>
        </w:rPr>
        <w:t xml:space="preserve">, 78 de grefieri, experți juriști și asistenți judiciari, precum și 16 magistrați asistenți din cadrul instanței supreme, iar prin </w:t>
      </w:r>
      <w:r w:rsidR="00F42DC0" w:rsidRPr="00261D6B">
        <w:rPr>
          <w:rFonts w:asciiTheme="minorHAnsi" w:hAnsiTheme="minorHAnsi" w:cstheme="minorHAnsi"/>
          <w:color w:val="050505"/>
          <w:sz w:val="26"/>
          <w:szCs w:val="26"/>
          <w:lang w:eastAsia="en-GB"/>
        </w:rPr>
        <w:t>H</w:t>
      </w:r>
      <w:r w:rsidRPr="00261D6B">
        <w:rPr>
          <w:rFonts w:asciiTheme="minorHAnsi" w:hAnsiTheme="minorHAnsi" w:cstheme="minorHAnsi"/>
          <w:color w:val="050505"/>
          <w:sz w:val="26"/>
          <w:szCs w:val="26"/>
          <w:lang w:eastAsia="en-GB"/>
        </w:rPr>
        <w:t>otărârea Secției pentru procur</w:t>
      </w:r>
      <w:r w:rsidR="00F42DC0" w:rsidRPr="00261D6B">
        <w:rPr>
          <w:rFonts w:asciiTheme="minorHAnsi" w:hAnsiTheme="minorHAnsi" w:cstheme="minorHAnsi"/>
          <w:color w:val="050505"/>
          <w:sz w:val="26"/>
          <w:szCs w:val="26"/>
          <w:lang w:eastAsia="en-GB"/>
        </w:rPr>
        <w:t>or</w:t>
      </w:r>
      <w:r w:rsidRPr="00261D6B">
        <w:rPr>
          <w:rFonts w:asciiTheme="minorHAnsi" w:hAnsiTheme="minorHAnsi" w:cstheme="minorHAnsi"/>
          <w:color w:val="050505"/>
          <w:sz w:val="26"/>
          <w:szCs w:val="26"/>
          <w:lang w:eastAsia="en-GB"/>
        </w:rPr>
        <w:t xml:space="preserve">i nr. 887/22.06.2023 au fost desemnați 58 de procurori </w:t>
      </w:r>
      <w:r w:rsidR="00972729" w:rsidRPr="00261D6B">
        <w:rPr>
          <w:rFonts w:asciiTheme="minorHAnsi" w:hAnsiTheme="minorHAnsi" w:cstheme="minorHAnsi"/>
          <w:color w:val="050505"/>
          <w:sz w:val="26"/>
          <w:szCs w:val="26"/>
          <w:lang w:eastAsia="en-GB"/>
        </w:rPr>
        <w:t>să participe la promovarea educației juridice în rândul elevilor, studenților și cadrelor didactice din învățământul primar, liceal și universitar din Rom</w:t>
      </w:r>
      <w:r w:rsidR="00916559" w:rsidRPr="00261D6B">
        <w:rPr>
          <w:rFonts w:asciiTheme="minorHAnsi" w:hAnsiTheme="minorHAnsi" w:cstheme="minorHAnsi"/>
          <w:color w:val="050505"/>
          <w:sz w:val="26"/>
          <w:szCs w:val="26"/>
          <w:lang w:eastAsia="en-GB"/>
        </w:rPr>
        <w:t>â</w:t>
      </w:r>
      <w:r w:rsidR="00972729" w:rsidRPr="00261D6B">
        <w:rPr>
          <w:rFonts w:asciiTheme="minorHAnsi" w:hAnsiTheme="minorHAnsi" w:cstheme="minorHAnsi"/>
          <w:color w:val="050505"/>
          <w:sz w:val="26"/>
          <w:szCs w:val="26"/>
          <w:lang w:eastAsia="en-GB"/>
        </w:rPr>
        <w:t>nia</w:t>
      </w:r>
      <w:r w:rsidR="00F42DC0" w:rsidRPr="00261D6B">
        <w:rPr>
          <w:rFonts w:asciiTheme="minorHAnsi" w:hAnsiTheme="minorHAnsi" w:cstheme="minorHAnsi"/>
          <w:color w:val="050505"/>
          <w:sz w:val="26"/>
          <w:szCs w:val="26"/>
          <w:lang w:eastAsia="en-GB"/>
        </w:rPr>
        <w:t>,</w:t>
      </w:r>
      <w:r w:rsidR="00972729" w:rsidRPr="00261D6B">
        <w:rPr>
          <w:rFonts w:asciiTheme="minorHAnsi" w:hAnsiTheme="minorHAnsi" w:cstheme="minorHAnsi"/>
          <w:color w:val="050505"/>
          <w:sz w:val="26"/>
          <w:szCs w:val="26"/>
          <w:lang w:eastAsia="en-GB"/>
        </w:rPr>
        <w:t xml:space="preserve"> în scopul creșterii gradului de informare cu privire la modalitățile de apărare a drepturilor și de respectare a obligațiilor ce le revin cetățenilor și, corelativ, întărirea capacității acestora de a identifica situațiile în care drepturile le sunt încălcate, precum și de a utiliza mecanismele relevante de protecție a acestor drepturi. </w:t>
      </w:r>
    </w:p>
    <w:p w14:paraId="136D13F2" w14:textId="77777777" w:rsidR="00972729" w:rsidRPr="00261D6B" w:rsidRDefault="00972729" w:rsidP="00972729">
      <w:pPr>
        <w:shd w:val="clear" w:color="auto" w:fill="FFFFFF"/>
        <w:ind w:firstLine="720"/>
        <w:jc w:val="both"/>
        <w:rPr>
          <w:rFonts w:asciiTheme="minorHAnsi" w:hAnsiTheme="minorHAnsi" w:cstheme="minorHAnsi"/>
          <w:color w:val="050505"/>
          <w:sz w:val="26"/>
          <w:szCs w:val="26"/>
          <w:lang w:eastAsia="en-GB"/>
        </w:rPr>
      </w:pPr>
      <w:r w:rsidRPr="00261D6B">
        <w:rPr>
          <w:rFonts w:asciiTheme="minorHAnsi" w:hAnsiTheme="minorHAnsi" w:cstheme="minorHAnsi"/>
          <w:color w:val="050505"/>
          <w:sz w:val="26"/>
          <w:szCs w:val="26"/>
          <w:lang w:eastAsia="en-GB"/>
        </w:rPr>
        <w:t>Activitățile de educație juridică în unitățile de învățământ preuniversitar și în mediul universitar au vizat, printre altele, dreptul constituțional, organizarea și funcționarea sistemului judiciar, elemente de bază ale dreptului civil și penal, formele răspunderii juridice sau aspecte referitoare la prevenirea și combaterea corupției.</w:t>
      </w:r>
    </w:p>
    <w:p w14:paraId="5AA2EB34" w14:textId="77777777" w:rsidR="00972729" w:rsidRPr="00261D6B" w:rsidRDefault="00972729" w:rsidP="00972729">
      <w:pPr>
        <w:shd w:val="clear" w:color="auto" w:fill="FFFFFF"/>
        <w:ind w:firstLine="720"/>
        <w:jc w:val="both"/>
        <w:rPr>
          <w:rFonts w:asciiTheme="minorHAnsi" w:hAnsiTheme="minorHAnsi" w:cstheme="minorHAnsi"/>
          <w:color w:val="050505"/>
          <w:sz w:val="26"/>
          <w:szCs w:val="26"/>
          <w:lang w:eastAsia="en-GB"/>
        </w:rPr>
      </w:pPr>
      <w:r w:rsidRPr="00261D6B">
        <w:rPr>
          <w:rFonts w:asciiTheme="minorHAnsi" w:hAnsiTheme="minorHAnsi" w:cstheme="minorHAnsi"/>
          <w:color w:val="050505"/>
          <w:sz w:val="26"/>
          <w:szCs w:val="26"/>
          <w:lang w:eastAsia="en-GB"/>
        </w:rPr>
        <w:t xml:space="preserve">În concret, acestea au constat în realizarea de materiale informative cu specific juridic de interes pentru profesori, elevi, liceeni și studenți, inclusiv din perspectiva elaborării programelor și manualelor de educație juridică, distribuirea acestor materiale informative prin intermediul </w:t>
      </w:r>
      <w:r w:rsidRPr="00261D6B">
        <w:rPr>
          <w:rFonts w:asciiTheme="minorHAnsi" w:hAnsiTheme="minorHAnsi" w:cstheme="minorHAnsi"/>
          <w:color w:val="050505"/>
          <w:sz w:val="26"/>
          <w:szCs w:val="26"/>
          <w:lang w:eastAsia="en-GB"/>
        </w:rPr>
        <w:lastRenderedPageBreak/>
        <w:t>paginilor de internet ale instituțiilor publice implicate în proiect, expuneri ale judecătorilor, procurorilor, ale specialiștilor din cadrul Ministerului Justiției și ale celorlalți practicieni ai dreptului, în unitățile de învățământ preuniversitar și mediul universitar, pe diferite teme de interes, vizite ale elevilor și studenților la instanțele judecătorești, parchete, la Ministerul Justiției sau la alte autorități sau instituții publice cu relevanță pentru domeniul justiției și organizarea de evenimente dedicate educației juridice.</w:t>
      </w:r>
    </w:p>
    <w:p w14:paraId="72B5F66F" w14:textId="74B6ADB1" w:rsidR="00972729" w:rsidRPr="00261D6B" w:rsidRDefault="00972729" w:rsidP="00972729">
      <w:pPr>
        <w:shd w:val="clear" w:color="auto" w:fill="FFFFFF"/>
        <w:ind w:firstLine="720"/>
        <w:jc w:val="both"/>
        <w:rPr>
          <w:rFonts w:asciiTheme="minorHAnsi" w:hAnsiTheme="minorHAnsi" w:cstheme="minorHAnsi"/>
          <w:color w:val="050505"/>
          <w:sz w:val="26"/>
          <w:szCs w:val="26"/>
          <w:lang w:eastAsia="en-GB"/>
        </w:rPr>
      </w:pPr>
      <w:r w:rsidRPr="00261D6B">
        <w:rPr>
          <w:rFonts w:asciiTheme="minorHAnsi" w:hAnsiTheme="minorHAnsi" w:cstheme="minorHAnsi"/>
          <w:color w:val="050505"/>
          <w:sz w:val="26"/>
          <w:szCs w:val="26"/>
          <w:lang w:eastAsia="en-GB"/>
        </w:rPr>
        <w:t>Consiliul Superior al Magistraturii a promovat, totodată, activitățile de educație juridică prin intermediul paginii proprii din social media, acestea fiind intens mediatizate ulterior în mass-media.</w:t>
      </w:r>
    </w:p>
    <w:p w14:paraId="4B3C5A7F" w14:textId="04A1B44B" w:rsidR="00972729" w:rsidRPr="00261D6B" w:rsidRDefault="00972729" w:rsidP="007556D5">
      <w:pPr>
        <w:pStyle w:val="Heading2"/>
        <w:keepLines w:val="0"/>
        <w:spacing w:line="240" w:lineRule="auto"/>
        <w:jc w:val="both"/>
        <w:rPr>
          <w:rFonts w:cstheme="minorHAnsi"/>
          <w:color w:val="auto"/>
          <w:lang w:val="ro-RO"/>
        </w:rPr>
      </w:pPr>
      <w:bookmarkStart w:id="71" w:name="_Toc155267882"/>
      <w:r w:rsidRPr="00261D6B">
        <w:rPr>
          <w:rFonts w:cstheme="minorHAnsi"/>
          <w:color w:val="auto"/>
          <w:lang w:val="ro-RO"/>
        </w:rPr>
        <w:t>Activitatea membrilor aleși</w:t>
      </w:r>
      <w:r w:rsidR="006F2B1B" w:rsidRPr="00261D6B">
        <w:rPr>
          <w:rFonts w:cstheme="minorHAnsi"/>
          <w:color w:val="auto"/>
          <w:lang w:val="ro-RO"/>
        </w:rPr>
        <w:t>, reprezentanți</w:t>
      </w:r>
      <w:r w:rsidRPr="00261D6B">
        <w:rPr>
          <w:rFonts w:cstheme="minorHAnsi"/>
          <w:color w:val="auto"/>
          <w:lang w:val="ro-RO"/>
        </w:rPr>
        <w:t xml:space="preserve"> ai societății civile</w:t>
      </w:r>
      <w:bookmarkEnd w:id="71"/>
    </w:p>
    <w:p w14:paraId="7B34EAA2" w14:textId="7777777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 xml:space="preserve">Membrii aleși ai Consiliului Superior al Magistraturii, reprezentanți ai societății civile, potrivit art. 56 alin. 8 lit. b din Legea nr. 305/2022 privind Consiliul Superior al Magistraturii, au ca îndatorire specifică consultarea organizațiilor civile cu privire la propunerile și sugestiile acestora privind demersurile necesare la nivelul Consiliului pentru îmbunătățirea activității instituțiilor judiciare ca serviciu public aflat în slujba societății, întocmind în acest sens un raport trimestrial de analiză și sinteză a propunerilor, pe care îl transmit plenului sau secțiilor, după caz, pentru analiză și decizie. </w:t>
      </w:r>
    </w:p>
    <w:p w14:paraId="381A3101" w14:textId="7777777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 xml:space="preserve">Aceste atribuții ale membrilor aleși, reprezentanți ai societății civile, au menirea de a realiza o legătură reală cu societatea civilă, dar și de a asigura transparentizarea publică către societate a tuturor activităților și acțiunilor Consiliului Superior al Magistraturii având drept obiectiv eficientizarea și îmbunătățirea activității sistemului judiciar, în ansamblu. </w:t>
      </w:r>
    </w:p>
    <w:p w14:paraId="5FD6B96B" w14:textId="7777777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Întocmirea și prezentarea rapoartelor prevăzute prin actul normativ enunțat prezintă importanță din perspectiva reflectării transparenței publice în procesul decizional și reprezintă o intermediere funcțională între corpul magistraților și societate, contribuind prin aceasta la consolidarea încrederii societății în justiție, dar și la realizarea unui control civic, public și transparent al justiției în societatea contemporană.</w:t>
      </w:r>
    </w:p>
    <w:p w14:paraId="4B9437B4" w14:textId="7E4762D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În temeiul acestor prerogative, și în anul 2023, membrii aleși, reprezentanți ai societății civile, și-au îndeplinit prerogativele conferite de lege, fiind întocmite rapoarte trimestriale referitoare la consultarea organizațiilor societăților civile cu privire la propunerile și sugestiile acestora privind demersurile necesare la nivelul Consiliului Superior al Magistraturii pentru îmbunătățirea activității instituțiilor judiciare ca serviciu public aflat în slujba societății.</w:t>
      </w:r>
    </w:p>
    <w:p w14:paraId="1029DB92" w14:textId="77777777" w:rsidR="00972729" w:rsidRPr="00261D6B"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Rapoarte trimestriale au analizat activitatea efectivă a membrilor aleși, reprezentanți ai societății civile, cu referire la întâlnirile de lucru derulate și agenda acestora, numărul de petiții primite din partea cetățenilor și obiectul acestora, proiectele de hotărâri puse în dezbatere publică, precum și mesajele publice transmise cu ocazia diferitelor evenimente de interes, apreciindu-se că în perioadele de referință vizate de rapoarte la nivelul Consiliului Superior al Magistraturii s-a realizat o informare publică constantă și transparentă cu privire la lucrările desfășurate la nivelul instituției.</w:t>
      </w:r>
    </w:p>
    <w:p w14:paraId="30D92816" w14:textId="77777777" w:rsidR="00972729" w:rsidRPr="00972729" w:rsidRDefault="00972729" w:rsidP="00972729">
      <w:pPr>
        <w:jc w:val="both"/>
        <w:rPr>
          <w:rFonts w:asciiTheme="minorHAnsi" w:hAnsiTheme="minorHAnsi" w:cstheme="minorHAnsi"/>
          <w:sz w:val="26"/>
          <w:szCs w:val="26"/>
        </w:rPr>
      </w:pPr>
      <w:r w:rsidRPr="00261D6B">
        <w:rPr>
          <w:rFonts w:asciiTheme="minorHAnsi" w:hAnsiTheme="minorHAnsi" w:cstheme="minorHAnsi"/>
          <w:sz w:val="26"/>
          <w:szCs w:val="26"/>
        </w:rPr>
        <w:tab/>
        <w:t>Astfel, se poate concluziona că membrii aleși ai Consiliului Superior al Magistraturii, reprezentanți ai societății civile, au contribuit, prin prisma rolului deținut, la promovarea valorilor democrației, încurajarea implicării sociale a cetățenilor în procesele de dezvoltare, libertatea de exprimare a acestora, societatea civilă fiind un instrument indispensabil pentru realizarea unui stat de drept.</w:t>
      </w:r>
      <w:r w:rsidRPr="00972729">
        <w:rPr>
          <w:rFonts w:asciiTheme="minorHAnsi" w:hAnsiTheme="minorHAnsi" w:cstheme="minorHAnsi"/>
          <w:sz w:val="26"/>
          <w:szCs w:val="26"/>
        </w:rPr>
        <w:t xml:space="preserve"> </w:t>
      </w:r>
    </w:p>
    <w:p w14:paraId="59F707E9" w14:textId="577679CE" w:rsidR="00972729" w:rsidRPr="00564DC7" w:rsidRDefault="00972729" w:rsidP="00690186">
      <w:pPr>
        <w:tabs>
          <w:tab w:val="left" w:pos="5475"/>
        </w:tabs>
        <w:ind w:firstLine="709"/>
        <w:jc w:val="both"/>
        <w:rPr>
          <w:rFonts w:asciiTheme="minorHAnsi" w:hAnsiTheme="minorHAnsi" w:cstheme="minorHAnsi"/>
          <w:sz w:val="26"/>
          <w:szCs w:val="26"/>
        </w:rPr>
        <w:sectPr w:rsidR="00972729" w:rsidRPr="00564DC7" w:rsidSect="00A3761E">
          <w:footerReference w:type="default" r:id="rId15"/>
          <w:pgSz w:w="11906" w:h="16838" w:code="9"/>
          <w:pgMar w:top="567" w:right="851" w:bottom="567" w:left="851" w:header="567" w:footer="284" w:gutter="0"/>
          <w:pgNumType w:start="1"/>
          <w:cols w:space="708"/>
          <w:docGrid w:linePitch="381"/>
        </w:sectPr>
      </w:pPr>
    </w:p>
    <w:p w14:paraId="411A5777" w14:textId="0D679ABD" w:rsidR="00683ACD" w:rsidRPr="00564DC7" w:rsidRDefault="00683ACD" w:rsidP="00690186">
      <w:pPr>
        <w:tabs>
          <w:tab w:val="left" w:pos="5475"/>
        </w:tabs>
        <w:ind w:firstLine="709"/>
        <w:jc w:val="both"/>
        <w:rPr>
          <w:rFonts w:asciiTheme="minorHAnsi" w:hAnsiTheme="minorHAnsi" w:cstheme="minorHAnsi"/>
          <w:sz w:val="26"/>
          <w:szCs w:val="26"/>
        </w:rPr>
      </w:pPr>
    </w:p>
    <w:p w14:paraId="6D64C35C" w14:textId="77777777" w:rsidR="002E1B4C" w:rsidRPr="00564DC7" w:rsidRDefault="006C1588" w:rsidP="00690186">
      <w:pPr>
        <w:pStyle w:val="Heading1"/>
        <w:keepNext w:val="0"/>
        <w:keepLines w:val="0"/>
        <w:suppressLineNumbers/>
        <w:suppressAutoHyphens/>
        <w:spacing w:line="240" w:lineRule="auto"/>
        <w:ind w:firstLine="0"/>
        <w:rPr>
          <w:rFonts w:cstheme="minorHAnsi"/>
          <w:color w:val="auto"/>
        </w:rPr>
      </w:pPr>
      <w:bookmarkStart w:id="72" w:name="_Toc155267883"/>
      <w:r w:rsidRPr="00564DC7">
        <w:rPr>
          <w:rFonts w:cstheme="minorHAnsi"/>
          <w:color w:val="auto"/>
        </w:rPr>
        <w:t>CAPITOLUL II</w:t>
      </w:r>
      <w:bookmarkEnd w:id="72"/>
    </w:p>
    <w:p w14:paraId="274FC3EC" w14:textId="2B4767C5" w:rsidR="006C1588" w:rsidRPr="00564DC7" w:rsidRDefault="006C1588" w:rsidP="00690186">
      <w:pPr>
        <w:pStyle w:val="Heading1"/>
        <w:keepNext w:val="0"/>
        <w:keepLines w:val="0"/>
        <w:suppressLineNumbers/>
        <w:suppressAutoHyphens/>
        <w:spacing w:line="240" w:lineRule="auto"/>
        <w:ind w:firstLine="0"/>
        <w:rPr>
          <w:rFonts w:cstheme="minorHAnsi"/>
          <w:color w:val="auto"/>
        </w:rPr>
      </w:pPr>
      <w:bookmarkStart w:id="73" w:name="_Toc155267884"/>
      <w:r w:rsidRPr="00564DC7">
        <w:rPr>
          <w:rFonts w:cstheme="minorHAnsi"/>
          <w:color w:val="auto"/>
        </w:rPr>
        <w:t>Activităţi derulate în legătură cu atribuţiile administrativ</w:t>
      </w:r>
      <w:bookmarkEnd w:id="62"/>
      <w:bookmarkEnd w:id="63"/>
      <w:r w:rsidRPr="00564DC7">
        <w:rPr>
          <w:rFonts w:cstheme="minorHAnsi"/>
          <w:color w:val="auto"/>
        </w:rPr>
        <w:t>e ale Consiliului Superior al Magistraturii</w:t>
      </w:r>
      <w:bookmarkStart w:id="74" w:name="_Toc375653691"/>
      <w:bookmarkStart w:id="75" w:name="_Toc430867113"/>
      <w:bookmarkEnd w:id="73"/>
    </w:p>
    <w:p w14:paraId="28B6156D" w14:textId="77777777" w:rsidR="00B11022" w:rsidRPr="00564DC7" w:rsidRDefault="00B11022" w:rsidP="00690186">
      <w:pPr>
        <w:rPr>
          <w:rFonts w:asciiTheme="minorHAnsi" w:hAnsiTheme="minorHAnsi" w:cstheme="minorHAnsi"/>
        </w:rPr>
      </w:pPr>
    </w:p>
    <w:p w14:paraId="749384F8" w14:textId="77777777" w:rsidR="00CB3F9B" w:rsidRPr="00564DC7" w:rsidRDefault="00CB3F9B" w:rsidP="00690186">
      <w:pPr>
        <w:pStyle w:val="Heading2"/>
        <w:keepLines w:val="0"/>
        <w:spacing w:line="240" w:lineRule="auto"/>
        <w:rPr>
          <w:rFonts w:cstheme="minorHAnsi"/>
          <w:color w:val="auto"/>
          <w:lang w:val="ro-RO"/>
        </w:rPr>
      </w:pPr>
      <w:bookmarkStart w:id="76" w:name="_Toc155267885"/>
      <w:bookmarkStart w:id="77" w:name="_Toc375653692"/>
      <w:bookmarkStart w:id="78" w:name="_Toc430867114"/>
      <w:bookmarkEnd w:id="74"/>
      <w:bookmarkEnd w:id="75"/>
      <w:r w:rsidRPr="00564DC7">
        <w:rPr>
          <w:rFonts w:cstheme="minorHAnsi"/>
          <w:color w:val="auto"/>
          <w:lang w:val="ro-RO"/>
        </w:rPr>
        <w:t>II.1. Gestionarea carierei profesionale a judecătorilor și procurorilor</w:t>
      </w:r>
      <w:bookmarkEnd w:id="76"/>
      <w:r w:rsidRPr="00564DC7">
        <w:rPr>
          <w:rFonts w:cstheme="minorHAnsi"/>
          <w:color w:val="auto"/>
          <w:lang w:val="ro-RO"/>
        </w:rPr>
        <w:t xml:space="preserve"> </w:t>
      </w:r>
    </w:p>
    <w:p w14:paraId="67D73F22" w14:textId="77777777" w:rsidR="00C41C70" w:rsidRPr="00564DC7" w:rsidRDefault="00C41C70" w:rsidP="00690186">
      <w:pPr>
        <w:keepNext/>
        <w:keepLines/>
        <w:ind w:right="45" w:firstLine="709"/>
        <w:jc w:val="both"/>
        <w:rPr>
          <w:rFonts w:asciiTheme="minorHAnsi" w:hAnsiTheme="minorHAnsi" w:cstheme="minorHAnsi"/>
          <w:sz w:val="26"/>
          <w:szCs w:val="26"/>
        </w:rPr>
      </w:pPr>
      <w:r w:rsidRPr="00564DC7">
        <w:rPr>
          <w:rFonts w:asciiTheme="minorHAnsi" w:hAnsiTheme="minorHAnsi" w:cstheme="minorHAnsi"/>
          <w:sz w:val="26"/>
          <w:szCs w:val="26"/>
        </w:rPr>
        <w:t>Asigurarea necesarului de resurse umane pentru buna desfăşurare a activităţii la nivelul instanţelor şi parchetelor a reprezentat, şi la nivelul anului 2023, principalul obiectiv al Consiliului Superior al Magistraturii. Ocuparea posturilor vacante de judecător şi procuror s-a realizat potrivit prevederilor legale, astfel cum rezultă din datele ce vor fi prezentate mai jos.</w:t>
      </w:r>
    </w:p>
    <w:p w14:paraId="479DE29A" w14:textId="063FDEF1" w:rsidR="00C41C70" w:rsidRPr="00564DC7" w:rsidRDefault="00C41C70" w:rsidP="00690186">
      <w:pPr>
        <w:pStyle w:val="AddParagraf"/>
        <w:spacing w:after="0"/>
        <w:ind w:right="0"/>
        <w:rPr>
          <w:rFonts w:asciiTheme="minorHAnsi" w:hAnsiTheme="minorHAnsi" w:cstheme="minorHAnsi"/>
          <w:sz w:val="26"/>
          <w:szCs w:val="26"/>
        </w:rPr>
      </w:pPr>
      <w:r w:rsidRPr="00564DC7">
        <w:rPr>
          <w:rFonts w:asciiTheme="minorHAnsi" w:hAnsiTheme="minorHAnsi" w:cstheme="minorHAnsi"/>
          <w:sz w:val="26"/>
          <w:szCs w:val="26"/>
        </w:rPr>
        <w:t>În perioada ianuarie-</w:t>
      </w:r>
      <w:r w:rsidR="0012437C">
        <w:rPr>
          <w:rFonts w:asciiTheme="minorHAnsi" w:hAnsiTheme="minorHAnsi" w:cstheme="minorHAnsi"/>
          <w:sz w:val="26"/>
          <w:szCs w:val="26"/>
        </w:rPr>
        <w:t>decembrie</w:t>
      </w:r>
      <w:r w:rsidR="00827657" w:rsidRPr="00564DC7">
        <w:rPr>
          <w:rFonts w:asciiTheme="minorHAnsi" w:hAnsiTheme="minorHAnsi" w:cstheme="minorHAnsi"/>
          <w:sz w:val="26"/>
          <w:szCs w:val="26"/>
        </w:rPr>
        <w:t xml:space="preserve"> </w:t>
      </w:r>
      <w:r w:rsidRPr="00564DC7">
        <w:rPr>
          <w:rFonts w:asciiTheme="minorHAnsi" w:hAnsiTheme="minorHAnsi" w:cstheme="minorHAnsi"/>
          <w:sz w:val="26"/>
          <w:szCs w:val="26"/>
        </w:rPr>
        <w:t>2023, la fel ca în anii precedenţi, principalul obiectiv al Consiliului Superior al Magistraturii, legat de activitatea administrativă derulată de acesta, l-a constituit asigurarea necesarului de resurse umane pentru buna desfăşurare a activităţii la nivelul instanţelor şi parchetelor.</w:t>
      </w:r>
    </w:p>
    <w:p w14:paraId="5A611381" w14:textId="0F0B1354" w:rsidR="00CB3F9B" w:rsidRPr="00564DC7" w:rsidRDefault="00C41C70" w:rsidP="00690186">
      <w:pPr>
        <w:keepNext/>
        <w:keepLines/>
        <w:ind w:right="45" w:firstLine="709"/>
        <w:jc w:val="both"/>
        <w:rPr>
          <w:rFonts w:asciiTheme="minorHAnsi" w:hAnsiTheme="minorHAnsi" w:cstheme="minorHAnsi"/>
          <w:sz w:val="26"/>
          <w:szCs w:val="26"/>
        </w:rPr>
      </w:pPr>
      <w:r w:rsidRPr="00564DC7">
        <w:rPr>
          <w:rFonts w:asciiTheme="minorHAnsi" w:hAnsiTheme="minorHAnsi" w:cstheme="minorHAnsi"/>
          <w:sz w:val="26"/>
          <w:szCs w:val="26"/>
        </w:rPr>
        <w:t>În acest context, ocuparea posturilor vacante de judecător şi procuror s-a realizat prin toate modalităţile prevăzute de lege, astfel cum rezultă din datele ce vor fi prezentate mai jos.</w:t>
      </w:r>
    </w:p>
    <w:p w14:paraId="59362DFA" w14:textId="77777777" w:rsidR="00CB3F9B" w:rsidRPr="00564DC7" w:rsidRDefault="00CB3F9B">
      <w:pPr>
        <w:pStyle w:val="ListParagraph"/>
        <w:numPr>
          <w:ilvl w:val="0"/>
          <w:numId w:val="17"/>
        </w:numPr>
        <w:ind w:right="48"/>
        <w:rPr>
          <w:rFonts w:asciiTheme="minorHAnsi" w:hAnsiTheme="minorHAnsi" w:cstheme="minorHAnsi"/>
          <w:b/>
          <w:sz w:val="26"/>
          <w:szCs w:val="26"/>
        </w:rPr>
      </w:pPr>
      <w:r w:rsidRPr="00564DC7">
        <w:rPr>
          <w:rFonts w:asciiTheme="minorHAnsi" w:hAnsiTheme="minorHAnsi" w:cstheme="minorHAnsi"/>
          <w:b/>
          <w:sz w:val="26"/>
          <w:szCs w:val="26"/>
        </w:rPr>
        <w:t>Evoluţia gradului de ocupare a posturilor de judecător şi procuror</w:t>
      </w:r>
    </w:p>
    <w:p w14:paraId="0E8EC22A" w14:textId="3ED5A02A" w:rsidR="00CB3F9B" w:rsidRPr="00564DC7" w:rsidRDefault="00CB3F9B" w:rsidP="00690186">
      <w:pPr>
        <w:ind w:right="48" w:firstLine="709"/>
        <w:jc w:val="both"/>
        <w:rPr>
          <w:rFonts w:asciiTheme="minorHAnsi" w:hAnsiTheme="minorHAnsi" w:cstheme="minorHAnsi"/>
          <w:b/>
          <w:sz w:val="26"/>
          <w:szCs w:val="26"/>
        </w:rPr>
      </w:pPr>
      <w:r w:rsidRPr="00564DC7">
        <w:rPr>
          <w:rFonts w:asciiTheme="minorHAnsi" w:hAnsiTheme="minorHAnsi" w:cstheme="minorHAnsi"/>
          <w:b/>
          <w:sz w:val="26"/>
          <w:szCs w:val="26"/>
        </w:rPr>
        <w:t>Situaţia posturilor de judecător la începutul anului 202</w:t>
      </w:r>
      <w:r w:rsidR="00C41C70" w:rsidRPr="00564DC7">
        <w:rPr>
          <w:rFonts w:asciiTheme="minorHAnsi" w:hAnsiTheme="minorHAnsi" w:cstheme="minorHAnsi"/>
          <w:b/>
          <w:sz w:val="26"/>
          <w:szCs w:val="26"/>
        </w:rPr>
        <w:t>3</w:t>
      </w:r>
    </w:p>
    <w:p w14:paraId="37902888" w14:textId="2E828B0E" w:rsidR="00525863" w:rsidRPr="00564DC7" w:rsidRDefault="00525863"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La data de 31 decembrie 2022, din totalul de 5067 de posturi de judecător, erau ocupate 4074 posturi şi vacante 993 posturi, înregistrându-se un grad de ocupare de 80%. Cauza principală a gradului mare de posturi vacante a reprezentat-o insecuritatea legislativă</w:t>
      </w:r>
      <w:r w:rsidR="00295716">
        <w:rPr>
          <w:rFonts w:asciiTheme="minorHAnsi" w:hAnsiTheme="minorHAnsi" w:cstheme="minorHAnsi"/>
          <w:sz w:val="26"/>
          <w:szCs w:val="26"/>
        </w:rPr>
        <w:t xml:space="preserve"> </w:t>
      </w:r>
      <w:r w:rsidRPr="00564DC7">
        <w:rPr>
          <w:rFonts w:asciiTheme="minorHAnsi" w:hAnsiTheme="minorHAnsi" w:cstheme="minorHAnsi"/>
          <w:sz w:val="26"/>
          <w:szCs w:val="26"/>
        </w:rPr>
        <w:t xml:space="preserve">atât </w:t>
      </w:r>
      <w:r w:rsidR="00295716">
        <w:rPr>
          <w:rFonts w:asciiTheme="minorHAnsi" w:hAnsiTheme="minorHAnsi" w:cstheme="minorHAnsi"/>
          <w:sz w:val="26"/>
          <w:szCs w:val="26"/>
        </w:rPr>
        <w:t xml:space="preserve">în domeniul </w:t>
      </w:r>
      <w:r w:rsidRPr="00564DC7">
        <w:rPr>
          <w:rFonts w:asciiTheme="minorHAnsi" w:hAnsiTheme="minorHAnsi" w:cstheme="minorHAnsi"/>
          <w:sz w:val="26"/>
          <w:szCs w:val="26"/>
        </w:rPr>
        <w:t>pensiei de serviciu</w:t>
      </w:r>
      <w:r w:rsidR="00295716">
        <w:rPr>
          <w:rFonts w:asciiTheme="minorHAnsi" w:hAnsiTheme="minorHAnsi" w:cstheme="minorHAnsi"/>
          <w:sz w:val="26"/>
          <w:szCs w:val="26"/>
        </w:rPr>
        <w:t>,</w:t>
      </w:r>
      <w:r w:rsidRPr="00564DC7">
        <w:rPr>
          <w:rFonts w:asciiTheme="minorHAnsi" w:hAnsiTheme="minorHAnsi" w:cstheme="minorHAnsi"/>
          <w:sz w:val="26"/>
          <w:szCs w:val="26"/>
        </w:rPr>
        <w:t xml:space="preserve"> cât şi a salarizării judecătorilor şi p</w:t>
      </w:r>
      <w:r w:rsidR="00AD614C" w:rsidRPr="00564DC7">
        <w:rPr>
          <w:rFonts w:asciiTheme="minorHAnsi" w:hAnsiTheme="minorHAnsi" w:cstheme="minorHAnsi"/>
          <w:sz w:val="26"/>
          <w:szCs w:val="26"/>
        </w:rPr>
        <w:t>r</w:t>
      </w:r>
      <w:r w:rsidRPr="00564DC7">
        <w:rPr>
          <w:rFonts w:asciiTheme="minorHAnsi" w:hAnsiTheme="minorHAnsi" w:cstheme="minorHAnsi"/>
          <w:sz w:val="26"/>
          <w:szCs w:val="26"/>
        </w:rPr>
        <w:t xml:space="preserve">ocurorilor. </w:t>
      </w:r>
    </w:p>
    <w:p w14:paraId="306FC45F" w14:textId="77777777" w:rsidR="00525863" w:rsidRPr="00564DC7" w:rsidRDefault="00525863" w:rsidP="00690186">
      <w:pPr>
        <w:ind w:right="45" w:firstLine="708"/>
        <w:jc w:val="both"/>
        <w:rPr>
          <w:rFonts w:asciiTheme="minorHAnsi" w:hAnsiTheme="minorHAnsi" w:cstheme="minorHAnsi"/>
          <w:sz w:val="26"/>
          <w:szCs w:val="26"/>
        </w:rPr>
      </w:pPr>
      <w:r w:rsidRPr="00564DC7">
        <w:rPr>
          <w:rFonts w:asciiTheme="minorHAnsi" w:hAnsiTheme="minorHAnsi" w:cstheme="minorHAnsi"/>
          <w:sz w:val="26"/>
          <w:szCs w:val="26"/>
        </w:rPr>
        <w:t>Din totalul judecătorilor în funcție, cu luarea în calcul inclusiv a acelor judecători care ocupau pe perioadă nedeterminată posturi temporar vacante în condițiile art. 134</w:t>
      </w:r>
      <w:r w:rsidRPr="00564DC7">
        <w:rPr>
          <w:rFonts w:asciiTheme="minorHAnsi" w:hAnsiTheme="minorHAnsi" w:cstheme="minorHAnsi"/>
          <w:sz w:val="26"/>
          <w:szCs w:val="26"/>
          <w:vertAlign w:val="superscript"/>
        </w:rPr>
        <w:t>1</w:t>
      </w:r>
      <w:r w:rsidRPr="00564DC7">
        <w:rPr>
          <w:rFonts w:asciiTheme="minorHAnsi" w:hAnsiTheme="minorHAnsi" w:cstheme="minorHAnsi"/>
          <w:sz w:val="26"/>
          <w:szCs w:val="26"/>
        </w:rPr>
        <w:t xml:space="preserve"> din Legea </w:t>
      </w:r>
      <w:r w:rsidRPr="00564DC7">
        <w:rPr>
          <w:rFonts w:asciiTheme="minorHAnsi" w:hAnsiTheme="minorHAnsi" w:cstheme="minorHAnsi"/>
          <w:sz w:val="26"/>
          <w:szCs w:val="26"/>
        </w:rPr>
        <w:br/>
        <w:t>nr. 304/2004, republicată, cu modificările și completările ulterioare (în vigoare până în luna decembrie 2022), la sfârşitul anului 2022, 3059 erau femei și 1205 erau bărbați. Diferenţele aparente între situaţia posturilor ocupate şi numărul efectiv al judecătorilor în funcţie rezultă din ocuparea posturilor în condiţiile art. 134</w:t>
      </w:r>
      <w:r w:rsidRPr="00564DC7">
        <w:rPr>
          <w:rFonts w:asciiTheme="minorHAnsi" w:hAnsiTheme="minorHAnsi" w:cstheme="minorHAnsi"/>
          <w:sz w:val="26"/>
          <w:szCs w:val="26"/>
          <w:vertAlign w:val="superscript"/>
        </w:rPr>
        <w:t>1</w:t>
      </w:r>
      <w:r w:rsidRPr="00564DC7">
        <w:rPr>
          <w:rFonts w:asciiTheme="minorHAnsi" w:hAnsiTheme="minorHAnsi" w:cstheme="minorHAnsi"/>
          <w:sz w:val="26"/>
          <w:szCs w:val="26"/>
        </w:rPr>
        <w:t xml:space="preserve"> anterior menţionat. </w:t>
      </w:r>
    </w:p>
    <w:p w14:paraId="4ACD379E" w14:textId="40E20BB1" w:rsidR="00525863" w:rsidRPr="00564DC7" w:rsidRDefault="00525863" w:rsidP="00690186">
      <w:pPr>
        <w:ind w:right="45" w:firstLine="708"/>
        <w:jc w:val="both"/>
        <w:rPr>
          <w:rFonts w:asciiTheme="minorHAnsi" w:hAnsiTheme="minorHAnsi" w:cstheme="minorHAnsi"/>
          <w:sz w:val="26"/>
          <w:szCs w:val="26"/>
        </w:rPr>
      </w:pPr>
      <w:r w:rsidRPr="00564DC7">
        <w:rPr>
          <w:rFonts w:asciiTheme="minorHAnsi" w:hAnsiTheme="minorHAnsi" w:cstheme="minorHAnsi"/>
          <w:sz w:val="26"/>
          <w:szCs w:val="26"/>
        </w:rPr>
        <w:t>Pe de altă parte, în raport cu decretele publicate ulterior şi cu măsurile dispuse cu privire la ocuparea posturilor temporar vacante, la data de 1 ianuarie 2023, dintr-o schemă de 5075 de posturi, erau ocupate 4057 de posturi şi vacante 1018 posturi. Astfel,  situaţia posturilor la nivelul instanţelor judecătoreşti se prezint</w:t>
      </w:r>
      <w:r w:rsidR="00295716">
        <w:rPr>
          <w:rFonts w:asciiTheme="minorHAnsi" w:hAnsiTheme="minorHAnsi" w:cstheme="minorHAnsi"/>
          <w:sz w:val="26"/>
          <w:szCs w:val="26"/>
        </w:rPr>
        <w:t>ă</w:t>
      </w:r>
      <w:r w:rsidRPr="00564DC7">
        <w:rPr>
          <w:rFonts w:asciiTheme="minorHAnsi" w:hAnsiTheme="minorHAnsi" w:cstheme="minorHAnsi"/>
          <w:sz w:val="26"/>
          <w:szCs w:val="26"/>
        </w:rPr>
        <w:t xml:space="preserve"> astfel:</w:t>
      </w:r>
    </w:p>
    <w:tbl>
      <w:tblPr>
        <w:tblpPr w:leftFromText="180" w:rightFromText="180" w:vertAnchor="text" w:tblpXSpec="center" w:tblpY="1"/>
        <w:tblOverlap w:val="never"/>
        <w:tblW w:w="0" w:type="auto"/>
        <w:tblCellMar>
          <w:left w:w="10" w:type="dxa"/>
          <w:right w:w="10" w:type="dxa"/>
        </w:tblCellMar>
        <w:tblLook w:val="04A0" w:firstRow="1" w:lastRow="0" w:firstColumn="1" w:lastColumn="0" w:noHBand="0" w:noVBand="1"/>
      </w:tblPr>
      <w:tblGrid>
        <w:gridCol w:w="2732"/>
        <w:gridCol w:w="921"/>
        <w:gridCol w:w="1330"/>
        <w:gridCol w:w="1634"/>
        <w:gridCol w:w="848"/>
        <w:gridCol w:w="1225"/>
        <w:gridCol w:w="1504"/>
      </w:tblGrid>
      <w:tr w:rsidR="00564DC7" w:rsidRPr="00564DC7" w14:paraId="19DD1B03" w14:textId="77777777" w:rsidTr="00C36995">
        <w:trPr>
          <w:trHeight w:val="1"/>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CC9A44A"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b/>
                <w:sz w:val="26"/>
                <w:szCs w:val="26"/>
              </w:rPr>
              <w:t>Categoria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EB097E8"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b/>
                <w:sz w:val="26"/>
                <w:szCs w:val="26"/>
              </w:rPr>
              <w:t>Posturi de judecător prevăzute în schemă – 01.01.2023</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7C05DD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b/>
                <w:sz w:val="26"/>
                <w:szCs w:val="26"/>
              </w:rPr>
              <w:t>Posturi de judecător vacante – 01.01.2023</w:t>
            </w:r>
          </w:p>
        </w:tc>
      </w:tr>
      <w:tr w:rsidR="00564DC7" w:rsidRPr="00564DC7" w14:paraId="551223C3" w14:textId="77777777" w:rsidTr="00C36995">
        <w:trPr>
          <w:trHeight w:val="1"/>
        </w:trPr>
        <w:tc>
          <w:tcPr>
            <w:tcW w:w="0" w:type="auto"/>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61F903" w14:textId="77777777" w:rsidR="00525863" w:rsidRPr="00564DC7" w:rsidRDefault="00525863" w:rsidP="00C36995">
            <w:pPr>
              <w:keepNext/>
              <w:keepLines/>
              <w:spacing w:after="200"/>
              <w:jc w:val="both"/>
              <w:rPr>
                <w:rFonts w:asciiTheme="minorHAnsi" w:eastAsia="Calibri" w:hAnsiTheme="minorHAnsi" w:cstheme="minorHAnsi"/>
                <w:sz w:val="26"/>
                <w:szCs w:val="26"/>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39AC767"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b/>
                <w:sz w:val="26"/>
                <w:szCs w:val="26"/>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3E06FB1"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Execuție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429B8C2"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Conducere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FA1D40E"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b/>
                <w:sz w:val="26"/>
                <w:szCs w:val="26"/>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E50CDF0"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Execuție</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CF95A84"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Conducere</w:t>
            </w:r>
          </w:p>
        </w:tc>
      </w:tr>
      <w:tr w:rsidR="00564DC7" w:rsidRPr="00564DC7" w14:paraId="1B3C5AC3" w14:textId="77777777" w:rsidTr="00C36995">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F2D751"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Înalta Curte de Casație și Justiție</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3B125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122</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3BA498"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115</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2620E7"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7</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C914E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20</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34040F"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20</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8CB65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0</w:t>
            </w:r>
          </w:p>
        </w:tc>
      </w:tr>
      <w:tr w:rsidR="00564DC7" w:rsidRPr="00564DC7" w14:paraId="395278C2" w14:textId="77777777" w:rsidTr="00C36995">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72AA00"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Curți de apel (inclusiv Curtea Militară de Apel)</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F0C6EC" w14:textId="77777777" w:rsidR="00525863" w:rsidRPr="00564DC7" w:rsidRDefault="00525863" w:rsidP="00C36995">
            <w:pPr>
              <w:jc w:val="both"/>
              <w:rPr>
                <w:rFonts w:asciiTheme="minorHAnsi" w:hAnsiTheme="minorHAnsi" w:cstheme="minorHAnsi"/>
                <w:sz w:val="26"/>
                <w:szCs w:val="26"/>
              </w:rPr>
            </w:pPr>
            <w:r w:rsidRPr="00564DC7">
              <w:rPr>
                <w:rFonts w:asciiTheme="minorHAnsi" w:hAnsiTheme="minorHAnsi" w:cstheme="minorHAnsi"/>
                <w:sz w:val="26"/>
                <w:szCs w:val="26"/>
              </w:rPr>
              <w:t>930</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0C2E91"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822</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633A8D"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108</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CA372D" w14:textId="77777777" w:rsidR="00525863" w:rsidRPr="00564DC7" w:rsidRDefault="00525863" w:rsidP="00C36995">
            <w:pPr>
              <w:jc w:val="both"/>
              <w:rPr>
                <w:rFonts w:asciiTheme="minorHAnsi" w:hAnsiTheme="minorHAnsi" w:cstheme="minorHAnsi"/>
                <w:sz w:val="26"/>
                <w:szCs w:val="26"/>
              </w:rPr>
            </w:pPr>
            <w:r w:rsidRPr="00564DC7">
              <w:rPr>
                <w:rFonts w:asciiTheme="minorHAnsi" w:hAnsiTheme="minorHAnsi" w:cstheme="minorHAnsi"/>
                <w:sz w:val="26"/>
                <w:szCs w:val="26"/>
              </w:rPr>
              <w:t>89</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B367E2"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57</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A4F4DD"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32</w:t>
            </w:r>
          </w:p>
        </w:tc>
      </w:tr>
      <w:tr w:rsidR="00564DC7" w:rsidRPr="00564DC7" w14:paraId="6A9243F9" w14:textId="77777777" w:rsidTr="00C36995">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EF8657"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Tribunale (inclusiv instanțele militare și tribunalele specializate)</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1859C" w14:textId="77777777" w:rsidR="00525863" w:rsidRPr="00564DC7" w:rsidRDefault="00525863" w:rsidP="00C36995">
            <w:pPr>
              <w:jc w:val="both"/>
              <w:rPr>
                <w:rFonts w:asciiTheme="minorHAnsi" w:hAnsiTheme="minorHAnsi" w:cstheme="minorHAnsi"/>
                <w:sz w:val="26"/>
                <w:szCs w:val="26"/>
              </w:rPr>
            </w:pPr>
            <w:r w:rsidRPr="00564DC7">
              <w:rPr>
                <w:rFonts w:asciiTheme="minorHAnsi" w:hAnsiTheme="minorHAnsi" w:cstheme="minorHAnsi"/>
                <w:sz w:val="26"/>
                <w:szCs w:val="26"/>
              </w:rPr>
              <w:t>1701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6F6886"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1463</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098EA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238</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B2A2CA" w14:textId="77777777" w:rsidR="00525863" w:rsidRPr="00564DC7" w:rsidRDefault="00525863" w:rsidP="00C36995">
            <w:pPr>
              <w:jc w:val="both"/>
              <w:rPr>
                <w:rFonts w:asciiTheme="minorHAnsi" w:hAnsiTheme="minorHAnsi" w:cstheme="minorHAnsi"/>
                <w:sz w:val="26"/>
                <w:szCs w:val="26"/>
              </w:rPr>
            </w:pPr>
            <w:r w:rsidRPr="00564DC7">
              <w:rPr>
                <w:rFonts w:asciiTheme="minorHAnsi" w:hAnsiTheme="minorHAnsi" w:cstheme="minorHAnsi"/>
                <w:sz w:val="26"/>
                <w:szCs w:val="26"/>
              </w:rPr>
              <w:t>431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1BFE78"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340</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FE0853"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94</w:t>
            </w:r>
          </w:p>
        </w:tc>
      </w:tr>
      <w:tr w:rsidR="00564DC7" w:rsidRPr="00564DC7" w14:paraId="488FF4A5" w14:textId="77777777" w:rsidTr="00C36995">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68FE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Judecătorii</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0B9911" w14:textId="77777777" w:rsidR="00525863" w:rsidRPr="00564DC7" w:rsidRDefault="00525863" w:rsidP="00C36995">
            <w:pPr>
              <w:jc w:val="both"/>
              <w:rPr>
                <w:rFonts w:asciiTheme="minorHAnsi" w:hAnsiTheme="minorHAnsi" w:cstheme="minorHAnsi"/>
                <w:sz w:val="26"/>
                <w:szCs w:val="26"/>
              </w:rPr>
            </w:pPr>
            <w:r w:rsidRPr="00564DC7">
              <w:rPr>
                <w:rFonts w:asciiTheme="minorHAnsi" w:hAnsiTheme="minorHAnsi" w:cstheme="minorHAnsi"/>
                <w:sz w:val="26"/>
                <w:szCs w:val="26"/>
              </w:rPr>
              <w:t>2322</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FBD63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2013</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5639A0"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309</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ED7EB3" w14:textId="77777777" w:rsidR="00525863" w:rsidRPr="00564DC7" w:rsidRDefault="00525863" w:rsidP="00C36995">
            <w:pPr>
              <w:jc w:val="both"/>
              <w:rPr>
                <w:rFonts w:asciiTheme="minorHAnsi" w:hAnsiTheme="minorHAnsi" w:cstheme="minorHAnsi"/>
                <w:sz w:val="26"/>
                <w:szCs w:val="26"/>
              </w:rPr>
            </w:pPr>
            <w:r w:rsidRPr="00564DC7">
              <w:rPr>
                <w:rFonts w:asciiTheme="minorHAnsi" w:hAnsiTheme="minorHAnsi" w:cstheme="minorHAnsi"/>
                <w:sz w:val="26"/>
                <w:szCs w:val="26"/>
              </w:rPr>
              <w:t>478</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226F1F"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288</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0DC6C9"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187</w:t>
            </w:r>
          </w:p>
        </w:tc>
      </w:tr>
      <w:tr w:rsidR="00564DC7" w:rsidRPr="00564DC7" w14:paraId="4122935E" w14:textId="77777777" w:rsidTr="00C36995">
        <w:trPr>
          <w:trHeight w:val="1"/>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5A93FCC"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b/>
                <w:sz w:val="26"/>
                <w:szCs w:val="26"/>
              </w:rPr>
              <w:t>Total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901577D" w14:textId="77777777" w:rsidR="00525863" w:rsidRPr="00564DC7" w:rsidRDefault="00525863" w:rsidP="00C36995">
            <w:pPr>
              <w:jc w:val="both"/>
              <w:rPr>
                <w:rFonts w:asciiTheme="minorHAnsi" w:hAnsiTheme="minorHAnsi" w:cstheme="minorHAnsi"/>
                <w:b/>
                <w:bCs/>
                <w:sz w:val="26"/>
                <w:szCs w:val="26"/>
              </w:rPr>
            </w:pPr>
            <w:r w:rsidRPr="00564DC7">
              <w:rPr>
                <w:rFonts w:asciiTheme="minorHAnsi" w:hAnsiTheme="minorHAnsi" w:cstheme="minorHAnsi"/>
                <w:b/>
                <w:bCs/>
                <w:sz w:val="26"/>
                <w:szCs w:val="26"/>
              </w:rPr>
              <w:t>5075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3864335"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4413</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70CD1833"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662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7265577" w14:textId="77777777" w:rsidR="00525863" w:rsidRPr="00564DC7" w:rsidRDefault="00525863" w:rsidP="00C36995">
            <w:pPr>
              <w:jc w:val="both"/>
              <w:rPr>
                <w:rFonts w:asciiTheme="minorHAnsi" w:hAnsiTheme="minorHAnsi" w:cstheme="minorHAnsi"/>
                <w:b/>
                <w:bCs/>
                <w:sz w:val="26"/>
                <w:szCs w:val="26"/>
              </w:rPr>
            </w:pPr>
            <w:r w:rsidRPr="00564DC7">
              <w:rPr>
                <w:rFonts w:asciiTheme="minorHAnsi" w:hAnsiTheme="minorHAnsi" w:cstheme="minorHAnsi"/>
                <w:b/>
                <w:bCs/>
                <w:sz w:val="26"/>
                <w:szCs w:val="26"/>
              </w:rPr>
              <w:t>1018</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4A9704C"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705</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3460B0B" w14:textId="77777777" w:rsidR="00525863" w:rsidRPr="00564DC7" w:rsidRDefault="00525863" w:rsidP="00C36995">
            <w:pPr>
              <w:keepNext/>
              <w:keepLines/>
              <w:jc w:val="both"/>
              <w:rPr>
                <w:rFonts w:asciiTheme="minorHAnsi" w:hAnsiTheme="minorHAnsi" w:cstheme="minorHAnsi"/>
                <w:sz w:val="26"/>
                <w:szCs w:val="26"/>
              </w:rPr>
            </w:pPr>
            <w:r w:rsidRPr="00564DC7">
              <w:rPr>
                <w:rFonts w:asciiTheme="minorHAnsi" w:hAnsiTheme="minorHAnsi" w:cstheme="minorHAnsi"/>
                <w:sz w:val="26"/>
                <w:szCs w:val="26"/>
              </w:rPr>
              <w:t>313</w:t>
            </w:r>
          </w:p>
        </w:tc>
      </w:tr>
    </w:tbl>
    <w:p w14:paraId="75F85C8B" w14:textId="77777777" w:rsidR="00BC5D01" w:rsidRPr="00564DC7" w:rsidRDefault="00BC5D01" w:rsidP="00690186">
      <w:pPr>
        <w:ind w:firstLine="720"/>
        <w:jc w:val="both"/>
        <w:rPr>
          <w:rFonts w:asciiTheme="minorHAnsi" w:hAnsiTheme="minorHAnsi" w:cstheme="minorHAnsi"/>
          <w:b/>
          <w:sz w:val="26"/>
          <w:szCs w:val="26"/>
        </w:rPr>
      </w:pPr>
    </w:p>
    <w:p w14:paraId="489576F0" w14:textId="26A729B9" w:rsidR="00525863" w:rsidRPr="00564DC7" w:rsidRDefault="00525863" w:rsidP="00690186">
      <w:pPr>
        <w:ind w:firstLine="720"/>
        <w:jc w:val="both"/>
        <w:rPr>
          <w:rFonts w:asciiTheme="minorHAnsi" w:hAnsiTheme="minorHAnsi" w:cstheme="minorHAnsi"/>
          <w:b/>
          <w:sz w:val="26"/>
          <w:szCs w:val="26"/>
        </w:rPr>
      </w:pPr>
      <w:r w:rsidRPr="00564DC7">
        <w:rPr>
          <w:rFonts w:asciiTheme="minorHAnsi" w:hAnsiTheme="minorHAnsi" w:cstheme="minorHAnsi"/>
          <w:b/>
          <w:sz w:val="26"/>
          <w:szCs w:val="26"/>
        </w:rPr>
        <w:lastRenderedPageBreak/>
        <w:t>Situaţia posturilor de procuror la începutul anului 2023</w:t>
      </w:r>
    </w:p>
    <w:p w14:paraId="5916FEA9" w14:textId="77777777" w:rsidR="00525863" w:rsidRPr="00564DC7" w:rsidRDefault="00525863"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luna ianuarie 2023, </w:t>
      </w:r>
      <w:r w:rsidRPr="00564DC7">
        <w:rPr>
          <w:rFonts w:asciiTheme="minorHAnsi" w:hAnsiTheme="minorHAnsi" w:cstheme="minorHAnsi"/>
          <w:b/>
          <w:sz w:val="26"/>
          <w:szCs w:val="26"/>
        </w:rPr>
        <w:t>la nivelul parchetelor, din totalul de 3051 posturi de procuror</w:t>
      </w:r>
      <w:r w:rsidRPr="00564DC7">
        <w:rPr>
          <w:rFonts w:asciiTheme="minorHAnsi" w:hAnsiTheme="minorHAnsi" w:cstheme="minorHAnsi"/>
          <w:sz w:val="26"/>
          <w:szCs w:val="26"/>
        </w:rPr>
        <w:t xml:space="preserve"> (au fost incluse şi cele 70 de posturi acordate potrivit art. 134¹ din Legea nr. 304/2004, republicată, cu modificările și completările ulterioare) </w:t>
      </w:r>
      <w:r w:rsidRPr="00564DC7">
        <w:rPr>
          <w:rFonts w:asciiTheme="minorHAnsi" w:hAnsiTheme="minorHAnsi" w:cstheme="minorHAnsi"/>
          <w:b/>
          <w:sz w:val="26"/>
          <w:szCs w:val="26"/>
        </w:rPr>
        <w:t>erau ocupate 2210 posturi</w:t>
      </w:r>
      <w:r w:rsidRPr="00564DC7">
        <w:rPr>
          <w:rFonts w:asciiTheme="minorHAnsi" w:hAnsiTheme="minorHAnsi" w:cstheme="minorHAnsi"/>
          <w:sz w:val="26"/>
          <w:szCs w:val="26"/>
        </w:rPr>
        <w:t xml:space="preserve"> (sunt incluse şi cele 26 de posturi acordate potrivit art. 134¹ din Legea nr. 304/2004, republicată, cu modificările și completările ulterioare - 6 la parchetele de pe lângă tribunale şi 20 la parchetele de pe lângă judecătorii) </w:t>
      </w:r>
      <w:r w:rsidRPr="00564DC7">
        <w:rPr>
          <w:rFonts w:asciiTheme="minorHAnsi" w:hAnsiTheme="minorHAnsi" w:cstheme="minorHAnsi"/>
          <w:b/>
          <w:sz w:val="26"/>
          <w:szCs w:val="26"/>
        </w:rPr>
        <w:t>şi vacante 854 posturi</w:t>
      </w:r>
      <w:r w:rsidRPr="00564DC7">
        <w:rPr>
          <w:rFonts w:asciiTheme="minorHAnsi" w:hAnsiTheme="minorHAnsi" w:cstheme="minorHAnsi"/>
          <w:sz w:val="26"/>
          <w:szCs w:val="26"/>
        </w:rPr>
        <w:t>, din care 535 erau corespunzătoare funcţiilor de execuţie (sunt incluse şi 44 posturi acordate potrivit art. 134¹ din Legea nr. 304/2004, republicată, cu modificările și completările ulterioare), iar 319 funcţiilor de conducere.</w:t>
      </w:r>
    </w:p>
    <w:p w14:paraId="79BD8AC6" w14:textId="77777777" w:rsidR="00525863" w:rsidRPr="00564DC7" w:rsidRDefault="00525863" w:rsidP="00690186">
      <w:pPr>
        <w:ind w:firstLine="720"/>
        <w:jc w:val="both"/>
        <w:rPr>
          <w:rFonts w:asciiTheme="minorHAnsi" w:hAnsiTheme="minorHAnsi" w:cstheme="minorHAnsi"/>
          <w:sz w:val="26"/>
          <w:szCs w:val="26"/>
        </w:rPr>
      </w:pPr>
      <w:r w:rsidRPr="00564DC7">
        <w:rPr>
          <w:rFonts w:asciiTheme="minorHAnsi" w:hAnsiTheme="minorHAnsi" w:cstheme="minorHAnsi"/>
          <w:b/>
          <w:sz w:val="26"/>
          <w:szCs w:val="26"/>
        </w:rPr>
        <w:t>Din totalul celor 2210 posturi de procuror ocupate, 13 procurori funcţionau peste schema prevăzută</w:t>
      </w:r>
      <w:r w:rsidRPr="00564DC7">
        <w:rPr>
          <w:rFonts w:asciiTheme="minorHAnsi" w:hAnsiTheme="minorHAnsi" w:cstheme="minorHAnsi"/>
          <w:sz w:val="26"/>
          <w:szCs w:val="26"/>
        </w:rPr>
        <w:t>, toți la parchetele de pe lângă judecătorii.</w:t>
      </w:r>
    </w:p>
    <w:p w14:paraId="38A2F577" w14:textId="3034EEE5" w:rsidR="00525863" w:rsidRPr="00564DC7" w:rsidRDefault="00525863"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15950D9E" w14:textId="77777777" w:rsidR="00525863" w:rsidRPr="00564DC7" w:rsidRDefault="00525863" w:rsidP="00690186">
      <w:pPr>
        <w:pStyle w:val="AddParagraf"/>
        <w:spacing w:after="0"/>
        <w:ind w:right="0" w:firstLine="720"/>
        <w:rPr>
          <w:rFonts w:asciiTheme="minorHAnsi" w:hAnsiTheme="minorHAnsi" w:cstheme="minorHAnsi"/>
          <w:sz w:val="26"/>
          <w:szCs w:val="26"/>
        </w:rPr>
      </w:pPr>
      <w:r w:rsidRPr="00564DC7">
        <w:rPr>
          <w:rFonts w:asciiTheme="minorHAnsi" w:hAnsiTheme="minorHAnsi" w:cstheme="minorHAnsi"/>
          <w:b/>
          <w:sz w:val="26"/>
          <w:szCs w:val="26"/>
        </w:rPr>
        <w:t xml:space="preserve">Distribuţia posturilor vacante, pe grade de jurisdicţie, în luna ianuarie 2023, </w:t>
      </w:r>
      <w:r w:rsidRPr="00564DC7">
        <w:rPr>
          <w:rFonts w:asciiTheme="minorHAnsi" w:hAnsiTheme="minorHAnsi" w:cstheme="minorHAnsi"/>
          <w:sz w:val="26"/>
          <w:szCs w:val="26"/>
        </w:rPr>
        <w:t>se</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prezenta astfel:</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564DC7" w:rsidRPr="00564DC7" w14:paraId="008621E3" w14:textId="77777777" w:rsidTr="00525863">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3B64C"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E53337"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14:paraId="35EA81E6"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b/>
                <w:sz w:val="26"/>
                <w:szCs w:val="26"/>
              </w:rPr>
              <w:t>Posturi de procuror vacante</w:t>
            </w:r>
          </w:p>
        </w:tc>
      </w:tr>
      <w:tr w:rsidR="00564DC7" w:rsidRPr="00564DC7" w14:paraId="611AB412" w14:textId="77777777" w:rsidTr="00525863">
        <w:trPr>
          <w:jc w:val="center"/>
        </w:trPr>
        <w:tc>
          <w:tcPr>
            <w:tcW w:w="254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E9FF6" w14:textId="77777777" w:rsidR="00525863" w:rsidRPr="00564DC7" w:rsidRDefault="00525863" w:rsidP="00690186">
            <w:pPr>
              <w:rPr>
                <w:rFonts w:asciiTheme="minorHAnsi" w:hAnsiTheme="minorHAnsi" w:cstheme="minorHAnsi"/>
                <w:b/>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B776F"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1C535"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78FCB"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43D3A"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6A3DDC25"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62335DDE"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67A4F319"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3E0F0409"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Cond.</w:t>
            </w:r>
          </w:p>
        </w:tc>
      </w:tr>
      <w:tr w:rsidR="00564DC7" w:rsidRPr="00564DC7" w14:paraId="7FEEDC45" w14:textId="77777777" w:rsidTr="00525863">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14:paraId="587AF878" w14:textId="77777777" w:rsidR="00525863" w:rsidRPr="00564DC7" w:rsidRDefault="00525863" w:rsidP="00690186">
            <w:pPr>
              <w:numPr>
                <w:ilvl w:val="1"/>
                <w:numId w:val="0"/>
              </w:numPr>
              <w:jc w:val="both"/>
              <w:rPr>
                <w:rFonts w:asciiTheme="minorHAnsi" w:hAnsiTheme="minorHAnsi" w:cstheme="minorHAnsi"/>
                <w:sz w:val="26"/>
                <w:szCs w:val="26"/>
              </w:rPr>
            </w:pPr>
            <w:r w:rsidRPr="00564DC7">
              <w:rPr>
                <w:rFonts w:asciiTheme="minorHAnsi" w:hAnsiTheme="minorHAnsi" w:cstheme="minorHAnsi"/>
                <w:sz w:val="26"/>
                <w:szCs w:val="26"/>
              </w:rPr>
              <w:t>PÎCCJ (</w:t>
            </w:r>
            <w:r w:rsidRPr="00564DC7">
              <w:rPr>
                <w:rFonts w:asciiTheme="minorHAnsi" w:hAnsiTheme="minorHAnsi" w:cstheme="minorHAnsi"/>
                <w:i/>
                <w:sz w:val="26"/>
                <w:szCs w:val="26"/>
              </w:rPr>
              <w:t>inclusiv DNA, DIICOT şi Secţia parchetelor militare</w:t>
            </w:r>
            <w:r w:rsidRPr="00564DC7">
              <w:rPr>
                <w:rFonts w:asciiTheme="minorHAnsi" w:hAnsiTheme="minorHAnsi" w:cstheme="minorHAns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009AFCF2" w14:textId="77777777" w:rsidR="00525863" w:rsidRPr="00564DC7" w:rsidRDefault="00525863" w:rsidP="00690186">
            <w:pPr>
              <w:numPr>
                <w:ilvl w:val="1"/>
                <w:numId w:val="0"/>
              </w:numPr>
              <w:jc w:val="both"/>
              <w:rPr>
                <w:rFonts w:asciiTheme="minorHAnsi" w:hAnsiTheme="minorHAnsi" w:cstheme="minorHAnsi"/>
                <w:b/>
                <w:sz w:val="26"/>
                <w:szCs w:val="26"/>
              </w:rPr>
            </w:pPr>
            <w:r w:rsidRPr="00564DC7">
              <w:rPr>
                <w:rFonts w:asciiTheme="minorHAnsi" w:hAnsiTheme="minorHAnsi" w:cstheme="minorHAnsi"/>
                <w:b/>
                <w:sz w:val="26"/>
                <w:szCs w:val="26"/>
              </w:rPr>
              <w:t>662</w:t>
            </w:r>
          </w:p>
        </w:tc>
        <w:tc>
          <w:tcPr>
            <w:tcW w:w="851" w:type="dxa"/>
            <w:tcBorders>
              <w:top w:val="single" w:sz="4" w:space="0" w:color="auto"/>
              <w:left w:val="single" w:sz="4" w:space="0" w:color="auto"/>
              <w:bottom w:val="single" w:sz="4" w:space="0" w:color="auto"/>
              <w:right w:val="single" w:sz="4" w:space="0" w:color="auto"/>
            </w:tcBorders>
            <w:vAlign w:val="center"/>
          </w:tcPr>
          <w:p w14:paraId="54E6923A"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520</w:t>
            </w:r>
          </w:p>
        </w:tc>
        <w:tc>
          <w:tcPr>
            <w:tcW w:w="850" w:type="dxa"/>
            <w:tcBorders>
              <w:top w:val="single" w:sz="4" w:space="0" w:color="auto"/>
              <w:left w:val="single" w:sz="4" w:space="0" w:color="auto"/>
              <w:bottom w:val="single" w:sz="4" w:space="0" w:color="auto"/>
              <w:right w:val="single" w:sz="4" w:space="0" w:color="auto"/>
            </w:tcBorders>
            <w:vAlign w:val="center"/>
          </w:tcPr>
          <w:p w14:paraId="2C848B65"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tcPr>
          <w:p w14:paraId="73E47C34"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142</w:t>
            </w:r>
          </w:p>
        </w:tc>
        <w:tc>
          <w:tcPr>
            <w:tcW w:w="850" w:type="dxa"/>
            <w:tcBorders>
              <w:top w:val="single" w:sz="4" w:space="0" w:color="auto"/>
              <w:left w:val="single" w:sz="4" w:space="0" w:color="auto"/>
              <w:bottom w:val="single" w:sz="4" w:space="0" w:color="auto"/>
              <w:right w:val="single" w:sz="4" w:space="0" w:color="auto"/>
            </w:tcBorders>
            <w:vAlign w:val="center"/>
          </w:tcPr>
          <w:p w14:paraId="1F7DC0EB"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204</w:t>
            </w:r>
          </w:p>
        </w:tc>
        <w:tc>
          <w:tcPr>
            <w:tcW w:w="851" w:type="dxa"/>
            <w:tcBorders>
              <w:top w:val="single" w:sz="4" w:space="0" w:color="auto"/>
              <w:left w:val="single" w:sz="4" w:space="0" w:color="auto"/>
              <w:bottom w:val="single" w:sz="4" w:space="0" w:color="auto"/>
              <w:right w:val="single" w:sz="4" w:space="0" w:color="auto"/>
            </w:tcBorders>
            <w:vAlign w:val="center"/>
          </w:tcPr>
          <w:p w14:paraId="365EABBF"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140</w:t>
            </w:r>
          </w:p>
        </w:tc>
        <w:tc>
          <w:tcPr>
            <w:tcW w:w="850" w:type="dxa"/>
            <w:tcBorders>
              <w:top w:val="single" w:sz="4" w:space="0" w:color="auto"/>
              <w:left w:val="single" w:sz="4" w:space="0" w:color="auto"/>
              <w:bottom w:val="single" w:sz="4" w:space="0" w:color="auto"/>
              <w:right w:val="single" w:sz="4" w:space="0" w:color="auto"/>
            </w:tcBorders>
            <w:vAlign w:val="center"/>
          </w:tcPr>
          <w:p w14:paraId="68EF96F3"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tcPr>
          <w:p w14:paraId="4A7EDCF1"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64</w:t>
            </w:r>
          </w:p>
        </w:tc>
      </w:tr>
      <w:tr w:rsidR="00564DC7" w:rsidRPr="00564DC7" w14:paraId="7FB22CD8" w14:textId="77777777" w:rsidTr="00525863">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14:paraId="0985314A" w14:textId="77777777" w:rsidR="00525863" w:rsidRPr="00564DC7" w:rsidRDefault="00525863" w:rsidP="00690186">
            <w:pPr>
              <w:numPr>
                <w:ilvl w:val="1"/>
                <w:numId w:val="0"/>
              </w:numPr>
              <w:jc w:val="both"/>
              <w:rPr>
                <w:rFonts w:asciiTheme="minorHAnsi" w:hAnsiTheme="minorHAnsi" w:cstheme="minorHAnsi"/>
                <w:sz w:val="26"/>
                <w:szCs w:val="26"/>
              </w:rPr>
            </w:pPr>
            <w:r w:rsidRPr="00564DC7">
              <w:rPr>
                <w:rFonts w:asciiTheme="minorHAnsi" w:hAnsiTheme="minorHAnsi" w:cstheme="minorHAnsi"/>
                <w:sz w:val="26"/>
                <w:szCs w:val="26"/>
              </w:rPr>
              <w:t>Parchetele de pe lângă curţile de apel (</w:t>
            </w:r>
            <w:r w:rsidRPr="00564DC7">
              <w:rPr>
                <w:rFonts w:asciiTheme="minorHAnsi" w:hAnsiTheme="minorHAnsi" w:cstheme="minorHAnsi"/>
                <w:i/>
                <w:sz w:val="26"/>
                <w:szCs w:val="26"/>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14:paraId="55C09EDA"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264</w:t>
            </w:r>
          </w:p>
        </w:tc>
        <w:tc>
          <w:tcPr>
            <w:tcW w:w="851" w:type="dxa"/>
            <w:tcBorders>
              <w:top w:val="single" w:sz="4" w:space="0" w:color="auto"/>
              <w:left w:val="single" w:sz="4" w:space="0" w:color="auto"/>
              <w:bottom w:val="single" w:sz="4" w:space="0" w:color="auto"/>
              <w:right w:val="single" w:sz="4" w:space="0" w:color="auto"/>
            </w:tcBorders>
            <w:vAlign w:val="center"/>
          </w:tcPr>
          <w:p w14:paraId="599AE929"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tcPr>
          <w:p w14:paraId="26EFAD2D"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14:paraId="53D364AC"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tcPr>
          <w:p w14:paraId="6FCA05B4"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65</w:t>
            </w:r>
          </w:p>
        </w:tc>
        <w:tc>
          <w:tcPr>
            <w:tcW w:w="851" w:type="dxa"/>
            <w:tcBorders>
              <w:top w:val="single" w:sz="4" w:space="0" w:color="auto"/>
              <w:left w:val="single" w:sz="4" w:space="0" w:color="auto"/>
              <w:bottom w:val="single" w:sz="4" w:space="0" w:color="auto"/>
              <w:right w:val="single" w:sz="4" w:space="0" w:color="auto"/>
            </w:tcBorders>
            <w:vAlign w:val="center"/>
          </w:tcPr>
          <w:p w14:paraId="3449C7D2"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42</w:t>
            </w:r>
          </w:p>
        </w:tc>
        <w:tc>
          <w:tcPr>
            <w:tcW w:w="850" w:type="dxa"/>
            <w:tcBorders>
              <w:top w:val="single" w:sz="4" w:space="0" w:color="auto"/>
              <w:left w:val="single" w:sz="4" w:space="0" w:color="auto"/>
              <w:bottom w:val="single" w:sz="4" w:space="0" w:color="auto"/>
              <w:right w:val="single" w:sz="4" w:space="0" w:color="auto"/>
            </w:tcBorders>
            <w:vAlign w:val="center"/>
          </w:tcPr>
          <w:p w14:paraId="0D839FD4"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tcPr>
          <w:p w14:paraId="0D974802"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19</w:t>
            </w:r>
          </w:p>
        </w:tc>
      </w:tr>
      <w:tr w:rsidR="00564DC7" w:rsidRPr="00564DC7" w14:paraId="2D441F36" w14:textId="77777777" w:rsidTr="00525863">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16F5C8B" w14:textId="77777777" w:rsidR="00525863" w:rsidRPr="00564DC7" w:rsidRDefault="00525863" w:rsidP="00690186">
            <w:pPr>
              <w:numPr>
                <w:ilvl w:val="1"/>
                <w:numId w:val="0"/>
              </w:numPr>
              <w:jc w:val="both"/>
              <w:rPr>
                <w:rFonts w:asciiTheme="minorHAnsi" w:hAnsiTheme="minorHAnsi" w:cstheme="minorHAnsi"/>
                <w:sz w:val="26"/>
                <w:szCs w:val="26"/>
              </w:rPr>
            </w:pPr>
            <w:r w:rsidRPr="00564DC7">
              <w:rPr>
                <w:rFonts w:asciiTheme="minorHAnsi" w:hAnsiTheme="minorHAnsi" w:cstheme="minorHAnsi"/>
                <w:sz w:val="26"/>
                <w:szCs w:val="26"/>
              </w:rPr>
              <w:t>Parchetele de pe lângă  tribunale (</w:t>
            </w:r>
            <w:r w:rsidRPr="00564DC7">
              <w:rPr>
                <w:rFonts w:asciiTheme="minorHAnsi" w:hAnsiTheme="minorHAnsi" w:cstheme="minorHAnsi"/>
                <w:i/>
                <w:sz w:val="26"/>
                <w:szCs w:val="26"/>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14:paraId="583E26EC"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731</w:t>
            </w:r>
          </w:p>
        </w:tc>
        <w:tc>
          <w:tcPr>
            <w:tcW w:w="851" w:type="dxa"/>
            <w:tcBorders>
              <w:top w:val="single" w:sz="4" w:space="0" w:color="auto"/>
              <w:left w:val="single" w:sz="4" w:space="0" w:color="auto"/>
              <w:bottom w:val="single" w:sz="4" w:space="0" w:color="auto"/>
              <w:right w:val="single" w:sz="4" w:space="0" w:color="auto"/>
            </w:tcBorders>
            <w:vAlign w:val="center"/>
          </w:tcPr>
          <w:p w14:paraId="63681143"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tcPr>
          <w:p w14:paraId="2A6B15E7"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20</w:t>
            </w:r>
          </w:p>
        </w:tc>
        <w:tc>
          <w:tcPr>
            <w:tcW w:w="851" w:type="dxa"/>
            <w:tcBorders>
              <w:top w:val="single" w:sz="4" w:space="0" w:color="auto"/>
              <w:left w:val="single" w:sz="4" w:space="0" w:color="auto"/>
              <w:bottom w:val="single" w:sz="4" w:space="0" w:color="auto"/>
              <w:right w:val="single" w:sz="4" w:space="0" w:color="auto"/>
            </w:tcBorders>
            <w:vAlign w:val="center"/>
          </w:tcPr>
          <w:p w14:paraId="6933FB3C"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tcPr>
          <w:p w14:paraId="0A3A0F1B"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257</w:t>
            </w:r>
          </w:p>
        </w:tc>
        <w:tc>
          <w:tcPr>
            <w:tcW w:w="851" w:type="dxa"/>
            <w:tcBorders>
              <w:top w:val="single" w:sz="4" w:space="0" w:color="auto"/>
              <w:left w:val="single" w:sz="4" w:space="0" w:color="auto"/>
              <w:bottom w:val="single" w:sz="4" w:space="0" w:color="auto"/>
              <w:right w:val="single" w:sz="4" w:space="0" w:color="auto"/>
            </w:tcBorders>
            <w:vAlign w:val="center"/>
          </w:tcPr>
          <w:p w14:paraId="70623E45"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148</w:t>
            </w:r>
          </w:p>
        </w:tc>
        <w:tc>
          <w:tcPr>
            <w:tcW w:w="850" w:type="dxa"/>
            <w:tcBorders>
              <w:top w:val="single" w:sz="4" w:space="0" w:color="auto"/>
              <w:left w:val="single" w:sz="4" w:space="0" w:color="auto"/>
              <w:bottom w:val="single" w:sz="4" w:space="0" w:color="auto"/>
              <w:right w:val="single" w:sz="4" w:space="0" w:color="auto"/>
            </w:tcBorders>
            <w:vAlign w:val="center"/>
          </w:tcPr>
          <w:p w14:paraId="03FBD781"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14</w:t>
            </w:r>
          </w:p>
        </w:tc>
        <w:tc>
          <w:tcPr>
            <w:tcW w:w="850" w:type="dxa"/>
            <w:tcBorders>
              <w:top w:val="single" w:sz="4" w:space="0" w:color="auto"/>
              <w:left w:val="single" w:sz="4" w:space="0" w:color="auto"/>
              <w:bottom w:val="single" w:sz="4" w:space="0" w:color="auto"/>
              <w:right w:val="single" w:sz="4" w:space="0" w:color="auto"/>
            </w:tcBorders>
            <w:vAlign w:val="center"/>
          </w:tcPr>
          <w:p w14:paraId="6F871BD8"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95</w:t>
            </w:r>
          </w:p>
        </w:tc>
      </w:tr>
      <w:tr w:rsidR="00564DC7" w:rsidRPr="00564DC7" w14:paraId="43B8056D" w14:textId="77777777" w:rsidTr="00525863">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96E2A45" w14:textId="77777777" w:rsidR="00525863" w:rsidRPr="00564DC7" w:rsidRDefault="00525863" w:rsidP="00690186">
            <w:pPr>
              <w:numPr>
                <w:ilvl w:val="1"/>
                <w:numId w:val="0"/>
              </w:numPr>
              <w:jc w:val="both"/>
              <w:rPr>
                <w:rFonts w:asciiTheme="minorHAnsi" w:hAnsiTheme="minorHAnsi" w:cstheme="minorHAnsi"/>
                <w:sz w:val="26"/>
                <w:szCs w:val="26"/>
              </w:rPr>
            </w:pPr>
            <w:r w:rsidRPr="00564DC7">
              <w:rPr>
                <w:rFonts w:asciiTheme="minorHAnsi" w:hAnsiTheme="minorHAnsi" w:cstheme="minorHAnsi"/>
                <w:sz w:val="26"/>
                <w:szCs w:val="26"/>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14:paraId="02584FC5"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1394</w:t>
            </w:r>
          </w:p>
        </w:tc>
        <w:tc>
          <w:tcPr>
            <w:tcW w:w="851" w:type="dxa"/>
            <w:tcBorders>
              <w:top w:val="single" w:sz="4" w:space="0" w:color="auto"/>
              <w:left w:val="single" w:sz="4" w:space="0" w:color="auto"/>
              <w:bottom w:val="single" w:sz="4" w:space="0" w:color="auto"/>
              <w:right w:val="single" w:sz="4" w:space="0" w:color="auto"/>
            </w:tcBorders>
            <w:vAlign w:val="center"/>
          </w:tcPr>
          <w:p w14:paraId="10F8DC9C"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tcPr>
          <w:p w14:paraId="36340E50"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46</w:t>
            </w:r>
          </w:p>
        </w:tc>
        <w:tc>
          <w:tcPr>
            <w:tcW w:w="851" w:type="dxa"/>
            <w:tcBorders>
              <w:top w:val="single" w:sz="4" w:space="0" w:color="auto"/>
              <w:left w:val="single" w:sz="4" w:space="0" w:color="auto"/>
              <w:bottom w:val="single" w:sz="4" w:space="0" w:color="auto"/>
              <w:right w:val="single" w:sz="4" w:space="0" w:color="auto"/>
            </w:tcBorders>
            <w:vAlign w:val="center"/>
          </w:tcPr>
          <w:p w14:paraId="0615E20A"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tcPr>
          <w:p w14:paraId="108D5E58"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328</w:t>
            </w:r>
          </w:p>
        </w:tc>
        <w:tc>
          <w:tcPr>
            <w:tcW w:w="851" w:type="dxa"/>
            <w:tcBorders>
              <w:top w:val="single" w:sz="4" w:space="0" w:color="auto"/>
              <w:left w:val="single" w:sz="4" w:space="0" w:color="auto"/>
              <w:bottom w:val="single" w:sz="4" w:space="0" w:color="auto"/>
              <w:right w:val="single" w:sz="4" w:space="0" w:color="auto"/>
            </w:tcBorders>
            <w:vAlign w:val="center"/>
          </w:tcPr>
          <w:p w14:paraId="1A691F1A"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161</w:t>
            </w:r>
          </w:p>
        </w:tc>
        <w:tc>
          <w:tcPr>
            <w:tcW w:w="850" w:type="dxa"/>
            <w:tcBorders>
              <w:top w:val="single" w:sz="4" w:space="0" w:color="auto"/>
              <w:left w:val="single" w:sz="4" w:space="0" w:color="auto"/>
              <w:bottom w:val="single" w:sz="4" w:space="0" w:color="auto"/>
              <w:right w:val="single" w:sz="4" w:space="0" w:color="auto"/>
            </w:tcBorders>
            <w:vAlign w:val="center"/>
          </w:tcPr>
          <w:p w14:paraId="4DDAE6B6"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26</w:t>
            </w:r>
          </w:p>
        </w:tc>
        <w:tc>
          <w:tcPr>
            <w:tcW w:w="850" w:type="dxa"/>
            <w:tcBorders>
              <w:top w:val="single" w:sz="4" w:space="0" w:color="auto"/>
              <w:left w:val="single" w:sz="4" w:space="0" w:color="auto"/>
              <w:bottom w:val="single" w:sz="4" w:space="0" w:color="auto"/>
              <w:right w:val="single" w:sz="4" w:space="0" w:color="auto"/>
            </w:tcBorders>
            <w:vAlign w:val="center"/>
          </w:tcPr>
          <w:p w14:paraId="61D1ABC8" w14:textId="77777777" w:rsidR="00525863" w:rsidRPr="00564DC7" w:rsidRDefault="00525863" w:rsidP="00690186">
            <w:pPr>
              <w:numPr>
                <w:ilvl w:val="1"/>
                <w:numId w:val="0"/>
              </w:numPr>
              <w:jc w:val="center"/>
              <w:rPr>
                <w:rFonts w:asciiTheme="minorHAnsi" w:hAnsiTheme="minorHAnsi" w:cstheme="minorHAnsi"/>
                <w:sz w:val="26"/>
                <w:szCs w:val="26"/>
              </w:rPr>
            </w:pPr>
            <w:r w:rsidRPr="00564DC7">
              <w:rPr>
                <w:rFonts w:asciiTheme="minorHAnsi" w:hAnsiTheme="minorHAnsi" w:cstheme="minorHAnsi"/>
                <w:sz w:val="26"/>
                <w:szCs w:val="26"/>
              </w:rPr>
              <w:t>141</w:t>
            </w:r>
          </w:p>
        </w:tc>
      </w:tr>
      <w:tr w:rsidR="00564DC7" w:rsidRPr="00564DC7" w14:paraId="25136090" w14:textId="77777777" w:rsidTr="00525863">
        <w:trPr>
          <w:jc w:val="center"/>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B50469" w14:textId="77777777" w:rsidR="00525863" w:rsidRPr="00564DC7" w:rsidRDefault="00525863" w:rsidP="00690186">
            <w:pPr>
              <w:numPr>
                <w:ilvl w:val="1"/>
                <w:numId w:val="0"/>
              </w:numPr>
              <w:jc w:val="both"/>
              <w:rPr>
                <w:rFonts w:asciiTheme="minorHAnsi" w:hAnsiTheme="minorHAnsi" w:cstheme="minorHAnsi"/>
                <w:b/>
                <w:sz w:val="26"/>
                <w:szCs w:val="26"/>
              </w:rPr>
            </w:pPr>
            <w:r w:rsidRPr="00564DC7">
              <w:rPr>
                <w:rFonts w:asciiTheme="minorHAnsi" w:hAnsiTheme="minorHAnsi" w:cstheme="minorHAnsi"/>
                <w:b/>
                <w:sz w:val="26"/>
                <w:szCs w:val="26"/>
              </w:rPr>
              <w:t xml:space="preserve">          Total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6F382"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3051</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688104"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2330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2A5889"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70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350B1"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651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B76BC" w14:textId="77777777" w:rsidR="00525863" w:rsidRPr="00564DC7" w:rsidRDefault="00525863" w:rsidP="00690186">
            <w:pPr>
              <w:numPr>
                <w:ilvl w:val="1"/>
                <w:numId w:val="0"/>
              </w:numPr>
              <w:rPr>
                <w:rFonts w:asciiTheme="minorHAnsi" w:hAnsiTheme="minorHAnsi" w:cstheme="minorHAnsi"/>
                <w:b/>
                <w:sz w:val="26"/>
                <w:szCs w:val="26"/>
              </w:rPr>
            </w:pPr>
            <w:r w:rsidRPr="00564DC7">
              <w:rPr>
                <w:rFonts w:asciiTheme="minorHAnsi" w:hAnsiTheme="minorHAnsi" w:cstheme="minorHAnsi"/>
                <w:b/>
                <w:sz w:val="26"/>
                <w:szCs w:val="26"/>
              </w:rPr>
              <w:t>854</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6DB5F"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491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A9384"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44</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1E25" w14:textId="77777777" w:rsidR="00525863" w:rsidRPr="00564DC7" w:rsidRDefault="00525863" w:rsidP="00690186">
            <w:pPr>
              <w:numPr>
                <w:ilvl w:val="1"/>
                <w:numId w:val="0"/>
              </w:numPr>
              <w:jc w:val="center"/>
              <w:rPr>
                <w:rFonts w:asciiTheme="minorHAnsi" w:hAnsiTheme="minorHAnsi" w:cstheme="minorHAnsi"/>
                <w:b/>
                <w:sz w:val="26"/>
                <w:szCs w:val="26"/>
              </w:rPr>
            </w:pPr>
            <w:r w:rsidRPr="00564DC7">
              <w:rPr>
                <w:rFonts w:asciiTheme="minorHAnsi" w:hAnsiTheme="minorHAnsi" w:cstheme="minorHAnsi"/>
                <w:b/>
                <w:sz w:val="26"/>
                <w:szCs w:val="26"/>
              </w:rPr>
              <w:t>319</w:t>
            </w:r>
          </w:p>
        </w:tc>
      </w:tr>
    </w:tbl>
    <w:p w14:paraId="2284C12A" w14:textId="25A557A2" w:rsidR="00525863" w:rsidRPr="00564DC7" w:rsidRDefault="00525863" w:rsidP="00690186">
      <w:pPr>
        <w:ind w:right="48"/>
        <w:jc w:val="center"/>
        <w:rPr>
          <w:rFonts w:asciiTheme="minorHAnsi" w:hAnsiTheme="minorHAnsi" w:cstheme="minorHAnsi"/>
          <w:sz w:val="26"/>
          <w:szCs w:val="26"/>
        </w:rPr>
      </w:pPr>
      <w:r w:rsidRPr="00564DC7">
        <w:rPr>
          <w:rFonts w:asciiTheme="minorHAnsi" w:hAnsiTheme="minorHAnsi" w:cstheme="minorHAnsi"/>
          <w:noProof/>
          <w:sz w:val="26"/>
          <w:szCs w:val="26"/>
          <w:lang w:val="en-US"/>
        </w:rPr>
        <w:drawing>
          <wp:inline distT="0" distB="0" distL="0" distR="0" wp14:anchorId="531FB938" wp14:editId="50094C43">
            <wp:extent cx="6000750" cy="2752725"/>
            <wp:effectExtent l="0" t="0" r="0" b="0"/>
            <wp:docPr id="4"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C27399" w14:textId="77777777" w:rsidR="00CB3F9B" w:rsidRPr="00564DC7" w:rsidRDefault="00CB3F9B">
      <w:pPr>
        <w:pStyle w:val="ListParagraph"/>
        <w:keepNext/>
        <w:numPr>
          <w:ilvl w:val="0"/>
          <w:numId w:val="17"/>
        </w:numPr>
        <w:jc w:val="both"/>
        <w:rPr>
          <w:rFonts w:asciiTheme="minorHAnsi" w:hAnsiTheme="minorHAnsi" w:cstheme="minorHAnsi"/>
          <w:b/>
          <w:sz w:val="26"/>
          <w:szCs w:val="26"/>
        </w:rPr>
      </w:pPr>
      <w:r w:rsidRPr="00564DC7">
        <w:rPr>
          <w:rFonts w:asciiTheme="minorHAnsi" w:hAnsiTheme="minorHAnsi" w:cstheme="minorHAnsi"/>
          <w:b/>
          <w:sz w:val="26"/>
          <w:szCs w:val="26"/>
        </w:rPr>
        <w:lastRenderedPageBreak/>
        <w:t>Ocuparea posturilor de execuţie de judecător şi procuror</w:t>
      </w:r>
    </w:p>
    <w:p w14:paraId="24E1E851" w14:textId="77777777" w:rsidR="00150131" w:rsidRPr="00564DC7" w:rsidRDefault="00150131" w:rsidP="00690186">
      <w:pPr>
        <w:keepNext/>
        <w:ind w:left="708"/>
        <w:jc w:val="both"/>
        <w:rPr>
          <w:rFonts w:asciiTheme="minorHAnsi" w:hAnsiTheme="minorHAnsi" w:cstheme="minorHAnsi"/>
          <w:b/>
          <w:sz w:val="26"/>
          <w:szCs w:val="26"/>
        </w:rPr>
      </w:pPr>
      <w:r w:rsidRPr="00564DC7">
        <w:rPr>
          <w:rFonts w:asciiTheme="minorHAnsi" w:hAnsiTheme="minorHAnsi" w:cstheme="minorHAnsi"/>
          <w:b/>
          <w:sz w:val="26"/>
          <w:szCs w:val="26"/>
        </w:rPr>
        <w:t>Ocuparea posturilor de execuţie de judecător</w:t>
      </w:r>
    </w:p>
    <w:p w14:paraId="099A38FB" w14:textId="77777777" w:rsidR="00150131" w:rsidRPr="00564DC7" w:rsidRDefault="00150131" w:rsidP="00690186">
      <w:pPr>
        <w:keepNext/>
        <w:ind w:firstLine="708"/>
        <w:jc w:val="both"/>
        <w:rPr>
          <w:rFonts w:asciiTheme="minorHAnsi" w:hAnsiTheme="minorHAnsi" w:cstheme="minorHAnsi"/>
          <w:sz w:val="26"/>
          <w:szCs w:val="26"/>
        </w:rPr>
      </w:pPr>
      <w:r w:rsidRPr="00564DC7">
        <w:rPr>
          <w:rFonts w:asciiTheme="minorHAnsi" w:hAnsiTheme="minorHAnsi" w:cstheme="minorHAnsi"/>
          <w:sz w:val="26"/>
          <w:szCs w:val="26"/>
        </w:rPr>
        <w:t>În cursul anului 2023, ocuparea posturilor de execuţie vacante s-a realizat prin următoarele modalităţi:</w:t>
      </w:r>
    </w:p>
    <w:p w14:paraId="7C88A895" w14:textId="77777777" w:rsidR="00150131" w:rsidRPr="00564DC7" w:rsidRDefault="00150131" w:rsidP="00690186">
      <w:pPr>
        <w:tabs>
          <w:tab w:val="left" w:pos="720"/>
        </w:tabs>
        <w:ind w:left="684"/>
        <w:jc w:val="both"/>
        <w:rPr>
          <w:rFonts w:asciiTheme="minorHAnsi" w:hAnsiTheme="minorHAnsi" w:cstheme="minorHAnsi"/>
          <w:b/>
          <w:sz w:val="26"/>
          <w:szCs w:val="26"/>
        </w:rPr>
      </w:pPr>
      <w:r w:rsidRPr="00564DC7">
        <w:rPr>
          <w:rFonts w:asciiTheme="minorHAnsi" w:hAnsiTheme="minorHAnsi" w:cstheme="minorHAnsi"/>
          <w:b/>
          <w:sz w:val="26"/>
          <w:szCs w:val="26"/>
        </w:rPr>
        <w:t>Repartizarea absolvenţilor Institutului Naţional al Magistraturii</w:t>
      </w:r>
    </w:p>
    <w:p w14:paraId="21B84D33" w14:textId="77777777" w:rsidR="00150131" w:rsidRPr="00564DC7" w:rsidRDefault="00150131" w:rsidP="00690186">
      <w:pPr>
        <w:ind w:firstLine="684"/>
        <w:jc w:val="both"/>
        <w:rPr>
          <w:rFonts w:asciiTheme="minorHAnsi" w:hAnsiTheme="minorHAnsi" w:cstheme="minorHAnsi"/>
          <w:sz w:val="26"/>
          <w:szCs w:val="26"/>
        </w:rPr>
      </w:pPr>
      <w:r w:rsidRPr="00564DC7">
        <w:rPr>
          <w:rFonts w:asciiTheme="minorHAnsi" w:hAnsiTheme="minorHAnsi" w:cstheme="minorHAnsi"/>
          <w:sz w:val="26"/>
          <w:szCs w:val="26"/>
        </w:rPr>
        <w:t>Ca efect al Deciziei Curţii Constituţionale nr. 121/2020, similar situaţiei din cursul anului 2022, nici în anul curent nu există o promoţie de absolvenţi ai Institutului Naţional al Magistraturii motivat de faptul că în perioada 2020 – iulie 2021 nu au mai fost organizate concursuri de admitere în magistratură sau la Institutul Naţional al Magistraturii.</w:t>
      </w:r>
    </w:p>
    <w:p w14:paraId="749E1E91" w14:textId="77777777" w:rsidR="00150131" w:rsidRPr="00564DC7" w:rsidRDefault="00150131" w:rsidP="00690186">
      <w:pPr>
        <w:tabs>
          <w:tab w:val="left" w:pos="0"/>
        </w:tabs>
        <w:ind w:firstLine="684"/>
        <w:jc w:val="both"/>
        <w:rPr>
          <w:rFonts w:asciiTheme="minorHAnsi" w:hAnsiTheme="minorHAnsi" w:cstheme="minorHAnsi"/>
          <w:sz w:val="26"/>
          <w:szCs w:val="26"/>
        </w:rPr>
      </w:pP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 xml:space="preserve">Numirea în magistratură pe bază de concurs </w:t>
      </w:r>
    </w:p>
    <w:p w14:paraId="71079231"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cursul anului 2023 au fost finalizate două noi concursuri de admitere în magistratură, declanşate în anul 2022, prin Hotărârea Plenului Consiliului Superior al Magistraturii nr. 92/2022, respectiv prin Hotărârea Plenului Consiliului Superior al Magistraturii nr. 141/2022, fiind ocupate 127 de posturi de judecător la judecătorii, după cum urmează:</w:t>
      </w:r>
    </w:p>
    <w:p w14:paraId="4A8042D5" w14:textId="7DCE70DE" w:rsidR="00150131" w:rsidRPr="00564DC7" w:rsidRDefault="00150131">
      <w:pPr>
        <w:pStyle w:val="ListParagraph"/>
        <w:numPr>
          <w:ilvl w:val="0"/>
          <w:numId w:val="16"/>
        </w:numPr>
        <w:tabs>
          <w:tab w:val="left" w:pos="993"/>
        </w:tabs>
        <w:ind w:left="0" w:firstLine="709"/>
        <w:jc w:val="both"/>
        <w:rPr>
          <w:rFonts w:asciiTheme="minorHAnsi" w:hAnsiTheme="minorHAnsi" w:cstheme="minorHAnsi"/>
          <w:sz w:val="26"/>
          <w:szCs w:val="26"/>
        </w:rPr>
      </w:pPr>
      <w:r w:rsidRPr="00564DC7">
        <w:rPr>
          <w:rFonts w:asciiTheme="minorHAnsi" w:hAnsiTheme="minorHAnsi" w:cstheme="minorHAnsi"/>
          <w:sz w:val="26"/>
          <w:szCs w:val="26"/>
        </w:rPr>
        <w:t>76 de posturi ca urmare a concursului desfăşurat în perioada 12 iulie 2022 – 2 martie 2023, conform propunerilor de numire formulate prin Hotărârea nr. 344/2023 a Secţiei pentru judecători</w:t>
      </w:r>
      <w:r w:rsidR="00295716">
        <w:rPr>
          <w:rFonts w:asciiTheme="minorHAnsi" w:hAnsiTheme="minorHAnsi" w:cstheme="minorHAnsi"/>
          <w:sz w:val="26"/>
          <w:szCs w:val="26"/>
        </w:rPr>
        <w:t>;</w:t>
      </w:r>
    </w:p>
    <w:p w14:paraId="3590C7E9" w14:textId="77777777" w:rsidR="00150131" w:rsidRPr="00564DC7" w:rsidRDefault="00150131">
      <w:pPr>
        <w:pStyle w:val="ListParagraph"/>
        <w:numPr>
          <w:ilvl w:val="0"/>
          <w:numId w:val="16"/>
        </w:numPr>
        <w:tabs>
          <w:tab w:val="left" w:pos="993"/>
        </w:tabs>
        <w:ind w:left="0" w:firstLine="709"/>
        <w:jc w:val="both"/>
        <w:rPr>
          <w:rFonts w:asciiTheme="minorHAnsi" w:hAnsiTheme="minorHAnsi" w:cstheme="minorHAnsi"/>
          <w:sz w:val="26"/>
          <w:szCs w:val="26"/>
        </w:rPr>
      </w:pPr>
      <w:r w:rsidRPr="00564DC7">
        <w:rPr>
          <w:rFonts w:asciiTheme="minorHAnsi" w:hAnsiTheme="minorHAnsi" w:cstheme="minorHAnsi"/>
          <w:sz w:val="26"/>
          <w:szCs w:val="26"/>
        </w:rPr>
        <w:t>51 de posturi ca urmare a concursului desfăşurat în perioada 14 octombrie 2022 – 15 iunie 2023, conform propunerilor de numire formulate prin Hotărârea nr. 1622/2023 a Secţiei pentru judecători.</w:t>
      </w:r>
    </w:p>
    <w:p w14:paraId="7C570328" w14:textId="73CCEDBB"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Totodată, în prezent este în derulare concursul de admitere în magistratură declanşat prin Hotărârea Plenului Consiliului Superior al Magistraturii nr. 119/2023 pentru ocuparea a 250 de posturi de judecător la judecătorii şi 147 de posturi de procuror la parchetele de pe lângă judecătorii. Concursul urmează a fi finalizat în cursul lunii martie 2024. </w:t>
      </w:r>
    </w:p>
    <w:p w14:paraId="5DC13E10" w14:textId="55908240" w:rsidR="002D02D1" w:rsidRPr="001270C8" w:rsidRDefault="002D02D1" w:rsidP="002D02D1">
      <w:pPr>
        <w:keepNext/>
        <w:tabs>
          <w:tab w:val="left" w:pos="720"/>
        </w:tabs>
        <w:spacing w:line="276" w:lineRule="auto"/>
        <w:jc w:val="both"/>
        <w:rPr>
          <w:rFonts w:asciiTheme="minorHAnsi" w:hAnsiTheme="minorHAnsi" w:cstheme="minorHAnsi"/>
          <w:b/>
          <w:sz w:val="26"/>
          <w:szCs w:val="26"/>
        </w:rPr>
      </w:pPr>
      <w:r>
        <w:rPr>
          <w:rFonts w:asciiTheme="minorHAnsi" w:hAnsiTheme="minorHAnsi" w:cstheme="minorHAnsi"/>
          <w:b/>
          <w:sz w:val="26"/>
          <w:szCs w:val="26"/>
        </w:rPr>
        <w:tab/>
      </w:r>
      <w:r w:rsidR="00150131" w:rsidRPr="00564DC7">
        <w:rPr>
          <w:rFonts w:asciiTheme="minorHAnsi" w:hAnsiTheme="minorHAnsi" w:cstheme="minorHAnsi"/>
          <w:b/>
          <w:sz w:val="26"/>
          <w:szCs w:val="26"/>
        </w:rPr>
        <w:t xml:space="preserve">Numirea, la cerere, a procurorilor în funcţia de judecător </w:t>
      </w:r>
    </w:p>
    <w:p w14:paraId="3F306CFF" w14:textId="77777777" w:rsidR="00150131" w:rsidRPr="00564DC7" w:rsidRDefault="00150131" w:rsidP="00690186">
      <w:pPr>
        <w:keepNext/>
        <w:ind w:firstLine="709"/>
        <w:jc w:val="both"/>
        <w:rPr>
          <w:rFonts w:asciiTheme="minorHAnsi" w:eastAsia="Calibri" w:hAnsiTheme="minorHAnsi" w:cstheme="minorHAnsi"/>
          <w:sz w:val="26"/>
          <w:szCs w:val="26"/>
        </w:rPr>
      </w:pPr>
      <w:r w:rsidRPr="00564DC7">
        <w:rPr>
          <w:rFonts w:asciiTheme="minorHAnsi" w:eastAsia="Calibri" w:hAnsiTheme="minorHAnsi" w:cstheme="minorHAnsi"/>
          <w:sz w:val="26"/>
          <w:szCs w:val="26"/>
        </w:rPr>
        <w:t>În acord cu prevederile Legii nr. 303/2022, la nivelul Consiliului Superior al Magistraturii s-a dispus declanșarea unei sesiuni de numire a procurorilor în funcția de judecător, iar anunțul privind declanșarea procedurii a fost publicat pe pagina de internet a Consiliului la data de 11 mai 2023.</w:t>
      </w:r>
    </w:p>
    <w:p w14:paraId="1D15817C" w14:textId="2281F922" w:rsidR="0012437C" w:rsidRPr="0025293F" w:rsidRDefault="00150131" w:rsidP="0012437C">
      <w:pPr>
        <w:ind w:firstLine="684"/>
        <w:jc w:val="both"/>
        <w:rPr>
          <w:rFonts w:asciiTheme="minorHAnsi" w:eastAsia="Calibri" w:hAnsiTheme="minorHAnsi" w:cstheme="minorHAnsi"/>
          <w:sz w:val="26"/>
          <w:szCs w:val="26"/>
        </w:rPr>
      </w:pPr>
      <w:r w:rsidRPr="00564DC7">
        <w:rPr>
          <w:rFonts w:asciiTheme="minorHAnsi" w:eastAsia="Calibri" w:hAnsiTheme="minorHAnsi" w:cstheme="minorHAnsi"/>
          <w:sz w:val="26"/>
          <w:szCs w:val="26"/>
        </w:rPr>
        <w:t xml:space="preserve">În şedinţele Secţiei pentru judecători din perioada 27 - 28 iunie 2023 a avut loc susţinerea interviului în cadrul acestei proceduri, fiind formulate propuneri pentru numirea în funcţia de judecător pentru 35 </w:t>
      </w:r>
      <w:r w:rsidRPr="0025293F">
        <w:rPr>
          <w:rFonts w:asciiTheme="minorHAnsi" w:eastAsia="Calibri" w:hAnsiTheme="minorHAnsi" w:cstheme="minorHAnsi"/>
          <w:sz w:val="26"/>
          <w:szCs w:val="26"/>
        </w:rPr>
        <w:t xml:space="preserve">de persoane. </w:t>
      </w:r>
      <w:r w:rsidR="0012437C" w:rsidRPr="0025293F">
        <w:rPr>
          <w:rFonts w:asciiTheme="minorHAnsi" w:eastAsia="Calibri" w:hAnsiTheme="minorHAnsi" w:cstheme="minorHAnsi"/>
          <w:sz w:val="26"/>
          <w:szCs w:val="26"/>
        </w:rPr>
        <w:t>Ca urmare a contestării de către parchete a unora dintre propunerile formulate, dintre care până în prezent au fost soluţionate definitiv prin respingere 9 contestații, au fost emise doar 29 de decrete de numire din funcţia de procuror. Situaţia concretă a celorlalte 6 propuneri de numire formulate de Secţia pentru judecători va fi finalizată în raport de soluţiile definitive pronunţate de instanţa judecătorească.</w:t>
      </w:r>
    </w:p>
    <w:p w14:paraId="0F9DD3BC" w14:textId="169C6114" w:rsidR="0012437C" w:rsidRPr="001270C8" w:rsidRDefault="0012437C" w:rsidP="0012437C">
      <w:pPr>
        <w:ind w:firstLine="684"/>
        <w:jc w:val="both"/>
        <w:rPr>
          <w:rFonts w:asciiTheme="minorHAnsi" w:eastAsia="Calibri" w:hAnsiTheme="minorHAnsi" w:cstheme="minorHAnsi"/>
          <w:sz w:val="26"/>
          <w:szCs w:val="26"/>
        </w:rPr>
      </w:pPr>
      <w:r w:rsidRPr="0025293F">
        <w:rPr>
          <w:rFonts w:asciiTheme="minorHAnsi" w:eastAsia="Calibri" w:hAnsiTheme="minorHAnsi" w:cstheme="minorHAnsi"/>
          <w:sz w:val="26"/>
          <w:szCs w:val="26"/>
        </w:rPr>
        <w:t>Totodată, este de menţionat că, la data de 7 decembrie 2023 a fost declanşată o nouă procedură de numire din funcţia de procuror în funcţia de judecător, fiind alocate acesteia 145 de judecătorii. În termenul de 15 zile prevăzut de lege, 30 de procurori au depus cerere pentru numirea ca judecător.</w:t>
      </w:r>
    </w:p>
    <w:p w14:paraId="0BFA6732" w14:textId="34D08606" w:rsidR="00150131" w:rsidRPr="00564DC7" w:rsidRDefault="00150131" w:rsidP="0012437C">
      <w:pPr>
        <w:ind w:firstLine="709"/>
        <w:jc w:val="both"/>
        <w:rPr>
          <w:rFonts w:asciiTheme="minorHAnsi" w:hAnsiTheme="minorHAnsi" w:cstheme="minorHAnsi"/>
          <w:b/>
          <w:sz w:val="26"/>
          <w:szCs w:val="26"/>
        </w:rPr>
      </w:pPr>
      <w:r w:rsidRPr="00564DC7">
        <w:rPr>
          <w:rFonts w:asciiTheme="minorHAnsi" w:hAnsiTheme="minorHAnsi" w:cstheme="minorHAnsi"/>
          <w:b/>
          <w:sz w:val="26"/>
          <w:szCs w:val="26"/>
        </w:rPr>
        <w:t xml:space="preserve">Numirea în funcţia de judecător sau procuror definitiv, după promovarea examenului de capacitate </w:t>
      </w:r>
    </w:p>
    <w:p w14:paraId="20559A2C" w14:textId="6C6BBC2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noiembrie 2022 – aprilie 2023 s-a desfăşurat examenul de capacitate al judecătorilor şi procurorilor stagiari în acord cu prevederile art. 25 alin. (1) din Legea nr. 303/2004, republicată, cu modificările şi completările ulterioare. Ca urmare a acestui examen, în cursul anului 2023, prin Hotărârile Secţiei pentru judecători nr. 1457 – 1459 din data de 4 mai 2023, au fost  formulate propuneri de numire, prin decret al Preşedintelui României, a </w:t>
      </w:r>
      <w:r w:rsidRPr="00564DC7">
        <w:rPr>
          <w:rFonts w:asciiTheme="minorHAnsi" w:hAnsiTheme="minorHAnsi" w:cstheme="minorHAnsi"/>
          <w:b/>
          <w:sz w:val="26"/>
          <w:szCs w:val="26"/>
        </w:rPr>
        <w:t xml:space="preserve">140 </w:t>
      </w:r>
      <w:r w:rsidRPr="00564DC7">
        <w:rPr>
          <w:rFonts w:asciiTheme="minorHAnsi" w:hAnsiTheme="minorHAnsi" w:cstheme="minorHAnsi"/>
          <w:bCs/>
          <w:sz w:val="26"/>
          <w:szCs w:val="26"/>
        </w:rPr>
        <w:t>de</w:t>
      </w:r>
      <w:r w:rsidRPr="00564DC7">
        <w:rPr>
          <w:rFonts w:asciiTheme="minorHAnsi" w:hAnsiTheme="minorHAnsi" w:cstheme="minorHAnsi"/>
          <w:sz w:val="26"/>
          <w:szCs w:val="26"/>
        </w:rPr>
        <w:t xml:space="preserve"> judecători fără, însă, </w:t>
      </w:r>
      <w:r w:rsidR="00F75DE3">
        <w:rPr>
          <w:rFonts w:asciiTheme="minorHAnsi" w:hAnsiTheme="minorHAnsi" w:cstheme="minorHAnsi"/>
          <w:sz w:val="26"/>
          <w:szCs w:val="26"/>
        </w:rPr>
        <w:t xml:space="preserve">ca acest aspect să </w:t>
      </w:r>
      <w:r w:rsidRPr="00564DC7">
        <w:rPr>
          <w:rFonts w:asciiTheme="minorHAnsi" w:hAnsiTheme="minorHAnsi" w:cstheme="minorHAnsi"/>
          <w:sz w:val="26"/>
          <w:szCs w:val="26"/>
        </w:rPr>
        <w:t>reprez</w:t>
      </w:r>
      <w:r w:rsidR="00F75DE3">
        <w:rPr>
          <w:rFonts w:asciiTheme="minorHAnsi" w:hAnsiTheme="minorHAnsi" w:cstheme="minorHAnsi"/>
          <w:sz w:val="26"/>
          <w:szCs w:val="26"/>
        </w:rPr>
        <w:t>inte</w:t>
      </w:r>
      <w:r w:rsidRPr="00564DC7">
        <w:rPr>
          <w:rFonts w:asciiTheme="minorHAnsi" w:hAnsiTheme="minorHAnsi" w:cstheme="minorHAnsi"/>
          <w:sz w:val="26"/>
          <w:szCs w:val="26"/>
        </w:rPr>
        <w:t xml:space="preserve"> efectiv o ocupare de noi posturi vacante.</w:t>
      </w:r>
    </w:p>
    <w:p w14:paraId="4AB33365" w14:textId="77777777" w:rsidR="00150131" w:rsidRPr="00564DC7" w:rsidRDefault="00150131" w:rsidP="00690186">
      <w:pPr>
        <w:ind w:firstLine="708"/>
        <w:jc w:val="both"/>
        <w:rPr>
          <w:rFonts w:asciiTheme="minorHAnsi" w:hAnsiTheme="minorHAnsi" w:cstheme="minorHAnsi"/>
          <w:b/>
          <w:sz w:val="26"/>
          <w:szCs w:val="26"/>
        </w:rPr>
      </w:pPr>
      <w:r w:rsidRPr="00564DC7">
        <w:rPr>
          <w:rFonts w:asciiTheme="minorHAnsi" w:hAnsiTheme="minorHAnsi" w:cstheme="minorHAnsi"/>
          <w:b/>
          <w:sz w:val="26"/>
          <w:szCs w:val="26"/>
        </w:rPr>
        <w:lastRenderedPageBreak/>
        <w:t>Numiri și reîncadrări în funcția de judecător şi procuror în temeiul art. 216 alin. (2) - (3) din Legea nr. 303/2022</w:t>
      </w:r>
    </w:p>
    <w:p w14:paraId="57C79254" w14:textId="77777777" w:rsidR="00150131" w:rsidRPr="00564DC7" w:rsidRDefault="00150131"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Prin Hotărârea nr. 1627/30.05.2023, Secţia pentru judecători a Consiliului Superior al Magistraturii a decis aprobarea declanşării procedurii de reîncadrare în funcţia de judecător pentru foştii judecători, potrivit prevederilor art. 216 alin. (2) - (3) din Legea nr. 303/2022 privind statutul judecătorilor şi procurorilor.</w:t>
      </w:r>
    </w:p>
    <w:p w14:paraId="1E458093" w14:textId="77777777" w:rsidR="00150131" w:rsidRPr="00564DC7" w:rsidRDefault="00150131"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Astfel, în conformitate cu art. 2 din Metodologia privind reîncadrarea în funcţia de judecător, aprobată prin Hotărârea Secţiei pentru judecători nr. 423/2023 şi-au putut depune cereri judecătorii care au fost eliberaţi din funcţie, prin pensionare, începând cu data de 31.05.2020. </w:t>
      </w:r>
    </w:p>
    <w:p w14:paraId="6B625BFE" w14:textId="5F04CCE8" w:rsidR="00150131" w:rsidRPr="00564DC7" w:rsidRDefault="00150131"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Conform acestei proceduri, în şedinţa Secţiei pentru judecători din data de 14 septembrie 2023 au fost analizate cererile de reîncadr</w:t>
      </w:r>
      <w:r w:rsidR="00F75DE3">
        <w:rPr>
          <w:rFonts w:asciiTheme="minorHAnsi" w:hAnsiTheme="minorHAnsi" w:cstheme="minorHAnsi"/>
          <w:sz w:val="26"/>
          <w:szCs w:val="26"/>
        </w:rPr>
        <w:t>are</w:t>
      </w:r>
      <w:r w:rsidRPr="00564DC7">
        <w:rPr>
          <w:rFonts w:asciiTheme="minorHAnsi" w:hAnsiTheme="minorHAnsi" w:cstheme="minorHAnsi"/>
          <w:sz w:val="26"/>
          <w:szCs w:val="26"/>
        </w:rPr>
        <w:t xml:space="preserve"> depuse şi au fost formulate 13 propuneri de reîncadrare, din care 11 la nivel de judecătorie şi 2 la nivel de tribunal.</w:t>
      </w:r>
    </w:p>
    <w:p w14:paraId="63DEB835" w14:textId="77777777" w:rsidR="00150131" w:rsidRPr="00564DC7" w:rsidRDefault="00150131" w:rsidP="00690186">
      <w:pPr>
        <w:pStyle w:val="ListParagraph"/>
        <w:keepNext/>
        <w:ind w:left="0" w:firstLine="708"/>
        <w:jc w:val="both"/>
        <w:rPr>
          <w:rFonts w:asciiTheme="minorHAnsi" w:hAnsiTheme="minorHAnsi" w:cstheme="minorHAnsi"/>
          <w:b/>
          <w:sz w:val="26"/>
          <w:szCs w:val="26"/>
        </w:rPr>
      </w:pPr>
      <w:r w:rsidRPr="00564DC7">
        <w:rPr>
          <w:rFonts w:asciiTheme="minorHAnsi" w:hAnsiTheme="minorHAnsi" w:cstheme="minorHAnsi"/>
          <w:b/>
          <w:sz w:val="26"/>
          <w:szCs w:val="26"/>
        </w:rPr>
        <w:t>Ocuparea posturilor de execuţie de procuror</w:t>
      </w:r>
    </w:p>
    <w:p w14:paraId="724DA39D" w14:textId="4F329C1C" w:rsidR="00150131" w:rsidRPr="00564DC7" w:rsidRDefault="00150131"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ianuarie </w:t>
      </w:r>
      <w:r w:rsidR="00F7167B">
        <w:rPr>
          <w:rFonts w:asciiTheme="minorHAnsi" w:hAnsiTheme="minorHAnsi" w:cstheme="minorHAnsi"/>
          <w:sz w:val="26"/>
          <w:szCs w:val="26"/>
        </w:rPr>
        <w:t>–</w:t>
      </w:r>
      <w:r w:rsidRPr="00564DC7">
        <w:rPr>
          <w:rFonts w:asciiTheme="minorHAnsi" w:hAnsiTheme="minorHAnsi" w:cstheme="minorHAnsi"/>
          <w:sz w:val="26"/>
          <w:szCs w:val="26"/>
        </w:rPr>
        <w:t xml:space="preserve"> </w:t>
      </w:r>
      <w:r w:rsidR="00F7167B">
        <w:rPr>
          <w:rFonts w:asciiTheme="minorHAnsi" w:hAnsiTheme="minorHAnsi" w:cstheme="minorHAnsi"/>
          <w:sz w:val="26"/>
          <w:szCs w:val="26"/>
        </w:rPr>
        <w:t xml:space="preserve">31 decembrie </w:t>
      </w:r>
      <w:r w:rsidRPr="00564DC7">
        <w:rPr>
          <w:rFonts w:asciiTheme="minorHAnsi" w:hAnsiTheme="minorHAnsi" w:cstheme="minorHAnsi"/>
          <w:sz w:val="26"/>
          <w:szCs w:val="26"/>
        </w:rPr>
        <w:t>2023, ocuparea posturilor de execuţie vacante s-a realizat prin următoarele modalităţi:</w:t>
      </w:r>
    </w:p>
    <w:p w14:paraId="11073808" w14:textId="77777777" w:rsidR="00150131" w:rsidRPr="00564DC7" w:rsidRDefault="00150131" w:rsidP="00690186">
      <w:pPr>
        <w:pStyle w:val="NormalWeb"/>
        <w:spacing w:before="0" w:beforeAutospacing="0" w:after="0" w:afterAutospacing="0"/>
        <w:ind w:firstLine="720"/>
        <w:jc w:val="both"/>
        <w:rPr>
          <w:rFonts w:asciiTheme="minorHAnsi" w:hAnsiTheme="minorHAnsi" w:cstheme="minorHAnsi"/>
          <w:b/>
          <w:sz w:val="26"/>
          <w:szCs w:val="26"/>
        </w:rPr>
      </w:pPr>
      <w:r w:rsidRPr="00564DC7">
        <w:rPr>
          <w:rFonts w:asciiTheme="minorHAnsi" w:hAnsiTheme="minorHAnsi" w:cstheme="minorHAnsi"/>
          <w:b/>
          <w:sz w:val="26"/>
          <w:szCs w:val="26"/>
        </w:rPr>
        <w:t>Numirea în magistratură pe bază de concurs, conform dispoziţiilor art. 33 din Legea nr. 303/2004 republicată, cu modificările şi completările ulterioare</w:t>
      </w:r>
    </w:p>
    <w:p w14:paraId="7A016AC3" w14:textId="782B117D" w:rsidR="00150131" w:rsidRPr="00564DC7" w:rsidRDefault="00150131" w:rsidP="00690186">
      <w:pPr>
        <w:pStyle w:val="NormalWeb"/>
        <w:spacing w:before="0" w:beforeAutospacing="0" w:after="0" w:afterAutospacing="0"/>
        <w:ind w:firstLine="720"/>
        <w:jc w:val="both"/>
        <w:rPr>
          <w:rFonts w:asciiTheme="minorHAnsi" w:hAnsiTheme="minorHAnsi" w:cstheme="minorHAnsi"/>
          <w:bCs/>
          <w:sz w:val="26"/>
          <w:szCs w:val="26"/>
        </w:rPr>
      </w:pPr>
      <w:r w:rsidRPr="00564DC7">
        <w:rPr>
          <w:rFonts w:asciiTheme="minorHAnsi" w:hAnsiTheme="minorHAnsi" w:cstheme="minorHAnsi"/>
          <w:bCs/>
          <w:sz w:val="26"/>
          <w:szCs w:val="26"/>
        </w:rPr>
        <w:t>Prin Hotărârile Plenului Consiliului Superior al Magistraturii nr. 92/07.07.2022</w:t>
      </w:r>
      <w:r w:rsidR="00F75DE3">
        <w:rPr>
          <w:rFonts w:asciiTheme="minorHAnsi" w:hAnsiTheme="minorHAnsi" w:cstheme="minorHAnsi"/>
          <w:bCs/>
          <w:sz w:val="26"/>
          <w:szCs w:val="26"/>
        </w:rPr>
        <w:t xml:space="preserve"> </w:t>
      </w:r>
      <w:r w:rsidRPr="00564DC7">
        <w:rPr>
          <w:rFonts w:asciiTheme="minorHAnsi" w:hAnsiTheme="minorHAnsi" w:cstheme="minorHAnsi"/>
          <w:bCs/>
          <w:sz w:val="26"/>
          <w:szCs w:val="26"/>
        </w:rPr>
        <w:t>și</w:t>
      </w:r>
      <w:r w:rsidR="00F75DE3">
        <w:rPr>
          <w:rFonts w:asciiTheme="minorHAnsi" w:hAnsiTheme="minorHAnsi" w:cstheme="minorHAnsi"/>
          <w:bCs/>
          <w:sz w:val="26"/>
          <w:szCs w:val="26"/>
        </w:rPr>
        <w:t xml:space="preserve"> </w:t>
      </w:r>
      <w:r w:rsidRPr="00564DC7">
        <w:rPr>
          <w:rFonts w:asciiTheme="minorHAnsi" w:hAnsiTheme="minorHAnsi" w:cstheme="minorHAnsi"/>
          <w:bCs/>
          <w:sz w:val="26"/>
          <w:szCs w:val="26"/>
        </w:rPr>
        <w:t>nr. 141/11.10.2022 s-a aprobat organizarea concursului de admitere în magistratură prin intermediul Institutului Național al Magistraturii, la București, în perioadele iulie 2022 – martie 2023, respectiv 14.10.2022 - 15.06.2023, în condițiile art. 33 din Legea nr. 303/2004 privind statutul judecătorilor și procurorilor, republicată, cu modificările și completările ulterioare.</w:t>
      </w:r>
    </w:p>
    <w:p w14:paraId="2369B6C6" w14:textId="77777777" w:rsidR="00150131" w:rsidRPr="00564DC7" w:rsidRDefault="00150131" w:rsidP="00690186">
      <w:pPr>
        <w:pStyle w:val="NormalWeb"/>
        <w:spacing w:before="0" w:beforeAutospacing="0" w:after="0" w:afterAutospacing="0"/>
        <w:ind w:firstLine="720"/>
        <w:jc w:val="both"/>
        <w:rPr>
          <w:rFonts w:asciiTheme="minorHAnsi" w:hAnsiTheme="minorHAnsi" w:cstheme="minorHAnsi"/>
          <w:bCs/>
          <w:sz w:val="26"/>
          <w:szCs w:val="26"/>
        </w:rPr>
      </w:pPr>
      <w:r w:rsidRPr="00564DC7">
        <w:rPr>
          <w:rFonts w:asciiTheme="minorHAnsi" w:hAnsiTheme="minorHAnsi" w:cstheme="minorHAnsi"/>
          <w:bCs/>
          <w:sz w:val="26"/>
          <w:szCs w:val="26"/>
        </w:rPr>
        <w:t>În urma acestor concursuri au fost ocupate 40 de posturi de procuror, aceștia fiind numiți în funcția de procuror începând cu data de 23.03.2023, respectiv 16.06.2023.</w:t>
      </w:r>
    </w:p>
    <w:p w14:paraId="29958E31" w14:textId="77777777" w:rsidR="00150131" w:rsidRPr="00564DC7" w:rsidRDefault="00150131" w:rsidP="00690186">
      <w:pPr>
        <w:pStyle w:val="NormalWeb"/>
        <w:spacing w:before="0" w:beforeAutospacing="0" w:after="0" w:afterAutospacing="0"/>
        <w:ind w:firstLine="720"/>
        <w:jc w:val="both"/>
        <w:rPr>
          <w:rFonts w:asciiTheme="minorHAnsi" w:hAnsiTheme="minorHAnsi" w:cstheme="minorHAnsi"/>
          <w:bCs/>
          <w:sz w:val="26"/>
          <w:szCs w:val="26"/>
        </w:rPr>
      </w:pPr>
      <w:r w:rsidRPr="00564DC7">
        <w:rPr>
          <w:rFonts w:asciiTheme="minorHAnsi" w:hAnsiTheme="minorHAnsi" w:cstheme="minorHAnsi"/>
          <w:bCs/>
          <w:sz w:val="26"/>
          <w:szCs w:val="26"/>
        </w:rPr>
        <w:t>Prin Hotărârea Plenului Consiliului Superior al Magistraturii nr. 119/2023 s-a aprobat organizarea concursului de admitere în magistratură prin intermediul Institutului Național al Magistraturii, la București, în perioada 07 iulie 2023 – 06 martie 2024, în condițiile art. 63 din Legea nr. 303/2022 privind statutul judecătorilor și procurorilor, cu termen de finalizare în cursului anului 2024.</w:t>
      </w:r>
    </w:p>
    <w:p w14:paraId="6FFE7309" w14:textId="77777777" w:rsidR="00150131" w:rsidRPr="00564DC7" w:rsidRDefault="00150131" w:rsidP="00690186">
      <w:pPr>
        <w:pStyle w:val="NormalWeb"/>
        <w:spacing w:before="0" w:beforeAutospacing="0" w:after="0" w:afterAutospacing="0"/>
        <w:ind w:firstLine="720"/>
        <w:jc w:val="both"/>
        <w:rPr>
          <w:rFonts w:asciiTheme="minorHAnsi" w:hAnsiTheme="minorHAnsi" w:cstheme="minorHAnsi"/>
          <w:b/>
          <w:sz w:val="26"/>
          <w:szCs w:val="26"/>
        </w:rPr>
      </w:pPr>
      <w:r w:rsidRPr="00564DC7">
        <w:rPr>
          <w:rFonts w:asciiTheme="minorHAnsi" w:hAnsiTheme="minorHAnsi" w:cstheme="minorHAnsi"/>
          <w:b/>
          <w:sz w:val="26"/>
          <w:szCs w:val="26"/>
        </w:rPr>
        <w:t xml:space="preserve">Numirea, la cerere, a judecătorilor în funcţia de procuror </w:t>
      </w:r>
    </w:p>
    <w:p w14:paraId="0F901C0E" w14:textId="4DF306E9" w:rsidR="00150131" w:rsidRDefault="00150131"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perioada de referinţă, Secția pentru procurori a  Consiliului Superior al Magistraturii a admis cererile formulate de 8 judecători de eliberare din această funcție și numire în funcția de procuror, decretele Președintelui României fiind emise în luna august 2023.</w:t>
      </w:r>
    </w:p>
    <w:p w14:paraId="2303F955" w14:textId="3D724E28" w:rsidR="00150131" w:rsidRPr="00564DC7" w:rsidRDefault="00150131" w:rsidP="00690186">
      <w:pPr>
        <w:ind w:firstLine="720"/>
        <w:jc w:val="both"/>
        <w:rPr>
          <w:rFonts w:asciiTheme="minorHAnsi" w:hAnsiTheme="minorHAnsi" w:cstheme="minorHAnsi"/>
          <w:b/>
          <w:sz w:val="26"/>
          <w:szCs w:val="26"/>
        </w:rPr>
      </w:pPr>
      <w:r w:rsidRPr="00564DC7">
        <w:rPr>
          <w:rFonts w:asciiTheme="minorHAnsi" w:hAnsiTheme="minorHAnsi" w:cstheme="minorHAnsi"/>
          <w:b/>
          <w:sz w:val="26"/>
          <w:szCs w:val="26"/>
        </w:rPr>
        <w:t>Numirea în funcţia de procuror, după promovarea examenului de capacitate</w:t>
      </w:r>
    </w:p>
    <w:p w14:paraId="6A80E9FF" w14:textId="7F5D0729" w:rsidR="00150131" w:rsidRPr="00564DC7" w:rsidRDefault="00150131" w:rsidP="00690186">
      <w:pPr>
        <w:pStyle w:val="NormalWeb"/>
        <w:tabs>
          <w:tab w:val="left" w:pos="709"/>
        </w:tabs>
        <w:spacing w:before="0" w:beforeAutospacing="0" w:after="0" w:afterAutospacing="0"/>
        <w:ind w:firstLine="720"/>
        <w:jc w:val="both"/>
        <w:rPr>
          <w:rStyle w:val="rvts11"/>
          <w:rFonts w:asciiTheme="minorHAnsi" w:hAnsiTheme="minorHAnsi" w:cstheme="minorHAnsi"/>
          <w:i/>
          <w:sz w:val="26"/>
          <w:szCs w:val="26"/>
        </w:rPr>
      </w:pPr>
      <w:r w:rsidRPr="00564DC7">
        <w:rPr>
          <w:rStyle w:val="rvts7"/>
          <w:rFonts w:asciiTheme="minorHAnsi" w:eastAsiaTheme="majorEastAsia" w:hAnsiTheme="minorHAnsi" w:cstheme="minorHAnsi"/>
          <w:sz w:val="26"/>
          <w:szCs w:val="26"/>
        </w:rPr>
        <w:t>Potrivit art. 38 alin.</w:t>
      </w:r>
      <w:r w:rsidRPr="00564DC7">
        <w:rPr>
          <w:rStyle w:val="rvts11"/>
          <w:rFonts w:asciiTheme="minorHAnsi" w:hAnsiTheme="minorHAnsi" w:cstheme="minorHAnsi"/>
          <w:sz w:val="26"/>
          <w:szCs w:val="26"/>
        </w:rPr>
        <w:t xml:space="preserve"> (2) din Regulamentul privind examenul de capacitate al judecătorilor stagiari și al procurorilor stagiari, aprobat prin Hotărârea nr. 103/2019 a Plenului Consiliului Superior al Magistraturii, </w:t>
      </w:r>
      <w:r w:rsidRPr="00564DC7">
        <w:rPr>
          <w:rStyle w:val="rvts11"/>
          <w:rFonts w:asciiTheme="minorHAnsi" w:hAnsiTheme="minorHAnsi" w:cstheme="minorHAnsi"/>
          <w:i/>
          <w:sz w:val="26"/>
          <w:szCs w:val="26"/>
        </w:rPr>
        <w:t>judecătorii stagiari pot opta doar pentru posturi de judecător, iar procurorii stagiari pot opta doar pentru posturi de procuror.</w:t>
      </w:r>
    </w:p>
    <w:p w14:paraId="6E9DDDB6" w14:textId="2EE8AD07" w:rsidR="00150131" w:rsidRPr="00564DC7" w:rsidRDefault="00150131" w:rsidP="00690186">
      <w:pPr>
        <w:pStyle w:val="NormalWeb"/>
        <w:tabs>
          <w:tab w:val="left" w:pos="709"/>
        </w:tabs>
        <w:spacing w:before="0" w:beforeAutospacing="0" w:after="0" w:afterAutospacing="0"/>
        <w:ind w:firstLine="720"/>
        <w:jc w:val="both"/>
        <w:rPr>
          <w:rStyle w:val="rvts11"/>
          <w:rFonts w:asciiTheme="minorHAnsi" w:hAnsiTheme="minorHAnsi" w:cstheme="minorHAnsi"/>
          <w:sz w:val="26"/>
          <w:szCs w:val="26"/>
        </w:rPr>
      </w:pPr>
      <w:r w:rsidRPr="00564DC7">
        <w:rPr>
          <w:rStyle w:val="rvts11"/>
          <w:rFonts w:asciiTheme="minorHAnsi" w:hAnsiTheme="minorHAnsi" w:cstheme="minorHAnsi"/>
          <w:sz w:val="26"/>
          <w:szCs w:val="26"/>
        </w:rPr>
        <w:t>Pe cale de consecință, în raport de dispozițiile legale mai sus menționate, după absolvirea examenului de capacitate, procurorii stagiari nu au mai putut opta pentru funcția de judecător.</w:t>
      </w:r>
    </w:p>
    <w:p w14:paraId="394F758B" w14:textId="7D9B437D" w:rsidR="00150131" w:rsidRPr="00564DC7" w:rsidRDefault="00150131" w:rsidP="00690186">
      <w:pPr>
        <w:pStyle w:val="NormalWeb"/>
        <w:tabs>
          <w:tab w:val="left" w:pos="709"/>
        </w:tabs>
        <w:spacing w:before="0" w:beforeAutospacing="0" w:after="0" w:afterAutospacing="0"/>
        <w:ind w:firstLine="720"/>
        <w:jc w:val="both"/>
        <w:rPr>
          <w:rStyle w:val="rvts11"/>
          <w:rFonts w:asciiTheme="minorHAnsi" w:hAnsiTheme="minorHAnsi" w:cstheme="minorHAnsi"/>
          <w:sz w:val="26"/>
          <w:szCs w:val="26"/>
        </w:rPr>
      </w:pPr>
      <w:r w:rsidRPr="00564DC7">
        <w:rPr>
          <w:rStyle w:val="rvts11"/>
          <w:rFonts w:asciiTheme="minorHAnsi" w:hAnsiTheme="minorHAnsi" w:cstheme="minorHAnsi"/>
          <w:sz w:val="26"/>
          <w:szCs w:val="26"/>
        </w:rPr>
        <w:t xml:space="preserve">Prin Hotărârea Secției pentru procurori nr. 673/04.05.2023 au fost înaintate Președintelui României propunerile de numire în funcția de procuror a unui număr de </w:t>
      </w:r>
      <w:r w:rsidRPr="00DE251F">
        <w:rPr>
          <w:rStyle w:val="rvts11"/>
          <w:rFonts w:asciiTheme="minorHAnsi" w:hAnsiTheme="minorHAnsi" w:cstheme="minorHAnsi"/>
          <w:b/>
          <w:bCs/>
          <w:sz w:val="26"/>
          <w:szCs w:val="26"/>
        </w:rPr>
        <w:t xml:space="preserve">68 </w:t>
      </w:r>
      <w:r w:rsidRPr="00DE251F">
        <w:rPr>
          <w:rStyle w:val="rvts11"/>
          <w:rFonts w:asciiTheme="minorHAnsi" w:hAnsiTheme="minorHAnsi" w:cstheme="minorHAnsi"/>
          <w:sz w:val="26"/>
          <w:szCs w:val="26"/>
        </w:rPr>
        <w:t>d</w:t>
      </w:r>
      <w:r w:rsidRPr="00564DC7">
        <w:rPr>
          <w:rStyle w:val="rvts11"/>
          <w:rFonts w:asciiTheme="minorHAnsi" w:hAnsiTheme="minorHAnsi" w:cstheme="minorHAnsi"/>
          <w:sz w:val="26"/>
          <w:szCs w:val="26"/>
        </w:rPr>
        <w:t>e procurori stagiari, aceștia fiind numiți în funcție în cursul lunii mai 2023</w:t>
      </w:r>
      <w:r w:rsidR="00DE251F">
        <w:rPr>
          <w:rStyle w:val="rvts11"/>
          <w:rFonts w:asciiTheme="minorHAnsi" w:hAnsiTheme="minorHAnsi" w:cstheme="minorHAnsi"/>
          <w:sz w:val="26"/>
          <w:szCs w:val="26"/>
        </w:rPr>
        <w:t xml:space="preserve">, </w:t>
      </w:r>
      <w:r w:rsidR="00DE251F" w:rsidRPr="00564DC7">
        <w:rPr>
          <w:rFonts w:asciiTheme="minorHAnsi" w:hAnsiTheme="minorHAnsi" w:cstheme="minorHAnsi"/>
          <w:sz w:val="26"/>
          <w:szCs w:val="26"/>
        </w:rPr>
        <w:t xml:space="preserve">fără, însă, </w:t>
      </w:r>
      <w:r w:rsidR="00DE251F">
        <w:rPr>
          <w:rFonts w:asciiTheme="minorHAnsi" w:hAnsiTheme="minorHAnsi" w:cstheme="minorHAnsi"/>
          <w:sz w:val="26"/>
          <w:szCs w:val="26"/>
        </w:rPr>
        <w:t xml:space="preserve">ca acest aspect să </w:t>
      </w:r>
      <w:r w:rsidR="00DE251F" w:rsidRPr="00564DC7">
        <w:rPr>
          <w:rFonts w:asciiTheme="minorHAnsi" w:hAnsiTheme="minorHAnsi" w:cstheme="minorHAnsi"/>
          <w:sz w:val="26"/>
          <w:szCs w:val="26"/>
        </w:rPr>
        <w:t>reprez</w:t>
      </w:r>
      <w:r w:rsidR="00DE251F">
        <w:rPr>
          <w:rFonts w:asciiTheme="minorHAnsi" w:hAnsiTheme="minorHAnsi" w:cstheme="minorHAnsi"/>
          <w:sz w:val="26"/>
          <w:szCs w:val="26"/>
        </w:rPr>
        <w:t>inte</w:t>
      </w:r>
      <w:r w:rsidR="00DE251F" w:rsidRPr="00564DC7">
        <w:rPr>
          <w:rFonts w:asciiTheme="minorHAnsi" w:hAnsiTheme="minorHAnsi" w:cstheme="minorHAnsi"/>
          <w:sz w:val="26"/>
          <w:szCs w:val="26"/>
        </w:rPr>
        <w:t xml:space="preserve"> efectiv o ocupare de noi posturi vacante.</w:t>
      </w:r>
    </w:p>
    <w:p w14:paraId="6BAE33BD" w14:textId="77777777" w:rsidR="00150131" w:rsidRPr="00564DC7" w:rsidRDefault="00150131" w:rsidP="00690186">
      <w:pPr>
        <w:pStyle w:val="NormalWeb"/>
        <w:spacing w:before="0" w:beforeAutospacing="0" w:after="0" w:afterAutospacing="0"/>
        <w:ind w:firstLine="720"/>
        <w:jc w:val="both"/>
        <w:rPr>
          <w:rFonts w:asciiTheme="minorHAnsi" w:hAnsiTheme="minorHAnsi" w:cstheme="minorHAnsi"/>
          <w:b/>
          <w:sz w:val="26"/>
          <w:szCs w:val="26"/>
        </w:rPr>
      </w:pPr>
      <w:r w:rsidRPr="00564DC7">
        <w:rPr>
          <w:rFonts w:asciiTheme="minorHAnsi" w:hAnsiTheme="minorHAnsi" w:cstheme="minorHAnsi"/>
          <w:b/>
          <w:sz w:val="26"/>
          <w:szCs w:val="26"/>
        </w:rPr>
        <w:t>Reîncadrări în funcția de procuror în temeiul art. 216 din Legea nr. 303/2022 privind statutul judecătorilor și procurorilor</w:t>
      </w:r>
    </w:p>
    <w:p w14:paraId="1503BC58" w14:textId="77777777" w:rsidR="00150131" w:rsidRDefault="00150131" w:rsidP="00690186">
      <w:pPr>
        <w:ind w:firstLine="720"/>
        <w:jc w:val="both"/>
        <w:rPr>
          <w:rFonts w:asciiTheme="minorHAnsi" w:hAnsiTheme="minorHAnsi" w:cstheme="minorHAnsi"/>
          <w:bCs/>
          <w:sz w:val="26"/>
          <w:szCs w:val="26"/>
        </w:rPr>
      </w:pPr>
      <w:r w:rsidRPr="00564DC7">
        <w:rPr>
          <w:rFonts w:asciiTheme="minorHAnsi" w:hAnsiTheme="minorHAnsi" w:cstheme="minorHAnsi"/>
          <w:sz w:val="26"/>
          <w:szCs w:val="26"/>
        </w:rPr>
        <w:t xml:space="preserve">În anul 2023, a fost declanșată, prin Hotărârea Secției pentru procurori din cadrul Consiliului Superior al Magistraturii nr. 1108/31.08.2023, sesiunea de reîncadrare în funcția de </w:t>
      </w:r>
      <w:r w:rsidRPr="00564DC7">
        <w:rPr>
          <w:rFonts w:asciiTheme="minorHAnsi" w:hAnsiTheme="minorHAnsi" w:cstheme="minorHAnsi"/>
          <w:sz w:val="26"/>
          <w:szCs w:val="26"/>
        </w:rPr>
        <w:lastRenderedPageBreak/>
        <w:t xml:space="preserve">procuror, </w:t>
      </w:r>
      <w:r w:rsidRPr="00564DC7">
        <w:rPr>
          <w:rFonts w:asciiTheme="minorHAnsi" w:hAnsiTheme="minorHAnsi" w:cstheme="minorHAnsi"/>
          <w:sz w:val="26"/>
          <w:szCs w:val="26"/>
          <w:shd w:val="clear" w:color="auto" w:fill="FFFFFF"/>
        </w:rPr>
        <w:t>a foştilor procurori eliberaţi din funcţie prin pensionare, </w:t>
      </w:r>
      <w:r w:rsidRPr="00564DC7">
        <w:rPr>
          <w:rFonts w:asciiTheme="minorHAnsi" w:hAnsiTheme="minorHAnsi" w:cstheme="minorHAnsi"/>
          <w:sz w:val="26"/>
          <w:szCs w:val="26"/>
        </w:rPr>
        <w:t xml:space="preserve"> în condițiile </w:t>
      </w:r>
      <w:r w:rsidRPr="00564DC7">
        <w:rPr>
          <w:rFonts w:asciiTheme="minorHAnsi" w:hAnsiTheme="minorHAnsi" w:cstheme="minorHAnsi"/>
          <w:bCs/>
          <w:sz w:val="26"/>
          <w:szCs w:val="26"/>
        </w:rPr>
        <w:t>art. 216 din Legea nr. 303/2022 privind statutul judecătorilor și procurorilor, această procedură nefiind finalizată.</w:t>
      </w:r>
    </w:p>
    <w:p w14:paraId="29E711A7" w14:textId="77777777" w:rsidR="00C931D2" w:rsidRPr="00C931D2" w:rsidRDefault="00C931D2" w:rsidP="00C931D2">
      <w:pPr>
        <w:ind w:firstLine="720"/>
        <w:jc w:val="both"/>
        <w:rPr>
          <w:rFonts w:asciiTheme="minorHAnsi" w:hAnsiTheme="minorHAnsi" w:cstheme="minorHAnsi"/>
          <w:bCs/>
          <w:sz w:val="26"/>
          <w:szCs w:val="26"/>
        </w:rPr>
      </w:pPr>
      <w:r w:rsidRPr="00C931D2">
        <w:rPr>
          <w:rFonts w:asciiTheme="minorHAnsi" w:hAnsiTheme="minorHAnsi" w:cstheme="minorHAnsi"/>
          <w:bCs/>
          <w:sz w:val="26"/>
          <w:szCs w:val="26"/>
        </w:rPr>
        <w:t>În ședința Secției pentru procurori din data de 28.11.2023 s-a decis înaintarea către Președintele României a 5 propuneri de reîncadrare în funcție a foștilor procurori.</w:t>
      </w:r>
    </w:p>
    <w:p w14:paraId="5239AB58" w14:textId="77777777" w:rsidR="00150131" w:rsidRPr="00261D6B" w:rsidRDefault="00150131" w:rsidP="00690186">
      <w:pPr>
        <w:ind w:firstLine="720"/>
        <w:jc w:val="both"/>
        <w:rPr>
          <w:rFonts w:asciiTheme="minorHAnsi" w:hAnsiTheme="minorHAnsi" w:cstheme="minorHAnsi"/>
          <w:b/>
          <w:bCs/>
          <w:sz w:val="26"/>
          <w:szCs w:val="26"/>
        </w:rPr>
      </w:pPr>
      <w:r w:rsidRPr="00261D6B">
        <w:rPr>
          <w:rFonts w:asciiTheme="minorHAnsi" w:hAnsiTheme="minorHAnsi" w:cstheme="minorHAnsi"/>
          <w:b/>
          <w:bCs/>
          <w:sz w:val="26"/>
          <w:szCs w:val="26"/>
        </w:rPr>
        <w:t xml:space="preserve">Desemnarea procurorilor în vederea efectuării urmăririi penale în cauzele prevăzute art. 3 alin. (1) şi alin. (2) din Legea nr. 49/2022 privind desfiinţarea Secţiei pentru investigarea infracţiunilor din justiţie, precum şi pentru modificarea Legii nr. 135/2010 privind Codul de procedură penală </w:t>
      </w:r>
    </w:p>
    <w:p w14:paraId="096F1EEC" w14:textId="487900A1" w:rsidR="00150131" w:rsidRPr="00261D6B" w:rsidRDefault="00150131"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În acord cu dispoziţiile art. 3 alin. (3) din Legea nr.</w:t>
      </w:r>
      <w:r w:rsidRPr="00261D6B">
        <w:rPr>
          <w:rFonts w:asciiTheme="minorHAnsi" w:hAnsiTheme="minorHAnsi" w:cstheme="minorHAnsi"/>
          <w:b/>
          <w:bCs/>
          <w:sz w:val="26"/>
          <w:szCs w:val="26"/>
        </w:rPr>
        <w:t xml:space="preserve"> </w:t>
      </w:r>
      <w:r w:rsidRPr="00261D6B">
        <w:rPr>
          <w:rFonts w:asciiTheme="minorHAnsi" w:hAnsiTheme="minorHAnsi" w:cstheme="minorHAnsi"/>
          <w:sz w:val="26"/>
          <w:szCs w:val="26"/>
        </w:rPr>
        <w:t>49/2022,</w:t>
      </w:r>
      <w:r w:rsidRPr="00261D6B">
        <w:rPr>
          <w:rFonts w:asciiTheme="minorHAnsi" w:hAnsiTheme="minorHAnsi" w:cstheme="minorHAnsi"/>
          <w:b/>
          <w:bCs/>
          <w:sz w:val="26"/>
          <w:szCs w:val="26"/>
        </w:rPr>
        <w:t xml:space="preserve"> </w:t>
      </w:r>
      <w:r w:rsidRPr="00261D6B">
        <w:rPr>
          <w:rFonts w:asciiTheme="minorHAnsi" w:hAnsiTheme="minorHAnsi" w:cstheme="minorHAnsi"/>
          <w:sz w:val="26"/>
          <w:szCs w:val="26"/>
        </w:rPr>
        <w:t>Plenul Consiliului Superior al Magistraturii formulează propuneri pentru desemnarea de către procurorul general al Parchetului de pe lângă Înalta Curte de Cas</w:t>
      </w:r>
      <w:r w:rsidR="00F75DE3" w:rsidRPr="00261D6B">
        <w:rPr>
          <w:rFonts w:asciiTheme="minorHAnsi" w:hAnsiTheme="minorHAnsi" w:cstheme="minorHAnsi"/>
          <w:sz w:val="26"/>
          <w:szCs w:val="26"/>
        </w:rPr>
        <w:t>a</w:t>
      </w:r>
      <w:r w:rsidRPr="00261D6B">
        <w:rPr>
          <w:rFonts w:asciiTheme="minorHAnsi" w:hAnsiTheme="minorHAnsi" w:cstheme="minorHAnsi"/>
          <w:sz w:val="26"/>
          <w:szCs w:val="26"/>
        </w:rPr>
        <w:t>ție și Justiție a procurorilor care vor efectua urmărirea penală în cauzele expres prevăzute la art. 3 alin. (1) şi alin. (2) din Legea nr. 49/2022.</w:t>
      </w:r>
    </w:p>
    <w:p w14:paraId="0701EFF2" w14:textId="7E3B12AE" w:rsidR="00150131" w:rsidRPr="00261D6B" w:rsidRDefault="00150131"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Potrivit art. 10 din același act normativ</w:t>
      </w:r>
      <w:r w:rsidR="00F75DE3" w:rsidRPr="00261D6B">
        <w:rPr>
          <w:rFonts w:asciiTheme="minorHAnsi" w:hAnsiTheme="minorHAnsi" w:cstheme="minorHAnsi"/>
          <w:sz w:val="26"/>
          <w:szCs w:val="26"/>
        </w:rPr>
        <w:t>,</w:t>
      </w:r>
      <w:r w:rsidRPr="00261D6B">
        <w:rPr>
          <w:rFonts w:asciiTheme="minorHAnsi" w:hAnsiTheme="minorHAnsi" w:cstheme="minorHAnsi"/>
          <w:sz w:val="26"/>
          <w:szCs w:val="26"/>
        </w:rPr>
        <w:t xml:space="preserve"> numărul maxim de procurori din cadrul Secţiei de urmărire penală şi criminalistică desemnaţi este de 14, iar numărul maxim al procurorilor din cadrul parchetelor de pe lângă curţile de apel desemnaţi este de 3 pentru fiecare dintre acestea.</w:t>
      </w:r>
    </w:p>
    <w:p w14:paraId="5D632641" w14:textId="1E757E8B" w:rsidR="00370D08" w:rsidRPr="00564DC7" w:rsidRDefault="00150131"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În consecință, prin Hotărârile Plenului Consiliului Superior al Magistraturii nr. 87 din 18.05.2023 și nr. 105 din 15.06.2023</w:t>
      </w:r>
      <w:r w:rsidR="00F75DE3" w:rsidRPr="00261D6B">
        <w:rPr>
          <w:rFonts w:asciiTheme="minorHAnsi" w:hAnsiTheme="minorHAnsi" w:cstheme="minorHAnsi"/>
          <w:sz w:val="26"/>
          <w:szCs w:val="26"/>
        </w:rPr>
        <w:t>,</w:t>
      </w:r>
      <w:r w:rsidRPr="00261D6B">
        <w:rPr>
          <w:rFonts w:asciiTheme="minorHAnsi" w:hAnsiTheme="minorHAnsi" w:cstheme="minorHAnsi"/>
          <w:sz w:val="26"/>
          <w:szCs w:val="26"/>
        </w:rPr>
        <w:t xml:space="preserve"> au fost propuși în vederea desemnării de către procurorul general al Parchetului de pe lângă Înalta Curte de Casație și Justiție un număr de 2 de procurori care să efectueze urmărirea penală în cauzele prev</w:t>
      </w:r>
      <w:r w:rsidR="00916559" w:rsidRPr="00261D6B">
        <w:rPr>
          <w:rFonts w:asciiTheme="minorHAnsi" w:hAnsiTheme="minorHAnsi" w:cstheme="minorHAnsi"/>
          <w:sz w:val="26"/>
          <w:szCs w:val="26"/>
        </w:rPr>
        <w:t>ăzute</w:t>
      </w:r>
      <w:r w:rsidRPr="00261D6B">
        <w:rPr>
          <w:rFonts w:asciiTheme="minorHAnsi" w:hAnsiTheme="minorHAnsi" w:cstheme="minorHAnsi"/>
          <w:sz w:val="26"/>
          <w:szCs w:val="26"/>
        </w:rPr>
        <w:t xml:space="preserve"> de art. 3 alin. (1) și (2) din Legea nr. 49/2022.</w:t>
      </w:r>
    </w:p>
    <w:p w14:paraId="157C875B" w14:textId="77777777" w:rsidR="00CB3F9B" w:rsidRPr="00564DC7" w:rsidRDefault="00CB3F9B" w:rsidP="00690186">
      <w:pPr>
        <w:ind w:firstLine="720"/>
        <w:jc w:val="both"/>
        <w:rPr>
          <w:rFonts w:asciiTheme="minorHAnsi" w:hAnsiTheme="minorHAnsi" w:cstheme="minorHAnsi"/>
          <w:b/>
          <w:sz w:val="26"/>
          <w:szCs w:val="26"/>
        </w:rPr>
      </w:pPr>
      <w:r w:rsidRPr="00564DC7">
        <w:rPr>
          <w:rFonts w:asciiTheme="minorHAnsi" w:hAnsiTheme="minorHAnsi" w:cstheme="minorHAnsi"/>
          <w:b/>
          <w:sz w:val="26"/>
          <w:szCs w:val="26"/>
        </w:rPr>
        <w:t>C. Numirea judecătorilor şi procurorilor în funcţii de conducere</w:t>
      </w:r>
      <w:r w:rsidRPr="00564DC7">
        <w:rPr>
          <w:rFonts w:asciiTheme="minorHAnsi" w:hAnsiTheme="minorHAnsi" w:cstheme="minorHAnsi"/>
          <w:b/>
          <w:i/>
          <w:sz w:val="26"/>
          <w:szCs w:val="26"/>
        </w:rPr>
        <w:tab/>
      </w:r>
    </w:p>
    <w:p w14:paraId="656178E9" w14:textId="77777777" w:rsidR="00CB3F9B" w:rsidRPr="00564DC7" w:rsidRDefault="00CB3F9B" w:rsidP="00690186">
      <w:pPr>
        <w:tabs>
          <w:tab w:val="right" w:pos="8640"/>
        </w:tabs>
        <w:ind w:firstLine="709"/>
        <w:jc w:val="both"/>
        <w:rPr>
          <w:rFonts w:asciiTheme="minorHAnsi" w:hAnsiTheme="minorHAnsi" w:cstheme="minorHAnsi"/>
          <w:b/>
          <w:sz w:val="26"/>
          <w:szCs w:val="26"/>
        </w:rPr>
      </w:pPr>
      <w:r w:rsidRPr="00564DC7">
        <w:rPr>
          <w:rFonts w:asciiTheme="minorHAnsi" w:hAnsiTheme="minorHAnsi" w:cstheme="minorHAnsi"/>
          <w:b/>
          <w:sz w:val="26"/>
          <w:szCs w:val="26"/>
        </w:rPr>
        <w:t>C.1. Numirea judecătorilor în funcţiile de conducere de preşedinte şi vicepreşedinte</w:t>
      </w: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la curţi de apel, tribunale, tribunale specializate şi judecătorii</w:t>
      </w:r>
    </w:p>
    <w:p w14:paraId="7FB5855F" w14:textId="5EE5214A" w:rsidR="00150131" w:rsidRPr="00564DC7" w:rsidRDefault="00150131" w:rsidP="00690186">
      <w:pPr>
        <w:keepNext/>
        <w:keepLines/>
        <w:ind w:firstLine="709"/>
        <w:jc w:val="both"/>
        <w:rPr>
          <w:rFonts w:asciiTheme="minorHAnsi" w:hAnsiTheme="minorHAnsi" w:cstheme="minorHAnsi"/>
          <w:sz w:val="26"/>
          <w:szCs w:val="26"/>
        </w:rPr>
      </w:pPr>
      <w:r w:rsidRPr="00564DC7">
        <w:rPr>
          <w:rFonts w:asciiTheme="minorHAnsi" w:hAnsiTheme="minorHAnsi" w:cstheme="minorHAnsi"/>
          <w:sz w:val="26"/>
          <w:szCs w:val="26"/>
        </w:rPr>
        <w:t>În perioada septembrie - decembrie 2022, s-a derulat cel de-al doilea concurs/examen pentru numirea în funcţii de conducere aferent anului 2022, aprobat prin Hotărârea Secției pentru judecători nr. 2057/08.09.2022, pentru ocuparea a 170 de funcții vacante (inclusiv funcții ce se vor vacanta la începutul lunii ianuarie 2023). În şedinţa Secţiei pentru judecători din 15 decembrie 2022</w:t>
      </w:r>
      <w:r w:rsidR="00F75DE3">
        <w:rPr>
          <w:rFonts w:asciiTheme="minorHAnsi" w:hAnsiTheme="minorHAnsi" w:cstheme="minorHAnsi"/>
          <w:sz w:val="26"/>
          <w:szCs w:val="26"/>
        </w:rPr>
        <w:t>,</w:t>
      </w:r>
      <w:r w:rsidRPr="00564DC7">
        <w:rPr>
          <w:rFonts w:asciiTheme="minorHAnsi" w:hAnsiTheme="minorHAnsi" w:cstheme="minorHAnsi"/>
          <w:sz w:val="26"/>
          <w:szCs w:val="26"/>
        </w:rPr>
        <w:t xml:space="preserve"> au fost validate rezultatele concursului/examenului şi s-a dispus numirea în funcţii de conducere a 36 de candidați începând cu data de 4 ianuarie 2023, respectiv  cu 7 ianuarie 2023, din care 18 funcţii de preşedinte  şi 18 funcţii de vicepreşedinte.</w:t>
      </w:r>
    </w:p>
    <w:p w14:paraId="022A1D20" w14:textId="4B48876A" w:rsidR="00150131" w:rsidRPr="00564DC7" w:rsidRDefault="00150131" w:rsidP="00690186">
      <w:pPr>
        <w:keepNext/>
        <w:keepLines/>
        <w:ind w:firstLine="709"/>
        <w:jc w:val="both"/>
        <w:rPr>
          <w:rFonts w:asciiTheme="minorHAnsi" w:hAnsiTheme="minorHAnsi" w:cstheme="minorHAnsi"/>
          <w:sz w:val="26"/>
          <w:szCs w:val="26"/>
        </w:rPr>
      </w:pPr>
      <w:r w:rsidRPr="00564DC7">
        <w:rPr>
          <w:rFonts w:asciiTheme="minorHAnsi" w:hAnsiTheme="minorHAnsi" w:cstheme="minorHAnsi"/>
          <w:sz w:val="26"/>
          <w:szCs w:val="26"/>
        </w:rPr>
        <w:t>Rezultatele acestui concurs se reflect</w:t>
      </w:r>
      <w:r w:rsidR="00DE251F">
        <w:rPr>
          <w:rFonts w:asciiTheme="minorHAnsi" w:hAnsiTheme="minorHAnsi" w:cstheme="minorHAnsi"/>
          <w:sz w:val="26"/>
          <w:szCs w:val="26"/>
        </w:rPr>
        <w:t>ă</w:t>
      </w:r>
      <w:r w:rsidRPr="00564DC7">
        <w:rPr>
          <w:rFonts w:asciiTheme="minorHAnsi" w:hAnsiTheme="minorHAnsi" w:cstheme="minorHAnsi"/>
          <w:sz w:val="26"/>
          <w:szCs w:val="26"/>
        </w:rPr>
        <w:t xml:space="preserve"> în situația funcțiilor de conducere ocupate în cursul anului 2023. </w:t>
      </w:r>
      <w:bookmarkStart w:id="79" w:name="_Hlk150104905"/>
    </w:p>
    <w:bookmarkEnd w:id="79"/>
    <w:p w14:paraId="24AC0F4C" w14:textId="77777777" w:rsidR="00150131" w:rsidRPr="00564DC7" w:rsidRDefault="00150131" w:rsidP="00690186">
      <w:pPr>
        <w:keepNext/>
        <w:keepLines/>
        <w:ind w:firstLine="709"/>
        <w:jc w:val="both"/>
        <w:rPr>
          <w:rFonts w:asciiTheme="minorHAnsi" w:hAnsiTheme="minorHAnsi" w:cstheme="minorHAnsi"/>
          <w:sz w:val="26"/>
          <w:szCs w:val="26"/>
        </w:rPr>
      </w:pPr>
      <w:r w:rsidRPr="00564DC7">
        <w:rPr>
          <w:rFonts w:asciiTheme="minorHAnsi" w:hAnsiTheme="minorHAnsi" w:cstheme="minorHAnsi"/>
          <w:sz w:val="26"/>
          <w:szCs w:val="26"/>
        </w:rPr>
        <w:t>Este de precizat că, raportat la data declanşării, concursul/examenul s-a organizat şi desfăşurat în acord cu prevederile Legii nr. 303/2004, republicată, cu modificările şi completările ulterioare, care vizau ocuparea prin concurs/examen atât funcţiile de preşedinte, cât şi funcţiile de vicepreşedinte.</w:t>
      </w:r>
    </w:p>
    <w:p w14:paraId="77D392B3" w14:textId="58E43153" w:rsidR="00150131" w:rsidRPr="00564DC7" w:rsidRDefault="00150131" w:rsidP="00690186">
      <w:pPr>
        <w:pStyle w:val="NormalWeb"/>
        <w:shd w:val="clear" w:color="auto" w:fill="FFFFFF"/>
        <w:spacing w:before="0" w:beforeAutospacing="0" w:after="0" w:afterAutospacing="0"/>
        <w:ind w:firstLine="709"/>
        <w:jc w:val="both"/>
        <w:rPr>
          <w:rFonts w:asciiTheme="minorHAnsi" w:hAnsiTheme="minorHAnsi" w:cstheme="minorHAnsi"/>
          <w:sz w:val="26"/>
          <w:szCs w:val="26"/>
        </w:rPr>
      </w:pPr>
      <w:r w:rsidRPr="00564DC7">
        <w:rPr>
          <w:rFonts w:asciiTheme="minorHAnsi" w:hAnsiTheme="minorHAnsi" w:cstheme="minorHAnsi"/>
          <w:sz w:val="26"/>
          <w:szCs w:val="26"/>
        </w:rPr>
        <w:t>În prezent, sunt în vigoare prevederile art. 150 din Legea nr. 303/2022 privind statutul judecătorilor şi procurorilor, care reglementează, la alin. (1) - (3)</w:t>
      </w:r>
      <w:r w:rsidR="00F75DE3">
        <w:rPr>
          <w:rFonts w:asciiTheme="minorHAnsi" w:hAnsiTheme="minorHAnsi" w:cstheme="minorHAnsi"/>
          <w:sz w:val="26"/>
          <w:szCs w:val="26"/>
        </w:rPr>
        <w:t>,</w:t>
      </w:r>
      <w:r w:rsidRPr="00564DC7">
        <w:rPr>
          <w:rFonts w:asciiTheme="minorHAnsi" w:hAnsiTheme="minorHAnsi" w:cstheme="minorHAnsi"/>
          <w:sz w:val="26"/>
          <w:szCs w:val="26"/>
        </w:rPr>
        <w:t xml:space="preserve"> că n</w:t>
      </w:r>
      <w:r w:rsidRPr="00564DC7">
        <w:rPr>
          <w:rStyle w:val="rvts4"/>
          <w:rFonts w:asciiTheme="minorHAnsi" w:hAnsiTheme="minorHAnsi" w:cstheme="minorHAnsi"/>
          <w:sz w:val="26"/>
          <w:szCs w:val="26"/>
          <w:bdr w:val="none" w:sz="0" w:space="0" w:color="auto" w:frame="1"/>
        </w:rPr>
        <w:t>umirea în funcţiile de preşedinte la judecătorii, tribunale, tribunale specializate şi curţi de apel se face numai prin concurs sau examen organizat, ori de câte ori este necesar, de Consiliul Superior al Magistraturii, cu sprijinul Institutului Naţional al Magistraturii, iar numirea în alte funcţii de conducere din cadrul judecătoriilor, tribunalelor, tribunalelor specializate şi curţilor de apel se face fără concurs sau examen, la propunerea preşedintelui instanţei, potrivit procedurii prevăzute de prezenta lege. Numirea în funcţii de conducere la judecătorii, tribunale, tribunale specializate şi curţi de apel se face prin hotărâre a Secţiei pentru judecători, pe o perioadă de 3 ani, cu posibilitatea reînvestirii, o singură dată, în aceleaşi condiţii.</w:t>
      </w:r>
    </w:p>
    <w:p w14:paraId="195C3FE0"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acord cu noile dispoziţii legale aplicabile procedurii de numire în funcţii de conducere, intrate în vigoare în luna decembrie 2022, prin Hotărârea Secţiei pentru judecători nr. 268/23.02.2023 a fost aprobată organizarea concursului sau examenului pentru ocuparea unui </w:t>
      </w:r>
      <w:r w:rsidRPr="00564DC7">
        <w:rPr>
          <w:rFonts w:asciiTheme="minorHAnsi" w:hAnsiTheme="minorHAnsi" w:cstheme="minorHAnsi"/>
          <w:sz w:val="26"/>
          <w:szCs w:val="26"/>
        </w:rPr>
        <w:lastRenderedPageBreak/>
        <w:t>număr de 137 de funcţii de preşedinte vacante la curţi de apel, tribunale, tribunale specializate şi judecătorii. La această procedură au fost depuse 55 de candidaturi, pentru 42 de funcţii de preşedinte, nefiind înregistrate candidaturi pentru 95 de funcţii de conducere.</w:t>
      </w:r>
    </w:p>
    <w:p w14:paraId="030B21C9" w14:textId="19712E9C"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Prin Hotărârea</w:t>
      </w:r>
      <w:r w:rsidR="00DE251F">
        <w:rPr>
          <w:rFonts w:asciiTheme="minorHAnsi" w:hAnsiTheme="minorHAnsi" w:cstheme="minorHAnsi"/>
          <w:sz w:val="26"/>
          <w:szCs w:val="26"/>
        </w:rPr>
        <w:t xml:space="preserve"> </w:t>
      </w:r>
      <w:r w:rsidRPr="00564DC7">
        <w:rPr>
          <w:rFonts w:asciiTheme="minorHAnsi" w:hAnsiTheme="minorHAnsi" w:cstheme="minorHAnsi"/>
          <w:sz w:val="26"/>
          <w:szCs w:val="26"/>
        </w:rPr>
        <w:t>nr. 1721/15.06.2023, Secţia pentru judecători a validat rezultatele concursului/examenului şi a constatat că doar 34 de posturi de conducere puteau fi ocupate, reprezentând 24,81% din totalul funcţiilor de conducere scoase la concurs, respectiv 80,95% din cele 42 de funcţii de preşedinte pentru care s-au depus candidaturi.</w:t>
      </w:r>
    </w:p>
    <w:p w14:paraId="5D1BD257" w14:textId="45451A4A"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Astfel, prin Hotărârea nr. 1722/15.06.2023, Secţia pentru judecători a dispus numirea în funcţiile de conducere pentru care au candidat</w:t>
      </w:r>
      <w:r w:rsidR="00F75DE3">
        <w:rPr>
          <w:rFonts w:asciiTheme="minorHAnsi" w:hAnsiTheme="minorHAnsi" w:cstheme="minorHAnsi"/>
          <w:sz w:val="26"/>
          <w:szCs w:val="26"/>
        </w:rPr>
        <w:t>,</w:t>
      </w:r>
      <w:r w:rsidRPr="00564DC7">
        <w:rPr>
          <w:rFonts w:asciiTheme="minorHAnsi" w:hAnsiTheme="minorHAnsi" w:cstheme="minorHAnsi"/>
          <w:sz w:val="26"/>
          <w:szCs w:val="26"/>
        </w:rPr>
        <w:t xml:space="preserve"> a 34 de candidați, începând cu data de 22 august 2023, pentru un mandat de 3 ani. </w:t>
      </w:r>
    </w:p>
    <w:p w14:paraId="0F6147E6"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Se constată că, deşi cadrul legal s-a modificat semnificativ în ceea ce priveşte ocuparea funcţiilor de conducere, în sensul că doar funcţiile de preşedinte se ocupă prin concurs, gradul de participare/ocupare se situează în continuare la aproximativ 25% raportat la situaţia funcţiilor vacante.</w:t>
      </w:r>
    </w:p>
    <w:p w14:paraId="163F3152" w14:textId="77777777" w:rsidR="00F7167B" w:rsidRPr="00F7167B" w:rsidRDefault="00F7167B" w:rsidP="00F7167B">
      <w:pPr>
        <w:ind w:firstLine="709"/>
        <w:jc w:val="both"/>
        <w:rPr>
          <w:rFonts w:asciiTheme="minorHAnsi" w:hAnsiTheme="minorHAnsi" w:cstheme="minorHAnsi"/>
          <w:sz w:val="26"/>
          <w:szCs w:val="26"/>
        </w:rPr>
      </w:pPr>
      <w:r w:rsidRPr="00F7167B">
        <w:rPr>
          <w:rFonts w:asciiTheme="minorHAnsi" w:hAnsiTheme="minorHAnsi" w:cstheme="minorHAnsi"/>
          <w:sz w:val="26"/>
          <w:szCs w:val="26"/>
        </w:rPr>
        <w:t xml:space="preserve">De asemenea, în perioada septembrie – decembrie 2023 s-a derulat un nou concurs/examen pentru ocuparea unui număr de 134 de funcţii de preşedinte vacante sau care se vor vacanta până la data de 6 ianuarie 2024 la curţi de apel, tribunale, tribunale specializate şi judecătorii, astfel cum s-a aprobat prin Hotărârea Secţiei pentru judecători nr. 2088/24.08.2023. </w:t>
      </w:r>
    </w:p>
    <w:p w14:paraId="58522F8D" w14:textId="56EE33BA" w:rsidR="00F7167B" w:rsidRPr="00F7167B" w:rsidRDefault="00F7167B" w:rsidP="00F7167B">
      <w:pPr>
        <w:ind w:firstLine="709"/>
        <w:jc w:val="both"/>
        <w:rPr>
          <w:rFonts w:asciiTheme="minorHAnsi" w:hAnsiTheme="minorHAnsi" w:cstheme="minorHAnsi"/>
          <w:b/>
          <w:sz w:val="26"/>
          <w:szCs w:val="26"/>
        </w:rPr>
      </w:pPr>
      <w:r w:rsidRPr="00F7167B">
        <w:rPr>
          <w:rFonts w:asciiTheme="minorHAnsi" w:hAnsiTheme="minorHAnsi" w:cstheme="minorHAnsi"/>
          <w:sz w:val="26"/>
          <w:szCs w:val="26"/>
        </w:rPr>
        <w:t>Rezultatele acestei proceduri au fost validate în şedinţa Secţiei pentru judecători din data de 19 decembrie 2023, însă cele 32 de funcţii de conducere ocupate vor impacta în situaţia aferentă anului 2024, cu menţiunea că pentru o singură funcţie de conducere s-a dispus numirea începând cu data de 20 decembrie 2023.</w:t>
      </w:r>
    </w:p>
    <w:p w14:paraId="77806E45" w14:textId="77777777" w:rsidR="00150131" w:rsidRPr="00564DC7" w:rsidRDefault="00150131" w:rsidP="00690186">
      <w:pPr>
        <w:ind w:firstLine="709"/>
        <w:jc w:val="both"/>
        <w:rPr>
          <w:rFonts w:asciiTheme="minorHAnsi" w:hAnsiTheme="minorHAnsi" w:cstheme="minorHAnsi"/>
          <w:b/>
          <w:sz w:val="26"/>
          <w:szCs w:val="26"/>
        </w:rPr>
      </w:pPr>
      <w:r w:rsidRPr="00564DC7">
        <w:rPr>
          <w:rFonts w:asciiTheme="minorHAnsi" w:hAnsiTheme="minorHAnsi" w:cstheme="minorHAnsi"/>
          <w:b/>
          <w:sz w:val="26"/>
          <w:szCs w:val="26"/>
        </w:rPr>
        <w:t>Numirea judecătorilor în alte funcţii de conducere, în temeiul art. 150 alin. (2) din Legea nr. 303/2022.</w:t>
      </w:r>
    </w:p>
    <w:p w14:paraId="68323D4D" w14:textId="2D3C5941"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de referinţă, Secţia pentru judecători a numit </w:t>
      </w:r>
      <w:r w:rsidR="00514E47">
        <w:rPr>
          <w:rFonts w:asciiTheme="minorHAnsi" w:hAnsiTheme="minorHAnsi" w:cstheme="minorHAnsi"/>
          <w:sz w:val="26"/>
          <w:szCs w:val="26"/>
        </w:rPr>
        <w:t>7</w:t>
      </w:r>
      <w:r w:rsidR="00D2677E">
        <w:rPr>
          <w:rFonts w:asciiTheme="minorHAnsi" w:hAnsiTheme="minorHAnsi" w:cstheme="minorHAnsi"/>
          <w:sz w:val="26"/>
          <w:szCs w:val="26"/>
        </w:rPr>
        <w:t>9</w:t>
      </w:r>
      <w:r w:rsidRPr="00564DC7">
        <w:rPr>
          <w:rFonts w:asciiTheme="minorHAnsi" w:hAnsiTheme="minorHAnsi" w:cstheme="minorHAnsi"/>
          <w:sz w:val="26"/>
          <w:szCs w:val="26"/>
        </w:rPr>
        <w:t xml:space="preserve"> de judecători în funcţiile vacante de vicepreşedinte (</w:t>
      </w:r>
      <w:r w:rsidR="00514E47">
        <w:rPr>
          <w:rFonts w:asciiTheme="minorHAnsi" w:hAnsiTheme="minorHAnsi" w:cstheme="minorHAnsi"/>
          <w:sz w:val="26"/>
          <w:szCs w:val="26"/>
        </w:rPr>
        <w:t>2</w:t>
      </w:r>
      <w:r w:rsidR="00D2677E">
        <w:rPr>
          <w:rFonts w:asciiTheme="minorHAnsi" w:hAnsiTheme="minorHAnsi" w:cstheme="minorHAnsi"/>
          <w:sz w:val="26"/>
          <w:szCs w:val="26"/>
        </w:rPr>
        <w:t>2</w:t>
      </w:r>
      <w:r w:rsidR="00514E47">
        <w:rPr>
          <w:rFonts w:asciiTheme="minorHAnsi" w:hAnsiTheme="minorHAnsi" w:cstheme="minorHAnsi"/>
          <w:sz w:val="26"/>
          <w:szCs w:val="26"/>
        </w:rPr>
        <w:t xml:space="preserve"> de</w:t>
      </w:r>
      <w:r w:rsidRPr="00564DC7">
        <w:rPr>
          <w:rFonts w:asciiTheme="minorHAnsi" w:hAnsiTheme="minorHAnsi" w:cstheme="minorHAnsi"/>
          <w:sz w:val="26"/>
          <w:szCs w:val="26"/>
        </w:rPr>
        <w:t xml:space="preserve"> numiri) şi preşedinte de secţie (</w:t>
      </w:r>
      <w:r w:rsidR="00514E47">
        <w:rPr>
          <w:rFonts w:asciiTheme="minorHAnsi" w:hAnsiTheme="minorHAnsi" w:cstheme="minorHAnsi"/>
          <w:sz w:val="26"/>
          <w:szCs w:val="26"/>
        </w:rPr>
        <w:t>5</w:t>
      </w:r>
      <w:r w:rsidR="00D2677E">
        <w:rPr>
          <w:rFonts w:asciiTheme="minorHAnsi" w:hAnsiTheme="minorHAnsi" w:cstheme="minorHAnsi"/>
          <w:sz w:val="26"/>
          <w:szCs w:val="26"/>
        </w:rPr>
        <w:t>7</w:t>
      </w:r>
      <w:r w:rsidRPr="00564DC7">
        <w:rPr>
          <w:rFonts w:asciiTheme="minorHAnsi" w:hAnsiTheme="minorHAnsi" w:cstheme="minorHAnsi"/>
          <w:sz w:val="26"/>
          <w:szCs w:val="26"/>
        </w:rPr>
        <w:t xml:space="preserve"> de numiri) comparativ cu anul 2022, când au fost numiţi 57 de judecători în funcţii de preşedinte de secţie la judecătorii, tribunale şi curţile de apel, respectiv cu anul 2021, când au fost numiți 71 de judecători</w:t>
      </w:r>
      <w:r w:rsidR="00DE251F">
        <w:rPr>
          <w:rFonts w:asciiTheme="minorHAnsi" w:hAnsiTheme="minorHAnsi" w:cstheme="minorHAnsi"/>
          <w:sz w:val="26"/>
          <w:szCs w:val="26"/>
        </w:rPr>
        <w:t>,</w:t>
      </w:r>
      <w:r w:rsidRPr="00564DC7">
        <w:rPr>
          <w:rFonts w:asciiTheme="minorHAnsi" w:hAnsiTheme="minorHAnsi" w:cstheme="minorHAnsi"/>
          <w:sz w:val="26"/>
          <w:szCs w:val="26"/>
        </w:rPr>
        <w:t xml:space="preserve"> sau cu anul 2020 când au fost numiţi 50 de preşedinţi de secţie.</w:t>
      </w:r>
    </w:p>
    <w:p w14:paraId="0D577FB0" w14:textId="1E4CC948" w:rsidR="00CB3F9B" w:rsidRPr="00564DC7" w:rsidRDefault="00CB3F9B" w:rsidP="00690186">
      <w:pPr>
        <w:tabs>
          <w:tab w:val="right" w:pos="8640"/>
        </w:tabs>
        <w:ind w:firstLine="709"/>
        <w:jc w:val="both"/>
        <w:rPr>
          <w:rFonts w:asciiTheme="minorHAnsi" w:hAnsiTheme="minorHAnsi" w:cstheme="minorHAnsi"/>
          <w:b/>
          <w:sz w:val="26"/>
          <w:szCs w:val="26"/>
        </w:rPr>
      </w:pPr>
      <w:r w:rsidRPr="00564DC7">
        <w:rPr>
          <w:rFonts w:asciiTheme="minorHAnsi" w:hAnsiTheme="minorHAnsi" w:cstheme="minorHAnsi"/>
          <w:b/>
          <w:sz w:val="26"/>
          <w:szCs w:val="26"/>
        </w:rPr>
        <w:t>C.2. Numirea procurorilor în funcţiile de conducere</w:t>
      </w: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de procuror general şi prim procuror de la parchetele de pe lângă curţile de apel, tribunale şi judecătorii</w:t>
      </w:r>
    </w:p>
    <w:p w14:paraId="4451A030" w14:textId="77777777" w:rsidR="00150131" w:rsidRPr="00564DC7" w:rsidRDefault="00150131"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Prin Hotărârea nr. 1057/2023, Secția pentru procurori a Consiliului Superior al Magistraturii a aprobat organizarea, prin intermediul Institutului Național al Magistraturii, la București, în perioada 01 august – 22 noiembrie 2023, a concursului/examenului pentru numirea în funcții de conducere a procurorilor la parchetele de pe lângă curți de apel, tribunale, tribunale specializate și judecătorii, fiind scoase la concurs </w:t>
      </w:r>
      <w:r w:rsidRPr="00564DC7">
        <w:rPr>
          <w:rFonts w:asciiTheme="minorHAnsi" w:hAnsiTheme="minorHAnsi" w:cstheme="minorHAnsi"/>
          <w:bCs/>
          <w:sz w:val="26"/>
          <w:szCs w:val="26"/>
        </w:rPr>
        <w:t>177</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 xml:space="preserve">funcţii vacante de procuror general şi prim procuror de la parchetele de pe lângă curţile de apel, tribunale şi judecătorii. </w:t>
      </w:r>
    </w:p>
    <w:p w14:paraId="28829614" w14:textId="77777777" w:rsidR="00514E47" w:rsidRPr="00514E47" w:rsidRDefault="00514E47" w:rsidP="00514E47">
      <w:pPr>
        <w:ind w:firstLine="720"/>
        <w:jc w:val="both"/>
        <w:rPr>
          <w:rFonts w:asciiTheme="minorHAnsi" w:hAnsiTheme="minorHAnsi" w:cstheme="minorHAnsi"/>
          <w:sz w:val="26"/>
          <w:szCs w:val="26"/>
        </w:rPr>
      </w:pPr>
      <w:r w:rsidRPr="00514E47">
        <w:rPr>
          <w:rFonts w:asciiTheme="minorHAnsi" w:hAnsiTheme="minorHAnsi" w:cstheme="minorHAnsi"/>
          <w:sz w:val="26"/>
          <w:szCs w:val="26"/>
        </w:rPr>
        <w:t>Rezultatele acestui concurs au fost validate prin Hotărârea Secției pentru procurori nr. 1492/28.11.2023.</w:t>
      </w:r>
    </w:p>
    <w:p w14:paraId="2E6D0C6E" w14:textId="2DA8AD22" w:rsidR="00514E47" w:rsidRDefault="00514E47" w:rsidP="00DE0E9C">
      <w:pPr>
        <w:ind w:firstLine="720"/>
        <w:jc w:val="both"/>
        <w:rPr>
          <w:rFonts w:asciiTheme="minorHAnsi" w:hAnsiTheme="minorHAnsi" w:cstheme="minorHAnsi"/>
          <w:b/>
          <w:sz w:val="26"/>
          <w:szCs w:val="26"/>
        </w:rPr>
      </w:pPr>
      <w:r w:rsidRPr="00514E47">
        <w:rPr>
          <w:rFonts w:asciiTheme="minorHAnsi" w:hAnsiTheme="minorHAnsi" w:cstheme="minorHAnsi"/>
          <w:sz w:val="26"/>
          <w:szCs w:val="26"/>
        </w:rPr>
        <w:t xml:space="preserve">În urma finalizării acestei proceduri, vor fi ocupate, începând cu data de 01.01.2024, </w:t>
      </w:r>
      <w:r w:rsidRPr="00514E47">
        <w:rPr>
          <w:rFonts w:asciiTheme="minorHAnsi" w:hAnsiTheme="minorHAnsi" w:cstheme="minorHAnsi"/>
          <w:b/>
          <w:iCs/>
          <w:sz w:val="26"/>
          <w:szCs w:val="26"/>
          <w:lang w:val="pt-BR"/>
        </w:rPr>
        <w:t>64 posturi de conducere (8 posturi de procuror general, 56 posturi de prim-procuror).</w:t>
      </w:r>
    </w:p>
    <w:p w14:paraId="7B16F86B" w14:textId="28B121DE" w:rsidR="00150131" w:rsidRPr="00564DC7" w:rsidRDefault="00150131" w:rsidP="00690186">
      <w:pPr>
        <w:pStyle w:val="AddParagraf"/>
        <w:spacing w:after="0"/>
        <w:ind w:right="0" w:firstLine="720"/>
        <w:rPr>
          <w:rFonts w:asciiTheme="minorHAnsi" w:hAnsiTheme="minorHAnsi" w:cstheme="minorHAnsi"/>
          <w:b/>
          <w:sz w:val="26"/>
          <w:szCs w:val="26"/>
        </w:rPr>
      </w:pPr>
      <w:r w:rsidRPr="00564DC7">
        <w:rPr>
          <w:rFonts w:asciiTheme="minorHAnsi" w:hAnsiTheme="minorHAnsi" w:cstheme="minorHAnsi"/>
          <w:b/>
          <w:sz w:val="26"/>
          <w:szCs w:val="26"/>
        </w:rPr>
        <w:t>Numirea procurorilor în alte funcţii de conducere, în temeiul dispoziţiilor art. 149 și art. 150 alin. (2) și (3) din Legea nr. 303/2022 privind statutul judecătorilor și procurorilor</w:t>
      </w:r>
    </w:p>
    <w:p w14:paraId="3B450B32" w14:textId="77777777" w:rsidR="00150131" w:rsidRPr="00564DC7" w:rsidRDefault="00150131" w:rsidP="00690186">
      <w:pPr>
        <w:pStyle w:val="AddParagraf"/>
        <w:spacing w:after="0"/>
        <w:ind w:right="0" w:firstLine="720"/>
        <w:rPr>
          <w:rFonts w:asciiTheme="minorHAnsi" w:hAnsiTheme="minorHAnsi" w:cstheme="minorHAnsi"/>
          <w:i/>
          <w:sz w:val="26"/>
          <w:szCs w:val="26"/>
        </w:rPr>
      </w:pPr>
      <w:r w:rsidRPr="00564DC7">
        <w:rPr>
          <w:rFonts w:asciiTheme="minorHAnsi" w:hAnsiTheme="minorHAnsi" w:cstheme="minorHAnsi"/>
          <w:sz w:val="26"/>
          <w:szCs w:val="26"/>
        </w:rPr>
        <w:t>În conformitate cu dispoziţiile art. 149 alin. (1) Legea nr. 303/2022 privind statutul judecătorilor și procurorilor  „</w:t>
      </w:r>
      <w:r w:rsidRPr="00564DC7">
        <w:rPr>
          <w:rFonts w:asciiTheme="minorHAnsi" w:hAnsiTheme="minorHAnsi" w:cstheme="minorHAnsi"/>
          <w:sz w:val="26"/>
          <w:szCs w:val="26"/>
          <w:shd w:val="clear" w:color="auto" w:fill="FFFFFF"/>
        </w:rPr>
        <w:t xml:space="preserve">Numirea în alte funcţii de conducere decât cele prevăzute la art. 144 alin. (1) în cadrul Parchetului de pe lângă Înalta Curte de Casaţie şi Justiţie, al Direcţiei Naţionale Anticorupţie şi al Direcţiei de Investigare a Infracţiunilor de Criminalitate Organizată şi Terorism se face pe o perioadă de 3 ani, cu posibilitatea reînvestirii o singură dată, în acelaşi mod, de către Secţia pentru procurori a Consiliului Superior al Magistraturii, la propunerea procurorului </w:t>
      </w:r>
      <w:r w:rsidRPr="00564DC7">
        <w:rPr>
          <w:rFonts w:asciiTheme="minorHAnsi" w:hAnsiTheme="minorHAnsi" w:cstheme="minorHAnsi"/>
          <w:sz w:val="26"/>
          <w:szCs w:val="26"/>
          <w:shd w:val="clear" w:color="auto" w:fill="FFFFFF"/>
        </w:rPr>
        <w:lastRenderedPageBreak/>
        <w:t>general al Parchetului de pe lângă Înalta Curte de Casaţie şi Justiţie, a procurorului-şef al Direcţiei Naţionale Anticorupţie sau a procurorului-şef al Direcţiei de Investigare a Infracţiunilor de Criminalitate Organizată şi Terorism, după caz, cu recomandarea conducătorului secţiei din cadrul Parchetului de pe lângă Înalta Curte de Casaţie şi Justiţie, Direcţiei Naţionale Anticorupţie sau Direcţiei de Investigare a Infracţiunilor de Criminalitate Organizată şi Terorism, unde urmează să fie numit procurorul”.</w:t>
      </w:r>
    </w:p>
    <w:p w14:paraId="62CB4D69" w14:textId="77777777" w:rsidR="00150131" w:rsidRPr="00564DC7" w:rsidRDefault="00150131" w:rsidP="00690186">
      <w:pPr>
        <w:pStyle w:val="AddParagraf"/>
        <w:spacing w:after="0"/>
        <w:ind w:firstLine="720"/>
        <w:rPr>
          <w:rFonts w:asciiTheme="minorHAnsi" w:hAnsiTheme="minorHAnsi" w:cstheme="minorHAnsi"/>
          <w:i/>
          <w:sz w:val="26"/>
          <w:szCs w:val="26"/>
        </w:rPr>
      </w:pPr>
      <w:r w:rsidRPr="00564DC7">
        <w:rPr>
          <w:rFonts w:asciiTheme="minorHAnsi" w:hAnsiTheme="minorHAnsi" w:cstheme="minorHAnsi"/>
          <w:sz w:val="26"/>
          <w:szCs w:val="26"/>
        </w:rPr>
        <w:t>Totodată, în conformitate cu dispoziţiile art. 150 alin. (2) și (3) din Legea nr. 303/2022 privind statutul judecătorilor și procurorilor, „numirea în alte funcţii de conducere decât cele prevăzute la alin. (1) din cadrul judecătoriilor, tribunalelor, tribunalelor specializate şi curţilor de apel şi al parchetelor de pe lângă acestea se face fără concurs sau examen, la propunerea preşedintelui instanţei sau a conducătorului parchetului, potrivit procedurii prevăzute de prezenta lege. Numirea în funcţii de conducere la judecătorii, tribunale, tribunale specializate şi curţi de apel, precum şi la parchetele de pe lângă acestea se face prin hotărâre a Secţiei pentru judecători, respectiv a Secţiei pentru procurori, pe o perioadă de 3 ani, cu posibilitatea reînvestirii, o singură dată, în condiţiile prevăzute la alin. (1) şi (2).”</w:t>
      </w:r>
    </w:p>
    <w:p w14:paraId="4497BE0A" w14:textId="252C3E80" w:rsidR="00D2677E" w:rsidRPr="00D2677E" w:rsidRDefault="00D2677E" w:rsidP="00D2677E">
      <w:pPr>
        <w:pStyle w:val="AddParagraf"/>
        <w:spacing w:after="0"/>
        <w:ind w:right="0" w:firstLine="708"/>
        <w:rPr>
          <w:rFonts w:cs="Calibri"/>
          <w:sz w:val="26"/>
          <w:szCs w:val="26"/>
        </w:rPr>
      </w:pPr>
      <w:bookmarkStart w:id="80" w:name="_Hlk152922844"/>
      <w:r w:rsidRPr="00D2677E">
        <w:rPr>
          <w:rFonts w:cs="Calibri"/>
          <w:sz w:val="26"/>
          <w:szCs w:val="26"/>
        </w:rPr>
        <w:t>În perioada ianuarie-31.12.2023, în temeiul dispoziţiilor art. 149 și art. 150 alin. 2 și 3 din Legea nr. 303/2022, Secţia pentru procurori a Consiliului Superior al Magistraturii a numit 59 procurori în funcţii de conducere.</w:t>
      </w:r>
    </w:p>
    <w:bookmarkEnd w:id="80"/>
    <w:p w14:paraId="61EBFE97" w14:textId="431F9BD7" w:rsidR="00CB3F9B" w:rsidRPr="00564DC7" w:rsidRDefault="00CB3F9B" w:rsidP="00690186">
      <w:pPr>
        <w:pStyle w:val="AddParagraf"/>
        <w:spacing w:after="0"/>
        <w:ind w:right="0"/>
        <w:rPr>
          <w:rFonts w:asciiTheme="minorHAnsi" w:hAnsiTheme="minorHAnsi" w:cstheme="minorHAnsi"/>
          <w:b/>
          <w:sz w:val="26"/>
          <w:szCs w:val="26"/>
        </w:rPr>
      </w:pPr>
      <w:r w:rsidRPr="00564DC7">
        <w:rPr>
          <w:rFonts w:asciiTheme="minorHAnsi" w:hAnsiTheme="minorHAnsi" w:cstheme="minorHAnsi"/>
          <w:b/>
          <w:sz w:val="26"/>
          <w:szCs w:val="26"/>
        </w:rPr>
        <w:t>D.</w:t>
      </w: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Promovarea judecătorilor şi procurorilor în funcţii de execuţie</w:t>
      </w:r>
    </w:p>
    <w:p w14:paraId="3592C232" w14:textId="77777777" w:rsidR="00CB3F9B" w:rsidRPr="00564DC7" w:rsidRDefault="00CB3F9B" w:rsidP="00690186">
      <w:pPr>
        <w:keepNext/>
        <w:keepLines/>
        <w:ind w:firstLine="709"/>
        <w:jc w:val="both"/>
        <w:rPr>
          <w:rFonts w:asciiTheme="minorHAnsi" w:hAnsiTheme="minorHAnsi" w:cstheme="minorHAnsi"/>
          <w:b/>
          <w:sz w:val="26"/>
          <w:szCs w:val="26"/>
        </w:rPr>
      </w:pPr>
      <w:r w:rsidRPr="00564DC7">
        <w:rPr>
          <w:rFonts w:asciiTheme="minorHAnsi" w:hAnsiTheme="minorHAnsi" w:cstheme="minorHAnsi"/>
          <w:b/>
          <w:sz w:val="26"/>
          <w:szCs w:val="26"/>
        </w:rPr>
        <w:t>D.1.</w:t>
      </w: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 xml:space="preserve">Promovarea judecătorilor </w:t>
      </w:r>
    </w:p>
    <w:p w14:paraId="1D22F7E9"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cursul anului 2023 a fost organizat un singur concurs de promovare efectivă în funcţii de execuţie în condiţiile art. 139 - 141 din Legea nr. 303/2022.</w:t>
      </w:r>
    </w:p>
    <w:p w14:paraId="618D730B"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Astfel, concursul de promovare efectivă în funcţii de execuţie a fost aprobat prin Hotărârea Secţiei pentru judecători nr. 1506/11.05.2023, pentru perioada mai – octombrie 2023. Pentru acest concurs au fost alocate 68 de posturi la curţile de apel şi 432 de posturi la tribunale, 332 de judecători formulând cereri de participare la concurs, din care un judecător a renunţat. După verificarea îndeplinirii condiţiilor de participare şi soluţionarea contestaţiilor, s-a constatat că 292 de candidaţi îndeplinesc condiţiile prevăzute de lege.</w:t>
      </w:r>
    </w:p>
    <w:p w14:paraId="0A835F31"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şedinţa Secţiei pentru judecători din data de 5 octombrie 2023 au fost validate rezultatele acestui concurs şi s-a dispus promovarea efectivă la instanţele superioare începând cu data de 1 noiembrie 2023 (cu două excepţii privind promovarea efectivă cu data de 01.01.2024 şi a unei excepţii privind promovarea efectivă cu 15.11.2023) a unui număr de 201 judecători, din care 53 la curţile de apel şi 148 judecători la tribunale.</w:t>
      </w:r>
    </w:p>
    <w:p w14:paraId="6CF3EA0C" w14:textId="6284443D" w:rsidR="00194DD8" w:rsidRPr="00DE0E9C" w:rsidRDefault="00194DD8" w:rsidP="00DE0E9C">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 xml:space="preserve">Distinct, prin hotărârea Secţiei pentru judecători nr. 1415/27.04.2023 s-a dispus promovarea la instanţele superioare a 7 judecători (4 judecători la curte de apel şi 3 judecători la tribunal), începând cu data de 1 iunie 2023, ca urmare a valorificării rezultatului obţinut la concursul de promovare în funcţii de execuţie a judecătorilor desfăşurat în perioada mai - octombrie </w:t>
      </w:r>
      <w:r w:rsidRPr="00194DD8">
        <w:rPr>
          <w:rFonts w:asciiTheme="minorHAnsi" w:hAnsiTheme="minorHAnsi" w:cstheme="minorHAnsi"/>
          <w:sz w:val="26"/>
          <w:szCs w:val="26"/>
        </w:rPr>
        <w:t>2022.  Suplimentar, în cursul acestui an, Secţia pentru judecători a validat rezultatele concursului de promovare efectivă în funcţii de execuţie desfăşurat în perioada aprilie-august 2021 şi promovarea candidatului, începând cu data de 1 iunie 2023 (Hotărârea Secţiei pentru Judecători nr. 1519/11.05.2023).</w:t>
      </w:r>
    </w:p>
    <w:p w14:paraId="78C9D403" w14:textId="6EACD095" w:rsidR="00D2677E" w:rsidRPr="00D2677E" w:rsidRDefault="00DE0E9C" w:rsidP="00D2677E">
      <w:pPr>
        <w:ind w:firstLine="709"/>
        <w:jc w:val="both"/>
        <w:rPr>
          <w:rFonts w:asciiTheme="minorHAnsi" w:hAnsiTheme="minorHAnsi" w:cstheme="minorHAnsi"/>
          <w:sz w:val="26"/>
          <w:szCs w:val="26"/>
        </w:rPr>
      </w:pPr>
      <w:r w:rsidRPr="00DE0E9C">
        <w:rPr>
          <w:rFonts w:asciiTheme="minorHAnsi" w:hAnsiTheme="minorHAnsi" w:cstheme="minorHAnsi"/>
          <w:sz w:val="26"/>
          <w:szCs w:val="26"/>
        </w:rPr>
        <w:t>De asemenea, în şedinţa Secţiei pentru judecători din data de 7 decembrie 2023 s-a dispus promovarea la instanţele superioare a 36 de judecători (18 judecători la curte de apel şi 18 judecători la tribunal), începând cu data de 01.01.2024 (cu o singură excepţie – 01.04.2024), ca urmare a valorificării rezultatului obţinut la concursul de promovare în funcţii de execuţie a judecătorilor finalizat în luna octombrie 2023.</w:t>
      </w:r>
      <w:r w:rsidR="00D2677E" w:rsidRPr="00D2677E">
        <w:rPr>
          <w:rFonts w:asciiTheme="minorHAnsi" w:hAnsiTheme="minorHAnsi" w:cstheme="minorHAnsi"/>
          <w:color w:val="FF0000"/>
          <w:sz w:val="26"/>
          <w:szCs w:val="26"/>
        </w:rPr>
        <w:t xml:space="preserve"> </w:t>
      </w:r>
      <w:r w:rsidR="00D2677E" w:rsidRPr="00D2677E">
        <w:rPr>
          <w:rFonts w:asciiTheme="minorHAnsi" w:hAnsiTheme="minorHAnsi" w:cstheme="minorHAnsi"/>
          <w:sz w:val="26"/>
          <w:szCs w:val="26"/>
        </w:rPr>
        <w:t xml:space="preserve">Ulterior, în şedinţa Secţiei pentru judecători din data de 19 decembrie 2023, în 4 situaţii, data promovării a fost modificată, de la 1 ianuarie 2024, la 1 februarie (în 2 situaţii), 1 aprilie, respectiv 1 iulie 2024.  </w:t>
      </w:r>
    </w:p>
    <w:p w14:paraId="19006E72" w14:textId="71D760E3" w:rsidR="00DE0E9C" w:rsidRPr="00DE0E9C" w:rsidRDefault="00DE0E9C" w:rsidP="00DE0E9C">
      <w:pPr>
        <w:spacing w:line="276" w:lineRule="auto"/>
        <w:ind w:firstLine="709"/>
        <w:jc w:val="both"/>
        <w:rPr>
          <w:rFonts w:asciiTheme="minorHAnsi" w:hAnsiTheme="minorHAnsi" w:cstheme="minorHAnsi"/>
          <w:sz w:val="26"/>
          <w:szCs w:val="26"/>
        </w:rPr>
      </w:pPr>
    </w:p>
    <w:p w14:paraId="685C6887" w14:textId="6EDA0BD3" w:rsidR="00CB3F9B" w:rsidRPr="00564DC7" w:rsidRDefault="00CB3F9B" w:rsidP="00690186">
      <w:pPr>
        <w:widowControl w:val="0"/>
        <w:ind w:firstLine="709"/>
        <w:jc w:val="both"/>
        <w:rPr>
          <w:rFonts w:asciiTheme="minorHAnsi" w:hAnsiTheme="minorHAnsi" w:cstheme="minorHAnsi"/>
          <w:b/>
          <w:sz w:val="26"/>
          <w:szCs w:val="26"/>
        </w:rPr>
      </w:pPr>
      <w:r w:rsidRPr="00564DC7">
        <w:rPr>
          <w:rFonts w:asciiTheme="minorHAnsi" w:hAnsiTheme="minorHAnsi" w:cstheme="minorHAnsi"/>
          <w:b/>
          <w:sz w:val="26"/>
          <w:szCs w:val="26"/>
        </w:rPr>
        <w:t>D.2. Promovarea în funcţia de judecător la Înalta Curte de Casaţie şi Justiţie</w:t>
      </w:r>
    </w:p>
    <w:p w14:paraId="35D81982" w14:textId="22B84DA8" w:rsidR="00150131" w:rsidRPr="00564DC7" w:rsidRDefault="00150131" w:rsidP="00690186">
      <w:pPr>
        <w:widowControl w:val="0"/>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La nivelul instanței supreme, ca urmare a finalizării concursurilor desfăşurate în perioada noiembrie 2022 – martie 2023, în şedinţa din data de 23.03.2023, Secţia pentru judecători a dispus promovarea a 6 judecători la instanţa supremă, </w:t>
      </w:r>
      <w:r w:rsidRPr="00564DC7">
        <w:rPr>
          <w:rFonts w:asciiTheme="minorHAnsi" w:hAnsiTheme="minorHAnsi" w:cstheme="minorHAnsi"/>
          <w:bCs/>
          <w:sz w:val="26"/>
          <w:szCs w:val="26"/>
        </w:rPr>
        <w:t xml:space="preserve">din care 2 </w:t>
      </w:r>
      <w:r w:rsidR="007E3A56">
        <w:rPr>
          <w:rFonts w:asciiTheme="minorHAnsi" w:hAnsiTheme="minorHAnsi" w:cstheme="minorHAnsi"/>
          <w:bCs/>
          <w:sz w:val="26"/>
          <w:szCs w:val="26"/>
        </w:rPr>
        <w:t>judecători</w:t>
      </w:r>
      <w:r w:rsidRPr="00564DC7">
        <w:rPr>
          <w:rFonts w:asciiTheme="minorHAnsi" w:hAnsiTheme="minorHAnsi" w:cstheme="minorHAnsi"/>
          <w:bCs/>
          <w:sz w:val="26"/>
          <w:szCs w:val="26"/>
        </w:rPr>
        <w:t xml:space="preserve"> la Secţia I civilă, 1 </w:t>
      </w:r>
      <w:r w:rsidR="007E3A56">
        <w:rPr>
          <w:rFonts w:asciiTheme="minorHAnsi" w:hAnsiTheme="minorHAnsi" w:cstheme="minorHAnsi"/>
          <w:bCs/>
          <w:sz w:val="26"/>
          <w:szCs w:val="26"/>
        </w:rPr>
        <w:t xml:space="preserve">judecător </w:t>
      </w:r>
      <w:r w:rsidRPr="00564DC7">
        <w:rPr>
          <w:rFonts w:asciiTheme="minorHAnsi" w:hAnsiTheme="minorHAnsi" w:cstheme="minorHAnsi"/>
          <w:bCs/>
          <w:sz w:val="26"/>
          <w:szCs w:val="26"/>
        </w:rPr>
        <w:t xml:space="preserve">la Secţia de contencios administrativ şi fiscal, 1 </w:t>
      </w:r>
      <w:r w:rsidR="007E3A56">
        <w:rPr>
          <w:rFonts w:asciiTheme="minorHAnsi" w:hAnsiTheme="minorHAnsi" w:cstheme="minorHAnsi"/>
          <w:bCs/>
          <w:sz w:val="26"/>
          <w:szCs w:val="26"/>
        </w:rPr>
        <w:t>judecător</w:t>
      </w:r>
      <w:r w:rsidRPr="00564DC7">
        <w:rPr>
          <w:rFonts w:asciiTheme="minorHAnsi" w:hAnsiTheme="minorHAnsi" w:cstheme="minorHAnsi"/>
          <w:bCs/>
          <w:sz w:val="26"/>
          <w:szCs w:val="26"/>
        </w:rPr>
        <w:t xml:space="preserve"> la Secţia penală şi 2 </w:t>
      </w:r>
      <w:r w:rsidR="007E3A56">
        <w:rPr>
          <w:rFonts w:asciiTheme="minorHAnsi" w:hAnsiTheme="minorHAnsi" w:cstheme="minorHAnsi"/>
          <w:bCs/>
          <w:sz w:val="26"/>
          <w:szCs w:val="26"/>
        </w:rPr>
        <w:t xml:space="preserve">judecători </w:t>
      </w:r>
      <w:r w:rsidRPr="00564DC7">
        <w:rPr>
          <w:rFonts w:asciiTheme="minorHAnsi" w:hAnsiTheme="minorHAnsi" w:cstheme="minorHAnsi"/>
          <w:bCs/>
          <w:sz w:val="26"/>
          <w:szCs w:val="26"/>
        </w:rPr>
        <w:t>la Secţia a II-a civilă</w:t>
      </w:r>
      <w:r w:rsidRPr="00564DC7">
        <w:rPr>
          <w:rFonts w:asciiTheme="minorHAnsi" w:hAnsiTheme="minorHAnsi" w:cstheme="minorHAnsi"/>
          <w:sz w:val="26"/>
          <w:szCs w:val="26"/>
        </w:rPr>
        <w:t>.</w:t>
      </w:r>
    </w:p>
    <w:p w14:paraId="2B64E97D" w14:textId="4105FDD1" w:rsidR="00AA4335"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De asemenea, prin Hotărârea nr. 1338/11.04.2023 a Secției pentru judecători</w:t>
      </w:r>
      <w:r w:rsidR="007E3A56">
        <w:rPr>
          <w:rFonts w:asciiTheme="minorHAnsi" w:hAnsiTheme="minorHAnsi" w:cstheme="minorHAnsi"/>
          <w:sz w:val="26"/>
          <w:szCs w:val="26"/>
        </w:rPr>
        <w:t xml:space="preserve">, </w:t>
      </w:r>
      <w:r w:rsidRPr="00564DC7">
        <w:rPr>
          <w:rFonts w:asciiTheme="minorHAnsi" w:hAnsiTheme="minorHAnsi" w:cstheme="minorHAnsi"/>
          <w:sz w:val="26"/>
          <w:szCs w:val="26"/>
        </w:rPr>
        <w:t xml:space="preserve">s-a aprobat </w:t>
      </w:r>
      <w:r w:rsidR="00DE251F">
        <w:rPr>
          <w:rFonts w:asciiTheme="minorHAnsi" w:hAnsiTheme="minorHAnsi" w:cstheme="minorHAnsi"/>
          <w:sz w:val="26"/>
          <w:szCs w:val="26"/>
        </w:rPr>
        <w:t xml:space="preserve">organizarea </w:t>
      </w:r>
      <w:r w:rsidRPr="00564DC7">
        <w:rPr>
          <w:rFonts w:asciiTheme="minorHAnsi" w:hAnsiTheme="minorHAnsi" w:cstheme="minorHAnsi"/>
          <w:sz w:val="26"/>
          <w:szCs w:val="26"/>
        </w:rPr>
        <w:t>concursul</w:t>
      </w:r>
      <w:r w:rsidR="00DE251F">
        <w:rPr>
          <w:rFonts w:asciiTheme="minorHAnsi" w:hAnsiTheme="minorHAnsi" w:cstheme="minorHAnsi"/>
          <w:sz w:val="26"/>
          <w:szCs w:val="26"/>
        </w:rPr>
        <w:t>ui</w:t>
      </w:r>
      <w:r w:rsidRPr="00564DC7">
        <w:rPr>
          <w:rFonts w:asciiTheme="minorHAnsi" w:hAnsiTheme="minorHAnsi" w:cstheme="minorHAnsi"/>
          <w:sz w:val="26"/>
          <w:szCs w:val="26"/>
        </w:rPr>
        <w:t xml:space="preserve"> de promovare în funcţia de judecător la Înalta Curte de Casaţie şi Justiţie, din perioada aprilie-septembrie 2023, pentru 17 posturi de judecător, din care 3 posturi la Secția I civilă,  1 post la Secţia a II- civilă, 7 posturi la Secţia penală şi 6 posturi la Secţia de contencios administrativ şi fiscal. În şedinţa Secţiei pentru judecători din data de 27 septembrie 2023 au fost validate rezultatele obţinute la acest concurs, fiind promovaţi la instanţa supremă, începând cu data de 1 octombrie 2023, opt judecători: 3 judecători la Secţia I civilă, un judecător la Secţia a II-a civilă, un judecător la Secţia penală şi 3 judecători la Secţia de contencios administrativ şi fiscal.</w:t>
      </w:r>
    </w:p>
    <w:p w14:paraId="75AE0EEC" w14:textId="3A5CD758" w:rsidR="00194DD8" w:rsidRDefault="00194DD8" w:rsidP="00194DD8">
      <w:pPr>
        <w:widowControl w:val="0"/>
        <w:spacing w:line="276" w:lineRule="auto"/>
        <w:ind w:firstLine="709"/>
        <w:jc w:val="both"/>
        <w:rPr>
          <w:rFonts w:asciiTheme="minorHAnsi" w:hAnsiTheme="minorHAnsi" w:cstheme="minorHAnsi"/>
          <w:sz w:val="26"/>
          <w:szCs w:val="26"/>
        </w:rPr>
      </w:pPr>
      <w:r w:rsidRPr="00194DD8">
        <w:rPr>
          <w:rFonts w:asciiTheme="minorHAnsi" w:hAnsiTheme="minorHAnsi" w:cstheme="minorHAnsi"/>
          <w:sz w:val="26"/>
          <w:szCs w:val="26"/>
        </w:rPr>
        <w:t>În prezent, este în desfăşurare, în perioada noiembrie 2023 – martie 2024, un nou concurs de promovare</w:t>
      </w:r>
      <w:r>
        <w:rPr>
          <w:rFonts w:asciiTheme="minorHAnsi" w:hAnsiTheme="minorHAnsi" w:cstheme="minorHAnsi"/>
          <w:sz w:val="26"/>
          <w:szCs w:val="26"/>
        </w:rPr>
        <w:t xml:space="preserve"> în funcția de judecător</w:t>
      </w:r>
      <w:r w:rsidRPr="00194DD8">
        <w:rPr>
          <w:rFonts w:asciiTheme="minorHAnsi" w:hAnsiTheme="minorHAnsi" w:cstheme="minorHAnsi"/>
          <w:sz w:val="26"/>
          <w:szCs w:val="26"/>
        </w:rPr>
        <w:t xml:space="preserve"> la Înalta Curte de Casaţie şi Justiţie, aprobat prin Hotărârea Secţiei pentru judecători nr. 2570/02.11.2023, pentru 17 posturi de judecător, din care 3 posturi la Secția I civilă,  2 posturi la Secţia a II- civilă, 6 posturi la Secţia penală şi 6 posturi la Secţia de contencios administrativ şi fiscal.</w:t>
      </w:r>
    </w:p>
    <w:p w14:paraId="13B34631" w14:textId="073ACBEE" w:rsidR="00CB3F9B" w:rsidRPr="00564DC7" w:rsidRDefault="00CB3F9B" w:rsidP="00690186">
      <w:pPr>
        <w:ind w:firstLine="709"/>
        <w:jc w:val="both"/>
        <w:rPr>
          <w:rFonts w:asciiTheme="minorHAnsi" w:hAnsiTheme="minorHAnsi" w:cstheme="minorHAnsi"/>
          <w:b/>
          <w:sz w:val="26"/>
          <w:szCs w:val="26"/>
        </w:rPr>
      </w:pPr>
      <w:r w:rsidRPr="00564DC7">
        <w:rPr>
          <w:rFonts w:asciiTheme="minorHAnsi" w:hAnsiTheme="minorHAnsi" w:cstheme="minorHAnsi"/>
          <w:b/>
          <w:sz w:val="26"/>
          <w:szCs w:val="26"/>
        </w:rPr>
        <w:t>D.3.</w:t>
      </w:r>
      <w:r w:rsidRPr="00564DC7">
        <w:rPr>
          <w:rFonts w:asciiTheme="minorHAnsi" w:hAnsiTheme="minorHAnsi" w:cstheme="minorHAnsi"/>
          <w:sz w:val="26"/>
          <w:szCs w:val="26"/>
        </w:rPr>
        <w:t xml:space="preserve"> </w:t>
      </w:r>
      <w:r w:rsidRPr="00564DC7">
        <w:rPr>
          <w:rFonts w:asciiTheme="minorHAnsi" w:hAnsiTheme="minorHAnsi" w:cstheme="minorHAnsi"/>
          <w:b/>
          <w:sz w:val="26"/>
          <w:szCs w:val="26"/>
        </w:rPr>
        <w:t xml:space="preserve">Promovarea procurorilor </w:t>
      </w:r>
    </w:p>
    <w:p w14:paraId="67FCBAEC" w14:textId="77777777" w:rsidR="00150131" w:rsidRPr="00564DC7"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perioada ianuarie - 18.10.2023 s-a desfășurat concursul de promovare în funcţii de execuţie efectivă a  procurorilor.</w:t>
      </w:r>
    </w:p>
    <w:p w14:paraId="2AB28A07" w14:textId="5B7875D0" w:rsidR="00CB3F9B" w:rsidRDefault="00150131"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Astfel, prin Hotărârea Secției pentru procurori nr. 744/23.05.2023, a fost aprobată organizarea concursului de promovare efectivă în funcții de execuție a procurorilor pentru un număr de 154 de posturi. În urma finalizării acestui concurs au promovat efectiv la unitățile de parchet superioare 88 de procurori.</w:t>
      </w:r>
    </w:p>
    <w:p w14:paraId="66238F1A" w14:textId="77777777" w:rsidR="00D2677E" w:rsidRPr="00D2677E" w:rsidRDefault="00DE0E9C" w:rsidP="00D2677E">
      <w:pPr>
        <w:tabs>
          <w:tab w:val="left" w:pos="709"/>
        </w:tabs>
        <w:jc w:val="both"/>
        <w:rPr>
          <w:rFonts w:asciiTheme="minorHAnsi" w:hAnsiTheme="minorHAnsi" w:cstheme="minorHAnsi"/>
          <w:sz w:val="26"/>
          <w:szCs w:val="26"/>
        </w:rPr>
      </w:pPr>
      <w:r>
        <w:rPr>
          <w:rFonts w:asciiTheme="minorHAnsi" w:hAnsiTheme="minorHAnsi" w:cstheme="minorHAnsi"/>
          <w:color w:val="C00000"/>
          <w:sz w:val="26"/>
          <w:szCs w:val="26"/>
        </w:rPr>
        <w:tab/>
      </w:r>
      <w:bookmarkStart w:id="81" w:name="_Hlk152922879"/>
      <w:r w:rsidR="00D2677E" w:rsidRPr="00D2677E">
        <w:rPr>
          <w:rFonts w:asciiTheme="minorHAnsi" w:hAnsiTheme="minorHAnsi" w:cstheme="minorHAnsi"/>
          <w:sz w:val="26"/>
          <w:szCs w:val="26"/>
        </w:rPr>
        <w:t>De asemenea, în ședințele Secției pentru procurori din datele de 21.11.2023 și 12.12.2023, s-a decis promovarea efectivă la parchetele superioare a alți 29 de procurori, ca efect al admiterii cererilor acestora de valorificare a rezultatului obținut la examen.</w:t>
      </w:r>
    </w:p>
    <w:bookmarkEnd w:id="81"/>
    <w:p w14:paraId="1E65F461" w14:textId="77777777" w:rsidR="00CB3F9B" w:rsidRPr="00564DC7" w:rsidRDefault="00CB3F9B" w:rsidP="00690186">
      <w:pPr>
        <w:ind w:firstLine="709"/>
        <w:jc w:val="both"/>
        <w:rPr>
          <w:rFonts w:asciiTheme="minorHAnsi" w:hAnsiTheme="minorHAnsi" w:cstheme="minorHAnsi"/>
          <w:b/>
          <w:sz w:val="26"/>
          <w:szCs w:val="26"/>
        </w:rPr>
      </w:pPr>
      <w:r w:rsidRPr="00564DC7">
        <w:rPr>
          <w:rFonts w:asciiTheme="minorHAnsi" w:hAnsiTheme="minorHAnsi" w:cstheme="minorHAnsi"/>
          <w:b/>
          <w:sz w:val="26"/>
          <w:szCs w:val="26"/>
        </w:rPr>
        <w:t>E. Eliberări din funcţia de judecător şi procuror</w:t>
      </w:r>
    </w:p>
    <w:p w14:paraId="6B010ECB" w14:textId="2FED1A1A" w:rsidR="001671DE" w:rsidRPr="00564DC7" w:rsidRDefault="001671DE" w:rsidP="00690186">
      <w:pPr>
        <w:tabs>
          <w:tab w:val="left" w:pos="709"/>
        </w:tabs>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Prin decrete ale preşedintelui României publicate în perioada de referinţă, până la data de </w:t>
      </w:r>
      <w:r w:rsidR="00D2677E">
        <w:rPr>
          <w:rFonts w:asciiTheme="minorHAnsi" w:hAnsiTheme="minorHAnsi" w:cstheme="minorHAnsi"/>
          <w:sz w:val="26"/>
          <w:szCs w:val="26"/>
        </w:rPr>
        <w:t>31.</w:t>
      </w:r>
      <w:r w:rsidR="00DE0E9C">
        <w:rPr>
          <w:rFonts w:asciiTheme="minorHAnsi" w:hAnsiTheme="minorHAnsi" w:cstheme="minorHAnsi"/>
          <w:sz w:val="26"/>
          <w:szCs w:val="26"/>
        </w:rPr>
        <w:t>12</w:t>
      </w:r>
      <w:r w:rsidRPr="00564DC7">
        <w:rPr>
          <w:rFonts w:asciiTheme="minorHAnsi" w:hAnsiTheme="minorHAnsi" w:cstheme="minorHAnsi"/>
          <w:sz w:val="26"/>
          <w:szCs w:val="26"/>
        </w:rPr>
        <w:t xml:space="preserve">.2023 inclusiv, au fost eliberate din funcţia de judecător </w:t>
      </w:r>
      <w:r w:rsidR="00D2677E" w:rsidRPr="00D2677E">
        <w:rPr>
          <w:rFonts w:asciiTheme="minorHAnsi" w:hAnsiTheme="minorHAnsi" w:cstheme="minorHAnsi"/>
          <w:b/>
          <w:bCs/>
          <w:sz w:val="26"/>
          <w:szCs w:val="26"/>
        </w:rPr>
        <w:t>306</w:t>
      </w:r>
      <w:r w:rsidRPr="00564DC7">
        <w:rPr>
          <w:rFonts w:asciiTheme="minorHAnsi" w:hAnsiTheme="minorHAnsi" w:cstheme="minorHAnsi"/>
          <w:sz w:val="26"/>
          <w:szCs w:val="26"/>
        </w:rPr>
        <w:t xml:space="preserve"> persoane, după cum urmează: </w:t>
      </w:r>
    </w:p>
    <w:p w14:paraId="22A16A6C" w14:textId="0EDB0E58" w:rsidR="001671DE" w:rsidRPr="00564DC7" w:rsidRDefault="001671DE">
      <w:pPr>
        <w:numPr>
          <w:ilvl w:val="0"/>
          <w:numId w:val="27"/>
        </w:numPr>
        <w:tabs>
          <w:tab w:val="left" w:pos="851"/>
          <w:tab w:val="left" w:pos="1068"/>
        </w:tabs>
        <w:ind w:left="1428"/>
        <w:jc w:val="both"/>
        <w:rPr>
          <w:rFonts w:asciiTheme="minorHAnsi" w:hAnsiTheme="minorHAnsi" w:cstheme="minorHAnsi"/>
          <w:sz w:val="26"/>
          <w:szCs w:val="26"/>
        </w:rPr>
      </w:pPr>
      <w:r w:rsidRPr="00564DC7">
        <w:rPr>
          <w:rFonts w:asciiTheme="minorHAnsi" w:hAnsiTheme="minorHAnsi" w:cstheme="minorHAnsi"/>
          <w:b/>
          <w:bCs/>
          <w:sz w:val="26"/>
          <w:szCs w:val="26"/>
        </w:rPr>
        <w:t>2</w:t>
      </w:r>
      <w:r w:rsidR="00D2677E">
        <w:rPr>
          <w:rFonts w:asciiTheme="minorHAnsi" w:hAnsiTheme="minorHAnsi" w:cstheme="minorHAnsi"/>
          <w:b/>
          <w:bCs/>
          <w:sz w:val="26"/>
          <w:szCs w:val="26"/>
        </w:rPr>
        <w:t>97</w:t>
      </w:r>
      <w:r w:rsidRPr="00564DC7">
        <w:rPr>
          <w:rFonts w:asciiTheme="minorHAnsi" w:hAnsiTheme="minorHAnsi" w:cstheme="minorHAnsi"/>
          <w:sz w:val="26"/>
          <w:szCs w:val="26"/>
        </w:rPr>
        <w:t xml:space="preserve"> de persoane, prin pensionare;</w:t>
      </w:r>
    </w:p>
    <w:p w14:paraId="257C81A2" w14:textId="77777777" w:rsidR="001671DE" w:rsidRPr="00564DC7" w:rsidRDefault="001671DE">
      <w:pPr>
        <w:numPr>
          <w:ilvl w:val="0"/>
          <w:numId w:val="27"/>
        </w:numPr>
        <w:tabs>
          <w:tab w:val="left" w:pos="851"/>
          <w:tab w:val="left" w:pos="1068"/>
        </w:tabs>
        <w:ind w:left="1428"/>
        <w:jc w:val="both"/>
        <w:rPr>
          <w:rFonts w:asciiTheme="minorHAnsi" w:hAnsiTheme="minorHAnsi" w:cstheme="minorHAnsi"/>
          <w:sz w:val="26"/>
          <w:szCs w:val="26"/>
        </w:rPr>
      </w:pPr>
      <w:r w:rsidRPr="00564DC7">
        <w:rPr>
          <w:rFonts w:asciiTheme="minorHAnsi" w:hAnsiTheme="minorHAnsi" w:cstheme="minorHAnsi"/>
          <w:b/>
          <w:bCs/>
          <w:sz w:val="26"/>
          <w:szCs w:val="26"/>
        </w:rPr>
        <w:t>1</w:t>
      </w:r>
      <w:r w:rsidRPr="00564DC7">
        <w:rPr>
          <w:rFonts w:asciiTheme="minorHAnsi" w:hAnsiTheme="minorHAnsi" w:cstheme="minorHAnsi"/>
          <w:sz w:val="26"/>
          <w:szCs w:val="26"/>
        </w:rPr>
        <w:t xml:space="preserve"> persoană ca urmare a demisiei;</w:t>
      </w:r>
    </w:p>
    <w:p w14:paraId="3485F9DF" w14:textId="77777777" w:rsidR="001671DE" w:rsidRPr="00DE0E9C" w:rsidRDefault="001671DE">
      <w:pPr>
        <w:numPr>
          <w:ilvl w:val="0"/>
          <w:numId w:val="27"/>
        </w:numPr>
        <w:tabs>
          <w:tab w:val="left" w:pos="851"/>
          <w:tab w:val="left" w:pos="1068"/>
        </w:tabs>
        <w:ind w:left="1428"/>
        <w:jc w:val="both"/>
        <w:rPr>
          <w:rFonts w:asciiTheme="minorHAnsi" w:hAnsiTheme="minorHAnsi" w:cstheme="minorHAnsi"/>
          <w:sz w:val="26"/>
          <w:szCs w:val="26"/>
        </w:rPr>
      </w:pPr>
      <w:r w:rsidRPr="00DE0E9C">
        <w:rPr>
          <w:rFonts w:asciiTheme="minorHAnsi" w:hAnsiTheme="minorHAnsi" w:cstheme="minorHAnsi"/>
          <w:b/>
          <w:bCs/>
          <w:sz w:val="26"/>
          <w:szCs w:val="26"/>
        </w:rPr>
        <w:t>8</w:t>
      </w:r>
      <w:r w:rsidRPr="00DE0E9C">
        <w:rPr>
          <w:rFonts w:asciiTheme="minorHAnsi" w:hAnsiTheme="minorHAnsi" w:cstheme="minorHAnsi"/>
          <w:sz w:val="26"/>
          <w:szCs w:val="26"/>
        </w:rPr>
        <w:t xml:space="preserve"> persoane ca urmare a numirii în funcţia de procuror</w:t>
      </w:r>
      <w:r w:rsidRPr="00DE0E9C">
        <w:rPr>
          <w:rFonts w:asciiTheme="minorHAnsi" w:hAnsiTheme="minorHAnsi" w:cstheme="minorHAnsi"/>
          <w:sz w:val="26"/>
          <w:szCs w:val="26"/>
          <w:shd w:val="clear" w:color="auto" w:fill="FFFFFF"/>
        </w:rPr>
        <w:t>.</w:t>
      </w:r>
    </w:p>
    <w:p w14:paraId="12CFA792" w14:textId="77777777" w:rsidR="001671DE" w:rsidRPr="00564DC7" w:rsidRDefault="001671D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Totodată, în cursul acestui an s-a vacantat 1 post, ca urmare a decesului unui judecător.</w:t>
      </w:r>
    </w:p>
    <w:p w14:paraId="18E67754" w14:textId="32DFEF9F" w:rsidR="00DE0E9C" w:rsidRPr="005D0FD7" w:rsidRDefault="00DE0E9C" w:rsidP="00DE0E9C">
      <w:pPr>
        <w:spacing w:line="276" w:lineRule="auto"/>
        <w:ind w:right="48" w:firstLine="709"/>
        <w:jc w:val="both"/>
        <w:rPr>
          <w:rFonts w:asciiTheme="minorHAnsi" w:hAnsiTheme="minorHAnsi" w:cstheme="minorHAnsi"/>
          <w:b/>
          <w:bCs/>
          <w:color w:val="FF0000"/>
          <w:sz w:val="26"/>
          <w:szCs w:val="26"/>
        </w:rPr>
      </w:pPr>
      <w:r w:rsidRPr="001270C8">
        <w:rPr>
          <w:rFonts w:asciiTheme="minorHAnsi" w:hAnsiTheme="minorHAnsi" w:cstheme="minorHAnsi"/>
          <w:sz w:val="26"/>
          <w:szCs w:val="26"/>
        </w:rPr>
        <w:t xml:space="preserve">Situaţia posturilor de judecător pe grade de jurisdicţie, comparativ la sfârşitul anului 2022, </w:t>
      </w:r>
      <w:r>
        <w:rPr>
          <w:rFonts w:asciiTheme="minorHAnsi" w:hAnsiTheme="minorHAnsi" w:cstheme="minorHAnsi"/>
          <w:b/>
          <w:bCs/>
          <w:sz w:val="26"/>
          <w:szCs w:val="26"/>
        </w:rPr>
        <w:t xml:space="preserve">începutul anului 2023, </w:t>
      </w:r>
      <w:r w:rsidRPr="001270C8">
        <w:rPr>
          <w:rFonts w:asciiTheme="minorHAnsi" w:hAnsiTheme="minorHAnsi" w:cstheme="minorHAnsi"/>
          <w:b/>
          <w:bCs/>
          <w:sz w:val="26"/>
          <w:szCs w:val="26"/>
        </w:rPr>
        <w:t xml:space="preserve">cu luarea în considerare a măsurilor dispuse începând cu data de 1 ianuarie 2022 şi </w:t>
      </w:r>
      <w:r w:rsidR="00D2677E">
        <w:rPr>
          <w:rFonts w:asciiTheme="minorHAnsi" w:hAnsiTheme="minorHAnsi" w:cstheme="minorHAnsi"/>
          <w:b/>
          <w:bCs/>
          <w:sz w:val="26"/>
          <w:szCs w:val="26"/>
        </w:rPr>
        <w:t>31</w:t>
      </w:r>
      <w:r w:rsidRPr="00DE0E9C">
        <w:rPr>
          <w:rFonts w:asciiTheme="minorHAnsi" w:hAnsiTheme="minorHAnsi" w:cstheme="minorHAnsi"/>
          <w:b/>
          <w:bCs/>
          <w:sz w:val="26"/>
          <w:szCs w:val="26"/>
        </w:rPr>
        <w:t xml:space="preserve"> decembrie </w:t>
      </w:r>
      <w:r w:rsidRPr="001270C8">
        <w:rPr>
          <w:rFonts w:asciiTheme="minorHAnsi" w:hAnsiTheme="minorHAnsi" w:cstheme="minorHAnsi"/>
          <w:b/>
          <w:bCs/>
          <w:sz w:val="26"/>
          <w:szCs w:val="26"/>
        </w:rPr>
        <w:t>2023</w:t>
      </w:r>
      <w:r>
        <w:rPr>
          <w:rFonts w:asciiTheme="minorHAnsi" w:hAnsiTheme="minorHAnsi" w:cstheme="minorHAnsi"/>
          <w:b/>
          <w:bCs/>
          <w:sz w:val="26"/>
          <w:szCs w:val="26"/>
        </w:rPr>
        <w:t xml:space="preserve"> inclusiv</w:t>
      </w:r>
      <w:r w:rsidRPr="001270C8">
        <w:rPr>
          <w:rFonts w:asciiTheme="minorHAnsi" w:hAnsiTheme="minorHAnsi" w:cstheme="minorHAnsi"/>
          <w:b/>
          <w:bCs/>
          <w:sz w:val="26"/>
          <w:szCs w:val="26"/>
        </w:rPr>
        <w:t>, cu luarea în considerare a tuturor decretelor publicate</w:t>
      </w:r>
      <w:r>
        <w:rPr>
          <w:rFonts w:asciiTheme="minorHAnsi" w:hAnsiTheme="minorHAnsi" w:cstheme="minorHAnsi"/>
          <w:b/>
          <w:bCs/>
          <w:sz w:val="26"/>
          <w:szCs w:val="26"/>
        </w:rPr>
        <w:t xml:space="preserve">, </w:t>
      </w:r>
      <w:r w:rsidRPr="00DE0E9C">
        <w:rPr>
          <w:rFonts w:asciiTheme="minorHAnsi" w:hAnsiTheme="minorHAnsi" w:cstheme="minorHAnsi"/>
          <w:b/>
          <w:bCs/>
          <w:sz w:val="26"/>
          <w:szCs w:val="26"/>
        </w:rPr>
        <w:t xml:space="preserve">inclusiv a judecătorilor promovaţi ca urmare a valorificării, </w:t>
      </w:r>
      <w:r w:rsidRPr="001270C8">
        <w:rPr>
          <w:rFonts w:asciiTheme="minorHAnsi" w:hAnsiTheme="minorHAnsi" w:cstheme="minorHAnsi"/>
          <w:b/>
          <w:bCs/>
          <w:sz w:val="26"/>
          <w:szCs w:val="26"/>
        </w:rPr>
        <w:t>se prezintă astfel</w:t>
      </w:r>
      <w:r>
        <w:rPr>
          <w:rFonts w:asciiTheme="minorHAnsi" w:hAnsiTheme="minorHAnsi" w:cstheme="minorHAnsi"/>
          <w:b/>
          <w:bCs/>
          <w:sz w:val="26"/>
          <w:szCs w:val="26"/>
        </w:rPr>
        <w:t>:</w:t>
      </w:r>
    </w:p>
    <w:p w14:paraId="435C516C" w14:textId="42FA56F3" w:rsidR="001671DE" w:rsidRPr="00C36995" w:rsidRDefault="001671DE" w:rsidP="00690186">
      <w:pPr>
        <w:ind w:right="48" w:firstLine="709"/>
        <w:jc w:val="both"/>
        <w:rPr>
          <w:rFonts w:asciiTheme="minorHAnsi" w:hAnsiTheme="minorHAnsi" w:cstheme="minorHAnsi"/>
          <w:sz w:val="26"/>
          <w:szCs w:val="26"/>
        </w:rPr>
      </w:pPr>
    </w:p>
    <w:tbl>
      <w:tblPr>
        <w:tblW w:w="0" w:type="auto"/>
        <w:jc w:val="center"/>
        <w:tblCellMar>
          <w:left w:w="10" w:type="dxa"/>
          <w:right w:w="10" w:type="dxa"/>
        </w:tblCellMar>
        <w:tblLook w:val="04A0" w:firstRow="1" w:lastRow="0" w:firstColumn="1" w:lastColumn="0" w:noHBand="0" w:noVBand="1"/>
      </w:tblPr>
      <w:tblGrid>
        <w:gridCol w:w="1694"/>
        <w:gridCol w:w="1101"/>
        <w:gridCol w:w="909"/>
        <w:gridCol w:w="928"/>
        <w:gridCol w:w="997"/>
        <w:gridCol w:w="949"/>
        <w:gridCol w:w="895"/>
        <w:gridCol w:w="915"/>
        <w:gridCol w:w="896"/>
        <w:gridCol w:w="910"/>
      </w:tblGrid>
      <w:tr w:rsidR="00DE0E9C" w:rsidRPr="00564DC7" w14:paraId="4B63E120"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F5FBB62" w14:textId="77777777" w:rsidR="001671DE" w:rsidRPr="00564DC7" w:rsidRDefault="001671DE" w:rsidP="000363DB">
            <w:pPr>
              <w:ind w:left="-109"/>
              <w:jc w:val="center"/>
              <w:rPr>
                <w:rFonts w:asciiTheme="minorHAnsi" w:hAnsiTheme="minorHAnsi" w:cstheme="minorHAnsi"/>
                <w:sz w:val="26"/>
                <w:szCs w:val="26"/>
              </w:rPr>
            </w:pPr>
            <w:r w:rsidRPr="00564DC7">
              <w:rPr>
                <w:rFonts w:asciiTheme="minorHAnsi" w:hAnsiTheme="minorHAnsi" w:cstheme="minorHAnsi"/>
                <w:b/>
                <w:sz w:val="26"/>
                <w:szCs w:val="26"/>
              </w:rPr>
              <w:t>Categoria</w:t>
            </w:r>
          </w:p>
        </w:tc>
        <w:tc>
          <w:tcPr>
            <w:tcW w:w="293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6A479A3"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Posturi de judecător prevăzute în schemă</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EDB56A6"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Posturi de judecător ocupate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F9828D9"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Posturi de judecător vacante</w:t>
            </w:r>
          </w:p>
        </w:tc>
      </w:tr>
      <w:tr w:rsidR="00D2677E" w:rsidRPr="000363DB" w14:paraId="242B2CBC"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C06FBA" w14:textId="77777777" w:rsidR="001671DE" w:rsidRPr="000363DB" w:rsidRDefault="001671DE" w:rsidP="000363DB">
            <w:pPr>
              <w:ind w:left="-109"/>
              <w:jc w:val="center"/>
              <w:rPr>
                <w:rFonts w:asciiTheme="minorHAnsi" w:eastAsia="Calibri" w:hAnsiTheme="minorHAnsi" w:cstheme="minorHAnsi"/>
                <w:sz w:val="18"/>
                <w:szCs w:val="18"/>
              </w:rPr>
            </w:pPr>
          </w:p>
        </w:tc>
        <w:tc>
          <w:tcPr>
            <w:tcW w:w="11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E8B0A03" w14:textId="77777777" w:rsidR="001671DE" w:rsidRPr="000363DB" w:rsidRDefault="001671DE" w:rsidP="00690186">
            <w:pPr>
              <w:ind w:left="-71"/>
              <w:jc w:val="center"/>
              <w:rPr>
                <w:rFonts w:asciiTheme="minorHAnsi" w:hAnsiTheme="minorHAnsi" w:cstheme="minorHAnsi"/>
                <w:sz w:val="18"/>
                <w:szCs w:val="18"/>
              </w:rPr>
            </w:pPr>
            <w:r w:rsidRPr="000363DB">
              <w:rPr>
                <w:rFonts w:asciiTheme="minorHAnsi" w:hAnsiTheme="minorHAnsi" w:cstheme="minorHAnsi"/>
                <w:b/>
                <w:sz w:val="18"/>
                <w:szCs w:val="18"/>
              </w:rPr>
              <w:t>31.12.2022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70BEDF5" w14:textId="77777777" w:rsidR="001671DE" w:rsidRPr="000363DB" w:rsidRDefault="001671DE" w:rsidP="00C36995">
            <w:pPr>
              <w:ind w:left="-138" w:right="-66"/>
              <w:jc w:val="center"/>
              <w:rPr>
                <w:rFonts w:asciiTheme="minorHAnsi" w:hAnsiTheme="minorHAnsi" w:cstheme="minorHAnsi"/>
                <w:sz w:val="18"/>
                <w:szCs w:val="18"/>
              </w:rPr>
            </w:pPr>
            <w:r w:rsidRPr="000363DB">
              <w:rPr>
                <w:rFonts w:asciiTheme="minorHAnsi" w:hAnsiTheme="minorHAnsi" w:cstheme="minorHAnsi"/>
                <w:b/>
                <w:sz w:val="18"/>
                <w:szCs w:val="18"/>
              </w:rPr>
              <w:t>01.01.2023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FB493D0" w14:textId="506C4F6B" w:rsidR="001671DE" w:rsidRPr="000363DB" w:rsidRDefault="00D2677E" w:rsidP="00690186">
            <w:pPr>
              <w:ind w:left="-119"/>
              <w:jc w:val="center"/>
              <w:rPr>
                <w:rFonts w:asciiTheme="minorHAnsi" w:hAnsiTheme="minorHAnsi" w:cstheme="minorHAnsi"/>
                <w:sz w:val="18"/>
                <w:szCs w:val="18"/>
              </w:rPr>
            </w:pPr>
            <w:r>
              <w:rPr>
                <w:rFonts w:asciiTheme="minorHAnsi" w:hAnsiTheme="minorHAnsi" w:cstheme="minorHAnsi"/>
                <w:b/>
                <w:sz w:val="18"/>
                <w:szCs w:val="18"/>
              </w:rPr>
              <w:t>31</w:t>
            </w:r>
            <w:r w:rsidR="00DE0E9C">
              <w:rPr>
                <w:rFonts w:asciiTheme="minorHAnsi" w:hAnsiTheme="minorHAnsi" w:cstheme="minorHAnsi"/>
                <w:b/>
                <w:sz w:val="18"/>
                <w:szCs w:val="18"/>
              </w:rPr>
              <w:t>.12</w:t>
            </w:r>
            <w:r w:rsidR="001671DE" w:rsidRPr="000363DB">
              <w:rPr>
                <w:rFonts w:asciiTheme="minorHAnsi" w:hAnsiTheme="minorHAnsi" w:cstheme="minorHAnsi"/>
                <w:b/>
                <w:sz w:val="18"/>
                <w:szCs w:val="18"/>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D977B2A" w14:textId="77777777" w:rsidR="001671DE" w:rsidRPr="000363DB" w:rsidRDefault="001671DE" w:rsidP="00C36995">
            <w:pPr>
              <w:ind w:left="-50" w:right="-54"/>
              <w:jc w:val="center"/>
              <w:rPr>
                <w:rFonts w:asciiTheme="minorHAnsi" w:hAnsiTheme="minorHAnsi" w:cstheme="minorHAnsi"/>
                <w:sz w:val="18"/>
                <w:szCs w:val="18"/>
              </w:rPr>
            </w:pPr>
            <w:r w:rsidRPr="000363DB">
              <w:rPr>
                <w:rFonts w:asciiTheme="minorHAnsi" w:hAnsiTheme="minorHAnsi" w:cstheme="minorHAnsi"/>
                <w:b/>
                <w:sz w:val="18"/>
                <w:szCs w:val="18"/>
              </w:rPr>
              <w:t>31.12.2022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75CC39E" w14:textId="77777777" w:rsidR="001671DE" w:rsidRPr="000363DB" w:rsidRDefault="001671DE" w:rsidP="00690186">
            <w:pPr>
              <w:ind w:left="-98"/>
              <w:jc w:val="center"/>
              <w:rPr>
                <w:rFonts w:asciiTheme="minorHAnsi" w:hAnsiTheme="minorHAnsi" w:cstheme="minorHAnsi"/>
                <w:sz w:val="18"/>
                <w:szCs w:val="18"/>
              </w:rPr>
            </w:pPr>
            <w:r w:rsidRPr="000363DB">
              <w:rPr>
                <w:rFonts w:asciiTheme="minorHAnsi" w:hAnsiTheme="minorHAnsi" w:cstheme="minorHAnsi"/>
                <w:b/>
                <w:sz w:val="18"/>
                <w:szCs w:val="18"/>
              </w:rPr>
              <w:t>01.01.2023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CC93136" w14:textId="6F885766" w:rsidR="001671DE" w:rsidRPr="000363DB" w:rsidRDefault="00D2677E" w:rsidP="00C36995">
            <w:pPr>
              <w:ind w:left="-152" w:right="-81"/>
              <w:jc w:val="center"/>
              <w:rPr>
                <w:rFonts w:asciiTheme="minorHAnsi" w:hAnsiTheme="minorHAnsi" w:cstheme="minorHAnsi"/>
                <w:sz w:val="18"/>
                <w:szCs w:val="18"/>
              </w:rPr>
            </w:pPr>
            <w:r>
              <w:rPr>
                <w:rFonts w:asciiTheme="minorHAnsi" w:hAnsiTheme="minorHAnsi" w:cstheme="minorHAnsi"/>
                <w:b/>
                <w:sz w:val="18"/>
                <w:szCs w:val="18"/>
              </w:rPr>
              <w:t>31</w:t>
            </w:r>
            <w:r w:rsidR="001671DE" w:rsidRPr="000363DB">
              <w:rPr>
                <w:rFonts w:asciiTheme="minorHAnsi" w:hAnsiTheme="minorHAnsi" w:cstheme="minorHAnsi"/>
                <w:b/>
                <w:sz w:val="18"/>
                <w:szCs w:val="18"/>
              </w:rPr>
              <w:t>.1</w:t>
            </w:r>
            <w:r w:rsidR="00DE0E9C">
              <w:rPr>
                <w:rFonts w:asciiTheme="minorHAnsi" w:hAnsiTheme="minorHAnsi" w:cstheme="minorHAnsi"/>
                <w:b/>
                <w:sz w:val="18"/>
                <w:szCs w:val="18"/>
              </w:rPr>
              <w:t>2</w:t>
            </w:r>
            <w:r w:rsidR="001671DE" w:rsidRPr="000363DB">
              <w:rPr>
                <w:rFonts w:asciiTheme="minorHAnsi" w:hAnsiTheme="minorHAnsi" w:cstheme="minorHAnsi"/>
                <w:b/>
                <w:sz w:val="18"/>
                <w:szCs w:val="18"/>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D71898F" w14:textId="77777777" w:rsidR="001671DE" w:rsidRPr="000363DB" w:rsidRDefault="001671DE" w:rsidP="00C36995">
            <w:pPr>
              <w:ind w:left="-132" w:right="-74"/>
              <w:jc w:val="center"/>
              <w:rPr>
                <w:rFonts w:asciiTheme="minorHAnsi" w:hAnsiTheme="minorHAnsi" w:cstheme="minorHAnsi"/>
                <w:sz w:val="18"/>
                <w:szCs w:val="18"/>
              </w:rPr>
            </w:pPr>
            <w:r w:rsidRPr="000363DB">
              <w:rPr>
                <w:rFonts w:asciiTheme="minorHAnsi" w:hAnsiTheme="minorHAnsi" w:cstheme="minorHAnsi"/>
                <w:b/>
                <w:sz w:val="18"/>
                <w:szCs w:val="18"/>
              </w:rPr>
              <w:t>31.12.2022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7B6FB7B" w14:textId="77777777" w:rsidR="001671DE" w:rsidRPr="000363DB" w:rsidRDefault="001671DE" w:rsidP="00C36995">
            <w:pPr>
              <w:ind w:left="-151" w:right="-74"/>
              <w:jc w:val="center"/>
              <w:rPr>
                <w:rFonts w:asciiTheme="minorHAnsi" w:hAnsiTheme="minorHAnsi" w:cstheme="minorHAnsi"/>
                <w:sz w:val="18"/>
                <w:szCs w:val="18"/>
              </w:rPr>
            </w:pPr>
            <w:r w:rsidRPr="000363DB">
              <w:rPr>
                <w:rFonts w:asciiTheme="minorHAnsi" w:hAnsiTheme="minorHAnsi" w:cstheme="minorHAnsi"/>
                <w:b/>
                <w:sz w:val="18"/>
                <w:szCs w:val="18"/>
              </w:rPr>
              <w:t>01.01.2023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1DA70EE" w14:textId="3D4F026B" w:rsidR="001671DE" w:rsidRPr="000363DB" w:rsidRDefault="00D2677E" w:rsidP="00C36995">
            <w:pPr>
              <w:ind w:left="-137" w:right="-82"/>
              <w:jc w:val="center"/>
              <w:rPr>
                <w:rFonts w:asciiTheme="minorHAnsi" w:hAnsiTheme="minorHAnsi" w:cstheme="minorHAnsi"/>
                <w:sz w:val="18"/>
                <w:szCs w:val="18"/>
              </w:rPr>
            </w:pPr>
            <w:r>
              <w:rPr>
                <w:rFonts w:asciiTheme="minorHAnsi" w:hAnsiTheme="minorHAnsi" w:cstheme="minorHAnsi"/>
                <w:b/>
                <w:sz w:val="18"/>
                <w:szCs w:val="18"/>
              </w:rPr>
              <w:t>31</w:t>
            </w:r>
            <w:r w:rsidR="001671DE" w:rsidRPr="000363DB">
              <w:rPr>
                <w:rFonts w:asciiTheme="minorHAnsi" w:hAnsiTheme="minorHAnsi" w:cstheme="minorHAnsi"/>
                <w:b/>
                <w:sz w:val="18"/>
                <w:szCs w:val="18"/>
              </w:rPr>
              <w:t>.1</w:t>
            </w:r>
            <w:r w:rsidR="00DE0E9C">
              <w:rPr>
                <w:rFonts w:asciiTheme="minorHAnsi" w:hAnsiTheme="minorHAnsi" w:cstheme="minorHAnsi"/>
                <w:b/>
                <w:sz w:val="18"/>
                <w:szCs w:val="18"/>
              </w:rPr>
              <w:t>2</w:t>
            </w:r>
            <w:r w:rsidR="001671DE" w:rsidRPr="000363DB">
              <w:rPr>
                <w:rFonts w:asciiTheme="minorHAnsi" w:hAnsiTheme="minorHAnsi" w:cstheme="minorHAnsi"/>
                <w:b/>
                <w:sz w:val="18"/>
                <w:szCs w:val="18"/>
              </w:rPr>
              <w:t>.2023</w:t>
            </w:r>
          </w:p>
        </w:tc>
      </w:tr>
      <w:tr w:rsidR="00D2677E" w:rsidRPr="00564DC7" w14:paraId="2375F470"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75FECB5" w14:textId="77777777" w:rsidR="001671DE" w:rsidRPr="000363DB" w:rsidRDefault="001671DE" w:rsidP="000363DB">
            <w:pPr>
              <w:ind w:left="-109" w:right="-147"/>
              <w:jc w:val="center"/>
              <w:rPr>
                <w:rFonts w:asciiTheme="minorHAnsi" w:hAnsiTheme="minorHAnsi" w:cstheme="minorHAnsi"/>
                <w:sz w:val="24"/>
                <w:szCs w:val="24"/>
              </w:rPr>
            </w:pPr>
            <w:r w:rsidRPr="000363DB">
              <w:rPr>
                <w:rFonts w:asciiTheme="minorHAnsi" w:hAnsiTheme="minorHAnsi" w:cstheme="minorHAnsi"/>
                <w:sz w:val="24"/>
                <w:szCs w:val="24"/>
              </w:rPr>
              <w:t>Înalta Curte de Casaţie şi Justiţie</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608AF60"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63CC4A0"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450044B"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CC186BE"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94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75AE42A"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4F0017E" w14:textId="349D9951"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10</w:t>
            </w:r>
            <w:r w:rsidR="00D2677E">
              <w:rPr>
                <w:rFonts w:asciiTheme="minorHAnsi" w:hAnsiTheme="minorHAnsi" w:cstheme="minorHAnsi"/>
                <w:sz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675F746"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69BEA41"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676B7CC" w14:textId="7551DB93"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w:t>
            </w:r>
            <w:r w:rsidR="00D2677E">
              <w:rPr>
                <w:rFonts w:asciiTheme="minorHAnsi" w:hAnsiTheme="minorHAnsi" w:cstheme="minorHAnsi"/>
                <w:sz w:val="20"/>
              </w:rPr>
              <w:t>6</w:t>
            </w:r>
          </w:p>
        </w:tc>
      </w:tr>
      <w:tr w:rsidR="00D2677E" w:rsidRPr="00564DC7" w14:paraId="4C572087"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F2F32AB" w14:textId="77777777" w:rsidR="001671DE" w:rsidRPr="000363DB" w:rsidRDefault="001671DE" w:rsidP="000363DB">
            <w:pPr>
              <w:ind w:left="-109" w:right="-147"/>
              <w:jc w:val="center"/>
              <w:rPr>
                <w:rFonts w:asciiTheme="minorHAnsi" w:hAnsiTheme="minorHAnsi" w:cstheme="minorHAnsi"/>
                <w:sz w:val="24"/>
                <w:szCs w:val="24"/>
              </w:rPr>
            </w:pPr>
            <w:r w:rsidRPr="000363DB">
              <w:rPr>
                <w:rFonts w:asciiTheme="minorHAnsi" w:hAnsiTheme="minorHAnsi" w:cstheme="minorHAnsi"/>
                <w:sz w:val="24"/>
                <w:szCs w:val="24"/>
              </w:rPr>
              <w:lastRenderedPageBreak/>
              <w:t>Curţi de apel (inclusiv Curtea Militară de Apel)</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0B7BCFC"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930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3D9FAEC"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930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C7BEE60"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930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974AD05"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851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C1E71FC"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841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70789DE" w14:textId="1BFDDCEC" w:rsidR="001671DE" w:rsidRPr="00564DC7" w:rsidRDefault="00DE0E9C" w:rsidP="00690186">
            <w:pPr>
              <w:jc w:val="center"/>
              <w:rPr>
                <w:rFonts w:asciiTheme="minorHAnsi" w:hAnsiTheme="minorHAnsi" w:cstheme="minorHAnsi"/>
                <w:sz w:val="20"/>
              </w:rPr>
            </w:pPr>
            <w:r>
              <w:rPr>
                <w:rFonts w:asciiTheme="minorHAnsi" w:hAnsiTheme="minorHAnsi" w:cstheme="minorHAnsi"/>
                <w:sz w:val="20"/>
              </w:rPr>
              <w:t>90</w:t>
            </w:r>
            <w:r w:rsidR="00D2677E">
              <w:rPr>
                <w:rFonts w:asciiTheme="minorHAnsi" w:hAnsiTheme="minorHAnsi" w:cstheme="minorHAnsi"/>
                <w:sz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740E1C3"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F21E70E"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2A9EF8A" w14:textId="0B037BED" w:rsidR="001671DE" w:rsidRPr="00564DC7" w:rsidRDefault="00DE0E9C" w:rsidP="00690186">
            <w:pPr>
              <w:jc w:val="center"/>
              <w:rPr>
                <w:rFonts w:asciiTheme="minorHAnsi" w:hAnsiTheme="minorHAnsi" w:cstheme="minorHAnsi"/>
                <w:sz w:val="20"/>
              </w:rPr>
            </w:pPr>
            <w:r>
              <w:rPr>
                <w:rFonts w:asciiTheme="minorHAnsi" w:hAnsiTheme="minorHAnsi" w:cstheme="minorHAnsi"/>
                <w:sz w:val="20"/>
              </w:rPr>
              <w:t>2</w:t>
            </w:r>
            <w:r w:rsidR="00D2677E">
              <w:rPr>
                <w:rFonts w:asciiTheme="minorHAnsi" w:hAnsiTheme="minorHAnsi" w:cstheme="minorHAnsi"/>
                <w:sz w:val="20"/>
              </w:rPr>
              <w:t>9</w:t>
            </w:r>
          </w:p>
        </w:tc>
      </w:tr>
      <w:tr w:rsidR="00D2677E" w:rsidRPr="00564DC7" w14:paraId="2CAFC63E"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587B901" w14:textId="77777777" w:rsidR="001671DE" w:rsidRPr="000363DB" w:rsidRDefault="001671DE" w:rsidP="000363DB">
            <w:pPr>
              <w:ind w:left="-109" w:right="-147"/>
              <w:jc w:val="center"/>
              <w:rPr>
                <w:rFonts w:asciiTheme="minorHAnsi" w:hAnsiTheme="minorHAnsi" w:cstheme="minorHAnsi"/>
                <w:sz w:val="24"/>
                <w:szCs w:val="24"/>
              </w:rPr>
            </w:pPr>
            <w:r w:rsidRPr="000363DB">
              <w:rPr>
                <w:rFonts w:asciiTheme="minorHAnsi" w:hAnsiTheme="minorHAnsi" w:cstheme="minorHAnsi"/>
                <w:sz w:val="24"/>
                <w:szCs w:val="24"/>
              </w:rPr>
              <w:t>Tribunale (inclusiv instanţele militare şi tribunalele specializate)</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2D143AB"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1701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11DA49B"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1701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9408B9A"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1701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C3873C1"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1265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CBD80AA"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1257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CFDD385" w14:textId="7A996AB8"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w:t>
            </w:r>
            <w:r w:rsidR="00D2677E">
              <w:rPr>
                <w:rFonts w:asciiTheme="minorHAnsi" w:hAnsiTheme="minorHAnsi" w:cstheme="minorHAnsi"/>
                <w:sz w:val="20"/>
              </w:rPr>
              <w:t>298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0A88662"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436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C383B1D"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434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4409563" w14:textId="16C2283C"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4</w:t>
            </w:r>
            <w:r w:rsidR="00DE0E9C">
              <w:rPr>
                <w:rFonts w:asciiTheme="minorHAnsi" w:hAnsiTheme="minorHAnsi" w:cstheme="minorHAnsi"/>
                <w:sz w:val="20"/>
              </w:rPr>
              <w:t>0</w:t>
            </w:r>
            <w:r w:rsidR="00D2677E">
              <w:rPr>
                <w:rFonts w:asciiTheme="minorHAnsi" w:hAnsiTheme="minorHAnsi" w:cstheme="minorHAnsi"/>
                <w:sz w:val="20"/>
              </w:rPr>
              <w:t>3</w:t>
            </w:r>
          </w:p>
        </w:tc>
      </w:tr>
      <w:tr w:rsidR="00D2677E" w:rsidRPr="00564DC7" w14:paraId="56521125"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E54F2BD" w14:textId="77777777" w:rsidR="001671DE" w:rsidRPr="000363DB" w:rsidRDefault="001671DE" w:rsidP="000363DB">
            <w:pPr>
              <w:ind w:left="-109" w:right="-147"/>
              <w:jc w:val="center"/>
              <w:rPr>
                <w:rFonts w:asciiTheme="minorHAnsi" w:hAnsiTheme="minorHAnsi" w:cstheme="minorHAnsi"/>
                <w:sz w:val="24"/>
                <w:szCs w:val="24"/>
              </w:rPr>
            </w:pPr>
            <w:r w:rsidRPr="000363DB">
              <w:rPr>
                <w:rFonts w:asciiTheme="minorHAnsi" w:hAnsiTheme="minorHAnsi" w:cstheme="minorHAnsi"/>
                <w:sz w:val="24"/>
                <w:szCs w:val="24"/>
              </w:rPr>
              <w:t>Judecătorii</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BF14208"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2314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7F130A"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2322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30A09DA"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2313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328B1E9"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1864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B3E0216"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1847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4E2C74B" w14:textId="3A1DCE3F"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w:t>
            </w:r>
            <w:r w:rsidR="00DE0E9C">
              <w:rPr>
                <w:rFonts w:asciiTheme="minorHAnsi" w:hAnsiTheme="minorHAnsi" w:cstheme="minorHAnsi"/>
                <w:sz w:val="20"/>
              </w:rPr>
              <w:t>59</w:t>
            </w:r>
            <w:r w:rsidR="00D2677E">
              <w:rPr>
                <w:rFonts w:asciiTheme="minorHAnsi" w:hAnsiTheme="minorHAnsi" w:cstheme="minorHAnsi"/>
                <w:sz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B045A5F"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450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10BA4FD"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475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6C5336A" w14:textId="14C5FC3D" w:rsidR="001671DE" w:rsidRPr="00564DC7" w:rsidRDefault="00DE0E9C" w:rsidP="00690186">
            <w:pPr>
              <w:jc w:val="center"/>
              <w:rPr>
                <w:rFonts w:asciiTheme="minorHAnsi" w:hAnsiTheme="minorHAnsi" w:cstheme="minorHAnsi"/>
                <w:sz w:val="20"/>
              </w:rPr>
            </w:pPr>
            <w:r>
              <w:rPr>
                <w:rFonts w:asciiTheme="minorHAnsi" w:hAnsiTheme="minorHAnsi" w:cstheme="minorHAnsi"/>
                <w:sz w:val="20"/>
              </w:rPr>
              <w:t>71</w:t>
            </w:r>
            <w:r w:rsidR="00D2677E">
              <w:rPr>
                <w:rFonts w:asciiTheme="minorHAnsi" w:hAnsiTheme="minorHAnsi" w:cstheme="minorHAnsi"/>
                <w:sz w:val="20"/>
              </w:rPr>
              <w:t>6</w:t>
            </w:r>
          </w:p>
        </w:tc>
      </w:tr>
      <w:tr w:rsidR="00D2677E" w:rsidRPr="00564DC7" w14:paraId="2E2847A5" w14:textId="77777777" w:rsidTr="00995723">
        <w:trPr>
          <w:jc w:val="center"/>
        </w:trPr>
        <w:tc>
          <w:tcPr>
            <w:tcW w:w="1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56895A7" w14:textId="77777777" w:rsidR="001671DE" w:rsidRPr="000363DB" w:rsidRDefault="001671DE" w:rsidP="000363DB">
            <w:pPr>
              <w:ind w:left="-109"/>
              <w:jc w:val="center"/>
              <w:rPr>
                <w:rFonts w:asciiTheme="minorHAnsi" w:hAnsiTheme="minorHAnsi" w:cstheme="minorHAnsi"/>
                <w:sz w:val="24"/>
                <w:szCs w:val="24"/>
              </w:rPr>
            </w:pPr>
            <w:r w:rsidRPr="000363DB">
              <w:rPr>
                <w:rFonts w:asciiTheme="minorHAnsi" w:hAnsiTheme="minorHAnsi" w:cstheme="minorHAnsi"/>
                <w:b/>
                <w:sz w:val="24"/>
                <w:szCs w:val="24"/>
              </w:rPr>
              <w:t>Total</w:t>
            </w:r>
            <w:r w:rsidRPr="000363DB">
              <w:rPr>
                <w:rFonts w:asciiTheme="minorHAnsi" w:hAnsiTheme="minorHAnsi" w:cstheme="minorHAnsi"/>
                <w:b/>
                <w:sz w:val="24"/>
                <w:szCs w:val="24"/>
                <w:vertAlign w:val="superscript"/>
              </w:rPr>
              <w:t>*</w:t>
            </w:r>
          </w:p>
        </w:tc>
        <w:tc>
          <w:tcPr>
            <w:tcW w:w="11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8420002"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5067</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7072C7C"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5075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9427021"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5066</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4D48F16"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4074</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9820474"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4057</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BF1983A" w14:textId="34A0A22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39</w:t>
            </w:r>
            <w:r w:rsidR="00D2677E">
              <w:rPr>
                <w:rFonts w:asciiTheme="minorHAnsi" w:hAnsiTheme="minorHAnsi" w:cstheme="minorHAnsi"/>
                <w:sz w:val="20"/>
              </w:rPr>
              <w:t>02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E69CADB"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993</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B97E89D" w14:textId="77777777"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b/>
                <w:sz w:val="20"/>
              </w:rPr>
              <w:t>1018</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DC37339" w14:textId="58A5DB3C" w:rsidR="001671DE" w:rsidRPr="00564DC7" w:rsidRDefault="001671DE" w:rsidP="00690186">
            <w:pPr>
              <w:jc w:val="center"/>
              <w:rPr>
                <w:rFonts w:asciiTheme="minorHAnsi" w:hAnsiTheme="minorHAnsi" w:cstheme="minorHAnsi"/>
                <w:sz w:val="20"/>
              </w:rPr>
            </w:pPr>
            <w:r w:rsidRPr="00564DC7">
              <w:rPr>
                <w:rFonts w:asciiTheme="minorHAnsi" w:hAnsiTheme="minorHAnsi" w:cstheme="minorHAnsi"/>
                <w:sz w:val="20"/>
              </w:rPr>
              <w:t>11</w:t>
            </w:r>
            <w:r w:rsidR="00D2677E">
              <w:rPr>
                <w:rFonts w:asciiTheme="minorHAnsi" w:hAnsiTheme="minorHAnsi" w:cstheme="minorHAnsi"/>
                <w:sz w:val="20"/>
              </w:rPr>
              <w:t>64</w:t>
            </w:r>
          </w:p>
        </w:tc>
      </w:tr>
    </w:tbl>
    <w:p w14:paraId="5A515B08" w14:textId="77777777" w:rsidR="001671DE" w:rsidRPr="00564DC7" w:rsidRDefault="001671DE"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*Modificarea numărului de posturi prevăzute în schema instanţelor rezultă din alocarea/restuituirea de posturi în fondul de rezervă, în condiţiile art. 147</w:t>
      </w:r>
      <w:r w:rsidRPr="00564DC7">
        <w:rPr>
          <w:rFonts w:asciiTheme="minorHAnsi" w:hAnsiTheme="minorHAnsi" w:cstheme="minorHAnsi"/>
          <w:sz w:val="26"/>
          <w:szCs w:val="26"/>
          <w:vertAlign w:val="superscript"/>
        </w:rPr>
        <w:t xml:space="preserve"> </w:t>
      </w:r>
      <w:r w:rsidRPr="00564DC7">
        <w:rPr>
          <w:rFonts w:asciiTheme="minorHAnsi" w:hAnsiTheme="minorHAnsi" w:cstheme="minorHAnsi"/>
          <w:sz w:val="26"/>
          <w:szCs w:val="26"/>
        </w:rPr>
        <w:t xml:space="preserve">din Legea </w:t>
      </w:r>
      <w:r w:rsidRPr="00564DC7">
        <w:rPr>
          <w:rFonts w:asciiTheme="minorHAnsi" w:hAnsiTheme="minorHAnsi" w:cstheme="minorHAnsi"/>
          <w:sz w:val="26"/>
          <w:szCs w:val="26"/>
        </w:rPr>
        <w:br/>
        <w:t>nr. 304/2022.</w:t>
      </w:r>
    </w:p>
    <w:p w14:paraId="7E1E36CA" w14:textId="434F550B" w:rsidR="001671DE" w:rsidRPr="00564DC7" w:rsidRDefault="001671DE" w:rsidP="00690186">
      <w:pPr>
        <w:ind w:firstLine="708"/>
        <w:jc w:val="both"/>
        <w:rPr>
          <w:rFonts w:asciiTheme="minorHAnsi" w:hAnsiTheme="minorHAnsi" w:cstheme="minorHAnsi"/>
          <w:bCs/>
          <w:sz w:val="26"/>
          <w:szCs w:val="26"/>
        </w:rPr>
      </w:pPr>
      <w:r w:rsidRPr="00564DC7">
        <w:rPr>
          <w:rFonts w:asciiTheme="minorHAnsi" w:hAnsiTheme="minorHAnsi" w:cstheme="minorHAnsi"/>
          <w:sz w:val="26"/>
          <w:szCs w:val="26"/>
        </w:rPr>
        <w:t>Astfel, la data de</w:t>
      </w:r>
      <w:r w:rsidR="002A2289">
        <w:rPr>
          <w:rFonts w:asciiTheme="minorHAnsi" w:hAnsiTheme="minorHAnsi" w:cstheme="minorHAnsi"/>
          <w:sz w:val="26"/>
          <w:szCs w:val="26"/>
        </w:rPr>
        <w:t xml:space="preserve"> 31</w:t>
      </w:r>
      <w:r w:rsidR="00CB5310">
        <w:rPr>
          <w:rFonts w:asciiTheme="minorHAnsi" w:hAnsiTheme="minorHAnsi" w:cstheme="minorHAnsi"/>
          <w:sz w:val="26"/>
          <w:szCs w:val="26"/>
        </w:rPr>
        <w:t xml:space="preserve"> decembrie </w:t>
      </w:r>
      <w:r w:rsidRPr="00564DC7">
        <w:rPr>
          <w:rFonts w:asciiTheme="minorHAnsi" w:hAnsiTheme="minorHAnsi" w:cstheme="minorHAnsi"/>
          <w:sz w:val="26"/>
          <w:szCs w:val="26"/>
        </w:rPr>
        <w:t xml:space="preserve">2023, din totalul de 5066 de posturi (cu luarea în considerare a posturilor alocate din fondul de rezervă în condiţiile </w:t>
      </w:r>
      <w:r w:rsidRPr="00564DC7">
        <w:rPr>
          <w:rFonts w:asciiTheme="minorHAnsi" w:hAnsiTheme="minorHAnsi" w:cstheme="minorHAnsi"/>
          <w:sz w:val="26"/>
          <w:szCs w:val="26"/>
        </w:rPr>
        <w:br/>
        <w:t xml:space="preserve">art. 147 din Legea nr. 304/2022) </w:t>
      </w:r>
      <w:r w:rsidRPr="00564DC7">
        <w:rPr>
          <w:rFonts w:asciiTheme="minorHAnsi" w:hAnsiTheme="minorHAnsi" w:cstheme="minorHAnsi"/>
          <w:bCs/>
          <w:sz w:val="26"/>
          <w:szCs w:val="26"/>
        </w:rPr>
        <w:t>sunt ocupate 39</w:t>
      </w:r>
      <w:r w:rsidR="002A2289">
        <w:rPr>
          <w:rFonts w:asciiTheme="minorHAnsi" w:hAnsiTheme="minorHAnsi" w:cstheme="minorHAnsi"/>
          <w:bCs/>
          <w:sz w:val="26"/>
          <w:szCs w:val="26"/>
        </w:rPr>
        <w:t>02</w:t>
      </w:r>
      <w:r w:rsidRPr="00564DC7">
        <w:rPr>
          <w:rFonts w:asciiTheme="minorHAnsi" w:hAnsiTheme="minorHAnsi" w:cstheme="minorHAnsi"/>
          <w:bCs/>
          <w:sz w:val="26"/>
          <w:szCs w:val="26"/>
        </w:rPr>
        <w:t xml:space="preserve"> de posturi de judecător, iar 11</w:t>
      </w:r>
      <w:r w:rsidR="002A2289">
        <w:rPr>
          <w:rFonts w:asciiTheme="minorHAnsi" w:hAnsiTheme="minorHAnsi" w:cstheme="minorHAnsi"/>
          <w:bCs/>
          <w:sz w:val="26"/>
          <w:szCs w:val="26"/>
        </w:rPr>
        <w:t>64</w:t>
      </w:r>
      <w:r w:rsidRPr="00564DC7">
        <w:rPr>
          <w:rFonts w:asciiTheme="minorHAnsi" w:hAnsiTheme="minorHAnsi" w:cstheme="minorHAnsi"/>
          <w:bCs/>
          <w:sz w:val="26"/>
          <w:szCs w:val="26"/>
        </w:rPr>
        <w:t xml:space="preserve"> de posturi sunt vacante.</w:t>
      </w:r>
    </w:p>
    <w:p w14:paraId="6828F15F" w14:textId="29AA8C8B" w:rsidR="001671DE" w:rsidRPr="00564DC7" w:rsidRDefault="001671DE" w:rsidP="00690186">
      <w:pPr>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Potrivit datelor de mai sus, se constată o scădere a gradului de ocupare (77</w:t>
      </w:r>
      <w:r w:rsidR="00CA26D7">
        <w:rPr>
          <w:rFonts w:asciiTheme="minorHAnsi" w:hAnsiTheme="minorHAnsi" w:cstheme="minorHAnsi"/>
          <w:bCs/>
          <w:sz w:val="26"/>
          <w:szCs w:val="26"/>
        </w:rPr>
        <w:t>,</w:t>
      </w:r>
      <w:r w:rsidR="002A2289">
        <w:rPr>
          <w:rFonts w:asciiTheme="minorHAnsi" w:hAnsiTheme="minorHAnsi" w:cstheme="minorHAnsi"/>
          <w:bCs/>
          <w:sz w:val="26"/>
          <w:szCs w:val="26"/>
        </w:rPr>
        <w:t>00</w:t>
      </w:r>
      <w:r w:rsidRPr="00564DC7">
        <w:rPr>
          <w:rFonts w:asciiTheme="minorHAnsi" w:hAnsiTheme="minorHAnsi" w:cstheme="minorHAnsi"/>
          <w:bCs/>
          <w:sz w:val="26"/>
          <w:szCs w:val="26"/>
        </w:rPr>
        <w:t>%), comparativ cu gradul de ocupare înregistrat la începutul anului 2023 (80%), în special la nivelul judecătoriilor.</w:t>
      </w:r>
    </w:p>
    <w:p w14:paraId="05C0AB72" w14:textId="37B2B43A" w:rsidR="001671DE" w:rsidRPr="00564DC7" w:rsidRDefault="001671DE"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Din totalul judecătorilor în funcţie, cu luarea în calcul inclusiv a acelor judecători care ocupă pe perioadă nedeterminată posturi temporar vacante în condiţiile art. 147 din lege, la data de </w:t>
      </w:r>
      <w:r w:rsidR="002A2289">
        <w:rPr>
          <w:rFonts w:asciiTheme="minorHAnsi" w:hAnsiTheme="minorHAnsi" w:cstheme="minorHAnsi"/>
          <w:sz w:val="26"/>
          <w:szCs w:val="26"/>
        </w:rPr>
        <w:t xml:space="preserve">31 </w:t>
      </w:r>
      <w:r w:rsidR="00CA26D7">
        <w:rPr>
          <w:rFonts w:asciiTheme="minorHAnsi" w:hAnsiTheme="minorHAnsi" w:cstheme="minorHAnsi"/>
          <w:sz w:val="26"/>
          <w:szCs w:val="26"/>
        </w:rPr>
        <w:t>decembrie</w:t>
      </w:r>
      <w:r w:rsidRPr="00564DC7">
        <w:rPr>
          <w:rFonts w:asciiTheme="minorHAnsi" w:hAnsiTheme="minorHAnsi" w:cstheme="minorHAnsi"/>
          <w:sz w:val="26"/>
          <w:szCs w:val="26"/>
        </w:rPr>
        <w:t xml:space="preserve"> 2023, </w:t>
      </w:r>
      <w:r w:rsidR="00CA26D7">
        <w:rPr>
          <w:rFonts w:asciiTheme="minorHAnsi" w:hAnsiTheme="minorHAnsi" w:cstheme="minorHAnsi"/>
          <w:sz w:val="26"/>
          <w:szCs w:val="26"/>
        </w:rPr>
        <w:t>29</w:t>
      </w:r>
      <w:r w:rsidR="002A2289">
        <w:rPr>
          <w:rFonts w:asciiTheme="minorHAnsi" w:hAnsiTheme="minorHAnsi" w:cstheme="minorHAnsi"/>
          <w:sz w:val="26"/>
          <w:szCs w:val="26"/>
        </w:rPr>
        <w:t>8</w:t>
      </w:r>
      <w:r w:rsidR="00CA26D7">
        <w:rPr>
          <w:rFonts w:asciiTheme="minorHAnsi" w:hAnsiTheme="minorHAnsi" w:cstheme="minorHAnsi"/>
          <w:sz w:val="26"/>
          <w:szCs w:val="26"/>
        </w:rPr>
        <w:t>6</w:t>
      </w:r>
      <w:r w:rsidRPr="00564DC7">
        <w:rPr>
          <w:rFonts w:asciiTheme="minorHAnsi" w:hAnsiTheme="minorHAnsi" w:cstheme="minorHAnsi"/>
          <w:sz w:val="26"/>
          <w:szCs w:val="26"/>
        </w:rPr>
        <w:t xml:space="preserve"> sunt femei și 118</w:t>
      </w:r>
      <w:r w:rsidR="002A2289">
        <w:rPr>
          <w:rFonts w:asciiTheme="minorHAnsi" w:hAnsiTheme="minorHAnsi" w:cstheme="minorHAnsi"/>
          <w:sz w:val="26"/>
          <w:szCs w:val="26"/>
        </w:rPr>
        <w:t>0</w:t>
      </w:r>
      <w:r w:rsidRPr="00564DC7">
        <w:rPr>
          <w:rFonts w:asciiTheme="minorHAnsi" w:hAnsiTheme="minorHAnsi" w:cstheme="minorHAnsi"/>
          <w:sz w:val="26"/>
          <w:szCs w:val="26"/>
        </w:rPr>
        <w:t xml:space="preserve"> sunt bărbați. </w:t>
      </w:r>
    </w:p>
    <w:p w14:paraId="4B7DF766" w14:textId="2571BFBD" w:rsidR="001671DE" w:rsidRPr="00564DC7" w:rsidRDefault="001671D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Diferenţele aparente între situaţia posturilor ocupate şi numărul efectiv al judecătorilor în funcţie rezultă din ocuparea posturilor în condiţiile art. 147 anterior menţionat, dar </w:t>
      </w:r>
      <w:r w:rsidR="00392E2D">
        <w:rPr>
          <w:rFonts w:asciiTheme="minorHAnsi" w:hAnsiTheme="minorHAnsi" w:cstheme="minorHAnsi"/>
          <w:sz w:val="26"/>
          <w:szCs w:val="26"/>
        </w:rPr>
        <w:t xml:space="preserve">depind </w:t>
      </w:r>
      <w:r w:rsidRPr="00564DC7">
        <w:rPr>
          <w:rFonts w:asciiTheme="minorHAnsi" w:hAnsiTheme="minorHAnsi" w:cstheme="minorHAnsi"/>
          <w:sz w:val="26"/>
          <w:szCs w:val="26"/>
        </w:rPr>
        <w:t xml:space="preserve">şi de data efectivă </w:t>
      </w:r>
      <w:r w:rsidR="00392E2D">
        <w:rPr>
          <w:rFonts w:asciiTheme="minorHAnsi" w:hAnsiTheme="minorHAnsi" w:cstheme="minorHAnsi"/>
          <w:sz w:val="26"/>
          <w:szCs w:val="26"/>
        </w:rPr>
        <w:t>a</w:t>
      </w:r>
      <w:r w:rsidRPr="00564DC7">
        <w:rPr>
          <w:rFonts w:asciiTheme="minorHAnsi" w:hAnsiTheme="minorHAnsi" w:cstheme="minorHAnsi"/>
          <w:sz w:val="26"/>
          <w:szCs w:val="26"/>
        </w:rPr>
        <w:t xml:space="preserve"> eliber</w:t>
      </w:r>
      <w:r w:rsidR="00392E2D">
        <w:rPr>
          <w:rFonts w:asciiTheme="minorHAnsi" w:hAnsiTheme="minorHAnsi" w:cstheme="minorHAnsi"/>
          <w:sz w:val="26"/>
          <w:szCs w:val="26"/>
        </w:rPr>
        <w:t>ării</w:t>
      </w:r>
      <w:r w:rsidRPr="00564DC7">
        <w:rPr>
          <w:rFonts w:asciiTheme="minorHAnsi" w:hAnsiTheme="minorHAnsi" w:cstheme="minorHAnsi"/>
          <w:sz w:val="26"/>
          <w:szCs w:val="26"/>
        </w:rPr>
        <w:t xml:space="preserve"> din funcţie.</w:t>
      </w:r>
    </w:p>
    <w:p w14:paraId="7BCD3C51" w14:textId="77777777" w:rsidR="000C431F" w:rsidRPr="00564DC7" w:rsidRDefault="000C431F" w:rsidP="00690186">
      <w:pPr>
        <w:ind w:firstLine="708"/>
        <w:jc w:val="both"/>
        <w:rPr>
          <w:rFonts w:asciiTheme="minorHAnsi" w:hAnsiTheme="minorHAnsi" w:cstheme="minorHAnsi"/>
          <w:b/>
          <w:sz w:val="26"/>
          <w:szCs w:val="26"/>
        </w:rPr>
      </w:pPr>
      <w:r w:rsidRPr="00564DC7">
        <w:rPr>
          <w:rFonts w:asciiTheme="minorHAnsi" w:hAnsiTheme="minorHAnsi" w:cstheme="minorHAnsi"/>
          <w:b/>
          <w:sz w:val="26"/>
          <w:szCs w:val="26"/>
        </w:rPr>
        <w:t>E.2. Procurori</w:t>
      </w:r>
    </w:p>
    <w:p w14:paraId="28F5CCFA" w14:textId="0A4E855F" w:rsidR="006C5F7E" w:rsidRPr="001D227D" w:rsidRDefault="000C431F" w:rsidP="006C5F7E">
      <w:pPr>
        <w:jc w:val="both"/>
        <w:rPr>
          <w:rFonts w:asciiTheme="minorHAnsi" w:hAnsiTheme="minorHAnsi" w:cstheme="minorHAnsi"/>
          <w:sz w:val="26"/>
          <w:szCs w:val="26"/>
        </w:rPr>
      </w:pPr>
      <w:r w:rsidRPr="00564DC7">
        <w:rPr>
          <w:rFonts w:asciiTheme="minorHAnsi" w:hAnsiTheme="minorHAnsi" w:cstheme="minorHAnsi"/>
          <w:b/>
          <w:sz w:val="26"/>
          <w:szCs w:val="26"/>
        </w:rPr>
        <w:tab/>
      </w:r>
      <w:r w:rsidR="006C5F7E" w:rsidRPr="001D227D">
        <w:rPr>
          <w:rFonts w:asciiTheme="minorHAnsi" w:hAnsiTheme="minorHAnsi" w:cstheme="minorHAnsi"/>
          <w:sz w:val="26"/>
          <w:szCs w:val="26"/>
        </w:rPr>
        <w:t xml:space="preserve">Până la data de </w:t>
      </w:r>
      <w:r w:rsidR="002A2289" w:rsidRPr="002A2289">
        <w:rPr>
          <w:rFonts w:asciiTheme="minorHAnsi" w:hAnsiTheme="minorHAnsi" w:cstheme="minorHAnsi"/>
          <w:b/>
          <w:bCs/>
          <w:sz w:val="26"/>
          <w:szCs w:val="26"/>
        </w:rPr>
        <w:t>31</w:t>
      </w:r>
      <w:r w:rsidR="006C5F7E" w:rsidRPr="001D227D">
        <w:rPr>
          <w:rFonts w:asciiTheme="minorHAnsi" w:hAnsiTheme="minorHAnsi" w:cstheme="minorHAnsi"/>
          <w:b/>
          <w:bCs/>
          <w:sz w:val="26"/>
          <w:szCs w:val="26"/>
        </w:rPr>
        <w:t>.12.</w:t>
      </w:r>
      <w:r w:rsidR="006C5F7E" w:rsidRPr="001D227D">
        <w:rPr>
          <w:rFonts w:asciiTheme="minorHAnsi" w:hAnsiTheme="minorHAnsi" w:cstheme="minorHAnsi"/>
          <w:b/>
          <w:sz w:val="26"/>
          <w:szCs w:val="26"/>
        </w:rPr>
        <w:t>2023</w:t>
      </w:r>
      <w:r w:rsidR="006C5F7E" w:rsidRPr="001D227D">
        <w:rPr>
          <w:rFonts w:asciiTheme="minorHAnsi" w:hAnsiTheme="minorHAnsi" w:cstheme="minorHAnsi"/>
          <w:sz w:val="26"/>
          <w:szCs w:val="26"/>
        </w:rPr>
        <w:t xml:space="preserve"> inclusiv, </w:t>
      </w:r>
      <w:r w:rsidR="006C5F7E" w:rsidRPr="001D227D">
        <w:rPr>
          <w:rFonts w:asciiTheme="minorHAnsi" w:hAnsiTheme="minorHAnsi" w:cstheme="minorHAnsi"/>
          <w:b/>
          <w:sz w:val="26"/>
          <w:szCs w:val="26"/>
        </w:rPr>
        <w:t>au fost</w:t>
      </w:r>
      <w:r w:rsidR="006C5F7E" w:rsidRPr="001D227D">
        <w:rPr>
          <w:rFonts w:asciiTheme="minorHAnsi" w:hAnsiTheme="minorHAnsi" w:cstheme="minorHAnsi"/>
          <w:sz w:val="26"/>
          <w:szCs w:val="26"/>
        </w:rPr>
        <w:t xml:space="preserve"> </w:t>
      </w:r>
      <w:r w:rsidR="006C5F7E" w:rsidRPr="001D227D">
        <w:rPr>
          <w:rFonts w:asciiTheme="minorHAnsi" w:hAnsiTheme="minorHAnsi" w:cstheme="minorHAnsi"/>
          <w:b/>
          <w:sz w:val="26"/>
          <w:szCs w:val="26"/>
        </w:rPr>
        <w:t>eliberate din funcția de procuror</w:t>
      </w:r>
      <w:r w:rsidR="006C5F7E" w:rsidRPr="001D227D">
        <w:rPr>
          <w:rFonts w:asciiTheme="minorHAnsi" w:hAnsiTheme="minorHAnsi" w:cstheme="minorHAnsi"/>
          <w:sz w:val="26"/>
          <w:szCs w:val="26"/>
        </w:rPr>
        <w:t xml:space="preserve">, </w:t>
      </w:r>
      <w:r w:rsidR="006C5F7E" w:rsidRPr="001D227D">
        <w:rPr>
          <w:rFonts w:asciiTheme="minorHAnsi" w:hAnsiTheme="minorHAnsi" w:cstheme="minorHAnsi"/>
          <w:b/>
          <w:sz w:val="26"/>
          <w:szCs w:val="26"/>
        </w:rPr>
        <w:t>prin decrete ale Preşedintelui României, un număr de</w:t>
      </w:r>
      <w:r w:rsidR="006C5F7E" w:rsidRPr="001D227D">
        <w:rPr>
          <w:rFonts w:asciiTheme="minorHAnsi" w:hAnsiTheme="minorHAnsi" w:cstheme="minorHAnsi"/>
          <w:b/>
          <w:color w:val="C00000"/>
          <w:sz w:val="26"/>
          <w:szCs w:val="26"/>
        </w:rPr>
        <w:t xml:space="preserve"> </w:t>
      </w:r>
      <w:r w:rsidR="006C5F7E" w:rsidRPr="006C5F7E">
        <w:rPr>
          <w:rFonts w:asciiTheme="minorHAnsi" w:hAnsiTheme="minorHAnsi" w:cstheme="minorHAnsi"/>
          <w:b/>
          <w:sz w:val="26"/>
          <w:szCs w:val="26"/>
        </w:rPr>
        <w:t>1</w:t>
      </w:r>
      <w:r w:rsidR="002A2289">
        <w:rPr>
          <w:rFonts w:asciiTheme="minorHAnsi" w:hAnsiTheme="minorHAnsi" w:cstheme="minorHAnsi"/>
          <w:b/>
          <w:sz w:val="26"/>
          <w:szCs w:val="26"/>
        </w:rPr>
        <w:t>97 de</w:t>
      </w:r>
      <w:r w:rsidR="006C5F7E" w:rsidRPr="006C5F7E">
        <w:rPr>
          <w:rFonts w:asciiTheme="minorHAnsi" w:hAnsiTheme="minorHAnsi" w:cstheme="minorHAnsi"/>
          <w:b/>
          <w:sz w:val="26"/>
          <w:szCs w:val="26"/>
        </w:rPr>
        <w:t xml:space="preserve"> </w:t>
      </w:r>
      <w:r w:rsidR="006C5F7E" w:rsidRPr="001D227D">
        <w:rPr>
          <w:rFonts w:asciiTheme="minorHAnsi" w:hAnsiTheme="minorHAnsi" w:cstheme="minorHAnsi"/>
          <w:b/>
          <w:sz w:val="26"/>
          <w:szCs w:val="26"/>
        </w:rPr>
        <w:t xml:space="preserve">persoane, </w:t>
      </w:r>
      <w:r w:rsidR="006C5F7E" w:rsidRPr="001D227D">
        <w:rPr>
          <w:rFonts w:asciiTheme="minorHAnsi" w:hAnsiTheme="minorHAnsi" w:cstheme="minorHAnsi"/>
          <w:sz w:val="26"/>
          <w:szCs w:val="26"/>
        </w:rPr>
        <w:t>după cum urmează:</w:t>
      </w:r>
    </w:p>
    <w:p w14:paraId="78C56996" w14:textId="583C6024" w:rsidR="006C5F7E" w:rsidRPr="006C5F7E" w:rsidRDefault="006C5F7E" w:rsidP="006C5F7E">
      <w:pPr>
        <w:numPr>
          <w:ilvl w:val="0"/>
          <w:numId w:val="36"/>
        </w:numPr>
        <w:ind w:left="0" w:firstLine="0"/>
        <w:contextualSpacing/>
        <w:jc w:val="both"/>
        <w:rPr>
          <w:rFonts w:asciiTheme="minorHAnsi" w:eastAsia="Calibri" w:hAnsiTheme="minorHAnsi" w:cstheme="minorHAnsi"/>
          <w:sz w:val="26"/>
          <w:szCs w:val="26"/>
        </w:rPr>
      </w:pPr>
      <w:r w:rsidRPr="006C5F7E">
        <w:rPr>
          <w:rFonts w:asciiTheme="minorHAnsi" w:eastAsia="Calibri" w:hAnsiTheme="minorHAnsi" w:cstheme="minorHAnsi"/>
          <w:b/>
          <w:sz w:val="26"/>
          <w:szCs w:val="26"/>
        </w:rPr>
        <w:t>1</w:t>
      </w:r>
      <w:r w:rsidR="002A2289">
        <w:rPr>
          <w:rFonts w:asciiTheme="minorHAnsi" w:eastAsia="Calibri" w:hAnsiTheme="minorHAnsi" w:cstheme="minorHAnsi"/>
          <w:b/>
          <w:sz w:val="26"/>
          <w:szCs w:val="26"/>
        </w:rPr>
        <w:t xml:space="preserve">65 </w:t>
      </w:r>
      <w:r w:rsidR="002A2289" w:rsidRPr="002A2289">
        <w:rPr>
          <w:rFonts w:asciiTheme="minorHAnsi" w:eastAsia="Calibri" w:hAnsiTheme="minorHAnsi" w:cstheme="minorHAnsi"/>
          <w:bCs/>
          <w:sz w:val="26"/>
          <w:szCs w:val="26"/>
        </w:rPr>
        <w:t>de</w:t>
      </w:r>
      <w:r w:rsidRPr="006C5F7E">
        <w:rPr>
          <w:rFonts w:asciiTheme="minorHAnsi" w:eastAsia="Calibri" w:hAnsiTheme="minorHAnsi" w:cstheme="minorHAnsi"/>
          <w:b/>
          <w:sz w:val="26"/>
          <w:szCs w:val="26"/>
        </w:rPr>
        <w:t xml:space="preserve"> </w:t>
      </w:r>
      <w:r w:rsidRPr="006C5F7E">
        <w:rPr>
          <w:rFonts w:asciiTheme="minorHAnsi" w:eastAsia="Calibri" w:hAnsiTheme="minorHAnsi" w:cstheme="minorHAnsi"/>
          <w:sz w:val="26"/>
          <w:szCs w:val="26"/>
        </w:rPr>
        <w:t>persoane, ca urmare a pensionării;</w:t>
      </w:r>
    </w:p>
    <w:p w14:paraId="4870865E" w14:textId="77777777" w:rsidR="006C5F7E" w:rsidRPr="001D227D" w:rsidRDefault="006C5F7E" w:rsidP="006C5F7E">
      <w:pPr>
        <w:numPr>
          <w:ilvl w:val="0"/>
          <w:numId w:val="36"/>
        </w:numPr>
        <w:ind w:left="0" w:firstLine="0"/>
        <w:contextualSpacing/>
        <w:jc w:val="both"/>
        <w:rPr>
          <w:rFonts w:asciiTheme="minorHAnsi" w:eastAsia="Calibri" w:hAnsiTheme="minorHAnsi" w:cstheme="minorHAnsi"/>
          <w:sz w:val="26"/>
          <w:szCs w:val="26"/>
        </w:rPr>
      </w:pPr>
      <w:r w:rsidRPr="001D227D">
        <w:rPr>
          <w:rFonts w:asciiTheme="minorHAnsi" w:eastAsia="Calibri" w:hAnsiTheme="minorHAnsi" w:cstheme="minorHAnsi"/>
          <w:b/>
          <w:sz w:val="26"/>
          <w:szCs w:val="26"/>
        </w:rPr>
        <w:t xml:space="preserve">2 </w:t>
      </w:r>
      <w:r w:rsidRPr="001D227D">
        <w:rPr>
          <w:rFonts w:asciiTheme="minorHAnsi" w:eastAsia="Calibri" w:hAnsiTheme="minorHAnsi" w:cstheme="minorHAnsi"/>
          <w:sz w:val="26"/>
          <w:szCs w:val="26"/>
        </w:rPr>
        <w:t>persoane, ca urmare a demisiei;</w:t>
      </w:r>
    </w:p>
    <w:p w14:paraId="1FDFAD20" w14:textId="2109A682" w:rsidR="006C5F7E" w:rsidRPr="001D227D" w:rsidRDefault="006C5F7E" w:rsidP="006C5F7E">
      <w:pPr>
        <w:numPr>
          <w:ilvl w:val="0"/>
          <w:numId w:val="36"/>
        </w:numPr>
        <w:ind w:left="0" w:firstLine="0"/>
        <w:contextualSpacing/>
        <w:jc w:val="both"/>
        <w:rPr>
          <w:rFonts w:asciiTheme="minorHAnsi" w:eastAsia="Calibri" w:hAnsiTheme="minorHAnsi" w:cstheme="minorHAnsi"/>
          <w:sz w:val="26"/>
          <w:szCs w:val="26"/>
        </w:rPr>
      </w:pPr>
      <w:r w:rsidRPr="006C5F7E">
        <w:rPr>
          <w:rFonts w:asciiTheme="minorHAnsi" w:eastAsia="Calibri" w:hAnsiTheme="minorHAnsi" w:cstheme="minorHAnsi"/>
          <w:b/>
          <w:sz w:val="26"/>
          <w:szCs w:val="26"/>
        </w:rPr>
        <w:t>2</w:t>
      </w:r>
      <w:r w:rsidR="002A2289">
        <w:rPr>
          <w:rFonts w:asciiTheme="minorHAnsi" w:eastAsia="Calibri" w:hAnsiTheme="minorHAnsi" w:cstheme="minorHAnsi"/>
          <w:b/>
          <w:sz w:val="26"/>
          <w:szCs w:val="26"/>
        </w:rPr>
        <w:t>9</w:t>
      </w:r>
      <w:r w:rsidRPr="001D227D">
        <w:rPr>
          <w:rFonts w:asciiTheme="minorHAnsi" w:eastAsia="Calibri" w:hAnsiTheme="minorHAnsi" w:cstheme="minorHAnsi"/>
          <w:b/>
          <w:color w:val="C00000"/>
          <w:sz w:val="26"/>
          <w:szCs w:val="26"/>
        </w:rPr>
        <w:t xml:space="preserve"> </w:t>
      </w:r>
      <w:r w:rsidRPr="001D227D">
        <w:rPr>
          <w:rFonts w:asciiTheme="minorHAnsi" w:eastAsia="Calibri" w:hAnsiTheme="minorHAnsi" w:cstheme="minorHAnsi"/>
          <w:sz w:val="26"/>
          <w:szCs w:val="26"/>
        </w:rPr>
        <w:t>de procurori au fost numiți în funcția de judecător;</w:t>
      </w:r>
    </w:p>
    <w:p w14:paraId="63016A75" w14:textId="77777777" w:rsidR="006C5F7E" w:rsidRPr="001D227D" w:rsidRDefault="006C5F7E" w:rsidP="006C5F7E">
      <w:pPr>
        <w:pStyle w:val="ListParagraph"/>
        <w:numPr>
          <w:ilvl w:val="0"/>
          <w:numId w:val="36"/>
        </w:numPr>
        <w:tabs>
          <w:tab w:val="clear" w:pos="1068"/>
        </w:tabs>
        <w:ind w:hanging="1068"/>
        <w:rPr>
          <w:rFonts w:asciiTheme="minorHAnsi" w:hAnsiTheme="minorHAnsi" w:cstheme="minorHAnsi"/>
          <w:sz w:val="26"/>
          <w:szCs w:val="26"/>
        </w:rPr>
      </w:pPr>
      <w:r w:rsidRPr="001D227D">
        <w:rPr>
          <w:rFonts w:asciiTheme="minorHAnsi" w:hAnsiTheme="minorHAnsi" w:cstheme="minorHAnsi"/>
          <w:b/>
          <w:sz w:val="26"/>
          <w:szCs w:val="26"/>
        </w:rPr>
        <w:t>1</w:t>
      </w:r>
      <w:r w:rsidRPr="001D227D">
        <w:rPr>
          <w:rFonts w:asciiTheme="minorHAnsi" w:hAnsiTheme="minorHAnsi" w:cstheme="minorHAnsi"/>
          <w:sz w:val="26"/>
          <w:szCs w:val="26"/>
        </w:rPr>
        <w:t xml:space="preserve"> persoană, ca urmare a condamnării definitive.</w:t>
      </w:r>
    </w:p>
    <w:p w14:paraId="56B74280" w14:textId="4A10E018" w:rsidR="006C5F7E" w:rsidRPr="001270C8" w:rsidRDefault="006C5F7E" w:rsidP="006C5F7E">
      <w:pPr>
        <w:spacing w:line="276" w:lineRule="auto"/>
        <w:ind w:firstLine="708"/>
        <w:jc w:val="both"/>
        <w:rPr>
          <w:rFonts w:asciiTheme="minorHAnsi" w:hAnsiTheme="minorHAnsi" w:cstheme="minorHAnsi"/>
          <w:color w:val="FF0000"/>
          <w:sz w:val="26"/>
          <w:szCs w:val="26"/>
        </w:rPr>
      </w:pPr>
      <w:r w:rsidRPr="006C5F7E">
        <w:rPr>
          <w:rFonts w:asciiTheme="minorHAnsi" w:hAnsiTheme="minorHAnsi" w:cstheme="minorHAnsi"/>
          <w:sz w:val="26"/>
          <w:szCs w:val="26"/>
        </w:rPr>
        <w:t>Totodată, în cursul acestui an s-au vacantat 3 posturi, ca urmare a decesului a trei procurori.</w:t>
      </w:r>
    </w:p>
    <w:p w14:paraId="574A7DAA" w14:textId="5495E61F" w:rsidR="000C431F" w:rsidRPr="00564DC7" w:rsidRDefault="006C5F7E" w:rsidP="00690186">
      <w:pPr>
        <w:ind w:firstLine="720"/>
        <w:jc w:val="both"/>
        <w:rPr>
          <w:rFonts w:asciiTheme="minorHAnsi" w:hAnsiTheme="minorHAnsi" w:cstheme="minorHAnsi"/>
          <w:b/>
          <w:sz w:val="26"/>
          <w:szCs w:val="26"/>
        </w:rPr>
      </w:pPr>
      <w:r w:rsidRPr="006C5F7E">
        <w:rPr>
          <w:rFonts w:ascii="Calibri" w:hAnsi="Calibri" w:cs="Calibri"/>
          <w:b/>
          <w:sz w:val="26"/>
          <w:szCs w:val="26"/>
        </w:rPr>
        <w:t xml:space="preserve">Situaţia posturilor de procuror pe grade de jurisdicţie la data de </w:t>
      </w:r>
      <w:r w:rsidR="0092462B">
        <w:rPr>
          <w:rFonts w:ascii="Calibri" w:hAnsi="Calibri" w:cs="Calibri"/>
          <w:b/>
          <w:sz w:val="26"/>
          <w:szCs w:val="26"/>
        </w:rPr>
        <w:t>31</w:t>
      </w:r>
      <w:r w:rsidRPr="006C5F7E">
        <w:rPr>
          <w:rFonts w:ascii="Calibri" w:hAnsi="Calibri" w:cs="Calibri"/>
          <w:b/>
          <w:sz w:val="26"/>
          <w:szCs w:val="26"/>
        </w:rPr>
        <w:t>.12.2023</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4"/>
        <w:gridCol w:w="849"/>
        <w:gridCol w:w="850"/>
        <w:gridCol w:w="850"/>
        <w:gridCol w:w="851"/>
        <w:gridCol w:w="850"/>
        <w:gridCol w:w="851"/>
        <w:gridCol w:w="850"/>
        <w:gridCol w:w="850"/>
      </w:tblGrid>
      <w:tr w:rsidR="00564DC7" w:rsidRPr="00564DC7" w14:paraId="09EE202C" w14:textId="77777777" w:rsidTr="000363DB">
        <w:trPr>
          <w:jc w:val="center"/>
        </w:trPr>
        <w:tc>
          <w:tcPr>
            <w:tcW w:w="254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43C9F5"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Categoria</w:t>
            </w:r>
          </w:p>
        </w:tc>
        <w:tc>
          <w:tcPr>
            <w:tcW w:w="340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0AA7B8EA"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5F6D94B0"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b/>
                <w:sz w:val="26"/>
                <w:szCs w:val="26"/>
              </w:rPr>
              <w:t>Posturi de procuror vacante</w:t>
            </w:r>
          </w:p>
        </w:tc>
      </w:tr>
      <w:tr w:rsidR="00564DC7" w:rsidRPr="00564DC7" w14:paraId="0F629C19" w14:textId="77777777" w:rsidTr="000363DB">
        <w:trPr>
          <w:jc w:val="center"/>
        </w:trPr>
        <w:tc>
          <w:tcPr>
            <w:tcW w:w="2544" w:type="dxa"/>
            <w:vMerge/>
            <w:tcBorders>
              <w:top w:val="single" w:sz="4" w:space="0" w:color="auto"/>
              <w:left w:val="single" w:sz="4" w:space="0" w:color="auto"/>
              <w:bottom w:val="single" w:sz="4" w:space="0" w:color="auto"/>
              <w:right w:val="single" w:sz="4" w:space="0" w:color="auto"/>
            </w:tcBorders>
            <w:vAlign w:val="center"/>
            <w:hideMark/>
          </w:tcPr>
          <w:p w14:paraId="0F54F19C" w14:textId="77777777" w:rsidR="000C431F" w:rsidRPr="00564DC7" w:rsidRDefault="000C431F" w:rsidP="00690186">
            <w:pPr>
              <w:rPr>
                <w:rFonts w:asciiTheme="minorHAnsi" w:hAnsiTheme="minorHAnsi" w:cstheme="minorHAnsi"/>
                <w:b/>
                <w:sz w:val="26"/>
                <w:szCs w:val="26"/>
              </w:rPr>
            </w:pPr>
          </w:p>
        </w:tc>
        <w:tc>
          <w:tcPr>
            <w:tcW w:w="8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C594EF"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Total</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EF758E"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237DB589"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art. 147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AA004B"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DA0794"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61736F"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14:paraId="7C964BC7"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art. 147</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E60535"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Cond.</w:t>
            </w:r>
          </w:p>
        </w:tc>
      </w:tr>
      <w:tr w:rsidR="00564DC7" w:rsidRPr="00564DC7" w14:paraId="64E65BA9" w14:textId="77777777" w:rsidTr="000363DB">
        <w:trPr>
          <w:trHeight w:val="847"/>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14:paraId="550B1664" w14:textId="77777777" w:rsidR="000C431F" w:rsidRPr="00564DC7" w:rsidRDefault="000C431F" w:rsidP="00690186">
            <w:pPr>
              <w:jc w:val="both"/>
              <w:rPr>
                <w:rFonts w:asciiTheme="minorHAnsi" w:hAnsiTheme="minorHAnsi" w:cstheme="minorHAnsi"/>
                <w:sz w:val="26"/>
                <w:szCs w:val="26"/>
              </w:rPr>
            </w:pPr>
            <w:r w:rsidRPr="00564DC7">
              <w:rPr>
                <w:rFonts w:asciiTheme="minorHAnsi" w:hAnsiTheme="minorHAnsi" w:cstheme="minorHAnsi"/>
                <w:sz w:val="26"/>
                <w:szCs w:val="26"/>
              </w:rPr>
              <w:t>PÎCCJ (</w:t>
            </w:r>
            <w:r w:rsidRPr="00564DC7">
              <w:rPr>
                <w:rFonts w:asciiTheme="minorHAnsi" w:hAnsiTheme="minorHAnsi" w:cstheme="minorHAnsi"/>
                <w:i/>
                <w:sz w:val="26"/>
                <w:szCs w:val="26"/>
              </w:rPr>
              <w:t>inclusiv DNA, DIICOT şi Secţia parchetelor militare</w:t>
            </w:r>
            <w:r w:rsidRPr="00564DC7">
              <w:rPr>
                <w:rFonts w:asciiTheme="minorHAnsi" w:hAnsiTheme="minorHAnsi" w:cstheme="minorHAnsi"/>
                <w:sz w:val="26"/>
                <w:szCs w:val="26"/>
              </w:rPr>
              <w:t>)</w:t>
            </w:r>
          </w:p>
        </w:tc>
        <w:tc>
          <w:tcPr>
            <w:tcW w:w="849" w:type="dxa"/>
            <w:tcBorders>
              <w:top w:val="single" w:sz="4" w:space="0" w:color="auto"/>
              <w:left w:val="single" w:sz="4" w:space="0" w:color="auto"/>
              <w:bottom w:val="single" w:sz="4" w:space="0" w:color="auto"/>
              <w:right w:val="single" w:sz="4" w:space="0" w:color="auto"/>
            </w:tcBorders>
            <w:vAlign w:val="center"/>
            <w:hideMark/>
          </w:tcPr>
          <w:p w14:paraId="2566D3B8"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660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D50811"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515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A3664B"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98174D"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145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C2A677" w14:textId="3B070A9D"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18</w:t>
            </w:r>
            <w:r w:rsidR="0092462B">
              <w:rPr>
                <w:rFonts w:asciiTheme="minorHAnsi" w:hAnsiTheme="minorHAnsi" w:cstheme="minorHAnsi"/>
                <w:b/>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78CD44" w14:textId="0310951D"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w:t>
            </w:r>
            <w:r w:rsidR="006C5F7E">
              <w:rPr>
                <w:rFonts w:asciiTheme="minorHAnsi" w:hAnsiTheme="minorHAnsi" w:cstheme="minorHAnsi"/>
                <w:sz w:val="26"/>
                <w:szCs w:val="26"/>
              </w:rPr>
              <w:t>09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677FB8"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9BA3C3" w14:textId="5D9CA7E9"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7</w:t>
            </w:r>
            <w:r w:rsidR="0092462B">
              <w:rPr>
                <w:rFonts w:asciiTheme="minorHAnsi" w:hAnsiTheme="minorHAnsi" w:cstheme="minorHAnsi"/>
                <w:sz w:val="26"/>
                <w:szCs w:val="26"/>
              </w:rPr>
              <w:t>4</w:t>
            </w:r>
          </w:p>
        </w:tc>
      </w:tr>
      <w:tr w:rsidR="00564DC7" w:rsidRPr="00564DC7" w14:paraId="7869D5E5" w14:textId="77777777" w:rsidTr="000363DB">
        <w:trPr>
          <w:trHeight w:val="762"/>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14:paraId="74574AD7" w14:textId="77777777" w:rsidR="000C431F" w:rsidRPr="00564DC7" w:rsidRDefault="000C431F" w:rsidP="00690186">
            <w:pPr>
              <w:jc w:val="both"/>
              <w:rPr>
                <w:rFonts w:asciiTheme="minorHAnsi" w:hAnsiTheme="minorHAnsi" w:cstheme="minorHAnsi"/>
                <w:sz w:val="26"/>
                <w:szCs w:val="26"/>
              </w:rPr>
            </w:pPr>
            <w:r w:rsidRPr="00564DC7">
              <w:rPr>
                <w:rFonts w:asciiTheme="minorHAnsi" w:hAnsiTheme="minorHAnsi" w:cstheme="minorHAnsi"/>
                <w:sz w:val="26"/>
                <w:szCs w:val="26"/>
              </w:rPr>
              <w:t>Parchetele de pe lângă curţile de apel (</w:t>
            </w:r>
            <w:r w:rsidRPr="00564DC7">
              <w:rPr>
                <w:rFonts w:asciiTheme="minorHAnsi" w:hAnsiTheme="minorHAnsi" w:cstheme="minorHAnsi"/>
                <w:i/>
                <w:sz w:val="26"/>
                <w:szCs w:val="26"/>
              </w:rPr>
              <w:t>inclusiv PCMA)</w:t>
            </w:r>
          </w:p>
        </w:tc>
        <w:tc>
          <w:tcPr>
            <w:tcW w:w="849" w:type="dxa"/>
            <w:tcBorders>
              <w:top w:val="single" w:sz="4" w:space="0" w:color="auto"/>
              <w:left w:val="single" w:sz="4" w:space="0" w:color="auto"/>
              <w:bottom w:val="single" w:sz="4" w:space="0" w:color="auto"/>
              <w:right w:val="single" w:sz="4" w:space="0" w:color="auto"/>
            </w:tcBorders>
            <w:vAlign w:val="center"/>
            <w:hideMark/>
          </w:tcPr>
          <w:p w14:paraId="53DF2240" w14:textId="22EF56AD"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26</w:t>
            </w:r>
            <w:r w:rsidR="00EA7C5A">
              <w:rPr>
                <w:rFonts w:asciiTheme="minorHAnsi" w:hAnsiTheme="minorHAnsi" w:cstheme="minorHAnsi"/>
                <w:b/>
                <w:sz w:val="26"/>
                <w:szCs w:val="26"/>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31CCBD"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88402F" w14:textId="7EA8C38E" w:rsidR="000C431F" w:rsidRPr="00564DC7" w:rsidRDefault="00EA7C5A" w:rsidP="00690186">
            <w:pPr>
              <w:jc w:val="center"/>
              <w:rPr>
                <w:rFonts w:asciiTheme="minorHAnsi" w:hAnsiTheme="minorHAnsi" w:cstheme="minorHAnsi"/>
                <w:sz w:val="26"/>
                <w:szCs w:val="26"/>
              </w:rPr>
            </w:pPr>
            <w:r>
              <w:rPr>
                <w:rFonts w:asciiTheme="minorHAnsi" w:hAnsiTheme="minorHAnsi" w:cstheme="minorHAnsi"/>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131686"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540F82" w14:textId="28402F8A" w:rsidR="000C431F" w:rsidRPr="00564DC7" w:rsidRDefault="00EA7C5A" w:rsidP="00690186">
            <w:pPr>
              <w:jc w:val="center"/>
              <w:rPr>
                <w:rFonts w:asciiTheme="minorHAnsi" w:hAnsiTheme="minorHAnsi" w:cstheme="minorHAnsi"/>
                <w:b/>
                <w:sz w:val="26"/>
                <w:szCs w:val="26"/>
              </w:rPr>
            </w:pPr>
            <w:r>
              <w:rPr>
                <w:rFonts w:asciiTheme="minorHAnsi" w:hAnsiTheme="minorHAnsi" w:cstheme="minorHAnsi"/>
                <w:b/>
                <w:sz w:val="26"/>
                <w:szCs w:val="26"/>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E3DFBE" w14:textId="7D710069" w:rsidR="000C431F" w:rsidRPr="00564DC7" w:rsidRDefault="006C5F7E" w:rsidP="00690186">
            <w:pPr>
              <w:jc w:val="center"/>
              <w:rPr>
                <w:rFonts w:asciiTheme="minorHAnsi" w:hAnsiTheme="minorHAnsi" w:cstheme="minorHAnsi"/>
                <w:sz w:val="26"/>
                <w:szCs w:val="26"/>
              </w:rPr>
            </w:pPr>
            <w:r>
              <w:rPr>
                <w:rFonts w:asciiTheme="minorHAnsi" w:hAnsiTheme="minorHAnsi" w:cstheme="minorHAnsi"/>
                <w:sz w:val="26"/>
                <w:szCs w:val="26"/>
              </w:rPr>
              <w:t>2</w:t>
            </w:r>
            <w:r w:rsidR="00EA7C5A">
              <w:rPr>
                <w:rFonts w:asciiTheme="minorHAnsi" w:hAnsiTheme="minorHAnsi" w:cstheme="minorHAnsi"/>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0B5D0F" w14:textId="399EE44F" w:rsidR="000C431F" w:rsidRPr="00564DC7" w:rsidRDefault="006C5F7E" w:rsidP="00690186">
            <w:pPr>
              <w:jc w:val="center"/>
              <w:rPr>
                <w:rFonts w:asciiTheme="minorHAnsi" w:hAnsiTheme="minorHAnsi" w:cstheme="minorHAnsi"/>
                <w:sz w:val="26"/>
                <w:szCs w:val="26"/>
              </w:rPr>
            </w:pPr>
            <w:r>
              <w:rPr>
                <w:rFonts w:asciiTheme="minorHAnsi" w:hAnsiTheme="minorHAnsi" w:cstheme="minorHAnsi"/>
                <w:sz w:val="26"/>
                <w:szCs w:val="26"/>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FDC48B" w14:textId="43B0866D"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2</w:t>
            </w:r>
            <w:r w:rsidR="006C5F7E">
              <w:rPr>
                <w:rFonts w:asciiTheme="minorHAnsi" w:hAnsiTheme="minorHAnsi" w:cstheme="minorHAnsi"/>
                <w:sz w:val="26"/>
                <w:szCs w:val="26"/>
              </w:rPr>
              <w:t>7</w:t>
            </w:r>
          </w:p>
        </w:tc>
      </w:tr>
      <w:tr w:rsidR="00564DC7" w:rsidRPr="00564DC7" w14:paraId="62AA3536" w14:textId="77777777" w:rsidTr="000363DB">
        <w:trPr>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14:paraId="0F3FB206" w14:textId="77777777" w:rsidR="000C431F" w:rsidRPr="00564DC7" w:rsidRDefault="000C431F" w:rsidP="00690186">
            <w:pPr>
              <w:jc w:val="both"/>
              <w:rPr>
                <w:rFonts w:asciiTheme="minorHAnsi" w:hAnsiTheme="minorHAnsi" w:cstheme="minorHAnsi"/>
                <w:i/>
                <w:sz w:val="26"/>
                <w:szCs w:val="26"/>
              </w:rPr>
            </w:pPr>
            <w:r w:rsidRPr="00564DC7">
              <w:rPr>
                <w:rFonts w:asciiTheme="minorHAnsi" w:hAnsiTheme="minorHAnsi" w:cstheme="minorHAnsi"/>
                <w:sz w:val="26"/>
                <w:szCs w:val="26"/>
              </w:rPr>
              <w:t xml:space="preserve">Parchetele de pe lângă  tribunale </w:t>
            </w:r>
            <w:r w:rsidRPr="00564DC7">
              <w:rPr>
                <w:rFonts w:asciiTheme="minorHAnsi" w:hAnsiTheme="minorHAnsi" w:cstheme="minorHAnsi"/>
                <w:sz w:val="26"/>
                <w:szCs w:val="26"/>
              </w:rPr>
              <w:lastRenderedPageBreak/>
              <w:t>(</w:t>
            </w:r>
            <w:r w:rsidRPr="00564DC7">
              <w:rPr>
                <w:rFonts w:asciiTheme="minorHAnsi" w:hAnsiTheme="minorHAnsi" w:cstheme="minorHAnsi"/>
                <w:i/>
                <w:sz w:val="26"/>
                <w:szCs w:val="26"/>
              </w:rPr>
              <w:t>inclusiv PTMT şi PTMF)</w:t>
            </w:r>
          </w:p>
        </w:tc>
        <w:tc>
          <w:tcPr>
            <w:tcW w:w="849" w:type="dxa"/>
            <w:tcBorders>
              <w:top w:val="single" w:sz="4" w:space="0" w:color="auto"/>
              <w:left w:val="single" w:sz="4" w:space="0" w:color="auto"/>
              <w:bottom w:val="single" w:sz="4" w:space="0" w:color="auto"/>
              <w:right w:val="single" w:sz="4" w:space="0" w:color="auto"/>
            </w:tcBorders>
            <w:vAlign w:val="center"/>
            <w:hideMark/>
          </w:tcPr>
          <w:p w14:paraId="199D3F2A"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lastRenderedPageBreak/>
              <w:t>725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8CDD77"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18E256"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B001B8"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3EA8B7" w14:textId="4EEE4DD1"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2</w:t>
            </w:r>
            <w:r w:rsidR="006C5F7E">
              <w:rPr>
                <w:rFonts w:asciiTheme="minorHAnsi" w:hAnsiTheme="minorHAnsi" w:cstheme="minorHAnsi"/>
                <w:b/>
                <w:sz w:val="26"/>
                <w:szCs w:val="26"/>
              </w:rPr>
              <w:t>5</w:t>
            </w:r>
            <w:r w:rsidR="00EA7C5A">
              <w:rPr>
                <w:rFonts w:asciiTheme="minorHAnsi" w:hAnsiTheme="minorHAnsi" w:cstheme="minorHAnsi"/>
                <w:b/>
                <w:sz w:val="26"/>
                <w:szCs w:val="26"/>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DB4926" w14:textId="67345AB6"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14</w:t>
            </w:r>
            <w:r w:rsidR="00EA7C5A">
              <w:rPr>
                <w:rFonts w:asciiTheme="minorHAnsi" w:hAnsiTheme="minorHAnsi" w:cstheme="minorHAnsi"/>
                <w:sz w:val="26"/>
                <w:szCs w:val="26"/>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921A63"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0B0ACE" w14:textId="21B77CDE" w:rsidR="000C431F" w:rsidRPr="00564DC7" w:rsidRDefault="006C5F7E" w:rsidP="00690186">
            <w:pPr>
              <w:jc w:val="center"/>
              <w:rPr>
                <w:rFonts w:asciiTheme="minorHAnsi" w:hAnsiTheme="minorHAnsi" w:cstheme="minorHAnsi"/>
                <w:sz w:val="26"/>
                <w:szCs w:val="26"/>
              </w:rPr>
            </w:pPr>
            <w:r>
              <w:rPr>
                <w:rFonts w:asciiTheme="minorHAnsi" w:hAnsiTheme="minorHAnsi" w:cstheme="minorHAnsi"/>
                <w:sz w:val="26"/>
                <w:szCs w:val="26"/>
              </w:rPr>
              <w:t>103</w:t>
            </w:r>
          </w:p>
        </w:tc>
      </w:tr>
      <w:tr w:rsidR="00564DC7" w:rsidRPr="00564DC7" w14:paraId="7D4F2BEC" w14:textId="77777777" w:rsidTr="000363DB">
        <w:trPr>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14:paraId="36C8312F" w14:textId="77777777" w:rsidR="000C431F" w:rsidRPr="00564DC7" w:rsidRDefault="000C431F" w:rsidP="00690186">
            <w:pPr>
              <w:jc w:val="both"/>
              <w:rPr>
                <w:rFonts w:asciiTheme="minorHAnsi" w:hAnsiTheme="minorHAnsi" w:cstheme="minorHAnsi"/>
                <w:sz w:val="26"/>
                <w:szCs w:val="26"/>
              </w:rPr>
            </w:pPr>
            <w:r w:rsidRPr="00564DC7">
              <w:rPr>
                <w:rFonts w:asciiTheme="minorHAnsi" w:hAnsiTheme="minorHAnsi" w:cstheme="minorHAnsi"/>
                <w:sz w:val="26"/>
                <w:szCs w:val="26"/>
              </w:rPr>
              <w:t xml:space="preserve">Parchetele de pe lângă judecătorii </w:t>
            </w:r>
          </w:p>
        </w:tc>
        <w:tc>
          <w:tcPr>
            <w:tcW w:w="849" w:type="dxa"/>
            <w:tcBorders>
              <w:top w:val="single" w:sz="4" w:space="0" w:color="auto"/>
              <w:left w:val="single" w:sz="4" w:space="0" w:color="auto"/>
              <w:bottom w:val="single" w:sz="4" w:space="0" w:color="auto"/>
              <w:right w:val="single" w:sz="4" w:space="0" w:color="auto"/>
            </w:tcBorders>
            <w:vAlign w:val="center"/>
            <w:hideMark/>
          </w:tcPr>
          <w:p w14:paraId="3913A660" w14:textId="7FAB21F4"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138</w:t>
            </w:r>
            <w:r w:rsidR="00EA7C5A">
              <w:rPr>
                <w:rFonts w:asciiTheme="minorHAnsi" w:hAnsiTheme="minorHAnsi" w:cstheme="minorHAnsi"/>
                <w:b/>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E28399"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DF4C71" w14:textId="0BDDE27E"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4</w:t>
            </w:r>
            <w:r w:rsidR="00EA7C5A">
              <w:rPr>
                <w:rFonts w:asciiTheme="minorHAnsi" w:hAnsiTheme="minorHAnsi" w:cstheme="minorHAnsi"/>
                <w:sz w:val="26"/>
                <w:szCs w:val="26"/>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8445F1" w14:textId="77777777"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7C25E9" w14:textId="68197540"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4</w:t>
            </w:r>
            <w:r w:rsidR="006C5F7E">
              <w:rPr>
                <w:rFonts w:asciiTheme="minorHAnsi" w:hAnsiTheme="minorHAnsi" w:cstheme="minorHAnsi"/>
                <w:b/>
                <w:sz w:val="26"/>
                <w:szCs w:val="26"/>
              </w:rPr>
              <w:t>7</w:t>
            </w:r>
            <w:r w:rsidR="00EA7C5A">
              <w:rPr>
                <w:rFonts w:asciiTheme="minorHAnsi" w:hAnsiTheme="minorHAnsi" w:cstheme="minorHAnsi"/>
                <w:b/>
                <w:sz w:val="26"/>
                <w:szCs w:val="26"/>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C7431E" w14:textId="1E5A547B"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2</w:t>
            </w:r>
            <w:r w:rsidR="006C5F7E">
              <w:rPr>
                <w:rFonts w:asciiTheme="minorHAnsi" w:hAnsiTheme="minorHAnsi" w:cstheme="minorHAnsi"/>
                <w:sz w:val="26"/>
                <w:szCs w:val="26"/>
              </w:rPr>
              <w:t>8</w:t>
            </w:r>
            <w:r w:rsidR="00EA7C5A">
              <w:rPr>
                <w:rFonts w:asciiTheme="minorHAnsi" w:hAnsiTheme="minorHAnsi" w:cstheme="minorHAnsi"/>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66D02F" w14:textId="466F5848" w:rsidR="000C431F" w:rsidRPr="00564DC7" w:rsidRDefault="006C5F7E" w:rsidP="00690186">
            <w:pPr>
              <w:jc w:val="center"/>
              <w:rPr>
                <w:rFonts w:asciiTheme="minorHAnsi" w:hAnsiTheme="minorHAnsi" w:cstheme="minorHAnsi"/>
                <w:sz w:val="26"/>
                <w:szCs w:val="26"/>
              </w:rPr>
            </w:pPr>
            <w:r>
              <w:rPr>
                <w:rFonts w:asciiTheme="minorHAnsi" w:hAnsiTheme="minorHAnsi" w:cstheme="minorHAnsi"/>
                <w:sz w:val="26"/>
                <w:szCs w:val="26"/>
              </w:rPr>
              <w:t>3</w:t>
            </w:r>
            <w:r w:rsidR="00EA7C5A">
              <w:rPr>
                <w:rFonts w:asciiTheme="minorHAnsi" w:hAnsiTheme="minorHAnsi" w:cstheme="minorHAnsi"/>
                <w:sz w:val="26"/>
                <w:szCs w:val="2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4D5F55" w14:textId="1D2045AB" w:rsidR="000C431F" w:rsidRPr="00564DC7" w:rsidRDefault="000C431F" w:rsidP="00690186">
            <w:pPr>
              <w:jc w:val="center"/>
              <w:rPr>
                <w:rFonts w:asciiTheme="minorHAnsi" w:hAnsiTheme="minorHAnsi" w:cstheme="minorHAnsi"/>
                <w:sz w:val="26"/>
                <w:szCs w:val="26"/>
              </w:rPr>
            </w:pPr>
            <w:r w:rsidRPr="00564DC7">
              <w:rPr>
                <w:rFonts w:asciiTheme="minorHAnsi" w:hAnsiTheme="minorHAnsi" w:cstheme="minorHAnsi"/>
                <w:sz w:val="26"/>
                <w:szCs w:val="26"/>
              </w:rPr>
              <w:t>16</w:t>
            </w:r>
            <w:r w:rsidR="00EA7C5A">
              <w:rPr>
                <w:rFonts w:asciiTheme="minorHAnsi" w:hAnsiTheme="minorHAnsi" w:cstheme="minorHAnsi"/>
                <w:sz w:val="26"/>
                <w:szCs w:val="26"/>
              </w:rPr>
              <w:t>3</w:t>
            </w:r>
          </w:p>
        </w:tc>
      </w:tr>
      <w:tr w:rsidR="00564DC7" w:rsidRPr="00564DC7" w14:paraId="72D8E198" w14:textId="77777777" w:rsidTr="000363DB">
        <w:trPr>
          <w:jc w:val="center"/>
        </w:trPr>
        <w:tc>
          <w:tcPr>
            <w:tcW w:w="2544" w:type="dxa"/>
            <w:tcBorders>
              <w:top w:val="single" w:sz="4" w:space="0" w:color="auto"/>
              <w:left w:val="single" w:sz="4" w:space="0" w:color="auto"/>
              <w:bottom w:val="single" w:sz="4" w:space="0" w:color="auto"/>
              <w:right w:val="single" w:sz="4" w:space="0" w:color="auto"/>
            </w:tcBorders>
            <w:vAlign w:val="center"/>
            <w:hideMark/>
          </w:tcPr>
          <w:p w14:paraId="6154FA16" w14:textId="77777777" w:rsidR="000C431F" w:rsidRPr="00564DC7" w:rsidRDefault="000C431F" w:rsidP="00690186">
            <w:pPr>
              <w:jc w:val="both"/>
              <w:rPr>
                <w:rFonts w:asciiTheme="minorHAnsi" w:hAnsiTheme="minorHAnsi" w:cstheme="minorHAnsi"/>
                <w:b/>
                <w:sz w:val="26"/>
                <w:szCs w:val="26"/>
              </w:rPr>
            </w:pPr>
            <w:r w:rsidRPr="00564DC7">
              <w:rPr>
                <w:rFonts w:asciiTheme="minorHAnsi" w:hAnsiTheme="minorHAnsi" w:cstheme="minorHAnsi"/>
                <w:b/>
                <w:sz w:val="26"/>
                <w:szCs w:val="26"/>
              </w:rPr>
              <w:t xml:space="preserve">          Total </w:t>
            </w:r>
          </w:p>
        </w:tc>
        <w:tc>
          <w:tcPr>
            <w:tcW w:w="849" w:type="dxa"/>
            <w:tcBorders>
              <w:top w:val="single" w:sz="4" w:space="0" w:color="auto"/>
              <w:left w:val="single" w:sz="4" w:space="0" w:color="auto"/>
              <w:bottom w:val="single" w:sz="4" w:space="0" w:color="auto"/>
              <w:right w:val="single" w:sz="4" w:space="0" w:color="auto"/>
            </w:tcBorders>
            <w:vAlign w:val="center"/>
            <w:hideMark/>
          </w:tcPr>
          <w:p w14:paraId="140B19DA" w14:textId="5427B913"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303</w:t>
            </w:r>
            <w:r w:rsidR="00EA7C5A">
              <w:rPr>
                <w:rFonts w:asciiTheme="minorHAnsi" w:hAnsiTheme="minorHAnsi" w:cstheme="minorHAnsi"/>
                <w:b/>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EB7D57"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2325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342E79" w14:textId="02C30011" w:rsidR="000C431F" w:rsidRPr="00564DC7" w:rsidRDefault="00EA7C5A" w:rsidP="00690186">
            <w:pPr>
              <w:jc w:val="center"/>
              <w:rPr>
                <w:rFonts w:asciiTheme="minorHAnsi" w:hAnsiTheme="minorHAnsi" w:cstheme="minorHAnsi"/>
                <w:b/>
                <w:sz w:val="26"/>
                <w:szCs w:val="26"/>
              </w:rPr>
            </w:pPr>
            <w:r>
              <w:rPr>
                <w:rFonts w:asciiTheme="minorHAnsi" w:hAnsiTheme="minorHAnsi" w:cstheme="minorHAnsi"/>
                <w:b/>
                <w:sz w:val="26"/>
                <w:szCs w:val="26"/>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B6D0" w14:textId="77777777"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654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5D481F" w14:textId="19657F36"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9</w:t>
            </w:r>
            <w:r w:rsidR="00EA7C5A">
              <w:rPr>
                <w:rFonts w:asciiTheme="minorHAnsi" w:hAnsiTheme="minorHAnsi" w:cstheme="minorHAnsi"/>
                <w:b/>
                <w:sz w:val="26"/>
                <w:szCs w:val="26"/>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A478B8" w14:textId="2BB797EA"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5</w:t>
            </w:r>
            <w:r w:rsidR="006C5F7E">
              <w:rPr>
                <w:rFonts w:asciiTheme="minorHAnsi" w:hAnsiTheme="minorHAnsi" w:cstheme="minorHAnsi"/>
                <w:b/>
                <w:sz w:val="26"/>
                <w:szCs w:val="26"/>
              </w:rPr>
              <w:t>6</w:t>
            </w:r>
            <w:r w:rsidR="00EA7C5A">
              <w:rPr>
                <w:rFonts w:asciiTheme="minorHAnsi" w:hAnsiTheme="minorHAnsi" w:cstheme="minorHAnsi"/>
                <w:b/>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B8122B" w14:textId="1B4BB18A"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3</w:t>
            </w:r>
            <w:r w:rsidR="00EA7C5A">
              <w:rPr>
                <w:rFonts w:asciiTheme="minorHAnsi" w:hAnsiTheme="minorHAnsi" w:cstheme="minorHAnsi"/>
                <w:b/>
                <w:sz w:val="26"/>
                <w:szCs w:val="26"/>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9DE7F9" w14:textId="6A788A4E" w:rsidR="000C431F" w:rsidRPr="00564DC7" w:rsidRDefault="000C431F" w:rsidP="00690186">
            <w:pPr>
              <w:jc w:val="center"/>
              <w:rPr>
                <w:rFonts w:asciiTheme="minorHAnsi" w:hAnsiTheme="minorHAnsi" w:cstheme="minorHAnsi"/>
                <w:b/>
                <w:sz w:val="26"/>
                <w:szCs w:val="26"/>
              </w:rPr>
            </w:pPr>
            <w:r w:rsidRPr="00564DC7">
              <w:rPr>
                <w:rFonts w:asciiTheme="minorHAnsi" w:hAnsiTheme="minorHAnsi" w:cstheme="minorHAnsi"/>
                <w:b/>
                <w:sz w:val="26"/>
                <w:szCs w:val="26"/>
              </w:rPr>
              <w:t>3</w:t>
            </w:r>
            <w:r w:rsidR="00EA7C5A">
              <w:rPr>
                <w:rFonts w:asciiTheme="minorHAnsi" w:hAnsiTheme="minorHAnsi" w:cstheme="minorHAnsi"/>
                <w:b/>
                <w:sz w:val="26"/>
                <w:szCs w:val="26"/>
              </w:rPr>
              <w:t>72</w:t>
            </w:r>
          </w:p>
        </w:tc>
      </w:tr>
    </w:tbl>
    <w:p w14:paraId="78DADA44" w14:textId="01B5E557" w:rsidR="008646C2" w:rsidRPr="00564DC7" w:rsidRDefault="00EA7C5A" w:rsidP="00690186">
      <w:pPr>
        <w:jc w:val="center"/>
        <w:rPr>
          <w:rFonts w:asciiTheme="minorHAnsi" w:hAnsiTheme="minorHAnsi" w:cstheme="minorHAnsi"/>
          <w:sz w:val="26"/>
          <w:szCs w:val="26"/>
        </w:rPr>
      </w:pPr>
      <w:r w:rsidRPr="00723912">
        <w:rPr>
          <w:rFonts w:cs="Calibri"/>
          <w:noProof/>
          <w:color w:val="FF0000"/>
          <w:sz w:val="26"/>
          <w:szCs w:val="26"/>
          <w:lang w:eastAsia="ro-RO"/>
        </w:rPr>
        <w:drawing>
          <wp:inline distT="0" distB="0" distL="0" distR="0" wp14:anchorId="3A2BE7A3" wp14:editId="2E1C75B8">
            <wp:extent cx="5943600" cy="2726509"/>
            <wp:effectExtent l="0" t="0" r="0" b="0"/>
            <wp:docPr id="1979789720" name="Chart 19797897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A7F9A3" w14:textId="697FD24D" w:rsidR="007A42F9" w:rsidRPr="007A42F9" w:rsidRDefault="007A42F9" w:rsidP="007A42F9">
      <w:pPr>
        <w:ind w:firstLine="720"/>
        <w:jc w:val="both"/>
        <w:rPr>
          <w:rFonts w:asciiTheme="minorHAnsi" w:hAnsiTheme="minorHAnsi" w:cstheme="minorHAnsi"/>
          <w:sz w:val="26"/>
          <w:szCs w:val="26"/>
        </w:rPr>
      </w:pPr>
      <w:bookmarkStart w:id="82" w:name="_Hlk152923038"/>
      <w:r w:rsidRPr="007A42F9">
        <w:rPr>
          <w:rFonts w:asciiTheme="minorHAnsi" w:hAnsiTheme="minorHAnsi" w:cstheme="minorHAnsi"/>
          <w:sz w:val="26"/>
          <w:szCs w:val="26"/>
        </w:rPr>
        <w:t xml:space="preserve">La data de 31.12.2023, </w:t>
      </w:r>
      <w:r w:rsidRPr="007A42F9">
        <w:rPr>
          <w:rFonts w:asciiTheme="minorHAnsi" w:hAnsiTheme="minorHAnsi" w:cstheme="minorHAnsi"/>
          <w:b/>
          <w:sz w:val="26"/>
          <w:szCs w:val="26"/>
        </w:rPr>
        <w:t>la nivelul parchetelor, din totalul de 3039 posturi de procuror</w:t>
      </w:r>
      <w:r w:rsidRPr="007A42F9">
        <w:rPr>
          <w:rFonts w:asciiTheme="minorHAnsi" w:hAnsiTheme="minorHAnsi" w:cstheme="minorHAnsi"/>
          <w:sz w:val="26"/>
          <w:szCs w:val="26"/>
        </w:rPr>
        <w:t xml:space="preserve"> (au fost incluse şi cele 60 de posturi acordate potrivit art. 147 din Legea nr. 304/2022</w:t>
      </w:r>
      <w:r>
        <w:rPr>
          <w:rFonts w:asciiTheme="minorHAnsi" w:hAnsiTheme="minorHAnsi" w:cstheme="minorHAnsi"/>
          <w:sz w:val="26"/>
          <w:szCs w:val="26"/>
        </w:rPr>
        <w:t>)</w:t>
      </w:r>
      <w:r w:rsidRPr="007A42F9">
        <w:rPr>
          <w:rFonts w:asciiTheme="minorHAnsi" w:hAnsiTheme="minorHAnsi" w:cstheme="minorHAnsi"/>
          <w:sz w:val="26"/>
          <w:szCs w:val="26"/>
        </w:rPr>
        <w:t xml:space="preserve">, </w:t>
      </w:r>
      <w:r w:rsidRPr="007A42F9">
        <w:rPr>
          <w:rFonts w:asciiTheme="minorHAnsi" w:hAnsiTheme="minorHAnsi" w:cstheme="minorHAnsi"/>
          <w:b/>
          <w:sz w:val="26"/>
          <w:szCs w:val="26"/>
        </w:rPr>
        <w:t>erau ocupate 2064 posturi</w:t>
      </w:r>
      <w:r w:rsidRPr="007A42F9">
        <w:rPr>
          <w:rFonts w:asciiTheme="minorHAnsi" w:hAnsiTheme="minorHAnsi" w:cstheme="minorHAnsi"/>
          <w:sz w:val="26"/>
          <w:szCs w:val="26"/>
        </w:rPr>
        <w:t xml:space="preserve"> (sunt incluse şi 21 posturi acordate potrivit art. 147 din Legea nr. 304/2022</w:t>
      </w:r>
      <w:r>
        <w:rPr>
          <w:rFonts w:asciiTheme="minorHAnsi" w:hAnsiTheme="minorHAnsi" w:cstheme="minorHAnsi"/>
          <w:sz w:val="26"/>
          <w:szCs w:val="26"/>
        </w:rPr>
        <w:t xml:space="preserve"> -</w:t>
      </w:r>
      <w:r w:rsidRPr="007A42F9">
        <w:rPr>
          <w:rFonts w:asciiTheme="minorHAnsi" w:hAnsiTheme="minorHAnsi" w:cstheme="minorHAnsi"/>
          <w:sz w:val="26"/>
          <w:szCs w:val="26"/>
        </w:rPr>
        <w:t xml:space="preserve"> 2 la parchetele de pe lângă curțile de apel, 10 la parchetele de pe lângă tribunale şi 9 la parchetele de pe lângă judecătorii) </w:t>
      </w:r>
      <w:r w:rsidRPr="007A42F9">
        <w:rPr>
          <w:rFonts w:asciiTheme="minorHAnsi" w:hAnsiTheme="minorHAnsi" w:cstheme="minorHAnsi"/>
          <w:b/>
          <w:sz w:val="26"/>
          <w:szCs w:val="26"/>
        </w:rPr>
        <w:t xml:space="preserve">şi vacante 980 de posturi </w:t>
      </w:r>
      <w:r w:rsidRPr="007A42F9">
        <w:rPr>
          <w:rFonts w:asciiTheme="minorHAnsi" w:hAnsiTheme="minorHAnsi" w:cstheme="minorHAnsi"/>
          <w:sz w:val="26"/>
          <w:szCs w:val="26"/>
        </w:rPr>
        <w:t xml:space="preserve">(sunt incluse şi 39 posturi acordate potrivit art. 147 din Legea nr. 304/2022), din care </w:t>
      </w:r>
      <w:r w:rsidRPr="007A42F9">
        <w:rPr>
          <w:rFonts w:asciiTheme="minorHAnsi" w:hAnsiTheme="minorHAnsi" w:cstheme="minorHAnsi"/>
          <w:b/>
          <w:bCs/>
          <w:sz w:val="26"/>
          <w:szCs w:val="26"/>
        </w:rPr>
        <w:t>569</w:t>
      </w:r>
      <w:r w:rsidRPr="007A42F9">
        <w:rPr>
          <w:rFonts w:asciiTheme="minorHAnsi" w:hAnsiTheme="minorHAnsi" w:cstheme="minorHAnsi"/>
          <w:sz w:val="26"/>
          <w:szCs w:val="26"/>
        </w:rPr>
        <w:t xml:space="preserve"> erau corespunzătoare funcţiilor de execuţie, iar </w:t>
      </w:r>
      <w:r w:rsidRPr="007A42F9">
        <w:rPr>
          <w:rFonts w:asciiTheme="minorHAnsi" w:hAnsiTheme="minorHAnsi" w:cstheme="minorHAnsi"/>
          <w:b/>
          <w:bCs/>
          <w:sz w:val="26"/>
          <w:szCs w:val="26"/>
        </w:rPr>
        <w:t xml:space="preserve">372 </w:t>
      </w:r>
      <w:r w:rsidRPr="007A42F9">
        <w:rPr>
          <w:rFonts w:asciiTheme="minorHAnsi" w:hAnsiTheme="minorHAnsi" w:cstheme="minorHAnsi"/>
          <w:sz w:val="26"/>
          <w:szCs w:val="26"/>
        </w:rPr>
        <w:t>funcţiilor de conducere.</w:t>
      </w:r>
    </w:p>
    <w:p w14:paraId="2C20B0AB" w14:textId="77777777" w:rsidR="007A42F9" w:rsidRPr="007A42F9" w:rsidRDefault="007A42F9" w:rsidP="007A42F9">
      <w:pPr>
        <w:jc w:val="both"/>
        <w:rPr>
          <w:rFonts w:asciiTheme="minorHAnsi" w:hAnsiTheme="minorHAnsi" w:cstheme="minorHAnsi"/>
          <w:sz w:val="26"/>
          <w:szCs w:val="26"/>
        </w:rPr>
      </w:pPr>
      <w:r w:rsidRPr="007A42F9">
        <w:rPr>
          <w:rFonts w:asciiTheme="minorHAnsi" w:hAnsiTheme="minorHAnsi" w:cstheme="minorHAnsi"/>
          <w:sz w:val="26"/>
          <w:szCs w:val="26"/>
        </w:rPr>
        <w:tab/>
      </w:r>
      <w:r w:rsidRPr="007A42F9">
        <w:rPr>
          <w:rFonts w:asciiTheme="minorHAnsi" w:hAnsiTheme="minorHAnsi" w:cstheme="minorHAnsi"/>
          <w:b/>
          <w:sz w:val="26"/>
          <w:szCs w:val="26"/>
        </w:rPr>
        <w:t xml:space="preserve">Din totalul celor 2064 posturi de procuror ocupate, 5 procurori funcţionau peste schema prevăzută </w:t>
      </w:r>
      <w:r w:rsidRPr="007A42F9">
        <w:rPr>
          <w:rFonts w:asciiTheme="minorHAnsi" w:hAnsiTheme="minorHAnsi" w:cstheme="minorHAnsi"/>
          <w:sz w:val="26"/>
          <w:szCs w:val="26"/>
        </w:rPr>
        <w:t>(3 procurori la parchetele de pe lângă tribunale şi 2 procurori la parchetele de pe lângă judecătorii).</w:t>
      </w:r>
    </w:p>
    <w:bookmarkEnd w:id="82"/>
    <w:p w14:paraId="12F6A7E3" w14:textId="77777777" w:rsidR="000C431F" w:rsidRDefault="000C431F" w:rsidP="00690186">
      <w:pPr>
        <w:jc w:val="both"/>
        <w:rPr>
          <w:rFonts w:asciiTheme="minorHAnsi" w:hAnsiTheme="minorHAnsi" w:cstheme="minorHAnsi"/>
          <w:sz w:val="26"/>
          <w:szCs w:val="26"/>
        </w:rPr>
      </w:pPr>
      <w:r w:rsidRPr="00564DC7">
        <w:rPr>
          <w:rFonts w:asciiTheme="minorHAnsi" w:hAnsiTheme="minorHAnsi" w:cstheme="minorHAnsi"/>
          <w:sz w:val="26"/>
          <w:szCs w:val="26"/>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5FC4B85B" w14:textId="1674C0FD" w:rsidR="00CB3F9B" w:rsidRPr="00564DC7" w:rsidRDefault="00CB3F9B" w:rsidP="00690186">
      <w:pPr>
        <w:ind w:right="48" w:firstLine="709"/>
        <w:jc w:val="both"/>
        <w:rPr>
          <w:rFonts w:asciiTheme="minorHAnsi" w:hAnsiTheme="minorHAnsi" w:cstheme="minorHAnsi"/>
          <w:b/>
          <w:sz w:val="26"/>
          <w:szCs w:val="26"/>
        </w:rPr>
      </w:pPr>
      <w:r w:rsidRPr="00564DC7">
        <w:rPr>
          <w:rFonts w:asciiTheme="minorHAnsi" w:hAnsiTheme="minorHAnsi" w:cstheme="minorHAnsi"/>
          <w:b/>
          <w:sz w:val="26"/>
          <w:szCs w:val="26"/>
        </w:rPr>
        <w:t>F. Situaţia posturilor de magistrat asistent la Înalta Curte de Casaţie şi Justiţie</w:t>
      </w:r>
    </w:p>
    <w:p w14:paraId="5F31FB82" w14:textId="17D56AA3" w:rsidR="00982777" w:rsidRPr="00564DC7" w:rsidRDefault="00982777"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La sfârşitul anului 2022, din cele 151 de posturi de magistrat -  asistent de la Înalta Curte de Casaţie şi Justiţie (astfel cum schema instanţei supreme a fost majorată prin Hotărârea Guvernului nr. 1387/2022) erau ocupate 136</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de posturi, din care 2 posturi erau ocupate prin detaşarea a doi judecători, fiind vacante 15 posturi.</w:t>
      </w:r>
    </w:p>
    <w:p w14:paraId="00E1CA59" w14:textId="58A0362B" w:rsidR="001E3777" w:rsidRPr="00564DC7" w:rsidRDefault="00982777"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acord cu prevederile Titlului IV - </w:t>
      </w:r>
      <w:r w:rsidRPr="00564DC7">
        <w:rPr>
          <w:rFonts w:asciiTheme="minorHAnsi" w:hAnsiTheme="minorHAnsi" w:cstheme="minorHAnsi"/>
          <w:i/>
          <w:iCs/>
          <w:sz w:val="26"/>
          <w:szCs w:val="26"/>
          <w:shd w:val="clear" w:color="auto" w:fill="FFFFFF"/>
        </w:rPr>
        <w:t>Magistraţii-asistenţi ai Înaltei Curţi de Casaţie şi Justiţie</w:t>
      </w:r>
      <w:r w:rsidRPr="00564DC7">
        <w:rPr>
          <w:rFonts w:asciiTheme="minorHAnsi" w:hAnsiTheme="minorHAnsi" w:cstheme="minorHAnsi"/>
          <w:sz w:val="26"/>
          <w:szCs w:val="26"/>
          <w:shd w:val="clear" w:color="auto" w:fill="FFFFFF"/>
        </w:rPr>
        <w:t xml:space="preserve"> din Legea nr. 303/2022</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privind statutul judecătorilor şi procurorilor, cariera acestei categorii profesionale este gestionată, începând cu data intrării legii în vigoare, exclusiv, de instanţa supremă, astfel încât categoria profesională a magistraţilor asistenţi nu mai face obiectul analizei efectuat</w:t>
      </w:r>
      <w:r w:rsidR="00392E2D">
        <w:rPr>
          <w:rFonts w:asciiTheme="minorHAnsi" w:hAnsiTheme="minorHAnsi" w:cstheme="minorHAnsi"/>
          <w:sz w:val="26"/>
          <w:szCs w:val="26"/>
        </w:rPr>
        <w:t>e</w:t>
      </w:r>
      <w:r w:rsidRPr="00564DC7">
        <w:rPr>
          <w:rFonts w:asciiTheme="minorHAnsi" w:hAnsiTheme="minorHAnsi" w:cstheme="minorHAnsi"/>
          <w:sz w:val="26"/>
          <w:szCs w:val="26"/>
        </w:rPr>
        <w:t xml:space="preserve"> de Consiliul Superior al Magistraturii.</w:t>
      </w:r>
    </w:p>
    <w:p w14:paraId="08C218C1" w14:textId="75ABD0D9" w:rsidR="008E5D04" w:rsidRPr="00564DC7" w:rsidRDefault="006C1588" w:rsidP="00977A0D">
      <w:pPr>
        <w:pStyle w:val="Heading2"/>
        <w:keepLines w:val="0"/>
        <w:spacing w:line="240" w:lineRule="auto"/>
        <w:rPr>
          <w:rFonts w:cstheme="minorHAnsi"/>
          <w:b w:val="0"/>
          <w:color w:val="auto"/>
          <w:lang w:val="ro-RO"/>
        </w:rPr>
      </w:pPr>
      <w:bookmarkStart w:id="83" w:name="_Toc155267886"/>
      <w:r w:rsidRPr="00564DC7">
        <w:rPr>
          <w:rFonts w:cstheme="minorHAnsi"/>
          <w:color w:val="auto"/>
          <w:lang w:val="ro-RO"/>
        </w:rPr>
        <w:t>II.2.</w:t>
      </w:r>
      <w:r w:rsidR="0076628D" w:rsidRPr="00564DC7">
        <w:rPr>
          <w:rFonts w:cstheme="minorHAnsi"/>
          <w:color w:val="auto"/>
          <w:lang w:val="ro-RO"/>
        </w:rPr>
        <w:t xml:space="preserve"> </w:t>
      </w:r>
      <w:r w:rsidRPr="00564DC7">
        <w:rPr>
          <w:rFonts w:cstheme="minorHAnsi"/>
          <w:color w:val="auto"/>
          <w:lang w:val="ro-RO"/>
        </w:rPr>
        <w:t>Organizarea instanţelor judecătoreşti şi a parchetelor</w:t>
      </w:r>
      <w:bookmarkEnd w:id="77"/>
      <w:bookmarkEnd w:id="78"/>
      <w:bookmarkEnd w:id="83"/>
      <w:r w:rsidRPr="00564DC7">
        <w:rPr>
          <w:rFonts w:cstheme="minorHAnsi"/>
          <w:color w:val="auto"/>
          <w:lang w:val="ro-RO"/>
        </w:rPr>
        <w:t xml:space="preserve"> </w:t>
      </w:r>
    </w:p>
    <w:p w14:paraId="483FCB72" w14:textId="5CA6208E" w:rsidR="008E5D04" w:rsidRPr="00564DC7" w:rsidRDefault="008E5D04" w:rsidP="00977A0D">
      <w:pPr>
        <w:pStyle w:val="Heading3"/>
        <w:keepLines w:val="0"/>
        <w:spacing w:line="240" w:lineRule="auto"/>
        <w:rPr>
          <w:rFonts w:eastAsia="Times New Roman" w:cstheme="minorHAnsi"/>
          <w:color w:val="auto"/>
        </w:rPr>
      </w:pPr>
      <w:bookmarkStart w:id="84" w:name="_Toc155267887"/>
      <w:bookmarkStart w:id="85" w:name="_Toc430867115"/>
      <w:r w:rsidRPr="00564DC7">
        <w:rPr>
          <w:rFonts w:eastAsia="Times New Roman" w:cstheme="minorHAnsi"/>
          <w:color w:val="auto"/>
        </w:rPr>
        <w:t>II.2.1. Instanţe</w:t>
      </w:r>
      <w:bookmarkEnd w:id="84"/>
    </w:p>
    <w:p w14:paraId="57260C45" w14:textId="77777777" w:rsidR="00095BA5" w:rsidRPr="00564DC7" w:rsidRDefault="00095BA5" w:rsidP="00977A0D">
      <w:pPr>
        <w:keepNext/>
        <w:ind w:right="-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anul 2023, în baza actualelor prevederi legale în vigoare – Legea nr. 304/2022 privind organizarea judiciară, în vederea eficientizării activităţii instanţelor, Consiliul Superior al </w:t>
      </w:r>
      <w:r w:rsidRPr="00564DC7">
        <w:rPr>
          <w:rFonts w:asciiTheme="minorHAnsi" w:hAnsiTheme="minorHAnsi" w:cstheme="minorHAnsi"/>
          <w:sz w:val="26"/>
          <w:szCs w:val="26"/>
        </w:rPr>
        <w:lastRenderedPageBreak/>
        <w:t>Magistraturii a emis avize conforme pentru transferul temporar al unor posturi de judecător şi a aprobat, potrivit practicii constante, ocuparea de posturi de judecător temporar vacante, în condiţiile art. 147 din Legea nr. 304/2022.</w:t>
      </w:r>
    </w:p>
    <w:p w14:paraId="69B1A448" w14:textId="77777777"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ceea ce privește personalul auxiliar și conex, au fost acordate avizele conforme solicitate pentru transferul unor posturi la nivelul instanțelor judecătorești.</w:t>
      </w:r>
    </w:p>
    <w:p w14:paraId="5EF8499A" w14:textId="1631A26E"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cursul acestui an au fost analizate solicitări formulate de unele instanţe judecătoreşti sau de unităţi teritorial-administrative privind circumscripţiile unor judecătorii, fiind totodată emis avizul prevăzut de dispoziţiile art. 42 alin. (2) din Legea nr. 304/2022 privind organizarea judiciară în ceea ce priveşte proiectul de Hotărâre a Guvernului privind stabilirea localităţilor care fac parte din circumscripţiil</w:t>
      </w:r>
      <w:r w:rsidR="00392E2D">
        <w:rPr>
          <w:rFonts w:asciiTheme="minorHAnsi" w:hAnsiTheme="minorHAnsi" w:cstheme="minorHAnsi"/>
          <w:sz w:val="26"/>
          <w:szCs w:val="26"/>
        </w:rPr>
        <w:t>e</w:t>
      </w:r>
      <w:r w:rsidRPr="00564DC7">
        <w:rPr>
          <w:rFonts w:asciiTheme="minorHAnsi" w:hAnsiTheme="minorHAnsi" w:cstheme="minorHAnsi"/>
          <w:sz w:val="26"/>
          <w:szCs w:val="26"/>
        </w:rPr>
        <w:t xml:space="preserve"> judecătoriilor şi parchetelor de pe lângă acestea.</w:t>
      </w:r>
    </w:p>
    <w:p w14:paraId="762C84EA" w14:textId="77777777"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Nu în ultimul rând, în perioada analizată, la nivelul Consiliului Superior al Magistraturii s-a aprobat, în acord cu prevederile legale în materie, înfiinţarea sau după caz, desfiinţarea de completuri specializate.</w:t>
      </w:r>
    </w:p>
    <w:p w14:paraId="09557356" w14:textId="24F3FB66" w:rsidR="008E5D04"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De asemenea, în ședința </w:t>
      </w:r>
      <w:r w:rsidRPr="00564DC7">
        <w:rPr>
          <w:rFonts w:asciiTheme="minorHAnsi" w:hAnsiTheme="minorHAnsi" w:cstheme="minorHAnsi"/>
          <w:i/>
          <w:sz w:val="26"/>
          <w:szCs w:val="26"/>
        </w:rPr>
        <w:t>Comisiei nr. 2 – Reunită – Resurse umane și organizare</w:t>
      </w:r>
      <w:r w:rsidRPr="00564DC7">
        <w:rPr>
          <w:rFonts w:asciiTheme="minorHAnsi" w:hAnsiTheme="minorHAnsi" w:cstheme="minorHAnsi"/>
          <w:sz w:val="26"/>
          <w:szCs w:val="26"/>
        </w:rPr>
        <w:t xml:space="preserve"> din data de 9 mai 2023 s-a dispus, printre altele, constituirea grupului de lucru interinstituțional pentru elaborarea unei strategii de resurse umane, în acord cu </w:t>
      </w:r>
      <w:r w:rsidRPr="00564DC7">
        <w:rPr>
          <w:rFonts w:asciiTheme="minorHAnsi" w:hAnsiTheme="minorHAnsi" w:cstheme="minorHAnsi"/>
          <w:i/>
          <w:sz w:val="26"/>
          <w:szCs w:val="26"/>
        </w:rPr>
        <w:t>Obiectivul specific 3.7. din Strategia pentru dezvoltarea sistemului judiciar (SDSJ) 2022-2025</w:t>
      </w:r>
      <w:r w:rsidRPr="00564DC7">
        <w:rPr>
          <w:rFonts w:asciiTheme="minorHAnsi" w:hAnsiTheme="minorHAnsi" w:cstheme="minorHAnsi"/>
          <w:sz w:val="26"/>
          <w:szCs w:val="26"/>
        </w:rPr>
        <w:t xml:space="preserve"> și din </w:t>
      </w:r>
      <w:r w:rsidRPr="00564DC7">
        <w:rPr>
          <w:rFonts w:asciiTheme="minorHAnsi" w:hAnsiTheme="minorHAnsi" w:cstheme="minorHAnsi"/>
          <w:i/>
          <w:sz w:val="26"/>
          <w:szCs w:val="26"/>
        </w:rPr>
        <w:t>Planul de activitate aferent acesteia (PASDSJ)</w:t>
      </w:r>
      <w:r w:rsidRPr="00564DC7">
        <w:rPr>
          <w:rFonts w:asciiTheme="minorHAnsi" w:hAnsiTheme="minorHAnsi" w:cstheme="minorHAnsi"/>
          <w:sz w:val="26"/>
          <w:szCs w:val="26"/>
        </w:rPr>
        <w:t xml:space="preserve">, precum și </w:t>
      </w:r>
      <w:r w:rsidRPr="00564DC7">
        <w:rPr>
          <w:rFonts w:asciiTheme="minorHAnsi" w:hAnsiTheme="minorHAnsi" w:cstheme="minorHAnsi"/>
          <w:bCs/>
          <w:sz w:val="26"/>
          <w:szCs w:val="26"/>
        </w:rPr>
        <w:t xml:space="preserve">cu măsurile agreate în cadrul ședinței </w:t>
      </w:r>
      <w:r w:rsidRPr="00564DC7">
        <w:rPr>
          <w:rFonts w:asciiTheme="minorHAnsi" w:hAnsiTheme="minorHAnsi" w:cstheme="minorHAnsi"/>
          <w:sz w:val="26"/>
          <w:szCs w:val="26"/>
        </w:rPr>
        <w:t xml:space="preserve">Consiliului de Management Strategic din data de 27 aprilie 2023, vizând </w:t>
      </w:r>
      <w:r w:rsidRPr="00564DC7">
        <w:rPr>
          <w:rFonts w:asciiTheme="minorHAnsi" w:hAnsiTheme="minorHAnsi" w:cstheme="minorHAnsi"/>
          <w:bCs/>
          <w:iCs/>
          <w:sz w:val="26"/>
          <w:szCs w:val="26"/>
        </w:rPr>
        <w:t xml:space="preserve">elaborarea unui studiu/concept privind o nouă hartă a instanțelor și parchetelor, precum și a unei strategii de resurse umane pe termen lung, </w:t>
      </w:r>
      <w:r w:rsidRPr="00564DC7">
        <w:rPr>
          <w:rFonts w:asciiTheme="minorHAnsi" w:hAnsiTheme="minorHAnsi" w:cstheme="minorHAnsi"/>
          <w:sz w:val="26"/>
          <w:szCs w:val="26"/>
        </w:rPr>
        <w:t>inclusiv din perspectiva elementelor de dinamică demografică și de dezvoltare economică a regiunilor pentru a aborda vulnerabilitatea constând în deficitul de resurse umane din sistemul judiciar.</w:t>
      </w:r>
    </w:p>
    <w:p w14:paraId="77D5A094" w14:textId="069AE477" w:rsidR="008E5D04" w:rsidRPr="00564DC7" w:rsidRDefault="008E5D04" w:rsidP="00690186">
      <w:pPr>
        <w:pStyle w:val="Heading3"/>
        <w:spacing w:line="240" w:lineRule="auto"/>
        <w:rPr>
          <w:rFonts w:eastAsia="Times New Roman" w:cstheme="minorHAnsi"/>
          <w:color w:val="auto"/>
        </w:rPr>
      </w:pPr>
      <w:bookmarkStart w:id="86" w:name="_Toc155267888"/>
      <w:r w:rsidRPr="00564DC7">
        <w:rPr>
          <w:rFonts w:eastAsia="Times New Roman" w:cstheme="minorHAnsi"/>
          <w:color w:val="auto"/>
        </w:rPr>
        <w:t>II.2.2. Parchete</w:t>
      </w:r>
      <w:bookmarkEnd w:id="86"/>
    </w:p>
    <w:p w14:paraId="384BFBFC" w14:textId="77777777" w:rsidR="00095BA5" w:rsidRPr="00564DC7" w:rsidRDefault="00095BA5"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Prin Hotărârea Secției pentru procurori nr. 996/12.07.2023 a fost avizat favorabil proiectul de Hotărâre a Guvernului pentru modificarea și completarea Hotărârii Guvernului nr.652/2009 privind organizarea și funcționarea Ministerului Justiției, precum și suplimentarea numărului maxim de posturi prevăzut pentru Direcția Națională Anticorupție.</w:t>
      </w:r>
    </w:p>
    <w:p w14:paraId="560ECDA9" w14:textId="3A40D3FB" w:rsidR="00095BA5" w:rsidRPr="00564DC7" w:rsidRDefault="00095BA5"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Totodată,</w:t>
      </w:r>
      <w:r w:rsidR="00392E2D">
        <w:rPr>
          <w:rFonts w:asciiTheme="minorHAnsi" w:hAnsiTheme="minorHAnsi" w:cstheme="minorHAnsi"/>
          <w:sz w:val="26"/>
          <w:szCs w:val="26"/>
        </w:rPr>
        <w:t xml:space="preserve"> </w:t>
      </w:r>
      <w:r w:rsidRPr="00564DC7">
        <w:rPr>
          <w:rFonts w:asciiTheme="minorHAnsi" w:hAnsiTheme="minorHAnsi" w:cstheme="minorHAnsi"/>
          <w:sz w:val="26"/>
          <w:szCs w:val="26"/>
        </w:rPr>
        <w:t xml:space="preserve">prin Hotărârea Secției pentru procurori din cadrul Consiliului Superior al Magistraturii nr. 1068/03.08.2023, s-a acordat avizul conform pentru majorarea schemei de personal al Direcției Naționale Anticorupție cu 8 posturi de personal economic și administrativ. </w:t>
      </w:r>
    </w:p>
    <w:p w14:paraId="10F4A171" w14:textId="77777777" w:rsidR="00095BA5" w:rsidRPr="00564DC7" w:rsidRDefault="00095BA5"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Prin Hotărârea Secției pentru procurori din cadrul Consiliului Superior al Magistraturii nr. 1146/20.09.2023 s-a avizat favorabil proiectul de hotărâre a Guvernului privind suplimentarea numărului maxim de posturi pentru Direcția Națională Anticorupție pentru Structura de sprijin a procurorilor europeni delegați în România, cu 5 posturi de ofițeri de poliție judiciară și un post de grefier. Ulterior, prin Hotărârea Secției pentru procurori din cadrul Consiliului Superior al Magistraturii nr. 1343/24.10.2023, a fost acordat avizul conform pentru suplimentarea numărului maxim de posturi pentru Direcția Națională Anticorupție pentru Structura de sprijin a procurorilor europeni delegați în România.</w:t>
      </w:r>
    </w:p>
    <w:p w14:paraId="65CEE4FB" w14:textId="0DE3F570" w:rsidR="00095BA5" w:rsidRPr="00564DC7" w:rsidRDefault="00095BA5"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De asemenea, prin Hotărârea Secției pentru procurori nr. 1170 din 03.10.2023</w:t>
      </w:r>
      <w:r w:rsidR="007E3A56">
        <w:rPr>
          <w:rFonts w:asciiTheme="minorHAnsi" w:hAnsiTheme="minorHAnsi" w:cstheme="minorHAnsi"/>
          <w:sz w:val="26"/>
          <w:szCs w:val="26"/>
        </w:rPr>
        <w:t>,</w:t>
      </w:r>
      <w:r w:rsidRPr="00564DC7">
        <w:rPr>
          <w:rFonts w:asciiTheme="minorHAnsi" w:hAnsiTheme="minorHAnsi" w:cstheme="minorHAnsi"/>
          <w:sz w:val="26"/>
          <w:szCs w:val="26"/>
        </w:rPr>
        <w:t xml:space="preserve"> s-a avizat proiectul de hotărâre de Guvern pentru suplimentarea numărului maxim de procurori pentru Direcți</w:t>
      </w:r>
      <w:r w:rsidR="007E3A56">
        <w:rPr>
          <w:rFonts w:asciiTheme="minorHAnsi" w:hAnsiTheme="minorHAnsi" w:cstheme="minorHAnsi"/>
          <w:sz w:val="26"/>
          <w:szCs w:val="26"/>
        </w:rPr>
        <w:t>a</w:t>
      </w:r>
      <w:r w:rsidRPr="00564DC7">
        <w:rPr>
          <w:rFonts w:asciiTheme="minorHAnsi" w:hAnsiTheme="minorHAnsi" w:cstheme="minorHAnsi"/>
          <w:sz w:val="26"/>
          <w:szCs w:val="26"/>
        </w:rPr>
        <w:t xml:space="preserve"> de Investigare a Infracțiunilor de Criminalitate Organizată și Terorism cu un număr de 25 de posturi de procuror, </w:t>
      </w:r>
      <w:r w:rsidRPr="00564DC7">
        <w:rPr>
          <w:rFonts w:asciiTheme="minorHAnsi" w:hAnsiTheme="minorHAnsi" w:cstheme="minorHAnsi"/>
          <w:sz w:val="26"/>
          <w:szCs w:val="26"/>
          <w:shd w:val="clear" w:color="auto" w:fill="FFFFFF"/>
        </w:rPr>
        <w:t xml:space="preserve">de la 310 posturi la 335 de posturi, </w:t>
      </w:r>
      <w:r w:rsidRPr="00564DC7">
        <w:rPr>
          <w:rFonts w:asciiTheme="minorHAnsi" w:hAnsiTheme="minorHAnsi" w:cstheme="minorHAnsi"/>
          <w:sz w:val="26"/>
          <w:szCs w:val="26"/>
        </w:rPr>
        <w:t>40 de funcții de grefieri și 27 de posturi de personal economic și administrativ</w:t>
      </w:r>
      <w:r w:rsidRPr="00564DC7">
        <w:rPr>
          <w:rFonts w:asciiTheme="minorHAnsi" w:hAnsiTheme="minorHAnsi" w:cstheme="minorHAnsi"/>
          <w:sz w:val="26"/>
          <w:szCs w:val="26"/>
          <w:shd w:val="clear" w:color="auto" w:fill="FFFFFF"/>
        </w:rPr>
        <w:t>,.</w:t>
      </w:r>
    </w:p>
    <w:p w14:paraId="2442DAB0" w14:textId="64110C30" w:rsidR="008E5D04" w:rsidRPr="00564DC7" w:rsidRDefault="00095BA5"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Ministrul Justiție</w:t>
      </w:r>
      <w:r w:rsidR="00392E2D">
        <w:rPr>
          <w:rFonts w:asciiTheme="minorHAnsi" w:hAnsiTheme="minorHAnsi" w:cstheme="minorHAnsi"/>
          <w:sz w:val="26"/>
          <w:szCs w:val="26"/>
        </w:rPr>
        <w:t>i</w:t>
      </w:r>
      <w:r w:rsidRPr="00564DC7">
        <w:rPr>
          <w:rFonts w:asciiTheme="minorHAnsi" w:hAnsiTheme="minorHAnsi" w:cstheme="minorHAnsi"/>
          <w:sz w:val="26"/>
          <w:szCs w:val="26"/>
        </w:rPr>
        <w:t xml:space="preserve"> a emis ordinul nr. 1764/C din data de 21.09.2023 prin care a fost aprobat statul de funcții și de personal al Parchetului de pe lângă Înalta Curte de Casație și Justiție.</w:t>
      </w:r>
    </w:p>
    <w:p w14:paraId="6059BB3B" w14:textId="5B7818B4" w:rsidR="006C1588" w:rsidRPr="00564DC7" w:rsidRDefault="006C1588" w:rsidP="00690186">
      <w:pPr>
        <w:pStyle w:val="Heading2"/>
        <w:keepLines w:val="0"/>
        <w:suppressLineNumbers/>
        <w:suppressAutoHyphens/>
        <w:spacing w:line="240" w:lineRule="auto"/>
        <w:jc w:val="both"/>
        <w:rPr>
          <w:rFonts w:cstheme="minorHAnsi"/>
          <w:b w:val="0"/>
          <w:color w:val="auto"/>
          <w:lang w:val="ro-RO"/>
        </w:rPr>
      </w:pPr>
      <w:bookmarkStart w:id="87" w:name="_Toc155267889"/>
      <w:r w:rsidRPr="00564DC7">
        <w:rPr>
          <w:rFonts w:cstheme="minorHAnsi"/>
          <w:color w:val="auto"/>
          <w:lang w:val="ro-RO"/>
        </w:rPr>
        <w:t>II.3.</w:t>
      </w:r>
      <w:r w:rsidR="0076628D" w:rsidRPr="00564DC7">
        <w:rPr>
          <w:rFonts w:cstheme="minorHAnsi"/>
          <w:color w:val="auto"/>
          <w:lang w:val="ro-RO"/>
        </w:rPr>
        <w:t xml:space="preserve"> </w:t>
      </w:r>
      <w:r w:rsidRPr="00564DC7">
        <w:rPr>
          <w:rFonts w:cstheme="minorHAnsi"/>
          <w:color w:val="auto"/>
          <w:lang w:val="ro-RO"/>
        </w:rPr>
        <w:t>Activitatea în domeniul formării profesionale a magistraţilor şi a personalului auxiliar</w:t>
      </w:r>
      <w:bookmarkEnd w:id="85"/>
      <w:bookmarkEnd w:id="87"/>
      <w:r w:rsidRPr="00564DC7">
        <w:rPr>
          <w:rFonts w:cstheme="minorHAnsi"/>
          <w:color w:val="auto"/>
          <w:lang w:val="ro-RO"/>
        </w:rPr>
        <w:t xml:space="preserve"> </w:t>
      </w:r>
    </w:p>
    <w:p w14:paraId="35C9F601" w14:textId="77777777" w:rsidR="00095BA5" w:rsidRPr="00564DC7" w:rsidRDefault="00095BA5" w:rsidP="00690186">
      <w:pPr>
        <w:widowControl w:val="0"/>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Formarea profesională a magistraţilor şi a personalului auxiliar de specialitate al instanţelor </w:t>
      </w:r>
      <w:r w:rsidRPr="00564DC7">
        <w:rPr>
          <w:rFonts w:asciiTheme="minorHAnsi" w:hAnsiTheme="minorHAnsi" w:cstheme="minorHAnsi"/>
          <w:sz w:val="26"/>
          <w:szCs w:val="26"/>
        </w:rPr>
        <w:lastRenderedPageBreak/>
        <w:t xml:space="preserve">judecătoreşti şi al parchetelor de pe lângă acestea este o activitate gestionată, la nivelul Consiliului Superior al Magistraturii, de către Biroul formare profesională. </w:t>
      </w:r>
    </w:p>
    <w:p w14:paraId="1FEF5C68" w14:textId="77777777" w:rsidR="00095BA5" w:rsidRPr="00564DC7" w:rsidRDefault="00095BA5" w:rsidP="00690186">
      <w:pPr>
        <w:keepNext/>
        <w:keepLines/>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Atribuțiile de formare profesională exercitate în cadrul Biroului formare profesională sunt reglementate la art. 88 lit. a) – p) din </w:t>
      </w:r>
      <w:r w:rsidRPr="00564DC7">
        <w:rPr>
          <w:rFonts w:asciiTheme="minorHAnsi" w:hAnsiTheme="minorHAnsi" w:cstheme="minorHAnsi"/>
          <w:i/>
          <w:sz w:val="26"/>
          <w:szCs w:val="26"/>
        </w:rPr>
        <w:t>Regulamentul de organizare și funcționare a Consiliului Superior al Magistraturii</w:t>
      </w:r>
      <w:r w:rsidRPr="00564DC7">
        <w:rPr>
          <w:rFonts w:asciiTheme="minorHAnsi" w:hAnsiTheme="minorHAnsi" w:cstheme="minorHAnsi"/>
          <w:sz w:val="26"/>
          <w:szCs w:val="26"/>
        </w:rPr>
        <w:t xml:space="preserve"> aprobat prin Hotărârea Plenului CSM nr. 122/2023.</w:t>
      </w:r>
    </w:p>
    <w:p w14:paraId="3CB8C5AB" w14:textId="4F3F7E8A" w:rsidR="00095BA5" w:rsidRPr="00564DC7" w:rsidRDefault="00095BA5" w:rsidP="00690186">
      <w:pPr>
        <w:ind w:right="43"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Sub aspectul activității desfăşurate de acest birou, menţionăm că, în perioada de referinţă, au fost întocmite circa </w:t>
      </w:r>
      <w:r w:rsidR="007A42F9">
        <w:rPr>
          <w:rFonts w:asciiTheme="minorHAnsi" w:hAnsiTheme="minorHAnsi" w:cstheme="minorHAnsi"/>
          <w:sz w:val="26"/>
          <w:szCs w:val="26"/>
        </w:rPr>
        <w:t>141</w:t>
      </w:r>
      <w:r w:rsidRPr="00564DC7">
        <w:rPr>
          <w:rFonts w:asciiTheme="minorHAnsi" w:hAnsiTheme="minorHAnsi" w:cstheme="minorHAnsi"/>
          <w:sz w:val="26"/>
          <w:szCs w:val="26"/>
        </w:rPr>
        <w:t xml:space="preserve"> de lucrări în domeniul formării profesionale, din care 6</w:t>
      </w:r>
      <w:r w:rsidR="007A42F9">
        <w:rPr>
          <w:rFonts w:asciiTheme="minorHAnsi" w:hAnsiTheme="minorHAnsi" w:cstheme="minorHAnsi"/>
          <w:sz w:val="26"/>
          <w:szCs w:val="26"/>
        </w:rPr>
        <w:t>7</w:t>
      </w:r>
      <w:r w:rsidRPr="00564DC7">
        <w:rPr>
          <w:rFonts w:asciiTheme="minorHAnsi" w:hAnsiTheme="minorHAnsi" w:cstheme="minorHAnsi"/>
          <w:sz w:val="26"/>
          <w:szCs w:val="26"/>
        </w:rPr>
        <w:t xml:space="preserve"> au fost înaintate, spre soluționare, Plenului Consiliului Superior al Magistraturii, 3 au fost înaintate Secțiilor corespunzătoare și 5 au fost înaintate către comisiile constituite la nivelul Consiliului Superior al Magistraturii.</w:t>
      </w:r>
    </w:p>
    <w:p w14:paraId="1783FA54" w14:textId="77777777" w:rsidR="00095BA5" w:rsidRPr="00564DC7" w:rsidRDefault="00095BA5" w:rsidP="00690186">
      <w:pPr>
        <w:ind w:right="43" w:firstLine="709"/>
        <w:jc w:val="both"/>
        <w:rPr>
          <w:rFonts w:asciiTheme="minorHAnsi" w:hAnsiTheme="minorHAnsi" w:cstheme="minorHAnsi"/>
          <w:sz w:val="26"/>
          <w:szCs w:val="26"/>
        </w:rPr>
      </w:pPr>
      <w:r w:rsidRPr="00564DC7">
        <w:rPr>
          <w:rFonts w:asciiTheme="minorHAnsi" w:hAnsiTheme="minorHAnsi" w:cstheme="minorHAnsi"/>
          <w:sz w:val="26"/>
          <w:szCs w:val="26"/>
        </w:rPr>
        <w:t>La nivelul biroului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Institutului Naţional al Magistraturii și Școlii Naționale de Grefieri (pentru încetarea calității de formator/coordonator de practică, respectiv suspendarea din aceste calități sau pentru numirea de formatori - formatori cu normă întreagă, formatori colaboratori, formatori folosiți în mod excepțional, coordonatori de practică).</w:t>
      </w:r>
    </w:p>
    <w:p w14:paraId="3D272DC0" w14:textId="77777777" w:rsidR="00095BA5" w:rsidRPr="00564DC7" w:rsidRDefault="00095BA5" w:rsidP="00690186">
      <w:pPr>
        <w:ind w:right="43" w:firstLine="709"/>
        <w:jc w:val="both"/>
        <w:rPr>
          <w:rFonts w:asciiTheme="minorHAnsi" w:hAnsiTheme="minorHAnsi" w:cstheme="minorHAnsi"/>
          <w:sz w:val="26"/>
          <w:szCs w:val="26"/>
        </w:rPr>
      </w:pPr>
      <w:r w:rsidRPr="00564DC7">
        <w:rPr>
          <w:rFonts w:asciiTheme="minorHAnsi" w:hAnsiTheme="minorHAnsi" w:cstheme="minorHAnsi"/>
          <w:sz w:val="26"/>
          <w:szCs w:val="26"/>
        </w:rPr>
        <w:t>La data de 24 martie 2023, în conformitate cu</w:t>
      </w:r>
      <w:r w:rsidRPr="00564DC7">
        <w:rPr>
          <w:rFonts w:asciiTheme="minorHAnsi" w:hAnsiTheme="minorHAnsi" w:cstheme="minorHAnsi"/>
          <w:i/>
          <w:sz w:val="26"/>
          <w:szCs w:val="26"/>
        </w:rPr>
        <w:t xml:space="preserve"> art. 116 din </w:t>
      </w:r>
      <w:r w:rsidRPr="00564DC7">
        <w:rPr>
          <w:rFonts w:asciiTheme="minorHAnsi" w:hAnsiTheme="minorHAnsi" w:cstheme="minorHAnsi"/>
          <w:i/>
          <w:iCs/>
          <w:sz w:val="26"/>
          <w:szCs w:val="26"/>
        </w:rPr>
        <w:t>Legea nr. 304/2022 privind organizarea judiciară</w:t>
      </w:r>
      <w:r w:rsidRPr="00564DC7">
        <w:rPr>
          <w:rFonts w:asciiTheme="minorHAnsi" w:hAnsiTheme="minorHAnsi" w:cstheme="minorHAnsi"/>
          <w:sz w:val="26"/>
          <w:szCs w:val="26"/>
        </w:rPr>
        <w:t>, a fost declanşată procedura pentru ocuparea funcției de director al Institutului Național al Magistraturii, funcţie care s-a vacantat la data de 29 martie 2023.</w:t>
      </w:r>
    </w:p>
    <w:p w14:paraId="2312F24C" w14:textId="77777777" w:rsidR="00095BA5" w:rsidRPr="00564DC7" w:rsidRDefault="00095BA5" w:rsidP="00690186">
      <w:pPr>
        <w:shd w:val="clear" w:color="auto" w:fill="FFFFFF"/>
        <w:ind w:firstLine="709"/>
        <w:jc w:val="both"/>
        <w:rPr>
          <w:rFonts w:asciiTheme="minorHAnsi" w:hAnsiTheme="minorHAnsi" w:cstheme="minorHAnsi"/>
          <w:sz w:val="26"/>
          <w:szCs w:val="26"/>
          <w:u w:val="single"/>
        </w:rPr>
      </w:pPr>
      <w:r w:rsidRPr="00564DC7">
        <w:rPr>
          <w:rFonts w:asciiTheme="minorHAnsi" w:hAnsiTheme="minorHAnsi" w:cstheme="minorHAnsi"/>
          <w:bCs/>
          <w:iCs/>
          <w:sz w:val="26"/>
          <w:szCs w:val="26"/>
        </w:rPr>
        <w:t xml:space="preserve">Ca urmare a acestei proceduri, pentru funcţia de director al </w:t>
      </w:r>
      <w:r w:rsidRPr="00564DC7">
        <w:rPr>
          <w:rFonts w:asciiTheme="minorHAnsi" w:hAnsiTheme="minorHAnsi" w:cstheme="minorHAnsi"/>
          <w:sz w:val="26"/>
          <w:szCs w:val="26"/>
        </w:rPr>
        <w:t>Institutului Național al Magistraturii</w:t>
      </w:r>
      <w:r w:rsidRPr="00564DC7">
        <w:rPr>
          <w:rFonts w:asciiTheme="minorHAnsi" w:hAnsiTheme="minorHAnsi" w:cstheme="minorHAnsi"/>
          <w:bCs/>
          <w:iCs/>
          <w:sz w:val="26"/>
          <w:szCs w:val="26"/>
        </w:rPr>
        <w:t>, a fost înregistrată la Consiliul Superior al Magistraturii candidatura doamnei Simona-Camelia MARCU, judecător în cadrul Înaltei Curţi de Casaţie şi Justiţie.</w:t>
      </w:r>
    </w:p>
    <w:p w14:paraId="28E61564" w14:textId="77777777" w:rsidR="00095BA5" w:rsidRDefault="00095BA5" w:rsidP="00690186">
      <w:pPr>
        <w:ind w:firstLine="709"/>
        <w:jc w:val="both"/>
        <w:rPr>
          <w:rStyle w:val="markedcontent"/>
          <w:rFonts w:asciiTheme="minorHAnsi" w:hAnsiTheme="minorHAnsi" w:cstheme="minorHAnsi"/>
          <w:sz w:val="26"/>
          <w:szCs w:val="26"/>
        </w:rPr>
      </w:pPr>
      <w:r w:rsidRPr="00564DC7">
        <w:rPr>
          <w:rFonts w:asciiTheme="minorHAnsi" w:hAnsiTheme="minorHAnsi" w:cstheme="minorHAnsi"/>
          <w:sz w:val="26"/>
          <w:szCs w:val="26"/>
        </w:rPr>
        <w:t xml:space="preserve">Prin Hotărârea nr. 75 din data de 04 mai 2023, Plenul Consiliului Superior al Magistraturii </w:t>
      </w:r>
      <w:r w:rsidRPr="00564DC7">
        <w:rPr>
          <w:rStyle w:val="markedcontent"/>
          <w:rFonts w:asciiTheme="minorHAnsi" w:hAnsiTheme="minorHAnsi" w:cstheme="minorHAnsi"/>
          <w:sz w:val="26"/>
          <w:szCs w:val="26"/>
        </w:rPr>
        <w:t xml:space="preserve">a hotărât numirea doamnei </w:t>
      </w:r>
      <w:r w:rsidRPr="00564DC7">
        <w:rPr>
          <w:rFonts w:asciiTheme="minorHAnsi" w:hAnsiTheme="minorHAnsi" w:cstheme="minorHAnsi"/>
          <w:bCs/>
          <w:iCs/>
          <w:sz w:val="26"/>
          <w:szCs w:val="26"/>
        </w:rPr>
        <w:t xml:space="preserve">doamnei Simona-Camelia Marcu, judecător în cadrul Înaltei Curţi de Casaţie şi Justiţie, în funcţia de director al </w:t>
      </w:r>
      <w:r w:rsidRPr="00564DC7">
        <w:rPr>
          <w:rFonts w:asciiTheme="minorHAnsi" w:hAnsiTheme="minorHAnsi" w:cstheme="minorHAnsi"/>
          <w:sz w:val="26"/>
          <w:szCs w:val="26"/>
        </w:rPr>
        <w:t>Institutului Național al Magistraturii</w:t>
      </w:r>
      <w:r w:rsidRPr="00564DC7">
        <w:rPr>
          <w:rFonts w:asciiTheme="minorHAnsi" w:hAnsiTheme="minorHAnsi" w:cstheme="minorHAnsi"/>
          <w:bCs/>
          <w:iCs/>
          <w:sz w:val="26"/>
          <w:szCs w:val="26"/>
        </w:rPr>
        <w:t>, pentru un mandat de 3 ani</w:t>
      </w:r>
      <w:r w:rsidRPr="00564DC7">
        <w:rPr>
          <w:rStyle w:val="markedcontent"/>
          <w:rFonts w:asciiTheme="minorHAnsi" w:hAnsiTheme="minorHAnsi" w:cstheme="minorHAnsi"/>
          <w:sz w:val="26"/>
          <w:szCs w:val="26"/>
        </w:rPr>
        <w:t xml:space="preserve">. </w:t>
      </w:r>
    </w:p>
    <w:p w14:paraId="5A59AAA9" w14:textId="3E2F7B36" w:rsidR="007A42F9" w:rsidRPr="00564DC7" w:rsidRDefault="007A42F9" w:rsidP="007A42F9">
      <w:pPr>
        <w:ind w:firstLine="706"/>
        <w:jc w:val="both"/>
        <w:rPr>
          <w:rStyle w:val="markedcontent"/>
          <w:rFonts w:asciiTheme="minorHAnsi" w:hAnsiTheme="minorHAnsi" w:cstheme="minorHAnsi"/>
          <w:sz w:val="26"/>
          <w:szCs w:val="26"/>
        </w:rPr>
      </w:pPr>
      <w:r w:rsidRPr="007A42F9">
        <w:rPr>
          <w:rStyle w:val="markedcontent"/>
          <w:rFonts w:asciiTheme="minorHAnsi" w:hAnsiTheme="minorHAnsi" w:cstheme="minorHAnsi"/>
          <w:sz w:val="26"/>
          <w:szCs w:val="26"/>
        </w:rPr>
        <w:t>De asemenea, ca urmare a vacantării funcției de director adjunct al Şcolii Naţionale de Grefieri, urmare a eliberării din funcţia de judecător, prin pensionare, a domnului Mihai-Daniel ONIȘOR, prin Hotărârea nr. 171 din data de 12 decembrie 2023, Plenul Consiliului Superior al Magistraturii a hotărât delegarea în funcţia de director adjunct al Şcolii Naţionale de Grefieri, responsabil cu formarea continuă, pentru o perioadă de 3 luni, începând cu data de 13.12.2023, a doamnei Oana-Daniela POGORAN, judecător în cadrul Curţii de Apel Bucureşti.</w:t>
      </w:r>
    </w:p>
    <w:p w14:paraId="1DCF779E" w14:textId="77777777"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Cu privire la formarea profesională a aparatului tehnic al Consiliului Superior al Magistraturii  a fost întocmit și aprobat Planul anual de formare, în concordanță cu Strategia de dezvoltare profesională elaborată în cadrul proiectului „Consolidarea capacității organizaționale și administrative a Consiliului Superior al Magistraturii” COD SIPOCA 760/MYSMIS 135225. Astfel, până la data întocmirii prezentului raport, au participat la cursurile de formare profesională organizate în cadrul proiectului 78 de persoane – judecători detașați, procurori detașați, funcționari publici și personal contractual care își desfășoară activitatea în aparatul propriu al Consiliului. </w:t>
      </w:r>
    </w:p>
    <w:p w14:paraId="3B2CBD85" w14:textId="77777777"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De asemenea, tot în cursul anului 2023 au fost declanșate procedurile de numire, în calitate de membru în Consiliul științific al Institutului Naţional al Magistraturii, a câte unui reprezentant din partea Înaltei Curţi de Casaţie şi Justiţie, a Curţii de Apel Bucureşti, respectiv din partea asociațiilor profesionale legal constituite ale judecătorilor și procurorilor.</w:t>
      </w:r>
    </w:p>
    <w:p w14:paraId="3E6F57FB" w14:textId="1FF6F189"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Astfel, prin Hotărârea nr. 48 din 23 martie 2023, Plenul Consiliului Superior al Magistraturii </w:t>
      </w:r>
      <w:r w:rsidRPr="00564DC7">
        <w:rPr>
          <w:rStyle w:val="markedcontent"/>
          <w:rFonts w:asciiTheme="minorHAnsi" w:hAnsiTheme="minorHAnsi" w:cstheme="minorHAnsi"/>
          <w:sz w:val="26"/>
          <w:szCs w:val="26"/>
        </w:rPr>
        <w:t>a hotărât numirea</w:t>
      </w:r>
      <w:r w:rsidRPr="00564DC7">
        <w:rPr>
          <w:rFonts w:asciiTheme="minorHAnsi" w:hAnsiTheme="minorHAnsi" w:cstheme="minorHAnsi"/>
          <w:sz w:val="26"/>
          <w:szCs w:val="26"/>
        </w:rPr>
        <w:t xml:space="preserve"> doamn</w:t>
      </w:r>
      <w:r w:rsidR="00392E2D">
        <w:rPr>
          <w:rFonts w:asciiTheme="minorHAnsi" w:hAnsiTheme="minorHAnsi" w:cstheme="minorHAnsi"/>
          <w:sz w:val="26"/>
          <w:szCs w:val="26"/>
        </w:rPr>
        <w:t>ei</w:t>
      </w:r>
      <w:r w:rsidRPr="00564DC7">
        <w:rPr>
          <w:rFonts w:asciiTheme="minorHAnsi" w:hAnsiTheme="minorHAnsi" w:cstheme="minorHAnsi"/>
          <w:sz w:val="26"/>
          <w:szCs w:val="26"/>
        </w:rPr>
        <w:t xml:space="preserve"> judecător Ana-Maria Ganu, vicepreşedinte al Curţii de Apel Bucureşti, </w:t>
      </w:r>
      <w:r w:rsidRPr="00564DC7">
        <w:rPr>
          <w:rFonts w:asciiTheme="minorHAnsi" w:hAnsiTheme="minorHAnsi" w:cstheme="minorHAnsi"/>
          <w:sz w:val="26"/>
          <w:szCs w:val="26"/>
        </w:rPr>
        <w:lastRenderedPageBreak/>
        <w:t>în calitate de reprezentant al Curții de Apel București în Consiliul ştiinţific al Institutului Naţional al Magistraturii. Pentru ce</w:t>
      </w:r>
      <w:r w:rsidR="007E3A56">
        <w:rPr>
          <w:rFonts w:asciiTheme="minorHAnsi" w:hAnsiTheme="minorHAnsi" w:cstheme="minorHAnsi"/>
          <w:sz w:val="26"/>
          <w:szCs w:val="26"/>
        </w:rPr>
        <w:t>ilalți</w:t>
      </w:r>
      <w:r w:rsidRPr="00564DC7">
        <w:rPr>
          <w:rFonts w:asciiTheme="minorHAnsi" w:hAnsiTheme="minorHAnsi" w:cstheme="minorHAnsi"/>
          <w:sz w:val="26"/>
          <w:szCs w:val="26"/>
        </w:rPr>
        <w:t xml:space="preserve"> doi membri, procedurile sunt în desfăşurare.</w:t>
      </w:r>
    </w:p>
    <w:p w14:paraId="508F08A8" w14:textId="77777777" w:rsidR="00095BA5"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 fost asigurată prezenţa la ședințele Consiliului de conducere al Școlii Naționale de Grefieri și au fost întocmite lucrările necesare pentru repartiția judecătorilor  şi procurorilor stagiari care au promovat examenul de capacitate și cele referitoare la repartizarea pe posturi a absolvenţilor Şcolii Naţionale de Grefieri.</w:t>
      </w:r>
    </w:p>
    <w:p w14:paraId="5F550ABD" w14:textId="28813EC2" w:rsidR="00AA0999" w:rsidRPr="00564DC7" w:rsidRDefault="00095BA5"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De asemenea, a fost asigurat suportul necesar pentru desfășurarea stagiilor de practică ale studenților de la facultățile de drept din cadrul Universității din București, a Universității „Nicolae Titulescu” București</w:t>
      </w:r>
      <w:r w:rsidR="00392E2D">
        <w:rPr>
          <w:rFonts w:asciiTheme="minorHAnsi" w:hAnsiTheme="minorHAnsi" w:cstheme="minorHAnsi"/>
          <w:sz w:val="26"/>
          <w:szCs w:val="26"/>
        </w:rPr>
        <w:t xml:space="preserve">, Universității </w:t>
      </w:r>
      <w:r w:rsidR="00392E2D" w:rsidRPr="00564DC7">
        <w:rPr>
          <w:rFonts w:asciiTheme="minorHAnsi" w:hAnsiTheme="minorHAnsi" w:cstheme="minorHAnsi"/>
          <w:sz w:val="26"/>
          <w:szCs w:val="26"/>
        </w:rPr>
        <w:t>„</w:t>
      </w:r>
      <w:r w:rsidR="00392E2D">
        <w:rPr>
          <w:rFonts w:asciiTheme="minorHAnsi" w:hAnsiTheme="minorHAnsi" w:cstheme="minorHAnsi"/>
          <w:sz w:val="26"/>
          <w:szCs w:val="26"/>
        </w:rPr>
        <w:t>Titu Maiorescu</w:t>
      </w:r>
      <w:r w:rsidR="00392E2D" w:rsidRPr="00564DC7">
        <w:rPr>
          <w:rFonts w:asciiTheme="minorHAnsi" w:hAnsiTheme="minorHAnsi" w:cstheme="minorHAnsi"/>
          <w:sz w:val="26"/>
          <w:szCs w:val="26"/>
        </w:rPr>
        <w:t>” București</w:t>
      </w:r>
      <w:r w:rsidRPr="00564DC7">
        <w:rPr>
          <w:rFonts w:asciiTheme="minorHAnsi" w:hAnsiTheme="minorHAnsi" w:cstheme="minorHAnsi"/>
          <w:sz w:val="26"/>
          <w:szCs w:val="26"/>
        </w:rPr>
        <w:t xml:space="preserve"> </w:t>
      </w:r>
      <w:r w:rsidR="00392E2D">
        <w:rPr>
          <w:rFonts w:asciiTheme="minorHAnsi" w:hAnsiTheme="minorHAnsi" w:cstheme="minorHAnsi"/>
          <w:sz w:val="26"/>
          <w:szCs w:val="26"/>
        </w:rPr>
        <w:t xml:space="preserve">și Academiei de Studii Economice București </w:t>
      </w:r>
      <w:r w:rsidRPr="00564DC7">
        <w:rPr>
          <w:rFonts w:asciiTheme="minorHAnsi" w:hAnsiTheme="minorHAnsi" w:cstheme="minorHAnsi"/>
          <w:sz w:val="26"/>
          <w:szCs w:val="26"/>
        </w:rPr>
        <w:t>și a fost asigurată verificarea îndeplinirii de către candidați a condițiilor de participare la diverse concursuri și/sau examene.</w:t>
      </w:r>
    </w:p>
    <w:p w14:paraId="2686CCC7" w14:textId="77777777" w:rsidR="00DA3665" w:rsidRPr="00564DC7" w:rsidRDefault="00DA3665" w:rsidP="00690186">
      <w:pPr>
        <w:ind w:firstLine="709"/>
        <w:jc w:val="both"/>
        <w:rPr>
          <w:rFonts w:asciiTheme="minorHAnsi" w:hAnsiTheme="minorHAnsi" w:cstheme="minorHAnsi"/>
          <w:sz w:val="26"/>
          <w:szCs w:val="26"/>
        </w:rPr>
      </w:pPr>
    </w:p>
    <w:p w14:paraId="6DC59D1B" w14:textId="7021E14C" w:rsidR="00095BA5" w:rsidRPr="00564DC7" w:rsidRDefault="00095BA5" w:rsidP="00690186">
      <w:pPr>
        <w:ind w:firstLine="709"/>
        <w:jc w:val="both"/>
        <w:rPr>
          <w:rFonts w:asciiTheme="minorHAnsi" w:hAnsiTheme="minorHAnsi" w:cstheme="minorHAnsi"/>
          <w:b/>
          <w:bCs/>
          <w:sz w:val="26"/>
          <w:szCs w:val="26"/>
        </w:rPr>
      </w:pPr>
      <w:r w:rsidRPr="00564DC7">
        <w:rPr>
          <w:rFonts w:asciiTheme="minorHAnsi" w:hAnsiTheme="minorHAnsi" w:cstheme="minorHAnsi"/>
          <w:b/>
          <w:bCs/>
          <w:sz w:val="26"/>
          <w:szCs w:val="26"/>
        </w:rPr>
        <w:t>Institutul Național al Magistraturii</w:t>
      </w:r>
    </w:p>
    <w:p w14:paraId="7C5A1382" w14:textId="77777777" w:rsidR="00AA0999" w:rsidRPr="00564DC7" w:rsidRDefault="00AA0999" w:rsidP="00690186">
      <w:pPr>
        <w:pStyle w:val="Heading3"/>
        <w:spacing w:line="240" w:lineRule="auto"/>
        <w:rPr>
          <w:rFonts w:cstheme="minorHAnsi"/>
          <w:color w:val="auto"/>
        </w:rPr>
      </w:pPr>
      <w:bookmarkStart w:id="88" w:name="_Toc155267890"/>
      <w:r w:rsidRPr="00564DC7">
        <w:rPr>
          <w:rFonts w:cstheme="minorHAnsi"/>
          <w:color w:val="auto"/>
        </w:rPr>
        <w:t>II.3.1. Formarea profesională inițială a viitorilor judecători și procurori în cadrul INM</w:t>
      </w:r>
      <w:bookmarkStart w:id="89" w:name="_Toc383085362"/>
      <w:bookmarkStart w:id="90" w:name="_Toc383085227"/>
      <w:bookmarkEnd w:id="88"/>
    </w:p>
    <w:bookmarkEnd w:id="89"/>
    <w:bookmarkEnd w:id="90"/>
    <w:p w14:paraId="770AE993" w14:textId="77777777" w:rsidR="00095BA5" w:rsidRPr="00564DC7" w:rsidRDefault="00095BA5" w:rsidP="00690186">
      <w:pPr>
        <w:shd w:val="clear" w:color="auto" w:fill="FFFFFF" w:themeFill="background1"/>
        <w:ind w:right="45"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Obiectivele strategice specifice formării profesionale inițiale în perioada de referință au fost concepute în scopul furnizării unei pregătiri profesionale auditorilor de justiție apte să ofere acestora suportul și instrumentele necesare înfăptuirii unui act de justiție corespunzător. Au fost avute în vedere direcțiile de acțiune asumate de conducerea INM, principiile fundamentale ale formării judiciare adoptate la nivelul Rețelei Europene de Formare Judiciară (EJTN/REFJ), precum și Comunicarea Comisiei către Parlamentul European, Consiliu, Comitetul Economic și Social European și Comitetul Regiunilor COM(2020) 713 final, intitulată „Asigurarea justiției în UE - o strategie europeană în materie de formare judiciară pentru perioada 2021-2024”. </w:t>
      </w:r>
    </w:p>
    <w:p w14:paraId="78AF984C" w14:textId="77777777" w:rsidR="00095BA5" w:rsidRPr="00564DC7" w:rsidRDefault="00095BA5" w:rsidP="00690186">
      <w:pPr>
        <w:shd w:val="clear" w:color="auto" w:fill="FFFFFF" w:themeFill="background1"/>
        <w:ind w:right="45"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Obiectivele strategice instituționale în materie de formare profesională inițială au vizat, în continuare: asigurarea caracterului preponderent practic, pluridisciplinar și interdisciplinar al formării, asigurarea unei formări complexe, consolidarea caracterului unitar al formării și evaluării, diversificarea metodologiilor de formare utilizate și implicarea auditorilor de justiție în activități cu caracter internațional. </w:t>
      </w:r>
    </w:p>
    <w:p w14:paraId="03728B08" w14:textId="77777777" w:rsidR="00095BA5" w:rsidRPr="00564DC7" w:rsidRDefault="00095BA5" w:rsidP="00690186">
      <w:pPr>
        <w:shd w:val="clear" w:color="auto" w:fill="FFFFFF" w:themeFill="background1"/>
        <w:ind w:right="45"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Obiectivele specifice disciplinelor incluse în programul de formare inițială, conținuturile aferente și metodologiile de formare utilizate au fost reflectate în programele de studiu și planurile de seminar elaborate în cadrul catedrelor. </w:t>
      </w:r>
    </w:p>
    <w:p w14:paraId="6EE55DF3" w14:textId="5C4C6947" w:rsidR="00AA0999" w:rsidRPr="00564DC7" w:rsidRDefault="00095BA5" w:rsidP="00690186">
      <w:pPr>
        <w:shd w:val="clear" w:color="auto" w:fill="FFFFFF" w:themeFill="background1"/>
        <w:ind w:right="45" w:firstLine="720"/>
        <w:jc w:val="both"/>
        <w:rPr>
          <w:rFonts w:asciiTheme="minorHAnsi" w:hAnsiTheme="minorHAnsi" w:cstheme="minorHAnsi"/>
          <w:sz w:val="26"/>
          <w:szCs w:val="26"/>
        </w:rPr>
      </w:pPr>
      <w:r w:rsidRPr="00564DC7">
        <w:rPr>
          <w:rFonts w:asciiTheme="minorHAnsi" w:hAnsiTheme="minorHAnsi" w:cstheme="minorHAnsi"/>
          <w:sz w:val="26"/>
          <w:szCs w:val="26"/>
        </w:rPr>
        <w:t>În ceea ce privește metodologiile de formare, au fost avute în vedere recomandările cuprinse în Strategia europeană de formare judiciară pentru 2021-2024 - COM(2020) 713 final.</w:t>
      </w:r>
    </w:p>
    <w:p w14:paraId="70522BD6" w14:textId="77777777" w:rsidR="00AA0999" w:rsidRPr="00564DC7" w:rsidRDefault="00AA0999">
      <w:pPr>
        <w:keepNext/>
        <w:keepLines/>
        <w:numPr>
          <w:ilvl w:val="0"/>
          <w:numId w:val="6"/>
        </w:numPr>
        <w:shd w:val="clear" w:color="auto" w:fill="FFFFFF" w:themeFill="background1"/>
        <w:ind w:left="1080" w:right="45" w:hanging="360"/>
        <w:contextualSpacing/>
        <w:jc w:val="both"/>
        <w:rPr>
          <w:rFonts w:asciiTheme="minorHAnsi" w:eastAsia="Calibri" w:hAnsiTheme="minorHAnsi" w:cstheme="minorHAnsi"/>
          <w:b/>
          <w:bCs/>
          <w:sz w:val="26"/>
          <w:szCs w:val="26"/>
        </w:rPr>
      </w:pPr>
      <w:r w:rsidRPr="00564DC7">
        <w:rPr>
          <w:rFonts w:asciiTheme="minorHAnsi" w:eastAsia="Calibri" w:hAnsiTheme="minorHAnsi" w:cstheme="minorHAnsi"/>
          <w:b/>
          <w:bCs/>
          <w:sz w:val="26"/>
          <w:szCs w:val="26"/>
        </w:rPr>
        <w:t>Programele de formare inițială</w:t>
      </w:r>
    </w:p>
    <w:p w14:paraId="3A4D7867" w14:textId="0F039990" w:rsidR="00AA0999" w:rsidRPr="00564DC7" w:rsidRDefault="00095BA5" w:rsidP="00690186">
      <w:pPr>
        <w:shd w:val="clear" w:color="auto" w:fill="FFFFFF" w:themeFill="background1"/>
        <w:ind w:right="45" w:firstLine="709"/>
        <w:jc w:val="both"/>
        <w:rPr>
          <w:rFonts w:asciiTheme="minorHAnsi" w:hAnsiTheme="minorHAnsi" w:cstheme="minorHAnsi"/>
          <w:sz w:val="26"/>
          <w:szCs w:val="26"/>
        </w:rPr>
      </w:pPr>
      <w:r w:rsidRPr="00564DC7">
        <w:rPr>
          <w:rFonts w:asciiTheme="minorHAnsi" w:hAnsiTheme="minorHAnsi" w:cstheme="minorHAnsi"/>
          <w:sz w:val="26"/>
          <w:szCs w:val="26"/>
        </w:rPr>
        <w:t>Pe parcursul anului 2023, formarea profesională a auditorilor de justiție s-a desfășurat conform Programului de formare inițială pentru anul I 2022, aprobat prin Hotărârea Plenului CSM nr. 36 din 17 martie 2022,  Programului de formare inițială pentru anul I 2023 și Programului de formare inițială pentru anul II 2023, ambele aprobate prin Hotărârea Plenului CSM nr. 60 din 06 aprilie 2023. Pe parcursul anului supus raportării, Institutul Național al Magistraturii realizează formarea unui număr total de 548 de auditori de justiție, dintre care 269 auditori în anul I și 279 auditori în anul II.</w:t>
      </w:r>
    </w:p>
    <w:p w14:paraId="5E4FB479"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 xml:space="preserve">Activitatea auditorilor de justiție a fost în continuare centrată pe aprofundarea cunoștințelor de drept, prin aplicații practice, și pe dezvoltarea abilităților specifice profesiilor de judecător și procuror, conform programelor de studiu. În programul de formare inițială au fost incluse nu numai discipline juridice, dar și discipline care vizează dezvoltarea de abilități non juridice, necesare exercitării corespunzătoare a profesiei de judecător/procuror. </w:t>
      </w:r>
    </w:p>
    <w:p w14:paraId="32CB7E85"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 xml:space="preserve">Anul I de pregătire profesională inițială a fost organizat sub forma a două semestre; primul se desfășoară în perioada 24 aprilie – 3 noiembrie 2023, iar cel de-al doilea, în perioada 6 noiembrie 2023 – 12 aprilie 2024. Calendarul stabilit pentru primul an de studiu corespunde unui </w:t>
      </w:r>
      <w:r w:rsidRPr="00564DC7">
        <w:rPr>
          <w:rFonts w:asciiTheme="minorHAnsi" w:hAnsiTheme="minorHAnsi" w:cstheme="minorHAnsi"/>
          <w:bCs/>
          <w:sz w:val="26"/>
          <w:szCs w:val="26"/>
        </w:rPr>
        <w:lastRenderedPageBreak/>
        <w:t>an întreg de formare, cu o durată de 12 luni. Structura anului I cuprinde, astfel, 51 de săptămâni, din care: 35 de săptămâni de formare efectivă sub formă de curs și seminar, 4 săptămâni de stagiu de observare în cadrul instanțelor și al parchetelor, 7 săptămâni vacanță, 4 săptămâni de sesiune/evaluare și 1 săptămână de procese simulate.</w:t>
      </w:r>
    </w:p>
    <w:p w14:paraId="43C171C2"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Studierea disciplinelor fundamentale (drept civil și procesual civil, drept penal și procesual penal) a rămas unul dintre obiectivele principale ale formării inițiale, menținându-se studierea acestor discipline pe parcursul întregului an I, precum și alocarea unui număr distinct de seminare și cursuri pentru aspectele de drept substanțial și cele de procedură, pentru a se asigura o abordare echilibrată a acestora. Având în vedere importanța acordată caracterului practic al formării, în desfășurarea seminarelor din cadrul tuturor disciplinelor juridice studiate au fost incluse activități care presupun studiul dosarelor, redactarea actelor de procedură, realizarea unor procese/secvențe simulate. În ceea ce privește disciplinele CEDO și dreptul UE, evaluarea finală a cunoștințelor acumulate la cele două discipline este programată în cadrul examenelor finale de la celelalte discipline juridice. Evaluarea cunoștințelor de CEDO și  dreptul UE se realizează, de asemenea, în cadrul componentei de evaluare continuă, în contextul lucrărilor scrise comune la disciplinele Drept civil și drept procesual civil și Drept penal și drept procesual penal, programate în sesiunea de evaluare aferentă lunii octombrie 2023.</w:t>
      </w:r>
    </w:p>
    <w:p w14:paraId="6F35F737"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 xml:space="preserve">Disciplinele care vizează abilități non-juridice au fost grupate, similar anilor anteriori de formare, în cadrul unui pol de discipline dedicat științelor socio-umane, fiind abordate teme legate de psihologie, sociologie, gândire critică. Având în vedere dezideratul de a se accentua caracterul practic al formării pe parcursul anului I de studiu, în cadrul disciplinelor fundamentale au fost introduse seminare distincte de scriere juridică și un modul intitulat Administrarea probatoriului în cauzele cu minori, cu participarea, în calitate de formatori, a unor echipe de magistrați și psihologi, specializați în audierea minorilor. </w:t>
      </w:r>
    </w:p>
    <w:p w14:paraId="0459EDB9"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 xml:space="preserve">Pentru a se asigura cadrul necesar ca toate cunoștințele și abilitățile dobândite să fie asimilate într-un mod integrat, la finalul celui de-al doilea semestru s-au desfășurat procese simulate, pornind de la dosare având ca obiect materiile studiate (drept civil, drept penal, litigii cu profesioniști, drept administrativ, dreptul familiei, criminalistică), abordând și elemente de comunicare, etică, dezvoltare personală. Activitățile de tipul proceselor simulate au fost organizate în colaborare cu Institutul Național pentru Pregătirea și Perfecționarea Avocaților (INPPA), în cadrul acestora participând, alături de auditorii de justiție și formatorii INM, avocați stagiari – cursanți ai INPPA, precum și avocați – formatori în cadrul INPPA. </w:t>
      </w:r>
    </w:p>
    <w:p w14:paraId="090185B0"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Pentru a avea posibilitatea de a cunoaște în mod direct activitățile pe care le desfășoară judecătorii și procurorii și pentru a putea identifica diferitele aspecte de ordin administrativ specifice viitoarei activității profesionale, auditorii de justiție au efectuat, de asemenea, un stagiu în cadrul instanțelor judecătorești și al parchetelor de pe lângă acestea.</w:t>
      </w:r>
    </w:p>
    <w:p w14:paraId="1A725C40"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În data de 04 mai 2023, pe baza clasamentului primului an de formare, a avut loc repartizarea auditorilor de justiție pe posturile de judecător și procuror.</w:t>
      </w:r>
    </w:p>
    <w:p w14:paraId="3049B647" w14:textId="40F972B3"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Cel de al doilea an de pregătire profesională inițială a debutat cu un model cu caracter preponderent practic, organizat în perioada 01 – 21 mai 2023, care a urmărit completarea cunoștințelor auditorilor de justiție, prin includerea unor teme care nu au fost abordate în anul I, precum și posibilitatea de a clarifica o serie de aspecte controversate de drept substanțial și procedural ivite în practica judiciară. În ceea ce îi privește pe auditorii care au optat pentru profesia de judecător, în cadrul modulul</w:t>
      </w:r>
      <w:r w:rsidR="007E3A56">
        <w:rPr>
          <w:rFonts w:asciiTheme="minorHAnsi" w:hAnsiTheme="minorHAnsi" w:cstheme="minorHAnsi"/>
          <w:bCs/>
          <w:sz w:val="26"/>
          <w:szCs w:val="26"/>
        </w:rPr>
        <w:t xml:space="preserve">ui </w:t>
      </w:r>
      <w:r w:rsidRPr="00564DC7">
        <w:rPr>
          <w:rFonts w:asciiTheme="minorHAnsi" w:hAnsiTheme="minorHAnsi" w:cstheme="minorHAnsi"/>
          <w:bCs/>
          <w:sz w:val="26"/>
          <w:szCs w:val="26"/>
        </w:rPr>
        <w:t xml:space="preserve">au fost abordate următoarele discipline: drept procesual penal (executarea hotărârilor penale, căi de atac ordinare și extraordinare), dreptul familiei (măsurile de ocrotire a persoanelor cu dizabilități intelectuale și psihosociale reglementate de Codul civil), drept procesual civil (executarea hotărârilor civile). În ceea ce îi privește pe auditorii care au optat pentru profesia de procuror, în cadrul modulului au fost abordate următoarele discipline: drept procesual penal (executarea hotărârilor penale, căi de </w:t>
      </w:r>
      <w:r w:rsidRPr="00564DC7">
        <w:rPr>
          <w:rFonts w:asciiTheme="minorHAnsi" w:hAnsiTheme="minorHAnsi" w:cstheme="minorHAnsi"/>
          <w:bCs/>
          <w:sz w:val="26"/>
          <w:szCs w:val="26"/>
        </w:rPr>
        <w:lastRenderedPageBreak/>
        <w:t xml:space="preserve">atac ordinare și extraordinare, aspecte specifice privind administrarea probatoriului pe parcursul urmării penale), dreptul familiei (măsurile de ocrotire a persoanelor cu dizabilități intelectuale și psihosociale reglementate de Codul civil). De asemenea, au fost abordate teme în materia discriminării și managementul timpului, cursuri la care au participat toți auditorii de justiție. </w:t>
      </w:r>
    </w:p>
    <w:p w14:paraId="16E29005" w14:textId="77777777" w:rsidR="00095BA5" w:rsidRPr="00564DC7" w:rsidRDefault="00095BA5" w:rsidP="00690186">
      <w:pPr>
        <w:shd w:val="clear" w:color="auto" w:fill="FFFFFF" w:themeFill="background1"/>
        <w:ind w:right="43" w:firstLine="706"/>
        <w:jc w:val="both"/>
        <w:rPr>
          <w:rFonts w:asciiTheme="minorHAnsi" w:hAnsiTheme="minorHAnsi" w:cstheme="minorHAnsi"/>
          <w:bCs/>
          <w:sz w:val="26"/>
          <w:szCs w:val="26"/>
        </w:rPr>
      </w:pPr>
      <w:r w:rsidRPr="00564DC7">
        <w:rPr>
          <w:rFonts w:asciiTheme="minorHAnsi" w:hAnsiTheme="minorHAnsi" w:cstheme="minorHAnsi"/>
          <w:bCs/>
          <w:sz w:val="26"/>
          <w:szCs w:val="26"/>
        </w:rPr>
        <w:t>Pe parcursul celui de al doilea an de formare, activitatea auditorilor de justiție constă, în principal, în efectuarea stagiului de practică în cadrul instanțelor și parchetelor, sub îndrumarea coordonatorilor de practică. Aceste stagii sunt planificate în următoarele perioade: 29 mai – 30 iulie 2023 și 04 septembrie – 24 decembrie 2023, în perioada 04 – 08 septembrie 2023 desfășurându-se stagiul de practică încrucișat.</w:t>
      </w:r>
    </w:p>
    <w:p w14:paraId="0E228B89" w14:textId="0CBBDB93" w:rsidR="00095BA5" w:rsidRPr="00564DC7" w:rsidRDefault="00095BA5" w:rsidP="00690186">
      <w:pPr>
        <w:shd w:val="clear" w:color="auto" w:fill="FFFFFF" w:themeFill="background1"/>
        <w:ind w:right="45" w:firstLine="706"/>
        <w:jc w:val="both"/>
        <w:rPr>
          <w:rFonts w:asciiTheme="minorHAnsi" w:hAnsiTheme="minorHAnsi" w:cstheme="minorHAnsi"/>
          <w:bCs/>
          <w:sz w:val="26"/>
          <w:szCs w:val="26"/>
        </w:rPr>
      </w:pPr>
      <w:r w:rsidRPr="00564DC7">
        <w:rPr>
          <w:rFonts w:asciiTheme="minorHAnsi" w:hAnsiTheme="minorHAnsi" w:cstheme="minorHAnsi"/>
          <w:bCs/>
          <w:sz w:val="26"/>
          <w:szCs w:val="26"/>
        </w:rPr>
        <w:t>Programul de formare inițială include, de asemenea, o perioadă de stagiu în cadrul penitenciarelor (22 – 28 ianuarie 2024), precum și o perioadă de stagiu în cadrul cabinetelor și societăților de avocați (08 – 21 ianuarie 2024).</w:t>
      </w:r>
    </w:p>
    <w:p w14:paraId="110364F0" w14:textId="77777777" w:rsidR="00AA0999" w:rsidRPr="00564DC7" w:rsidRDefault="00AA0999">
      <w:pPr>
        <w:pStyle w:val="ListParagraph"/>
        <w:numPr>
          <w:ilvl w:val="0"/>
          <w:numId w:val="6"/>
        </w:numPr>
        <w:shd w:val="clear" w:color="auto" w:fill="FFFFFF" w:themeFill="background1"/>
        <w:tabs>
          <w:tab w:val="left" w:pos="720"/>
        </w:tabs>
        <w:autoSpaceDE w:val="0"/>
        <w:autoSpaceDN w:val="0"/>
        <w:ind w:left="1080" w:hanging="360"/>
        <w:jc w:val="both"/>
        <w:rPr>
          <w:rFonts w:asciiTheme="minorHAnsi" w:hAnsiTheme="minorHAnsi" w:cstheme="minorHAnsi"/>
          <w:b/>
          <w:sz w:val="26"/>
          <w:szCs w:val="26"/>
        </w:rPr>
      </w:pPr>
      <w:r w:rsidRPr="00564DC7">
        <w:rPr>
          <w:rFonts w:asciiTheme="minorHAnsi" w:hAnsiTheme="minorHAnsi" w:cstheme="minorHAnsi"/>
          <w:b/>
          <w:sz w:val="26"/>
          <w:szCs w:val="26"/>
        </w:rPr>
        <w:t>Alte activități specifice formării inițiale</w:t>
      </w:r>
    </w:p>
    <w:p w14:paraId="764638EA" w14:textId="77777777" w:rsidR="00095BA5" w:rsidRPr="00564DC7" w:rsidRDefault="00095BA5" w:rsidP="00690186">
      <w:pPr>
        <w:shd w:val="clear" w:color="auto" w:fill="FFFFFF" w:themeFill="background1"/>
        <w:ind w:firstLine="720"/>
        <w:jc w:val="both"/>
        <w:rPr>
          <w:rFonts w:asciiTheme="minorHAnsi" w:hAnsiTheme="minorHAnsi" w:cstheme="minorHAnsi"/>
          <w:sz w:val="26"/>
          <w:szCs w:val="26"/>
        </w:rPr>
      </w:pPr>
      <w:r w:rsidRPr="00564DC7">
        <w:rPr>
          <w:rFonts w:asciiTheme="minorHAnsi" w:hAnsiTheme="minorHAnsi" w:cstheme="minorHAnsi"/>
          <w:sz w:val="26"/>
          <w:szCs w:val="26"/>
        </w:rPr>
        <w:t>În săptămâna 13 – 17 martie 2023, venind în întâmpinarea Magistratului de legătură de pe lângă Ambasada Franței la București, Institutul Național al Magistraturii, prin Departamentul de formare profesională inițială, a organizat stagiul a doi auditori francezi de justiție din cadrul Școlii Naționale de Magistratură din Franța (ENM), însoțiți de un avocat stagiar în cadrul Biroului magistratului de legătură de la Ambasada Franței la București. Obiectivele stagiului au vizat cunoașterea aspectelor legate de sistemul de recrutare și formare profesională a auditorilor de justiție în cadrul INM, identificarea aspectelor practice ale exercitării profesiei în sistemul judiciar român, aspecte legate de organizarea judiciară a acestuia, precum și dimensiunea internațională a activității juridice atât în sistemul de justiție cât și în cadrul Institutului și al Școlii Naționale de Grefieri. Stagiul a cuprins vizite efectuate în cadrul unor instituții cum ar fi: Judecătoria Sectorului 6 București, Tribunalul București, Penitenciarul Rahova, Școala Națională de Grefieri, Consiliul Superior al Magistraturii, Institutul Național de Criminalistică, precum și întâlniri cu auditori de justiție, formatori și reprezentanți ai Institutului Național al Magistraturii.</w:t>
      </w:r>
    </w:p>
    <w:p w14:paraId="7F027259" w14:textId="77777777" w:rsidR="00095BA5" w:rsidRPr="00564DC7" w:rsidRDefault="00095BA5" w:rsidP="00690186">
      <w:pPr>
        <w:shd w:val="clear" w:color="auto" w:fill="FFFFFF" w:themeFill="background1"/>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26 – 30 iunie 2023, 16 auditori de justiție au participat la Școala de vară INM 2023 – Sinaia, cu tema „Comunicare și leadership”. Obiectivele specifice ale acestei activități au constat în identificarea specificităților comunicării verbale, paraverbale și non-verbale; identificarea și aplicarea principalelor tipuri de leadership în funcție de context; identificarea diferitelor tipuri de conflicte și gestionarea rezolvării lor, în mod eficient; dezvoltarea abilităților de comunicare verbală și non-verbală, precum și conștientizarea importanței comunicării non-verbale.  </w:t>
      </w:r>
    </w:p>
    <w:p w14:paraId="1BE9BE97" w14:textId="77777777" w:rsidR="00095BA5" w:rsidRPr="00564DC7" w:rsidRDefault="00095BA5" w:rsidP="00690186">
      <w:pPr>
        <w:shd w:val="clear" w:color="auto" w:fill="FFFFFF" w:themeFill="background1"/>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de raportare, Institutul Național al Magistraturii, prin Departamentul de formare inițială, a organizat stagii ale audienților Institutului Național al Justiției din Moldova (INJ), în cadrul instanțelor și parchetelor, în cadrul proiectului „Consolidarea sistemului de justiție prin organizarea unor misiuni de transfer de expertiză adresate judecătorilor și procurorilor din Republica Moldova”. În perioada 25 – 27 septembrie 2023, 3 audienți INJ au efectuat stagiul în cadrul Judecătoriei Suceava și 2 audienți INJ, în cadrul Parchetului de pe lângă Judecătoria Iași. Stagiile organizate au prilejuit discuții cu auditorii de justiție din anul II, aflați în desfășurarea stagiului de practică, cu magistrații din cadrul instanței/parchetului, participarea la ședințe de judecată, studiul de dosare, precum și cunoașterea activității compartimentelor auxiliare din cadrul instanțelor/parchetelor. În perioada 23 – 25 octombrie 2023 sunt programate a se desfășura stagii de practică în cadrul Judecătoriei Sector 2, Judecătoriei Sector 6 și Parchetului de pe lângă Judecătoria Sector 4, la acestea urmând a participa 3 audienți/absolvenți INJ, 3 absolvenți INJ și, respectiv, 3 audienți INJ. </w:t>
      </w:r>
    </w:p>
    <w:p w14:paraId="23C077CE" w14:textId="71415CE0" w:rsidR="00F84829" w:rsidRPr="00564DC7" w:rsidRDefault="00095BA5" w:rsidP="00690186">
      <w:pPr>
        <w:shd w:val="clear" w:color="auto" w:fill="FFFFFF" w:themeFill="background1"/>
        <w:ind w:firstLine="720"/>
        <w:jc w:val="both"/>
        <w:rPr>
          <w:rFonts w:asciiTheme="minorHAnsi" w:hAnsiTheme="minorHAnsi" w:cstheme="minorHAnsi"/>
          <w:b/>
          <w:sz w:val="26"/>
          <w:szCs w:val="26"/>
        </w:rPr>
      </w:pPr>
      <w:r w:rsidRPr="00564DC7">
        <w:rPr>
          <w:rFonts w:asciiTheme="minorHAnsi" w:hAnsiTheme="minorHAnsi" w:cstheme="minorHAnsi"/>
          <w:sz w:val="26"/>
          <w:szCs w:val="26"/>
        </w:rPr>
        <w:t xml:space="preserve">La data de 29 septembrie 2023, 6 auditori de justiție au participat la evenimentul „Ziua porților deschise”, organizat de Serviciul de probațiune București. De asemenea, la data de 16 octombrie 2023, 5 auditori de justiție au participat la evenimentul „Ziua porților deschise”, </w:t>
      </w:r>
      <w:r w:rsidRPr="00564DC7">
        <w:rPr>
          <w:rFonts w:asciiTheme="minorHAnsi" w:hAnsiTheme="minorHAnsi" w:cstheme="minorHAnsi"/>
          <w:sz w:val="26"/>
          <w:szCs w:val="26"/>
        </w:rPr>
        <w:lastRenderedPageBreak/>
        <w:t>organizat de Serviciul de probațiune Ilfov. Cu prilejul acestor vizite, auditorii de justiție au aflat informații despre activitatea Serviciului de probațiune București, despre rolul acestuia în punerea în aplicare a măsurilor și sancțiunilor neprivative de libertate, precum și despre importanța sprijinului societății în reintegrarea socială a persoanelor care au săvârșit infracțiuni.</w:t>
      </w:r>
      <w:r w:rsidR="00F84829" w:rsidRPr="00564DC7">
        <w:rPr>
          <w:rFonts w:asciiTheme="minorHAnsi" w:hAnsiTheme="minorHAnsi" w:cstheme="minorHAnsi"/>
          <w:sz w:val="26"/>
          <w:szCs w:val="26"/>
        </w:rPr>
        <w:t xml:space="preserve"> </w:t>
      </w:r>
    </w:p>
    <w:p w14:paraId="1D6EB161" w14:textId="01500FA4" w:rsidR="00AA0999" w:rsidRPr="00564DC7" w:rsidRDefault="00AA0999" w:rsidP="00690186">
      <w:pPr>
        <w:shd w:val="clear" w:color="auto" w:fill="FFFFFF" w:themeFill="background1"/>
        <w:ind w:firstLine="709"/>
        <w:jc w:val="both"/>
        <w:rPr>
          <w:rFonts w:asciiTheme="minorHAnsi" w:hAnsiTheme="minorHAnsi" w:cstheme="minorHAnsi"/>
          <w:sz w:val="26"/>
          <w:szCs w:val="26"/>
        </w:rPr>
      </w:pPr>
      <w:r w:rsidRPr="00564DC7">
        <w:rPr>
          <w:rFonts w:asciiTheme="minorHAnsi" w:hAnsiTheme="minorHAnsi" w:cstheme="minorHAnsi"/>
          <w:b/>
          <w:sz w:val="26"/>
          <w:szCs w:val="26"/>
        </w:rPr>
        <w:t>Stagiu de practică - studenți ai facultăților de drept</w:t>
      </w:r>
      <w:r w:rsidRPr="00564DC7">
        <w:rPr>
          <w:rFonts w:asciiTheme="minorHAnsi" w:hAnsiTheme="minorHAnsi" w:cstheme="minorHAnsi"/>
          <w:sz w:val="26"/>
          <w:szCs w:val="26"/>
        </w:rPr>
        <w:t xml:space="preserve"> </w:t>
      </w:r>
    </w:p>
    <w:p w14:paraId="2AAAA1C4" w14:textId="77777777" w:rsidR="00844128" w:rsidRPr="00564DC7" w:rsidRDefault="00844128" w:rsidP="00690186">
      <w:pPr>
        <w:shd w:val="clear" w:color="auto" w:fill="FFFFFF" w:themeFill="background1"/>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de raportare (27 – 31 martie 2023 și 24 – 28 aprilie), 2 studenți ai Facultății de Drept din cadrul Academiei de Studii Economice au efectuat stagii de practică în cadrul INM, context în care au asistat la conferințe, seminare, activități specifice formării auditorilor de justiție din anul I, întâlniri cu auditori de justiție, formatori și reprezentanți ai Departamentului de formare inițială. </w:t>
      </w:r>
    </w:p>
    <w:p w14:paraId="665C572E" w14:textId="6F0CA3AF" w:rsidR="00AA0999" w:rsidRPr="00564DC7" w:rsidRDefault="00844128" w:rsidP="00690186">
      <w:pPr>
        <w:shd w:val="clear" w:color="auto" w:fill="FFFFFF" w:themeFill="background1"/>
        <w:ind w:firstLine="720"/>
        <w:jc w:val="both"/>
        <w:rPr>
          <w:rFonts w:asciiTheme="minorHAnsi" w:hAnsiTheme="minorHAnsi" w:cstheme="minorHAnsi"/>
          <w:sz w:val="26"/>
          <w:szCs w:val="26"/>
        </w:rPr>
      </w:pPr>
      <w:r w:rsidRPr="00564DC7">
        <w:rPr>
          <w:rFonts w:asciiTheme="minorHAnsi" w:hAnsiTheme="minorHAnsi" w:cstheme="minorHAnsi"/>
          <w:sz w:val="26"/>
          <w:szCs w:val="26"/>
        </w:rPr>
        <w:t>La data de 27 septembrie 2023, a fost organizată, la sediul INM, vizita unui grup de 21 de studenți ai Facultății de Drept din cadrul Universității din București, la care au participat reprezentanți ai Institutului, precum și reprezentantul auditorilor de justiție în Consiliul științific al INM. Reuniunea a fost organizată în cadrul proiectului „Insights/Învață să fii student!”, un proiect de orientare profesională a studenților și de familiarizare a acestora cu mediul academic.</w:t>
      </w:r>
    </w:p>
    <w:p w14:paraId="7F896B61" w14:textId="77777777" w:rsidR="00AA0999" w:rsidRPr="00564DC7" w:rsidRDefault="00AA0999" w:rsidP="00690186">
      <w:pPr>
        <w:shd w:val="clear" w:color="auto" w:fill="FFFFFF" w:themeFill="background1"/>
        <w:tabs>
          <w:tab w:val="left" w:pos="720"/>
        </w:tabs>
        <w:autoSpaceDE w:val="0"/>
        <w:autoSpaceDN w:val="0"/>
        <w:ind w:firstLine="720"/>
        <w:jc w:val="both"/>
        <w:rPr>
          <w:rFonts w:asciiTheme="minorHAnsi" w:eastAsia="Calibri" w:hAnsiTheme="minorHAnsi" w:cstheme="minorHAnsi"/>
          <w:sz w:val="26"/>
          <w:szCs w:val="26"/>
          <w:lang w:eastAsia="ro-RO"/>
        </w:rPr>
      </w:pPr>
      <w:r w:rsidRPr="00564DC7">
        <w:rPr>
          <w:rFonts w:asciiTheme="minorHAnsi" w:eastAsia="Calibri" w:hAnsiTheme="minorHAnsi" w:cstheme="minorHAnsi"/>
          <w:b/>
          <w:sz w:val="26"/>
          <w:szCs w:val="26"/>
          <w:lang w:eastAsia="ro-RO"/>
        </w:rPr>
        <w:t>Revista INM, THEMIS</w:t>
      </w:r>
      <w:r w:rsidRPr="00564DC7">
        <w:rPr>
          <w:rFonts w:asciiTheme="minorHAnsi" w:eastAsia="Calibri" w:hAnsiTheme="minorHAnsi" w:cstheme="minorHAnsi"/>
          <w:sz w:val="26"/>
          <w:szCs w:val="26"/>
          <w:lang w:eastAsia="ro-RO"/>
        </w:rPr>
        <w:t xml:space="preserve"> </w:t>
      </w:r>
    </w:p>
    <w:p w14:paraId="55E9691D" w14:textId="3D7E969E" w:rsidR="00AA0999" w:rsidRPr="00564DC7" w:rsidRDefault="00844128" w:rsidP="00690186">
      <w:pPr>
        <w:shd w:val="clear" w:color="auto" w:fill="FFFFFF" w:themeFill="background1"/>
        <w:autoSpaceDE w:val="0"/>
        <w:autoSpaceDN w:val="0"/>
        <w:ind w:firstLine="720"/>
        <w:jc w:val="both"/>
        <w:rPr>
          <w:rFonts w:asciiTheme="minorHAnsi" w:eastAsia="Calibri" w:hAnsiTheme="minorHAnsi" w:cstheme="minorHAnsi"/>
          <w:sz w:val="26"/>
          <w:szCs w:val="26"/>
          <w:lang w:eastAsia="ro-RO"/>
        </w:rPr>
      </w:pPr>
      <w:r w:rsidRPr="00564DC7">
        <w:rPr>
          <w:rFonts w:asciiTheme="minorHAnsi" w:eastAsia="Calibri" w:hAnsiTheme="minorHAnsi" w:cstheme="minorHAnsi"/>
          <w:sz w:val="26"/>
          <w:szCs w:val="26"/>
          <w:lang w:eastAsia="ro-RO"/>
        </w:rPr>
        <w:t>În prezent se află în curs de editare următorul număr al Revistei Institutului, THEMIS, planificat a fi publicat pe site-ul instituției până la finalul acestui an.</w:t>
      </w:r>
    </w:p>
    <w:p w14:paraId="1DFBB39D" w14:textId="77777777" w:rsidR="00AA0999" w:rsidRPr="00564DC7" w:rsidRDefault="00AA0999" w:rsidP="00690186">
      <w:pPr>
        <w:pStyle w:val="Heading3"/>
        <w:spacing w:line="240" w:lineRule="auto"/>
        <w:rPr>
          <w:rFonts w:cstheme="minorHAnsi"/>
          <w:color w:val="auto"/>
        </w:rPr>
      </w:pPr>
      <w:bookmarkStart w:id="91" w:name="_Toc155267891"/>
      <w:r w:rsidRPr="00564DC7">
        <w:rPr>
          <w:rFonts w:cstheme="minorHAnsi"/>
          <w:color w:val="auto"/>
        </w:rPr>
        <w:t>II.3.2. Formarea profesională continuă a judecătorilor și procurorilor în cadrul INM</w:t>
      </w:r>
      <w:bookmarkEnd w:id="91"/>
      <w:r w:rsidRPr="00564DC7">
        <w:rPr>
          <w:rFonts w:cstheme="minorHAnsi"/>
          <w:color w:val="auto"/>
        </w:rPr>
        <w:t xml:space="preserve"> </w:t>
      </w:r>
    </w:p>
    <w:p w14:paraId="4C07F791"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Cele mai importante obiective strategice ale formării profesionale continue desfășurate la nivelul INM sunt creșterea calității activității de formare continuă la nivel centralizat și, totodată, creșterea ponderii și a calității activităților de formare continuă descentralizată, în acord cu obiectivele specifice prevăzute de Strategia de dezvoltare a sistemului judiciar, aprobată prin Hotărârea Guvernului nr. 436/2022.</w:t>
      </w:r>
    </w:p>
    <w:p w14:paraId="47355C04" w14:textId="68B14386" w:rsidR="00AA0999"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îndeplinirea misiunii sale de formare a membrilor sistemului judiciar, INM a desfășurat și coordonat în perioada de referință activități de formare profesională continuă pentru judecători și procurori, atât la nivel centralizat, cât și la nivel descentralizat.</w:t>
      </w:r>
    </w:p>
    <w:p w14:paraId="6517CF8E" w14:textId="77777777" w:rsidR="00AA0999" w:rsidRPr="00564DC7" w:rsidRDefault="00AA0999">
      <w:pPr>
        <w:pStyle w:val="ListParagraph"/>
        <w:numPr>
          <w:ilvl w:val="0"/>
          <w:numId w:val="7"/>
        </w:numPr>
        <w:tabs>
          <w:tab w:val="left" w:pos="1134"/>
        </w:tabs>
        <w:autoSpaceDE w:val="0"/>
        <w:autoSpaceDN w:val="0"/>
        <w:adjustRightInd w:val="0"/>
        <w:ind w:hanging="11"/>
        <w:jc w:val="both"/>
        <w:rPr>
          <w:rFonts w:asciiTheme="minorHAnsi" w:hAnsiTheme="minorHAnsi" w:cstheme="minorHAnsi"/>
          <w:b/>
          <w:sz w:val="26"/>
          <w:szCs w:val="26"/>
        </w:rPr>
      </w:pPr>
      <w:r w:rsidRPr="00564DC7">
        <w:rPr>
          <w:rFonts w:asciiTheme="minorHAnsi" w:hAnsiTheme="minorHAnsi" w:cstheme="minorHAnsi"/>
          <w:b/>
          <w:sz w:val="26"/>
          <w:szCs w:val="26"/>
        </w:rPr>
        <w:t xml:space="preserve">Activitățile de formare continuă la nivel centralizat </w:t>
      </w:r>
    </w:p>
    <w:p w14:paraId="319A5A12" w14:textId="77777777" w:rsidR="00A52FAE" w:rsidRPr="00564DC7" w:rsidRDefault="00A52FAE" w:rsidP="00690186">
      <w:pPr>
        <w:autoSpaceDE w:val="0"/>
        <w:autoSpaceDN w:val="0"/>
        <w:adjustRightInd w:val="0"/>
        <w:ind w:firstLine="720"/>
        <w:jc w:val="both"/>
        <w:rPr>
          <w:rFonts w:asciiTheme="minorHAnsi" w:hAnsiTheme="minorHAnsi" w:cstheme="minorHAnsi"/>
          <w:sz w:val="26"/>
          <w:szCs w:val="26"/>
        </w:rPr>
      </w:pPr>
      <w:r w:rsidRPr="00564DC7">
        <w:rPr>
          <w:rFonts w:asciiTheme="minorHAnsi" w:hAnsiTheme="minorHAnsi" w:cstheme="minorHAnsi"/>
          <w:sz w:val="26"/>
          <w:szCs w:val="26"/>
        </w:rPr>
        <w:t>În elaborarea Programului de formare profesională continuă la nivel centralizat pentru anul 2023 au fost parcurse etapele necesare pentru stabilirea nevoilor de formare ale sistemului judiciar, prin coroborarea nevoilor de formare identificate de judecători și procurori cu nevoile de formare stabilite ca obiective instituționale și asumate prin strategiile sistemului judiciar. Ca urmare a acestei analize de sistem, au fost identificate direcțiile de formare prioritare pentru formarea continuă centralizată în cursul anului 2023, respectiv: unificarea practicii judiciare; formarea specializată a magistraților; pregătirea judecătorilor și procurorilor în domeniul dreptului european: dreptul UE, CEDO, cooperare judiciară internațională în materie civilă și penală; dezvoltarea abilităților non-juridice specifice profesiei.</w:t>
      </w:r>
    </w:p>
    <w:p w14:paraId="097E3A09" w14:textId="77777777" w:rsidR="00A52FAE" w:rsidRPr="00564DC7" w:rsidRDefault="00A52FAE" w:rsidP="00690186">
      <w:pPr>
        <w:autoSpaceDE w:val="0"/>
        <w:autoSpaceDN w:val="0"/>
        <w:adjustRightInd w:val="0"/>
        <w:ind w:firstLine="720"/>
        <w:jc w:val="both"/>
        <w:rPr>
          <w:rFonts w:asciiTheme="minorHAnsi" w:hAnsiTheme="minorHAnsi" w:cstheme="minorHAnsi"/>
          <w:sz w:val="26"/>
          <w:szCs w:val="26"/>
        </w:rPr>
      </w:pPr>
      <w:r w:rsidRPr="00564DC7">
        <w:rPr>
          <w:rFonts w:asciiTheme="minorHAnsi" w:hAnsiTheme="minorHAnsi" w:cstheme="minorHAnsi"/>
          <w:sz w:val="26"/>
          <w:szCs w:val="26"/>
        </w:rPr>
        <w:t>În anul 2023, formarea continuă a fost realizată atât din fonduri bugetare, cât și din fonduri mixte și extrabugetare, o pondere majoritară în programul de formare profesională continuă fiind reprezentată de activități de formare organizate în cadrul unor proiecte cu finanțare europeană: „Justiția 2020: profesionalism și integritate”, cod SIPOCA 453, cod MySMIS2014+ 118978, coordonat și cofinanțat de INM, și proiectul „Formarea și consolidarea capacității în sistemul judiciar”, finanțat prin Mecanismul Financiar Norvegian 2014-2021, derulat în parteneriat de CSM și INM.</w:t>
      </w:r>
    </w:p>
    <w:p w14:paraId="4A852869"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O preocupare prioritară și constantă a programului de formare profesională continuă desfășurat de INM a reprezentat-o în anul 2023 organizarea de dezbateri cu privire la aspectele de practică neunitară, în cadrul întâlnirilor președinților secțiilor specializate din cadrul Înaltei Curți de Casație și Justiție și al curților de apel și cele ale procurorilor șefi secție din cadrul </w:t>
      </w:r>
      <w:r w:rsidRPr="00564DC7">
        <w:rPr>
          <w:rFonts w:asciiTheme="minorHAnsi" w:hAnsiTheme="minorHAnsi" w:cstheme="minorHAnsi"/>
          <w:sz w:val="26"/>
          <w:szCs w:val="26"/>
        </w:rPr>
        <w:lastRenderedPageBreak/>
        <w:t>Parchetului de pe lângă Înalta Curte de Casație și Justiție și al parchetelor de pe lângă curțile de apel. Până la data de 13 octombrie 2023 au fost organizate 3 întâlniri ale președinților secțiilor specializate, în domeniile drept civil și procesual civil, drept penal și drept procesual penal și  drept administrativ și fiscal, precum și o întâlnire a procurorilor șefi secție urmărire penală și/sau judiciară din cadrul Parchetului de pe lângă Înalta Curte de Casație și Justiție, structurilor specializate și al parchetelor de pe lângă curțile de apel dedicată identificării și discutării aspectelor de practică judiciară neunitară în materia dreptului penal și dreptului procesual penal.</w:t>
      </w:r>
    </w:p>
    <w:p w14:paraId="716C265F" w14:textId="1B1FEBDC"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Pentru anul 2023, Programul de formare continuă a inclus conferințe de unificare a practicii judiciare în domenii precum drept civil și procedură civilă, drept penal și procedură penală, insolvența persoanei juridice, etică și deontologie profesională și o conferință dedicată membrilor rețelei europene EuroQuod. </w:t>
      </w:r>
    </w:p>
    <w:p w14:paraId="5D090FBC" w14:textId="3CB20722"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Programul de formare continuă aferent anului 2023 a acordat o pondere importantă domeniilor specializate conexe, cu luarea în considerare a obiectivelor strategice prevăzute de Strategia de dezvoltare a sistemului judiciar 2022-2025,  respectiv  lupta împotriva corupției și a criminalității economico-financiare, combaterea traficului de persoane, a traficului de droguri, a criminalității informatice, recuperarea prejudiciului infracțiunii, administrarea probatoriului și tehnici de audiere în procesul penal, măsuri speciale de supraveghere sau cercetare, justiția pentru minori cu accent pe tehnici de audiere a minorilor și pe instrumentarea eficientă a cauzelor penale având ca obiect infracțiuni contra libertății și integrității sexuale comise asupra victimelor minore, lupta împotriva violenței domestice, dreptul muncii și insolvență. </w:t>
      </w:r>
    </w:p>
    <w:p w14:paraId="3FAD77A3" w14:textId="33E5535B"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Printre activitățile de formare profesională continuă organizate în perioada de referință s-au numărat și cele dedicate</w:t>
      </w:r>
      <w:r w:rsidR="007E3A56">
        <w:rPr>
          <w:rFonts w:asciiTheme="minorHAnsi" w:hAnsiTheme="minorHAnsi" w:cstheme="minorHAnsi"/>
          <w:sz w:val="26"/>
          <w:szCs w:val="26"/>
        </w:rPr>
        <w:t xml:space="preserve"> </w:t>
      </w:r>
      <w:r w:rsidRPr="00564DC7">
        <w:rPr>
          <w:rFonts w:asciiTheme="minorHAnsi" w:hAnsiTheme="minorHAnsi" w:cstheme="minorHAnsi"/>
          <w:sz w:val="26"/>
          <w:szCs w:val="26"/>
        </w:rPr>
        <w:t xml:space="preserve">îmbunătățirii aplicării conceptelor juridice europene de către membrii sistemului judiciar din România, ținându-se seama de relația dintre perspectiva europeană și perspectiva națională, permițând judecătorilor, procurorilor și altor profesioniști din domeniul juridic să înțeleagă pe deplin și să aplice conceptele juridice europene în activitatea lor profesională, în domenii considerate de interes pentru magistrații români, cum ar fi: achiziții publice, procedura fiscală - în mod special executare silită și TVA, cooperare internațională în materie civilă și penală, jurisprudența CEDO - aspecte civile și penale și jurisprudența CJUE în materia drepturilor fundamentale. În cadrul componentei europene a activității de formare, INM a organizat în anul 2023, Conferința anuală a membrilor EuRoQuod. </w:t>
      </w:r>
    </w:p>
    <w:p w14:paraId="7CD387F8" w14:textId="1E1C037E"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De asemenea, având în vedere obiectivele specifice de formare ale Strategiei de dezvoltare a sistemului judiciar 2022-2025, au fost incluse în Programul de formare profesională continuă 2023 sesiuni de formare în domeniul combaterii infracțiunilor de mediu și a infracțiunilor silvice, în vederea creării unei practici unitare în materie. Totodată, în contextul preocupărilor și a nevoilor identificate la nivelul instituțiilor din sistemul judiciar cu privire la</w:t>
      </w:r>
      <w:r w:rsidR="007E3A56">
        <w:rPr>
          <w:rFonts w:asciiTheme="minorHAnsi" w:hAnsiTheme="minorHAnsi" w:cstheme="minorHAnsi"/>
          <w:sz w:val="26"/>
          <w:szCs w:val="26"/>
        </w:rPr>
        <w:t xml:space="preserve"> </w:t>
      </w:r>
      <w:r w:rsidRPr="00564DC7">
        <w:rPr>
          <w:rFonts w:asciiTheme="minorHAnsi" w:hAnsiTheme="minorHAnsi" w:cstheme="minorHAnsi"/>
          <w:sz w:val="26"/>
          <w:szCs w:val="26"/>
        </w:rPr>
        <w:t xml:space="preserve">combaterea discriminării, Institutul a prevăzut organizarea de activități de formare în acest domeniu, cu accent pe combaterea infracțiunilor motivate de ură. </w:t>
      </w:r>
    </w:p>
    <w:p w14:paraId="5A143A8A" w14:textId="099B9D8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Dată fiind necesitatea abordării multidisciplinare a formării prin dezvoltarea abilităților non-juridice specifice profesiilor de judecător și procuror, prin facilitarea dialogului interprofesional și realizarea unei comunicări eficiente, corecte și transparente între magistrați și societate, în Programul de formare continuă 2023 au fost prevăzute și desfășurate activități de formare în domenii ca management judiciar, leadership și comunicare, etic</w:t>
      </w:r>
      <w:r w:rsidR="007E3A56">
        <w:rPr>
          <w:rFonts w:asciiTheme="minorHAnsi" w:hAnsiTheme="minorHAnsi" w:cstheme="minorHAnsi"/>
          <w:sz w:val="26"/>
          <w:szCs w:val="26"/>
        </w:rPr>
        <w:t xml:space="preserve">ă </w:t>
      </w:r>
      <w:r w:rsidRPr="00564DC7">
        <w:rPr>
          <w:rFonts w:asciiTheme="minorHAnsi" w:hAnsiTheme="minorHAnsi" w:cstheme="minorHAnsi"/>
          <w:sz w:val="26"/>
          <w:szCs w:val="26"/>
        </w:rPr>
        <w:t>și deontologi</w:t>
      </w:r>
      <w:r w:rsidR="007E3A56">
        <w:rPr>
          <w:rFonts w:asciiTheme="minorHAnsi" w:hAnsiTheme="minorHAnsi" w:cstheme="minorHAnsi"/>
          <w:sz w:val="26"/>
          <w:szCs w:val="26"/>
        </w:rPr>
        <w:t>e</w:t>
      </w:r>
      <w:r w:rsidRPr="00564DC7">
        <w:rPr>
          <w:rFonts w:asciiTheme="minorHAnsi" w:hAnsiTheme="minorHAnsi" w:cstheme="minorHAnsi"/>
          <w:sz w:val="26"/>
          <w:szCs w:val="26"/>
        </w:rPr>
        <w:t xml:space="preserve"> profesională, etică și judgecraft – arta de a fi judecător, instrumente și bune practici de comunicare pentru îmbunătățirea activității de relații publice a personalului din sistemul judiciar, metodologia actului de justiție, dezvoltare personală și programare neurolingvistică și formare a formatorilor, inclusiv în utilizarea instrumentelor digitale de formare. </w:t>
      </w:r>
    </w:p>
    <w:p w14:paraId="5516AD4D"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perioada de referință este de menționat organizarea și desfășurarea programului de pregătire a magistraților selectați în temeiul prevederilor art. 33 alin. (1) din Legea nr. 303/2004 (actualul art. 63 din Legea nr. 303/2022). Programul de formare profesională a acestora a fost </w:t>
      </w:r>
      <w:r w:rsidRPr="00564DC7">
        <w:rPr>
          <w:rFonts w:asciiTheme="minorHAnsi" w:hAnsiTheme="minorHAnsi" w:cstheme="minorHAnsi"/>
          <w:sz w:val="26"/>
          <w:szCs w:val="26"/>
        </w:rPr>
        <w:lastRenderedPageBreak/>
        <w:t xml:space="preserve">elaborat în baza unei tematici specifice fiecărei profesii, în cadrul modulelor de formare fiind asigurată pregătirea judecătorilor și procurorilor în următoarele domenii: drept civil și drept procesual civil, drept penal și drept procesual penal, drepturile omului, dreptul Uniunii Europene, criminalistică, etică și deontologie profesională și comunicare. </w:t>
      </w:r>
      <w:bookmarkStart w:id="92" w:name="OLE_LINK62"/>
      <w:r w:rsidRPr="00564DC7">
        <w:rPr>
          <w:rFonts w:asciiTheme="minorHAnsi" w:hAnsiTheme="minorHAnsi" w:cstheme="minorHAnsi"/>
          <w:sz w:val="26"/>
          <w:szCs w:val="26"/>
        </w:rPr>
        <w:t xml:space="preserve">În acest an, programul de pregătire profesională a judecătorilor și procurorilor admiși în magistratură în condițiile  art. 33 alin. (1) din Legea nr. 303/2004 </w:t>
      </w:r>
      <w:bookmarkStart w:id="93" w:name="OLE_LINK11"/>
      <w:r w:rsidRPr="00564DC7">
        <w:rPr>
          <w:rFonts w:asciiTheme="minorHAnsi" w:hAnsiTheme="minorHAnsi" w:cstheme="minorHAnsi"/>
          <w:sz w:val="26"/>
          <w:szCs w:val="26"/>
        </w:rPr>
        <w:t xml:space="preserve">s-a adresat unui număr de 127 judecători și 40 de procurori admiși în magistratură în urma concursurilor organizate în perioada iulie 2022 – martie 2023 și octombrie 2022 - iunie 2023. </w:t>
      </w:r>
      <w:bookmarkEnd w:id="93"/>
      <w:r w:rsidRPr="00564DC7">
        <w:rPr>
          <w:rFonts w:asciiTheme="minorHAnsi" w:hAnsiTheme="minorHAnsi" w:cstheme="minorHAnsi"/>
          <w:sz w:val="26"/>
          <w:szCs w:val="26"/>
        </w:rPr>
        <w:t xml:space="preserve"> Acest program de pregătire s-a desfășurat pe parcursul a 26 de sesiuni de pregătire în domeniile amintite, atât în format clasic, față în față, cât și în mediul online. </w:t>
      </w:r>
      <w:bookmarkEnd w:id="92"/>
    </w:p>
    <w:p w14:paraId="620355C3"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realizarea componentei europene a activității de formare, INM a organizat în anul 2023, în cadrul Catalogului Plus și Catalogului Membrilor Rețelei Europene de Formare Judiciară (EJTN), activități de formare profesională continuă în domeniul Engleză juridică, deschise participării  magistraților români precum și judecătorilor și procurorilor europeni. </w:t>
      </w:r>
    </w:p>
    <w:p w14:paraId="34FDFE2B"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Exprimată în cifre, activitatea de formare continuă la nivel centralizat realizată în cursul anului 2023 poate fi sintetizată astfel:</w:t>
      </w:r>
    </w:p>
    <w:p w14:paraId="0F0C99C8" w14:textId="77777777" w:rsidR="00A52FAE" w:rsidRPr="00564DC7" w:rsidRDefault="00A52FAE" w:rsidP="00690186">
      <w:pPr>
        <w:ind w:firstLine="720"/>
        <w:jc w:val="both"/>
        <w:rPr>
          <w:rFonts w:asciiTheme="minorHAnsi" w:hAnsiTheme="minorHAnsi" w:cstheme="minorHAnsi"/>
          <w:bCs/>
          <w:sz w:val="26"/>
          <w:szCs w:val="26"/>
        </w:rPr>
      </w:pPr>
      <w:r w:rsidRPr="00564DC7">
        <w:rPr>
          <w:rFonts w:asciiTheme="minorHAnsi" w:hAnsiTheme="minorHAnsi" w:cstheme="minorHAnsi"/>
          <w:sz w:val="26"/>
          <w:szCs w:val="26"/>
        </w:rPr>
        <w:t>INM a organizat, până la data de 13 octombrie 2023, un număr de 169 de activități de formare profesională continuă, dintre care 56 au fost organizate în colaborare cu formarea continuă la nivel descentralizat, în cadrul proiectului „</w:t>
      </w:r>
      <w:r w:rsidRPr="00564DC7">
        <w:rPr>
          <w:rFonts w:asciiTheme="minorHAnsi" w:hAnsiTheme="minorHAnsi" w:cstheme="minorHAnsi"/>
          <w:bCs/>
          <w:sz w:val="26"/>
          <w:szCs w:val="26"/>
        </w:rPr>
        <w:t xml:space="preserve">Justiția 2020: profesionalism și integritate”, cod SIPOCA 453, cod MySMIS2014+ 118978, cofinanțat din Fondul Social European (FSE) prin Programul Operațional Capacitate Administrativă (POCA). </w:t>
      </w:r>
    </w:p>
    <w:p w14:paraId="5C0A4284" w14:textId="71743F2E" w:rsidR="00201FE2"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La activitățile de formare organizate până la data de 13 octombrie 2023 au participat, în total, 3291 persoane, după cum urmează: 1784 judecători, 1234 procurori, 37 magistrați asistenți, 100 participanți din categoria personalului de specialitate juridică asimilat judecătorilor și procurorilor din cadrul instituțiilor sistemului judiciar (Ministerul Justiției, CSM, INM și Inspecția Judiciară), 9 grefieri,  25 ofițeri de poliție, 68 specialiști din domenii juridice și domenii conexe și 34 judecători, procurori și alți specialiști europeni.</w:t>
      </w:r>
    </w:p>
    <w:p w14:paraId="5C12EE0F" w14:textId="77777777" w:rsidR="00AA0999" w:rsidRPr="00564DC7" w:rsidRDefault="00AA0999">
      <w:pPr>
        <w:pStyle w:val="ListParagraph"/>
        <w:numPr>
          <w:ilvl w:val="0"/>
          <w:numId w:val="7"/>
        </w:numPr>
        <w:tabs>
          <w:tab w:val="left" w:pos="1134"/>
        </w:tabs>
        <w:autoSpaceDE w:val="0"/>
        <w:autoSpaceDN w:val="0"/>
        <w:adjustRightInd w:val="0"/>
        <w:ind w:hanging="11"/>
        <w:jc w:val="both"/>
        <w:rPr>
          <w:rFonts w:asciiTheme="minorHAnsi" w:hAnsiTheme="minorHAnsi" w:cstheme="minorHAnsi"/>
          <w:b/>
          <w:sz w:val="26"/>
          <w:szCs w:val="26"/>
        </w:rPr>
      </w:pPr>
      <w:r w:rsidRPr="00564DC7">
        <w:rPr>
          <w:rFonts w:asciiTheme="minorHAnsi" w:hAnsiTheme="minorHAnsi" w:cstheme="minorHAnsi"/>
          <w:b/>
          <w:sz w:val="26"/>
          <w:szCs w:val="26"/>
        </w:rPr>
        <w:t xml:space="preserve">Activitățile de formare continuă la nivel descentralizat </w:t>
      </w:r>
    </w:p>
    <w:p w14:paraId="16AAA11A"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cursul anului 2023, Institutul a continuat să sprijine creșterea calității sesiunilor de formare descentralizată, prin suportarea costurilor aferente participării formatorilor săi, întrucât specificul activității de formare continuă la nivel descentralizat este de natură a genera complementaritatea față de formarea continuă la nivel centralizat, inclusiv prin abordarea unor teme ce nu se regăsesc în programul de formare continuă centralizată sau care sunt specifice activității din raza anumitor curți de apel ori parchete de pe lângă curți de apel.</w:t>
      </w:r>
    </w:p>
    <w:p w14:paraId="2AF3140D" w14:textId="77777777"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Elaborarea și implementarea Programului de formare profesională continuă la nivel descentralizat pentru anul 2023 au fost realizate cu sprijinul judecătorilor și procurorilor desemnați de curțile de apel și parchetele de pe lângă curțile de apel responsabili cu această activitate.  </w:t>
      </w:r>
    </w:p>
    <w:p w14:paraId="4A54F3A4" w14:textId="1939B968" w:rsidR="00A52FAE"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Până la data de 13 octombrie 2023, din datele primite, au fost organizate 43 de seminare de formare la nivel descentralizat în domeniile obligatorii. Dintre acestea, 32 de seminare  au fost organizate </w:t>
      </w:r>
      <w:r w:rsidR="007E3A56">
        <w:rPr>
          <w:rFonts w:asciiTheme="minorHAnsi" w:hAnsiTheme="minorHAnsi" w:cstheme="minorHAnsi"/>
          <w:sz w:val="26"/>
          <w:szCs w:val="26"/>
        </w:rPr>
        <w:t xml:space="preserve">de </w:t>
      </w:r>
      <w:r w:rsidRPr="00564DC7">
        <w:rPr>
          <w:rFonts w:asciiTheme="minorHAnsi" w:hAnsiTheme="minorHAnsi" w:cstheme="minorHAnsi"/>
          <w:sz w:val="26"/>
          <w:szCs w:val="26"/>
        </w:rPr>
        <w:t xml:space="preserve">curțile de apel și 11 seminare de parchetele de pe lângă curțile de apel. La aceste seminare au fost înregistrate 48 de participări ale formatorilor INM și 754 de participări ale magistraților. </w:t>
      </w:r>
    </w:p>
    <w:p w14:paraId="18B91A29" w14:textId="3813A7E8" w:rsidR="00201FE2" w:rsidRPr="00564DC7" w:rsidRDefault="00A52FAE"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Aceste activități au fost completate, în perioada de referință, cu 56 activități de formare organizate în colaborare cu formarea continuă la nivel descentralizat, în cadrul proiectului „Justiția 2020: profesionalism și integritate”, cod SIPOCA 453, cod MySMIS2014+ 118978, cofinanțat din Fondul Social European (FSE) prin Programul Operațional Capacitate Administrativă (POCA), după cum urmează: 43 de workshop-uri cu tema „Noul Cod penal. Noul Cod de procedură penală” și 13  workshop-uri cu tema „Noul cod civil. Noul cod de procedură civilă”</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la care</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au participat 476 judecători și 472 de procurori.</w:t>
      </w:r>
    </w:p>
    <w:p w14:paraId="3C0C6AA4" w14:textId="48D5FA95" w:rsidR="00AA0999" w:rsidRPr="00564DC7" w:rsidRDefault="00213BE5" w:rsidP="00690186">
      <w:pPr>
        <w:pStyle w:val="Heading3"/>
        <w:spacing w:line="240" w:lineRule="auto"/>
        <w:rPr>
          <w:rFonts w:eastAsia="Times New Roman" w:cstheme="minorHAnsi"/>
          <w:color w:val="auto"/>
        </w:rPr>
      </w:pPr>
      <w:bookmarkStart w:id="94" w:name="_Toc26181300"/>
      <w:bookmarkStart w:id="95" w:name="_Toc155267892"/>
      <w:r w:rsidRPr="00564DC7">
        <w:rPr>
          <w:rFonts w:eastAsia="Times New Roman" w:cstheme="minorHAnsi"/>
          <w:color w:val="auto"/>
        </w:rPr>
        <w:lastRenderedPageBreak/>
        <w:t>II.3.3</w:t>
      </w:r>
      <w:r w:rsidR="00AA0999" w:rsidRPr="00564DC7">
        <w:rPr>
          <w:rFonts w:eastAsia="Times New Roman" w:cstheme="minorHAnsi"/>
          <w:color w:val="auto"/>
        </w:rPr>
        <w:t>.  Şcoala Naţională de Grefieri</w:t>
      </w:r>
      <w:bookmarkEnd w:id="94"/>
      <w:bookmarkEnd w:id="95"/>
    </w:p>
    <w:p w14:paraId="425D5C6A" w14:textId="77777777" w:rsidR="00A52FAE" w:rsidRPr="00564DC7" w:rsidRDefault="00A52FAE" w:rsidP="00690186">
      <w:pPr>
        <w:ind w:firstLine="708"/>
        <w:jc w:val="both"/>
        <w:rPr>
          <w:rFonts w:asciiTheme="minorHAnsi" w:hAnsiTheme="minorHAnsi" w:cstheme="minorHAnsi"/>
          <w:b/>
          <w:sz w:val="26"/>
          <w:szCs w:val="26"/>
        </w:rPr>
      </w:pPr>
      <w:r w:rsidRPr="00564DC7">
        <w:rPr>
          <w:rFonts w:asciiTheme="minorHAnsi" w:hAnsiTheme="minorHAnsi" w:cstheme="minorHAnsi"/>
          <w:b/>
          <w:sz w:val="26"/>
          <w:szCs w:val="26"/>
        </w:rPr>
        <w:t>Activitatea în domeniul formării profesionale a personalului auxiliar</w:t>
      </w:r>
    </w:p>
    <w:p w14:paraId="12AF2B32" w14:textId="77777777" w:rsidR="00A52FAE"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i/>
          <w:sz w:val="26"/>
          <w:szCs w:val="26"/>
        </w:rPr>
        <w:t>Formarea profesională inițială</w:t>
      </w:r>
      <w:r w:rsidRPr="00564DC7">
        <w:rPr>
          <w:rFonts w:asciiTheme="minorHAnsi" w:hAnsiTheme="minorHAnsi" w:cstheme="minorHAnsi"/>
          <w:sz w:val="26"/>
          <w:szCs w:val="26"/>
        </w:rPr>
        <w:t xml:space="preserve"> organizată de Școala Națională de Grefieri în temeiul Legii nr. 567/2004 continuă să aibă în vedere exclusiv pregătirea grefierilor cu studii superioare juridice, activitatea de formare inițială a Școlii răspunzând necesității ocupării posturilor vacante de grefieri cu studii superioare juridice cu personal calificat. </w:t>
      </w:r>
    </w:p>
    <w:p w14:paraId="6518EB16" w14:textId="77777777" w:rsidR="00A52FAE"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Prin Hotărârea nr. 29/07 martie 2023 Plenul Consiliului Superior al Magistraturii a aprobat organizarea concursului de admitere la Școala Națională de Grefieri, la data de 07 mai 2023, pentru un număr de 90 de posturi de grefier cu studii superioare juridice, din care 60 de locuri alocate instanțelor judecătorești și 30 de locuri pentru parchete. </w:t>
      </w:r>
    </w:p>
    <w:p w14:paraId="07FFA79A"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Astfel, în perioada 07 mai - 19 iunie 2023 s-a desfășurat concursul de admitere la Școala Națională de Grefieri, ultima etapă a calendarului de concurs, constând în verificarea bunei reputații a candidaților declarați admiși, având loc în perioada 31 mai - 19 iunie 2023. </w:t>
      </w:r>
    </w:p>
    <w:p w14:paraId="75CD750A" w14:textId="568A8F0A" w:rsidR="00A52FAE" w:rsidRPr="00564DC7" w:rsidRDefault="00A52FAE" w:rsidP="00690186">
      <w:pPr>
        <w:ind w:right="-142" w:firstLine="709"/>
        <w:contextualSpacing/>
        <w:jc w:val="both"/>
        <w:rPr>
          <w:rFonts w:asciiTheme="minorHAnsi" w:hAnsiTheme="minorHAnsi" w:cstheme="minorHAnsi"/>
          <w:sz w:val="26"/>
          <w:szCs w:val="26"/>
        </w:rPr>
      </w:pPr>
      <w:r w:rsidRPr="00564DC7">
        <w:rPr>
          <w:rFonts w:asciiTheme="minorHAnsi" w:hAnsiTheme="minorHAnsi" w:cstheme="minorHAnsi"/>
          <w:sz w:val="26"/>
          <w:szCs w:val="26"/>
        </w:rPr>
        <w:t xml:space="preserve">La probele scrise din data de 07 mai 2023 au participat un număr de 433 candidați pentru 90 de locuri, concurența fiind astfel de aproximativ 5 candidați pe loc. Prin Hotărârea nr. 111/28 iunie 2023, Plenul Consiliului Superior al Magistraturii a dispus validarea rezultatelor concursului de admitere la Şcoala Naţională de Grefieri din data de 07 mai 2023, conform tabelului de clasificare din Anexa 1, parte integrantă a hotărârii, fiind declarați ca admiși 90 de candidați, menționați în Anexa 2 a hotărârii, publicată pe site-urile CSM și SNG (30 posturi de grefieri pentru parchete și 60 posturi de grefieri pentru instanțe). </w:t>
      </w:r>
    </w:p>
    <w:p w14:paraId="66100661"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La data de 11 septembrie 2023 au debutat cursurile de formare inițială pentru promoția 2023-2024. Durata de școlarizare este de 6 luni (11 septembrie 2023 - 11 martie 2024), cursanții</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promoției 2023-2024 urmând a fi repartizați pe posturi în instanțe și parchete la data de 11 martie 2024. </w:t>
      </w:r>
    </w:p>
    <w:p w14:paraId="0FD199EC"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La propunerea Şcolii Naţionale de Grefieri, ca în fiecare an școlar, au fost aprobate, prin hotărâri ale Plenului Consiliului Superior al Magistraturii, Structura anului şcolar (Hotărârea nr. 33/07 martie 2023), Planul de învăţământ – specializarea grefieri pentru instanţe şi Planul de învăţământ – specializarea grefieri pentru parchete (Hotărârea nr. 102/ 15 iunie 2023), precum şi Reţeaua de formatori (personalul de instruire) a Şcolii Naţionale de Grefieri pentru formarea iniţială (Hotărârile nr. 101/15 iunie 2023 și 137/24 august 2023). </w:t>
      </w:r>
    </w:p>
    <w:p w14:paraId="770AAEAD" w14:textId="77777777" w:rsidR="00A52FAE" w:rsidRPr="00564DC7" w:rsidRDefault="00A52FAE" w:rsidP="00690186">
      <w:pPr>
        <w:pStyle w:val="AddParagraf"/>
        <w:spacing w:after="0"/>
        <w:ind w:right="-142"/>
        <w:rPr>
          <w:rFonts w:asciiTheme="minorHAnsi" w:hAnsiTheme="minorHAnsi" w:cstheme="minorHAnsi"/>
          <w:sz w:val="26"/>
          <w:szCs w:val="26"/>
        </w:rPr>
      </w:pPr>
      <w:r w:rsidRPr="00564DC7">
        <w:rPr>
          <w:rFonts w:asciiTheme="minorHAnsi" w:hAnsiTheme="minorHAnsi" w:cstheme="minorHAnsi"/>
          <w:sz w:val="26"/>
          <w:szCs w:val="26"/>
        </w:rPr>
        <w:t>Planul de învăţământ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caracterul practic și aplicat al activităţii de învăţământ. Cursurile/seminarele se concretizează în dezbateri şi/sau aplicaţii practice, având ca scop acoperirea palierelor activităţii grefierilor din instanţele judecătoreşti şi parchete, urmărindu-se astfel dobândirea de către cursanţi a deprinderilor profesionale întemeiate pe cunoştinţe juridice solide și la un standard ridicat, deschiderea şi responsabilizarea acestora pentru noi atribuţii, fără a fi neglijate aspectele legate de deontologie sau dobândirea unor abilităţi non juridice.</w:t>
      </w:r>
    </w:p>
    <w:p w14:paraId="6FDC08AC" w14:textId="77777777" w:rsidR="00A52FAE" w:rsidRPr="00564DC7" w:rsidRDefault="00A52FAE" w:rsidP="00690186">
      <w:pPr>
        <w:pStyle w:val="AddParagraf"/>
        <w:spacing w:after="0"/>
        <w:ind w:right="-142"/>
        <w:rPr>
          <w:rFonts w:asciiTheme="minorHAnsi" w:hAnsiTheme="minorHAnsi" w:cstheme="minorHAnsi"/>
          <w:sz w:val="26"/>
          <w:szCs w:val="26"/>
        </w:rPr>
      </w:pPr>
      <w:r w:rsidRPr="00564DC7">
        <w:rPr>
          <w:rFonts w:asciiTheme="minorHAnsi" w:hAnsiTheme="minorHAnsi" w:cstheme="minorHAnsi"/>
          <w:sz w:val="26"/>
          <w:szCs w:val="26"/>
        </w:rPr>
        <w:t>Planul de învăţământ</w:t>
      </w:r>
      <w:r w:rsidRPr="00564DC7">
        <w:rPr>
          <w:rFonts w:asciiTheme="minorHAnsi" w:hAnsiTheme="minorHAnsi" w:cstheme="minorHAnsi"/>
          <w:i/>
          <w:sz w:val="26"/>
          <w:szCs w:val="26"/>
        </w:rPr>
        <w:t xml:space="preserve"> </w:t>
      </w:r>
      <w:r w:rsidRPr="00564DC7">
        <w:rPr>
          <w:rFonts w:asciiTheme="minorHAnsi" w:hAnsiTheme="minorHAnsi" w:cstheme="minorHAnsi"/>
          <w:sz w:val="26"/>
          <w:szCs w:val="26"/>
        </w:rPr>
        <w:t xml:space="preserve">are drept fundament o modularizare a activităţilor de formare iniţială, pe discipline şi etapizat în timp. Astfel, disciplinele fundamentale, cărora le sunt alocate cele mai multe ore, sunt studiate în întreaga perioadă de şcolarizare. După însuşirea unor noţiuni de bază de procedură civilă sau penală, pot fi mai uşor asimilate, în a doua parte a anului şcolar, alte materii specializate, cu conţinut aplicat (precum executări civile sau executări penale). Alte discipline din programa de învăţământ trebuie studiate în module, pentru a permite, în cadrul unui număr de ore limitat, însuşirea cunoştinţelor fundamentale specifice formării iniţiale. </w:t>
      </w:r>
    </w:p>
    <w:p w14:paraId="6745A8FD"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Formarea inițială în cadrul Școlii urmărește cu precădere organizarea de acţiuni de formare profesională în raport de Codurile de procedură și legislația conexă. </w:t>
      </w:r>
    </w:p>
    <w:p w14:paraId="7670F183"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Astfel, în planul de învățământ, ponderea cea mai mare, în mod firesc, o au disciplinele juridice fundamentale: Procedură civilă şi Procedură penală – pentru cursanții specializarea grefieri pentru instanţe, respectiv Urmărire penală şi Informatică aplicată, în cazul cursanților specializarea grefieri pentru parchete, având în vedere nevoia de formare a viitorilor grefieri în acest sens. Planul de învățământ cuprinde și alte discipline esențiale în pregătirea viitorilor grefieri, precum Informatică aplicată (Windows, Word, ECRIS), Registratură, grefă și arhivă (în cazul cursanților specializarea grefieri pentru parchete), Dactilografie, Cooperare judiciară internațională, Dreptul Uniunii Europene sau Drepturile omului în procesul civil și penal. </w:t>
      </w:r>
    </w:p>
    <w:p w14:paraId="65EE153D"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Activitatea de formare vizează şi cooordonarea între disciplinele juridice (procedură civilă, procedură penală) şi cele tehnice (operarea în sistemul ECRIS, dactilografie), în cadrul fiecărei discipline urmărindu-se accentuarea şi a componentei tehnice. Astfel, predarea instituţiilor juridice este dublată de o pregătire practică aplicată, aptă să ajute viitorii grefieri în îndeplinirea atribuţiilor care le vor reveni în instanţe şi parchete.</w:t>
      </w:r>
    </w:p>
    <w:p w14:paraId="79B1BFAA"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Totodată, un loc important îl are şi disciplina Managementul activităţii grefierului, pentru a permite inclusiv studiul modificărilor aduse, urmare a Codurilor de procedură, în legislaţia subsecventă relevantă în procesul de formare a grefierilor (precum regulamentul de ordine interioară al instanţelor/parchetelor). Astfel, dispozițiile legale din codurile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 </w:t>
      </w:r>
    </w:p>
    <w:p w14:paraId="3312DC49"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Activitatea de formare practică a cursanţilor vizează şi componenta non juridică, în cadrul disciplinelor Deontologie şi Abilităţi non juridice, accentul fiind pus pe comunicarea internă - comportamentul profesional în cadrul echipei magistrat – grefier şi cea externă - în raporturile grefierilor cu ceilalţi participanţi la actul de justiţie. </w:t>
      </w:r>
    </w:p>
    <w:p w14:paraId="7599BC5A"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Stagiul practic, efectuat în cadrul judecătoriilor şi parchetelor de pe lângă judecătoriile din Bucureşti, sub coordonarea şi supravegherea îndrumătorilor de stagiu, se desfăşoară potrivit unui program stabilit şi comunicat instanţelor judecătoreşti şi parchetelor. Atât în instanţe, cât şi la parchete, cursanţilor li se oferă posibilitatea să cunoască activitatea compartimentelor instanţelor judecătoreşti, respectiv, parchetelor, atribuţiile specifice grefierilor şi chiar să lucreze efectiv, îndeplinind toate sarcinile ce le revin în exercitarea acestei profesii. Prima etapă a stagiului practic se derulează în perioada 30 octombrie - 12 noiembrie 2023, iar cea de a doua în perioada 01-14 ianuarie 2024. </w:t>
      </w:r>
    </w:p>
    <w:p w14:paraId="25DBAEC0" w14:textId="77777777" w:rsidR="00A52FAE" w:rsidRPr="00564DC7" w:rsidRDefault="00A52FAE" w:rsidP="00690186">
      <w:pPr>
        <w:pStyle w:val="AddParagraf"/>
        <w:spacing w:after="0"/>
        <w:ind w:right="-142"/>
        <w:rPr>
          <w:rFonts w:asciiTheme="minorHAnsi" w:hAnsiTheme="minorHAnsi" w:cstheme="minorHAnsi"/>
          <w:sz w:val="26"/>
          <w:szCs w:val="26"/>
        </w:rPr>
      </w:pPr>
      <w:r w:rsidRPr="00564DC7">
        <w:rPr>
          <w:rFonts w:asciiTheme="minorHAnsi" w:eastAsia="Calibri" w:hAnsiTheme="minorHAnsi" w:cstheme="minorHAnsi"/>
          <w:sz w:val="26"/>
          <w:szCs w:val="26"/>
        </w:rPr>
        <w:t xml:space="preserve">Departamentul de formare profesională inițială realizează şi </w:t>
      </w:r>
      <w:r w:rsidRPr="00564DC7">
        <w:rPr>
          <w:rFonts w:asciiTheme="minorHAnsi" w:eastAsia="Calibri" w:hAnsiTheme="minorHAnsi" w:cstheme="minorHAnsi"/>
          <w:i/>
          <w:sz w:val="26"/>
          <w:szCs w:val="26"/>
        </w:rPr>
        <w:t xml:space="preserve">formarea iniţială a grefierilor arhivari şi a grefierilor registratori. </w:t>
      </w:r>
      <w:r w:rsidRPr="00564DC7">
        <w:rPr>
          <w:rFonts w:asciiTheme="minorHAnsi" w:eastAsia="Calibri" w:hAnsiTheme="minorHAnsi" w:cstheme="minorHAnsi"/>
          <w:sz w:val="26"/>
          <w:szCs w:val="26"/>
        </w:rPr>
        <w:t xml:space="preserve">Această formă de pregătire iniţială se desfăşoară în temeiul programului de stagiu adoptat de Şcoală şi aprobat de către Consiliul Superior al Magistraturii (prin Hotărârea Plenului nr. 647/2010), în funcţie de concursurile </w:t>
      </w:r>
      <w:r w:rsidRPr="00564DC7">
        <w:rPr>
          <w:rFonts w:asciiTheme="minorHAnsi" w:hAnsiTheme="minorHAnsi" w:cstheme="minorHAnsi"/>
          <w:sz w:val="26"/>
          <w:szCs w:val="26"/>
        </w:rPr>
        <w:t xml:space="preserve">de ocupare a respectivelor posturi, organizate de curţile de apel şi parchetele de pe lângă acestea. Până în prezent, s-a finalizat stagiul de specializare pentru un număr de 3 grefieri arhivari pentru instanțe, fiind în curs de derulare stagiul de specializare pentru 4 grefieri arhivari pentru instanțe și 2 grefieri arhivari pentru parchete. </w:t>
      </w:r>
    </w:p>
    <w:p w14:paraId="77CBBE82" w14:textId="77777777" w:rsidR="00A52FAE" w:rsidRPr="00564DC7" w:rsidRDefault="00A52FAE" w:rsidP="00690186">
      <w:pPr>
        <w:pStyle w:val="AddParagraf"/>
        <w:spacing w:after="0"/>
        <w:ind w:right="-142"/>
        <w:rPr>
          <w:rFonts w:asciiTheme="minorHAnsi" w:hAnsiTheme="minorHAnsi" w:cstheme="minorHAnsi"/>
          <w:sz w:val="26"/>
          <w:szCs w:val="26"/>
        </w:rPr>
      </w:pPr>
      <w:r w:rsidRPr="00564DC7">
        <w:rPr>
          <w:rFonts w:asciiTheme="minorHAnsi" w:hAnsiTheme="minorHAnsi" w:cstheme="minorHAnsi"/>
          <w:sz w:val="26"/>
          <w:szCs w:val="26"/>
        </w:rPr>
        <w:t>Nu în ultimul rând, trebuie menționat faptul că tot în anul 2023, la data de 08 februarie 2023, au fost repartizați pe posturi ultimii 4 absolvenți ai promoției 2022, specializarea grefieri pentru instanțe.</w:t>
      </w:r>
    </w:p>
    <w:p w14:paraId="5E587B5C"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i/>
          <w:sz w:val="26"/>
          <w:szCs w:val="26"/>
        </w:rPr>
        <w:t>Activitatea de formare profesională continuă</w:t>
      </w:r>
      <w:r w:rsidRPr="00564DC7">
        <w:rPr>
          <w:rFonts w:asciiTheme="minorHAnsi" w:hAnsiTheme="minorHAnsi" w:cstheme="minorHAnsi"/>
          <w:sz w:val="26"/>
          <w:szCs w:val="26"/>
        </w:rPr>
        <w:t xml:space="preserve"> a personalului auxiliar de specialitate din cadrul instanţelor judecătoreşti şi parchetelor de pe lângă acestea, organizată de către Şcoala Naţională de Grefieri, se desfăşoară pe baza programului anual aprobat de către Consiliul Superior </w:t>
      </w:r>
      <w:r w:rsidRPr="00564DC7">
        <w:rPr>
          <w:rFonts w:asciiTheme="minorHAnsi" w:hAnsiTheme="minorHAnsi" w:cstheme="minorHAnsi"/>
          <w:sz w:val="26"/>
          <w:szCs w:val="26"/>
        </w:rPr>
        <w:lastRenderedPageBreak/>
        <w:t xml:space="preserve">al Magistraturii în temeiul dispoziţiilor art. 30 din Legea nr. 567/2004 privind statutul personalului auxiliar de specialitate din instanţele judecătoreşti şi parchetele de pe lângă acestea și al personalului care funcționează în cadrul INEC, cu modificările și completările ulterioare, coroborate cu prevederile art. 41 şi urm. din Hotărârea Plenului Consiliului Superior al Magistraturii nr. 183/2007 pentru aprobarea Regulamentului de organizare şi funcţionare al Şcolii Naţionale de Grefieri, cu modificările și completările ulterioare. </w:t>
      </w:r>
    </w:p>
    <w:p w14:paraId="03815543"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La data 23 decembrie 2021, Școala Națională de Grefieri, în calitate de beneficiar unic, a semnat Contractul de finanțare nr. 622 cu Ministerul Dezvoltării, Lucrărilor Publice și Administrației privind acordarea unei finanțări nerambursabile de către Autoritatea de Management pentru Programul Operațional Capacitate Administrativă (AMPOCA), pentru implementarea proiectului cu titlul „</w:t>
      </w:r>
      <w:r w:rsidRPr="00564DC7">
        <w:rPr>
          <w:rFonts w:asciiTheme="minorHAnsi" w:hAnsiTheme="minorHAnsi" w:cstheme="minorHAnsi"/>
          <w:iCs/>
          <w:sz w:val="26"/>
          <w:szCs w:val="26"/>
        </w:rPr>
        <w:t>Formare eficientă pentru practici etice, administrative și judiciare unitare (FEPEAJU)”,</w:t>
      </w:r>
      <w:r w:rsidRPr="00564DC7">
        <w:rPr>
          <w:rFonts w:asciiTheme="minorHAnsi" w:hAnsiTheme="minorHAnsi" w:cstheme="minorHAnsi"/>
          <w:sz w:val="26"/>
          <w:szCs w:val="26"/>
        </w:rPr>
        <w:t xml:space="preserve"> cod SIPOCA/Mysmis 1156/152441.</w:t>
      </w:r>
    </w:p>
    <w:p w14:paraId="13B0A0D7"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Durata estimată a proiectului este de 24 luni și își propune să contribuie la atingerea rezultatului de program R1: Cunoștințe profesionale și abilități îmbunătățite la nivelul sistemului judiciar, în special în ceea ce privește noile coduri juridice.</w:t>
      </w:r>
    </w:p>
    <w:p w14:paraId="7A17261A"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Pentru atingerea acestui rezultat așteptat al programului POCA, vor fi avute în vedere următoarele rezultate ale proiectului:</w:t>
      </w:r>
    </w:p>
    <w:p w14:paraId="651DB704"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Rezultatul 1 - Cunoștințe și abilități profesionale îmbunătățite la nivelul personalului auxiliar de specialitate din cadrul instanțelor și parchetelor, în domeniul unificării practicilor administrative și judiciare, prin organizarea a 154 de acțiuni de formare și elaborarea a 60 de materiale didactice audio-video, în domenii precum: codurile de procedură civilă și penală și legislația conexă; legile de executare a dispozițiilor organelor judiciare; insolvența și alte domenii reglementate de legislația specială; cooperarea judiciară internațională; managementul judiciar; sistemele informatice utilizate în cadrul sistemului judiciar; domenii conexe ce asigură buna administrare a justiției.</w:t>
      </w:r>
    </w:p>
    <w:p w14:paraId="40031328"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În cadrul acestui rezultat vor fi formați în total aproximativ 3.780 de grefieri, din care aproximativ 2.880 de grefieri în acțiuni de tipul face to face și aproximativ 900 de grefieri în acțiuni online (de tip webinar și eLearning).</w:t>
      </w:r>
    </w:p>
    <w:p w14:paraId="5102C54A"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Pe lângă derularea acțiunilor de formare, SNG își propune elaborarea a 60 de materiale didactice audio-video de tip tutorial și prezentări video în domeniul unificării practicilor administrative și judiciare, ce urmează să fie diseminate către întregul personal din instanțe și parchete. </w:t>
      </w:r>
    </w:p>
    <w:p w14:paraId="725786F7"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Rezultatul 2 - Cunoștințe și abilități profesionale îmbunătățite la nivelul personalului auxiliar de specialitate din cadrul instanțelor și parchetelor, în domeniul eticii profesionale și abilităților non-juridice, prin organizarea a 30 de acțiuni de formare. </w:t>
      </w:r>
    </w:p>
    <w:p w14:paraId="22E19ED4"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În cadrul acestui rezultat vor fi formați în total aproximativ 660 de grefieri, din care aproximativ 480 de grefieri în acțiuni de tipul face to face şi aproximativ 180 de grefieri în acțiuni online (de tip webinar).</w:t>
      </w:r>
    </w:p>
    <w:p w14:paraId="4496F079"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Potrivit Programului multianual de formare aferent proiectului, aprobat de Plenul Consiliului Superior al Magistraturii prin Hotărârea nr. 22/11 februarie 2022, din totalul celor 184 de acțiuni de formare continuă menționate anterior, 152 se vor derula în format face to face, iar restul de 32, în format online. În privința sesiunilor de formare face to face, 102 se vor derula la nivel centralizat, iar 50 la nivel descentralizat, la sediul Înaltei Curți de Casație și Justiție, sediile curților de apel și/sau al tribunalelor, respectiv al parchetelor de pe lângă acestea.</w:t>
      </w:r>
    </w:p>
    <w:p w14:paraId="6D943A68"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anul 2023, prin Hotărârea Plenului Consiliului Superior al Magistraturii nr. 31/07 martie 2023 a fost completat Programul multianual de formare profesională continuă a personalului auxiliar de specialitate din cadrul instanțelor și parchetelor de pe lângă acestea pentru anii 2022-2023. </w:t>
      </w:r>
    </w:p>
    <w:p w14:paraId="6A91898F"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Totodată, prin Hotărârile Plenului Consiliului Superior al Magistraturii nr. 30 și 32 din 07 martie 2023 a fost completată și modificată Rețeaua multianuală de formatori a Școlii Naționale de </w:t>
      </w:r>
      <w:r w:rsidRPr="00564DC7">
        <w:rPr>
          <w:rFonts w:asciiTheme="minorHAnsi" w:hAnsiTheme="minorHAnsi" w:cstheme="minorHAnsi"/>
          <w:sz w:val="26"/>
          <w:szCs w:val="26"/>
        </w:rPr>
        <w:lastRenderedPageBreak/>
        <w:t>Grefieri pentru formare continuă, pentru anii 2022-2023 (aprobată prin Hotărârea Plenului Consiliului Superior al Magistraturii nr. 42/17 martie 2022).</w:t>
      </w:r>
    </w:p>
    <w:p w14:paraId="6C5734CC" w14:textId="4E405BAD"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În anul 2023, din totalul acțiunilor de formare programate în cadrul proiectului „Formare eficientă pentru practici etice, administrative și judiciare unitare (FEPEAJU)”, cod SIPOCA/Mysmis 1156/152441, au fost derulate 68 de acțiuni de formare, în format face to face (de tip centralizat și descentralizat), precum și în format online (de tip webinar și eLearning), după cum urmează:</w:t>
      </w:r>
      <w:r w:rsidR="007E3A56">
        <w:rPr>
          <w:rFonts w:asciiTheme="minorHAnsi" w:hAnsiTheme="minorHAnsi" w:cstheme="minorHAnsi"/>
          <w:sz w:val="26"/>
          <w:szCs w:val="26"/>
        </w:rPr>
        <w:t xml:space="preserve"> </w:t>
      </w:r>
      <w:r w:rsidRPr="00564DC7">
        <w:rPr>
          <w:rFonts w:asciiTheme="minorHAnsi" w:hAnsiTheme="minorHAnsi" w:cstheme="minorHAnsi"/>
          <w:sz w:val="26"/>
          <w:szCs w:val="26"/>
        </w:rPr>
        <w:t>18 acțiuni de tip descentralizat în domeniul unificării practicilor administrative și judiciare și în domenii conexe ce asigură buna administrare a justiției;</w:t>
      </w:r>
      <w:r w:rsidR="007E3A56">
        <w:rPr>
          <w:rFonts w:asciiTheme="minorHAnsi" w:hAnsiTheme="minorHAnsi" w:cstheme="minorHAnsi"/>
          <w:sz w:val="26"/>
          <w:szCs w:val="26"/>
        </w:rPr>
        <w:t xml:space="preserve"> </w:t>
      </w:r>
      <w:r w:rsidRPr="00564DC7">
        <w:rPr>
          <w:rFonts w:asciiTheme="minorHAnsi" w:hAnsiTheme="minorHAnsi" w:cstheme="minorHAnsi"/>
          <w:sz w:val="26"/>
          <w:szCs w:val="26"/>
        </w:rPr>
        <w:t>37 de acțiuni de tip centralizat (29 în domeniul unificării practicilor administrative și judiciare, dintre care 6 acțiuni destinate grefierilor debutanți și 8 acțiuni în domeniul eticii profesionale și abilităților non-juridice);</w:t>
      </w:r>
      <w:r w:rsidR="007E3A56">
        <w:rPr>
          <w:rFonts w:asciiTheme="minorHAnsi" w:hAnsiTheme="minorHAnsi" w:cstheme="minorHAnsi"/>
          <w:sz w:val="26"/>
          <w:szCs w:val="26"/>
        </w:rPr>
        <w:t xml:space="preserve"> </w:t>
      </w:r>
      <w:r w:rsidRPr="00564DC7">
        <w:rPr>
          <w:rFonts w:asciiTheme="minorHAnsi" w:hAnsiTheme="minorHAnsi" w:cstheme="minorHAnsi"/>
          <w:sz w:val="26"/>
          <w:szCs w:val="26"/>
        </w:rPr>
        <w:t xml:space="preserve">13 acțiuni derulate online (6 acțiuni de tip webinar în domeniul unificării practicilor administrative și judiciare, 3 acțiuni de tip webinar în domeniul eticii profesionale, 4 acțiuni de tip eLearning), în total înregistrându-se 1.675 de participări din rândul grefierilor din cadrul instanțelor și parchetelor. </w:t>
      </w:r>
    </w:p>
    <w:p w14:paraId="18004857" w14:textId="77777777" w:rsidR="00A52FAE" w:rsidRPr="00564DC7" w:rsidRDefault="00A52FAE" w:rsidP="00690186">
      <w:pPr>
        <w:overflowPunct w:val="0"/>
        <w:ind w:firstLine="709"/>
        <w:jc w:val="both"/>
        <w:textAlignment w:val="baseline"/>
        <w:rPr>
          <w:rFonts w:asciiTheme="minorHAnsi" w:hAnsiTheme="minorHAnsi" w:cstheme="minorHAnsi"/>
          <w:sz w:val="26"/>
          <w:szCs w:val="26"/>
        </w:rPr>
      </w:pPr>
      <w:r w:rsidRPr="00564DC7">
        <w:rPr>
          <w:rFonts w:asciiTheme="minorHAnsi" w:hAnsiTheme="minorHAnsi" w:cstheme="minorHAnsi"/>
          <w:sz w:val="26"/>
          <w:szCs w:val="26"/>
        </w:rPr>
        <w:t>Pe lângă organizarea acțiunilor de formare, au fost editate și încărcate în platforma eLearning 7 materiale didactice de tip prezentare video și 35 de tutoriale, în domenii precum: codurile de procedură civilă și penală și legislație conexă; legile de executare a dispozițiilor organelor judiciare; cooperare judiciară internațională; sisteme informatice utilizate în cadrul sistemului judiciar.</w:t>
      </w:r>
    </w:p>
    <w:p w14:paraId="2E359B17" w14:textId="205FD878" w:rsidR="00A52FAE" w:rsidRPr="00564DC7" w:rsidRDefault="00A52FAE" w:rsidP="00690186">
      <w:pPr>
        <w:overflowPunct w:val="0"/>
        <w:ind w:firstLine="709"/>
        <w:jc w:val="both"/>
        <w:textAlignment w:val="baseline"/>
        <w:rPr>
          <w:rFonts w:asciiTheme="minorHAnsi" w:hAnsiTheme="minorHAnsi" w:cstheme="minorHAnsi"/>
          <w:sz w:val="26"/>
          <w:szCs w:val="26"/>
        </w:rPr>
      </w:pPr>
      <w:r w:rsidRPr="00564DC7">
        <w:rPr>
          <w:rFonts w:asciiTheme="minorHAnsi" w:hAnsiTheme="minorHAnsi" w:cstheme="minorHAnsi"/>
          <w:sz w:val="26"/>
          <w:szCs w:val="26"/>
        </w:rPr>
        <w:t xml:space="preserve">Totodată, pe platforma de formare profesională se derulează în prezent 2 cursuri de tip eLearning, respectiv „Aspecte jurisprudențiale și soluții de unificare a practicilor administrative și de evidență electronică în faza urmăririi penale” și „Reflectarea activității grefierului în aplicația ECRIS – în materie civilă”. </w:t>
      </w:r>
    </w:p>
    <w:p w14:paraId="598B97D2" w14:textId="77777777" w:rsidR="00A52FAE" w:rsidRPr="00564DC7" w:rsidRDefault="00A52FAE" w:rsidP="00690186">
      <w:pPr>
        <w:ind w:right="-142" w:firstLine="709"/>
        <w:jc w:val="both"/>
        <w:rPr>
          <w:rFonts w:asciiTheme="minorHAnsi" w:hAnsiTheme="minorHAnsi" w:cstheme="minorHAnsi"/>
          <w:sz w:val="26"/>
          <w:szCs w:val="26"/>
        </w:rPr>
      </w:pPr>
      <w:r w:rsidRPr="00564DC7">
        <w:rPr>
          <w:rFonts w:asciiTheme="minorHAnsi" w:hAnsiTheme="minorHAnsi" w:cstheme="minorHAnsi"/>
          <w:sz w:val="26"/>
          <w:szCs w:val="26"/>
        </w:rPr>
        <w:t>Prin intermediul secțiunii Biblioteca virtuală de pe platforma de formare online a Școlii Naționale de Grefieri, precum şi al newsletterelor, a fost facilitat accesul grefierilor din sistemul judiciar la un număr de aproximativ 461 de materiale didactice, dezvoltate atât în format scris, cât şi audio video.</w:t>
      </w:r>
    </w:p>
    <w:p w14:paraId="2DDA1F33" w14:textId="5B4C44A7" w:rsidR="00AA0999" w:rsidRPr="00564DC7" w:rsidRDefault="00A52FAE" w:rsidP="00690186">
      <w:pPr>
        <w:ind w:firstLine="708"/>
        <w:contextualSpacing/>
        <w:jc w:val="both"/>
        <w:rPr>
          <w:rFonts w:asciiTheme="minorHAnsi" w:hAnsiTheme="minorHAnsi" w:cstheme="minorHAnsi"/>
          <w:sz w:val="26"/>
          <w:szCs w:val="26"/>
        </w:rPr>
      </w:pPr>
      <w:r w:rsidRPr="00564DC7">
        <w:rPr>
          <w:rFonts w:asciiTheme="minorHAnsi" w:hAnsiTheme="minorHAnsi" w:cstheme="minorHAnsi"/>
          <w:sz w:val="26"/>
          <w:szCs w:val="26"/>
        </w:rPr>
        <w:t>În anul 2023 s-a continuat colaborarea cu magistrații care au atribuții în formarea trimestrială a grefierilor, cărora li s-a facilitat accesul la materialele didactice din Biblioteca virtuală, materiale care pot fi folosite în procesul de formare trimestrială, fiindu-le create conturi pe platforma de formare a Şcolii şi transmise newslettere periodice cu noile materiale dezvoltate şi încărcate.</w:t>
      </w:r>
    </w:p>
    <w:p w14:paraId="6D70A391" w14:textId="603D5320" w:rsidR="006C1588" w:rsidRPr="00564DC7" w:rsidRDefault="006C1588" w:rsidP="00690186">
      <w:pPr>
        <w:pStyle w:val="Heading2"/>
        <w:keepNext w:val="0"/>
        <w:keepLines w:val="0"/>
        <w:suppressLineNumbers/>
        <w:suppressAutoHyphens/>
        <w:spacing w:line="240" w:lineRule="auto"/>
        <w:rPr>
          <w:rFonts w:cstheme="minorHAnsi"/>
          <w:b w:val="0"/>
          <w:color w:val="auto"/>
          <w:lang w:val="ro-RO"/>
        </w:rPr>
      </w:pPr>
      <w:bookmarkStart w:id="96" w:name="_Toc430867116"/>
      <w:bookmarkStart w:id="97" w:name="_Toc155267893"/>
      <w:r w:rsidRPr="00564DC7">
        <w:rPr>
          <w:rFonts w:cstheme="minorHAnsi"/>
          <w:color w:val="auto"/>
          <w:lang w:val="ro-RO"/>
        </w:rPr>
        <w:t>II.4.</w:t>
      </w:r>
      <w:r w:rsidR="0076628D" w:rsidRPr="00564DC7">
        <w:rPr>
          <w:rFonts w:cstheme="minorHAnsi"/>
          <w:color w:val="auto"/>
          <w:lang w:val="ro-RO"/>
        </w:rPr>
        <w:t xml:space="preserve"> </w:t>
      </w:r>
      <w:r w:rsidRPr="00564DC7">
        <w:rPr>
          <w:rFonts w:cstheme="minorHAnsi"/>
          <w:color w:val="auto"/>
          <w:lang w:val="ro-RO"/>
        </w:rPr>
        <w:t>Evaluarea profesională a magistraţilor</w:t>
      </w:r>
      <w:bookmarkEnd w:id="96"/>
      <w:bookmarkEnd w:id="97"/>
      <w:r w:rsidRPr="00564DC7">
        <w:rPr>
          <w:rFonts w:cstheme="minorHAnsi"/>
          <w:color w:val="auto"/>
          <w:lang w:val="ro-RO"/>
        </w:rPr>
        <w:t xml:space="preserve"> </w:t>
      </w:r>
      <w:bookmarkStart w:id="98" w:name="_Toc430867117"/>
    </w:p>
    <w:p w14:paraId="4D0821B6" w14:textId="77777777" w:rsidR="00A52FAE"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Activitatea de evaluare profesională a magistraţilor este reglementată de dispoziţiile art. 87-107 din </w:t>
      </w:r>
      <w:r w:rsidRPr="00564DC7">
        <w:rPr>
          <w:rFonts w:asciiTheme="minorHAnsi" w:hAnsiTheme="minorHAnsi" w:cstheme="minorHAnsi"/>
          <w:i/>
          <w:sz w:val="26"/>
          <w:szCs w:val="26"/>
        </w:rPr>
        <w:t>Legea  nr. 303/2022 privind statutul judecătorilor şi procurorilor</w:t>
      </w:r>
      <w:r w:rsidRPr="00564DC7">
        <w:rPr>
          <w:rFonts w:asciiTheme="minorHAnsi" w:hAnsiTheme="minorHAnsi" w:cstheme="minorHAnsi"/>
          <w:sz w:val="26"/>
          <w:szCs w:val="26"/>
        </w:rPr>
        <w:t xml:space="preserve">, precum şi, după caz, de prevederile art. 39-art. 41 din </w:t>
      </w:r>
      <w:r w:rsidRPr="00564DC7">
        <w:rPr>
          <w:rFonts w:asciiTheme="minorHAnsi" w:hAnsiTheme="minorHAnsi" w:cstheme="minorHAnsi"/>
          <w:i/>
          <w:sz w:val="26"/>
          <w:szCs w:val="26"/>
        </w:rPr>
        <w:t>Legea nr. 303/2004 privind statutul judecătorilor şi procurorilor</w:t>
      </w:r>
      <w:r w:rsidRPr="00564DC7">
        <w:rPr>
          <w:rFonts w:asciiTheme="minorHAnsi" w:hAnsiTheme="minorHAnsi" w:cstheme="minorHAnsi"/>
          <w:sz w:val="26"/>
          <w:szCs w:val="26"/>
        </w:rPr>
        <w:t>, republicată, cu modificările şi completările ulterioare, ţinând seama de perioada supusă evaluării.</w:t>
      </w:r>
    </w:p>
    <w:p w14:paraId="4C021457" w14:textId="77777777" w:rsidR="00A52FAE" w:rsidRPr="00564DC7" w:rsidRDefault="00A52FAE" w:rsidP="00690186">
      <w:pPr>
        <w:shd w:val="clear" w:color="auto" w:fill="FFFFFF"/>
        <w:ind w:firstLine="709"/>
        <w:jc w:val="both"/>
        <w:rPr>
          <w:rFonts w:asciiTheme="minorHAnsi" w:hAnsiTheme="minorHAnsi" w:cstheme="minorHAnsi"/>
          <w:sz w:val="26"/>
          <w:szCs w:val="26"/>
        </w:rPr>
      </w:pPr>
      <w:r w:rsidRPr="00564DC7">
        <w:rPr>
          <w:rFonts w:asciiTheme="minorHAnsi" w:hAnsiTheme="minorHAnsi" w:cstheme="minorHAnsi"/>
          <w:sz w:val="26"/>
          <w:szCs w:val="26"/>
        </w:rPr>
        <w:t>În condiţiile în care activitatea de evaluare a judecătorilor şi procurorilor începută anterior datei de 18 octombrie 2018 (data intrării în vigoare a Legii nr. 242/2018), nu a fost finalizată la toate instanţele şi parchetele, în perioada 01 ianuarie 2023 – 31 octombrie 2023, Plenul Consiliului Superior al Magistraturii a emis un număr de 19 hotărâri de modificare a componenţei comisiilor de evaluare a magistraţilor ce erau constituite şi îşi desfăşurau activitatea în conformitate cu vechile reglementări (prin numirea/reînvestirea membrilor în comisiile de evaluare, după verificarea îndeplinirii condițiilor pentru calitatea de membru al comisiilor de evaluare profesională), în acord cu minuta Comisiei nr. 2 comună - Resurse umane şi organizare constituită în cadrul Consiliului Superior al Magistraturii, din data de 20 mai 2019 şi a dispoziţiilor tranzitorii, în materie, cuprinse în Legea nr. 242/2018 de modificare şi completare a Legii nr. 303/2004 privind statutul judecătorilor şi procurorilor, republicată, cu modificările şi completările ulterioare.</w:t>
      </w:r>
    </w:p>
    <w:p w14:paraId="06D3238D" w14:textId="77777777" w:rsidR="00A52FAE"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Legea stabilește calificativele cu care este apreciată activitatea judecătorilor şi procurorilor, respectiv „foarte bine”, „bine”, „suficient” și „insuficient”, precum și impactul lor asupra carierei magistratului și asupra calității sistemului judiciar. </w:t>
      </w:r>
    </w:p>
    <w:p w14:paraId="6D0798CF" w14:textId="77777777" w:rsidR="00A52FAE"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Art. 40 alin. (2) din Legea nr. 303/2004 republicată, cu modificările şi completările ulterioare, precum şi art. 102 alin. (1) din Legea 303/2022 prevăd că judecătorii sau procurorii nemulțumiți de calificativul acordat pot face contestație la secția corespunzătoare a Consiliului Superior al Magistraturii, în termen de 30 de zile de la comunicarea raportului de evaluare a activității profesionale.</w:t>
      </w:r>
    </w:p>
    <w:p w14:paraId="577E2D11" w14:textId="77777777" w:rsidR="00A52FAE"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Potrivit art. 40 alin. (4) din Legea nr. 303/2004, hotărârea secției poate fi atacată cu recurs la Secţia de contencios administrativ şi fiscal a curţii de apel, iar conform art. 102 alin. (8) din Legea nr. 303/2022,</w:t>
      </w:r>
      <w:r w:rsidRPr="00564DC7">
        <w:rPr>
          <w:rFonts w:asciiTheme="minorHAnsi" w:hAnsiTheme="minorHAnsi" w:cstheme="minorHAnsi"/>
        </w:rPr>
        <w:t xml:space="preserve"> </w:t>
      </w:r>
      <w:r w:rsidRPr="00564DC7">
        <w:rPr>
          <w:rFonts w:asciiTheme="minorHAnsi" w:hAnsiTheme="minorHAnsi" w:cstheme="minorHAnsi"/>
          <w:sz w:val="26"/>
          <w:szCs w:val="26"/>
        </w:rPr>
        <w:t>hotărârile secţiilor pot fi atacate la Secţia de contencios administrativ şi fiscal a Înaltei Curţi de Casaţie şi Justiţie.</w:t>
      </w:r>
    </w:p>
    <w:p w14:paraId="6A360025" w14:textId="1E93C65C" w:rsidR="0086328B" w:rsidRPr="00564DC7" w:rsidRDefault="00A52FAE"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În anul 2023 nu a fost formulată nicio contestație împotriva calificativului obținut la evaluarea profesională, de către un judecător/procuror nemulțumit de calificativul/punctajul acordat de membrii comisiei de evaluare.</w:t>
      </w:r>
      <w:r w:rsidR="0086328B" w:rsidRPr="00564DC7">
        <w:rPr>
          <w:rFonts w:asciiTheme="minorHAnsi" w:hAnsiTheme="minorHAnsi" w:cstheme="minorHAnsi"/>
          <w:sz w:val="26"/>
          <w:szCs w:val="26"/>
        </w:rPr>
        <w:t xml:space="preserve"> </w:t>
      </w:r>
    </w:p>
    <w:p w14:paraId="4DA7959C" w14:textId="77777777" w:rsidR="002E1B4C" w:rsidRPr="00564DC7" w:rsidRDefault="002E1B4C" w:rsidP="00690186">
      <w:pPr>
        <w:rPr>
          <w:rFonts w:asciiTheme="minorHAnsi" w:hAnsiTheme="minorHAnsi" w:cstheme="minorHAnsi"/>
        </w:rPr>
        <w:sectPr w:rsidR="002E1B4C" w:rsidRPr="00564DC7" w:rsidSect="00A3761E">
          <w:pgSz w:w="11906" w:h="16838" w:code="9"/>
          <w:pgMar w:top="567" w:right="851" w:bottom="567" w:left="851" w:header="567" w:footer="284" w:gutter="0"/>
          <w:cols w:space="708"/>
          <w:docGrid w:linePitch="381"/>
        </w:sectPr>
      </w:pPr>
    </w:p>
    <w:p w14:paraId="38A16335" w14:textId="77777777" w:rsidR="0086328B" w:rsidRPr="000363DB" w:rsidRDefault="0086328B" w:rsidP="00690186">
      <w:pPr>
        <w:rPr>
          <w:rFonts w:asciiTheme="minorHAnsi" w:hAnsiTheme="minorHAnsi" w:cstheme="minorHAnsi"/>
          <w:sz w:val="26"/>
          <w:szCs w:val="26"/>
        </w:rPr>
      </w:pPr>
    </w:p>
    <w:p w14:paraId="42B66AAF" w14:textId="77777777" w:rsidR="002E1B4C" w:rsidRPr="00564DC7" w:rsidRDefault="006C1588" w:rsidP="00690186">
      <w:pPr>
        <w:pStyle w:val="Heading1"/>
        <w:keepNext w:val="0"/>
        <w:keepLines w:val="0"/>
        <w:suppressLineNumbers/>
        <w:suppressAutoHyphens/>
        <w:spacing w:line="240" w:lineRule="auto"/>
        <w:ind w:firstLine="0"/>
        <w:rPr>
          <w:rStyle w:val="Heading1Char"/>
          <w:rFonts w:cstheme="minorHAnsi"/>
          <w:b/>
          <w:color w:val="auto"/>
        </w:rPr>
      </w:pPr>
      <w:bookmarkStart w:id="99" w:name="_Toc155267894"/>
      <w:r w:rsidRPr="00564DC7">
        <w:rPr>
          <w:rStyle w:val="Heading1Char"/>
          <w:rFonts w:cstheme="minorHAnsi"/>
          <w:b/>
          <w:color w:val="auto"/>
        </w:rPr>
        <w:t>CAPITOLUL III</w:t>
      </w:r>
      <w:bookmarkEnd w:id="98"/>
      <w:bookmarkEnd w:id="99"/>
    </w:p>
    <w:p w14:paraId="4FEA452C" w14:textId="761C9CC0" w:rsidR="006C1588" w:rsidRPr="00564DC7" w:rsidRDefault="006C1588" w:rsidP="00690186">
      <w:pPr>
        <w:pStyle w:val="Heading1"/>
        <w:keepNext w:val="0"/>
        <w:keepLines w:val="0"/>
        <w:suppressLineNumbers/>
        <w:suppressAutoHyphens/>
        <w:spacing w:line="240" w:lineRule="auto"/>
        <w:ind w:firstLine="0"/>
        <w:rPr>
          <w:rFonts w:cstheme="minorHAnsi"/>
          <w:color w:val="auto"/>
        </w:rPr>
      </w:pPr>
      <w:bookmarkStart w:id="100" w:name="_Toc155267895"/>
      <w:r w:rsidRPr="00564DC7">
        <w:rPr>
          <w:rStyle w:val="Heading1Char"/>
          <w:rFonts w:cstheme="minorHAnsi"/>
          <w:b/>
          <w:color w:val="auto"/>
        </w:rPr>
        <w:t>Activităţi derulate în legătură cu atribuţiile în materie legislativă ale</w:t>
      </w:r>
      <w:r w:rsidRPr="00564DC7">
        <w:rPr>
          <w:rFonts w:cstheme="minorHAnsi"/>
          <w:color w:val="auto"/>
        </w:rPr>
        <w:t xml:space="preserve"> Consiliului Superior al Magistraturii</w:t>
      </w:r>
      <w:bookmarkEnd w:id="100"/>
    </w:p>
    <w:p w14:paraId="696C95A1" w14:textId="5738932D" w:rsidR="006C1588" w:rsidRPr="00564DC7" w:rsidRDefault="006C1588" w:rsidP="00690186">
      <w:pPr>
        <w:pStyle w:val="Heading2"/>
        <w:keepNext w:val="0"/>
        <w:keepLines w:val="0"/>
        <w:suppressLineNumbers/>
        <w:suppressAutoHyphens/>
        <w:spacing w:line="240" w:lineRule="auto"/>
        <w:rPr>
          <w:rFonts w:cstheme="minorHAnsi"/>
          <w:b w:val="0"/>
          <w:color w:val="auto"/>
          <w:lang w:val="ro-RO"/>
        </w:rPr>
      </w:pPr>
      <w:bookmarkStart w:id="101" w:name="_Toc430867118"/>
      <w:bookmarkStart w:id="102" w:name="_Toc155267896"/>
      <w:r w:rsidRPr="00564DC7">
        <w:rPr>
          <w:rFonts w:cstheme="minorHAnsi"/>
          <w:color w:val="auto"/>
          <w:lang w:val="ro-RO"/>
        </w:rPr>
        <w:t>III.1.</w:t>
      </w:r>
      <w:r w:rsidR="00143852" w:rsidRPr="00564DC7">
        <w:rPr>
          <w:rFonts w:cstheme="minorHAnsi"/>
          <w:color w:val="auto"/>
          <w:lang w:val="ro-RO"/>
        </w:rPr>
        <w:t xml:space="preserve"> </w:t>
      </w:r>
      <w:r w:rsidRPr="00564DC7">
        <w:rPr>
          <w:rFonts w:cstheme="minorHAnsi"/>
          <w:color w:val="auto"/>
          <w:lang w:val="ro-RO"/>
        </w:rPr>
        <w:t>Avizarea unor proiecte de acte normative</w:t>
      </w:r>
      <w:bookmarkEnd w:id="101"/>
      <w:bookmarkEnd w:id="102"/>
      <w:r w:rsidRPr="00564DC7">
        <w:rPr>
          <w:rFonts w:cstheme="minorHAnsi"/>
          <w:color w:val="auto"/>
          <w:lang w:val="ro-RO"/>
        </w:rPr>
        <w:t xml:space="preserve"> </w:t>
      </w:r>
    </w:p>
    <w:p w14:paraId="7971FD53" w14:textId="77777777" w:rsidR="00A52FAE" w:rsidRPr="00564DC7" w:rsidRDefault="00A52FAE" w:rsidP="00690186">
      <w:pPr>
        <w:keepNext/>
        <w:keepLines/>
        <w:ind w:firstLine="708"/>
        <w:jc w:val="both"/>
        <w:rPr>
          <w:rFonts w:asciiTheme="minorHAnsi" w:hAnsiTheme="minorHAnsi" w:cstheme="minorHAnsi"/>
          <w:sz w:val="26"/>
          <w:szCs w:val="26"/>
        </w:rPr>
      </w:pPr>
      <w:r w:rsidRPr="00564DC7">
        <w:rPr>
          <w:rFonts w:asciiTheme="minorHAnsi" w:hAnsiTheme="minorHAnsi" w:cstheme="minorHAnsi"/>
          <w:sz w:val="26"/>
          <w:szCs w:val="26"/>
        </w:rPr>
        <w:t>În anul 2023, în exercitarea atribuțiilor conferite de art. 39 alin. (3) și (4) din Legea nr. 305/2022, Consiliului Superior al Magistraturii i-au fost înaintate spre avizare proiectele mai multor acte normative care privesc activitatea autorității judecătorești.</w:t>
      </w:r>
    </w:p>
    <w:p w14:paraId="25105769" w14:textId="77777777" w:rsidR="00A52FAE" w:rsidRPr="00564DC7" w:rsidRDefault="00A52FAE" w:rsidP="00690186">
      <w:pPr>
        <w:keepNext/>
        <w:keepLines/>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Dintre acestea, au fost </w:t>
      </w:r>
      <w:r w:rsidRPr="00564DC7">
        <w:rPr>
          <w:rFonts w:asciiTheme="minorHAnsi" w:hAnsiTheme="minorHAnsi" w:cstheme="minorHAnsi"/>
          <w:b/>
          <w:sz w:val="26"/>
          <w:szCs w:val="26"/>
        </w:rPr>
        <w:t>avizate favorabil</w:t>
      </w:r>
      <w:r w:rsidRPr="00564DC7">
        <w:rPr>
          <w:rFonts w:asciiTheme="minorHAnsi" w:hAnsiTheme="minorHAnsi" w:cstheme="minorHAnsi"/>
          <w:sz w:val="26"/>
          <w:szCs w:val="26"/>
        </w:rPr>
        <w:t xml:space="preserve"> următoarele proiecte de lege, ordonanțe ale guvernului sau hotărâri de guvern:</w:t>
      </w:r>
    </w:p>
    <w:p w14:paraId="7EF60D2A"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Propunerea legislativă privind statutul asistentului judecătorului</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sz w:val="26"/>
          <w:szCs w:val="26"/>
        </w:rPr>
        <w:t xml:space="preserve">– </w:t>
      </w:r>
      <w:r w:rsidRPr="00564DC7">
        <w:rPr>
          <w:rFonts w:asciiTheme="minorHAnsi" w:eastAsia="Calibri" w:hAnsiTheme="minorHAnsi" w:cstheme="minorHAnsi"/>
          <w:bCs/>
          <w:sz w:val="26"/>
          <w:szCs w:val="26"/>
        </w:rPr>
        <w:t>avizată favorabil prin</w:t>
      </w:r>
      <w:r w:rsidRPr="00564DC7">
        <w:rPr>
          <w:rFonts w:asciiTheme="minorHAnsi" w:eastAsia="Calibri" w:hAnsiTheme="minorHAnsi" w:cstheme="minorHAnsi"/>
          <w:b/>
          <w:sz w:val="26"/>
          <w:szCs w:val="26"/>
        </w:rPr>
        <w:t xml:space="preserve"> Hotărârea Plenului nr. 62 din 11 aprilie 2023</w:t>
      </w:r>
      <w:r w:rsidRPr="00564DC7">
        <w:rPr>
          <w:rFonts w:asciiTheme="minorHAnsi" w:eastAsia="Calibri" w:hAnsiTheme="minorHAnsi" w:cstheme="minorHAnsi"/>
          <w:bCs/>
          <w:sz w:val="26"/>
          <w:szCs w:val="26"/>
        </w:rPr>
        <w:t>;</w:t>
      </w:r>
    </w:p>
    <w:p w14:paraId="40640309"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Proiectul de Hotărâre de Guvern pentru modificarea și completarea Hotărârii Guvernului nr. 652/2009 privind organizarea și funcționarea Ministerului Justiției, precum și pentru suplimentarea numărului maxim de posturi prevăzut pentru Direcția Națională Anticorupție, transmis spre avizare de Ministerul Justiției</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sz w:val="26"/>
          <w:szCs w:val="26"/>
        </w:rPr>
        <w:t>–</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bCs/>
          <w:sz w:val="26"/>
          <w:szCs w:val="26"/>
        </w:rPr>
        <w:t>avizat favorabil</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sz w:val="26"/>
          <w:szCs w:val="26"/>
        </w:rPr>
        <w:t>prin</w:t>
      </w:r>
      <w:r w:rsidRPr="00564DC7">
        <w:rPr>
          <w:rFonts w:asciiTheme="minorHAnsi" w:eastAsia="Calibri" w:hAnsiTheme="minorHAnsi" w:cstheme="minorHAnsi"/>
          <w:b/>
          <w:sz w:val="26"/>
          <w:szCs w:val="26"/>
        </w:rPr>
        <w:t xml:space="preserve"> Hotărârea Plenului nr. 996 din 12 iulie 2023</w:t>
      </w:r>
      <w:r w:rsidRPr="00564DC7">
        <w:rPr>
          <w:rFonts w:asciiTheme="minorHAnsi" w:eastAsia="Calibri" w:hAnsiTheme="minorHAnsi" w:cstheme="minorHAnsi"/>
          <w:bCs/>
          <w:sz w:val="26"/>
          <w:szCs w:val="26"/>
        </w:rPr>
        <w:t>;</w:t>
      </w:r>
    </w:p>
    <w:p w14:paraId="57D556FF"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Proiectul de Hotărâre a Guvernului pentru modificarea şi completarea Hotărârii Guvernului nr. 652/2009 privind organizarea şi funcţionarea Ministerului Justiţiei – avizat favorabil</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sz w:val="26"/>
          <w:szCs w:val="26"/>
        </w:rPr>
        <w:t>prin</w:t>
      </w:r>
      <w:r w:rsidRPr="00564DC7">
        <w:rPr>
          <w:rFonts w:asciiTheme="minorHAnsi" w:eastAsia="Calibri" w:hAnsiTheme="minorHAnsi" w:cstheme="minorHAnsi"/>
          <w:b/>
          <w:sz w:val="26"/>
          <w:szCs w:val="26"/>
        </w:rPr>
        <w:t xml:space="preserve"> Hotărârea Secţiei pentru judecători nr. 1979 din 12 iulie 2023</w:t>
      </w:r>
      <w:r w:rsidRPr="00564DC7">
        <w:rPr>
          <w:rFonts w:asciiTheme="minorHAnsi" w:eastAsia="Calibri" w:hAnsiTheme="minorHAnsi" w:cstheme="minorHAnsi"/>
          <w:bCs/>
          <w:sz w:val="26"/>
          <w:szCs w:val="26"/>
        </w:rPr>
        <w:t>;</w:t>
      </w:r>
    </w:p>
    <w:p w14:paraId="2E774F9A"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sz w:val="26"/>
          <w:szCs w:val="26"/>
        </w:rPr>
        <w:t>Propunerea legislativă privind utilizarea semnăturii electronice, a mărcii temporale și prestarea serviciilor de încredere bazate pe acestea, în ceea ce privește propunerea de modificare a Legii nr. 304/2004 privind organizarea judiciară – avizată favorabil</w:t>
      </w:r>
      <w:r w:rsidRPr="00564DC7">
        <w:rPr>
          <w:rFonts w:asciiTheme="minorHAnsi" w:eastAsia="Calibri" w:hAnsiTheme="minorHAnsi" w:cstheme="minorHAnsi"/>
          <w:b/>
          <w:sz w:val="26"/>
          <w:szCs w:val="26"/>
        </w:rPr>
        <w:t xml:space="preserve"> Hotărârea Plenului nr. 141 din 14 septembrie 2023</w:t>
      </w:r>
      <w:r w:rsidRPr="00564DC7">
        <w:rPr>
          <w:rFonts w:asciiTheme="minorHAnsi" w:eastAsia="Calibri" w:hAnsiTheme="minorHAnsi" w:cstheme="minorHAnsi"/>
          <w:bCs/>
          <w:sz w:val="26"/>
          <w:szCs w:val="26"/>
        </w:rPr>
        <w:t>;</w:t>
      </w:r>
    </w:p>
    <w:p w14:paraId="32358E0E"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Propunerea legislativă pentru adoptarea unor măsuri în domeniul achizițiilor publice</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sz w:val="26"/>
          <w:szCs w:val="26"/>
        </w:rPr>
        <w:t xml:space="preserve">a fost </w:t>
      </w:r>
      <w:r w:rsidRPr="00564DC7">
        <w:rPr>
          <w:rFonts w:asciiTheme="minorHAnsi" w:eastAsia="Calibri" w:hAnsiTheme="minorHAnsi" w:cstheme="minorHAnsi"/>
          <w:bCs/>
          <w:sz w:val="26"/>
          <w:szCs w:val="26"/>
        </w:rPr>
        <w:t>avizată negativ</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sz w:val="26"/>
          <w:szCs w:val="26"/>
        </w:rPr>
        <w:t>prin</w:t>
      </w:r>
      <w:r w:rsidRPr="00564DC7">
        <w:rPr>
          <w:rFonts w:asciiTheme="minorHAnsi" w:eastAsia="Calibri" w:hAnsiTheme="minorHAnsi" w:cstheme="minorHAnsi"/>
          <w:b/>
          <w:sz w:val="26"/>
          <w:szCs w:val="26"/>
        </w:rPr>
        <w:t xml:space="preserve"> Hotărârea Plenului nr. 19 din 9 februarie 2023.</w:t>
      </w:r>
    </w:p>
    <w:p w14:paraId="438860F3" w14:textId="4B977106" w:rsidR="00D345F7" w:rsidRPr="00261D6B" w:rsidRDefault="00A52FAE" w:rsidP="00690186">
      <w:pPr>
        <w:pStyle w:val="NoSpacing"/>
        <w:ind w:firstLine="709"/>
        <w:jc w:val="both"/>
        <w:rPr>
          <w:rFonts w:asciiTheme="minorHAnsi" w:eastAsia="Calibri" w:hAnsiTheme="minorHAnsi" w:cstheme="minorHAnsi"/>
          <w:b/>
          <w:sz w:val="26"/>
          <w:szCs w:val="26"/>
          <w:lang w:val="ro-RO"/>
        </w:rPr>
      </w:pPr>
      <w:r w:rsidRPr="00261D6B">
        <w:rPr>
          <w:rFonts w:asciiTheme="minorHAnsi" w:eastAsia="Calibri" w:hAnsiTheme="minorHAnsi" w:cstheme="minorHAnsi"/>
          <w:bCs/>
          <w:sz w:val="26"/>
          <w:szCs w:val="26"/>
          <w:lang w:val="ro-RO"/>
        </w:rPr>
        <w:t>Propunerea legislativă pentru organizarea și funcționarea Direcției de Investigare a Infracțiunilor de Mediu, precum și modificarea și completarea unor acte normative</w:t>
      </w:r>
      <w:r w:rsidRPr="00261D6B">
        <w:rPr>
          <w:rFonts w:asciiTheme="minorHAnsi" w:eastAsia="Calibri" w:hAnsiTheme="minorHAnsi" w:cstheme="minorHAnsi"/>
          <w:b/>
          <w:sz w:val="26"/>
          <w:szCs w:val="26"/>
          <w:lang w:val="ro-RO"/>
        </w:rPr>
        <w:t xml:space="preserve"> </w:t>
      </w:r>
      <w:r w:rsidRPr="00261D6B">
        <w:rPr>
          <w:rFonts w:asciiTheme="minorHAnsi" w:eastAsia="Calibri" w:hAnsiTheme="minorHAnsi" w:cstheme="minorHAnsi"/>
          <w:sz w:val="26"/>
          <w:szCs w:val="26"/>
          <w:lang w:val="ro-RO"/>
        </w:rPr>
        <w:t xml:space="preserve">a fost </w:t>
      </w:r>
      <w:r w:rsidRPr="00261D6B">
        <w:rPr>
          <w:rFonts w:asciiTheme="minorHAnsi" w:eastAsia="Calibri" w:hAnsiTheme="minorHAnsi" w:cstheme="minorHAnsi"/>
          <w:bCs/>
          <w:sz w:val="26"/>
          <w:szCs w:val="26"/>
          <w:lang w:val="ro-RO"/>
        </w:rPr>
        <w:t>avizată negativ</w:t>
      </w:r>
      <w:r w:rsidRPr="00261D6B">
        <w:rPr>
          <w:rFonts w:asciiTheme="minorHAnsi" w:eastAsia="Calibri" w:hAnsiTheme="minorHAnsi" w:cstheme="minorHAnsi"/>
          <w:b/>
          <w:sz w:val="26"/>
          <w:szCs w:val="26"/>
          <w:lang w:val="ro-RO"/>
        </w:rPr>
        <w:t xml:space="preserve"> </w:t>
      </w:r>
      <w:r w:rsidRPr="00261D6B">
        <w:rPr>
          <w:rFonts w:asciiTheme="minorHAnsi" w:eastAsia="Calibri" w:hAnsiTheme="minorHAnsi" w:cstheme="minorHAnsi"/>
          <w:sz w:val="26"/>
          <w:szCs w:val="26"/>
          <w:lang w:val="ro-RO"/>
        </w:rPr>
        <w:t>prin</w:t>
      </w:r>
      <w:r w:rsidRPr="00261D6B">
        <w:rPr>
          <w:rFonts w:asciiTheme="minorHAnsi" w:eastAsia="Calibri" w:hAnsiTheme="minorHAnsi" w:cstheme="minorHAnsi"/>
          <w:bCs/>
          <w:sz w:val="26"/>
          <w:szCs w:val="26"/>
          <w:lang w:val="ro-RO"/>
        </w:rPr>
        <w:t xml:space="preserve"> </w:t>
      </w:r>
      <w:r w:rsidRPr="00261D6B">
        <w:rPr>
          <w:rFonts w:asciiTheme="minorHAnsi" w:eastAsia="Calibri" w:hAnsiTheme="minorHAnsi" w:cstheme="minorHAnsi"/>
          <w:b/>
          <w:sz w:val="26"/>
          <w:szCs w:val="26"/>
          <w:lang w:val="ro-RO"/>
        </w:rPr>
        <w:t>Hotărârea Plenului nr. 140 din 14 septembrie 2023.</w:t>
      </w:r>
    </w:p>
    <w:p w14:paraId="0300652F" w14:textId="6A177F96" w:rsidR="00E708BB" w:rsidRPr="00E708BB" w:rsidRDefault="00E708BB" w:rsidP="003F39C1">
      <w:pPr>
        <w:numPr>
          <w:ilvl w:val="0"/>
          <w:numId w:val="8"/>
        </w:numPr>
        <w:tabs>
          <w:tab w:val="left" w:pos="993"/>
        </w:tabs>
        <w:ind w:left="0" w:firstLine="709"/>
        <w:contextualSpacing/>
        <w:jc w:val="both"/>
        <w:rPr>
          <w:rFonts w:asciiTheme="minorHAnsi" w:hAnsiTheme="minorHAnsi" w:cstheme="minorHAnsi"/>
          <w:sz w:val="26"/>
          <w:szCs w:val="26"/>
        </w:rPr>
      </w:pPr>
      <w:r w:rsidRPr="00E708BB">
        <w:rPr>
          <w:rFonts w:asciiTheme="minorHAnsi" w:eastAsia="Calibri" w:hAnsiTheme="minorHAnsi" w:cstheme="minorHAnsi"/>
          <w:bCs/>
          <w:sz w:val="26"/>
          <w:szCs w:val="26"/>
        </w:rPr>
        <w:t>Proiectul de Lege pentru aderarea Inspecției Judiciare la Rețeaua Europeană a Serviciilor de Inspecție Judiciară (RESIJ) și pentru aprobarea plății cotizației anuale la aceasta, precum și pentru completarea Ordonanței Guvernului nr. 41/1994 privind autorizarea plății cotizațiilor la organizațiile internaționale interguvernamentale la care România este parte a fost avizat favorabil prin</w:t>
      </w:r>
      <w:r w:rsidRPr="00E708BB">
        <w:rPr>
          <w:rFonts w:asciiTheme="minorHAnsi" w:eastAsia="Calibri" w:hAnsiTheme="minorHAnsi" w:cstheme="minorHAnsi"/>
          <w:b/>
          <w:bCs/>
          <w:sz w:val="26"/>
          <w:szCs w:val="26"/>
        </w:rPr>
        <w:t xml:space="preserve"> Hotărârea Plenului Consiliului Superior al Magistraturii nr. 165 din 16 noiembrie 2023.</w:t>
      </w:r>
    </w:p>
    <w:p w14:paraId="05B529DE" w14:textId="3CC7C760" w:rsidR="006C1588" w:rsidRPr="00564DC7" w:rsidRDefault="006C1588" w:rsidP="00690186">
      <w:pPr>
        <w:pStyle w:val="Heading2"/>
        <w:keepLines w:val="0"/>
        <w:suppressLineNumbers/>
        <w:suppressAutoHyphens/>
        <w:spacing w:line="240" w:lineRule="auto"/>
        <w:rPr>
          <w:rFonts w:cstheme="minorHAnsi"/>
          <w:b w:val="0"/>
          <w:color w:val="auto"/>
          <w:lang w:val="ro-RO"/>
        </w:rPr>
      </w:pPr>
      <w:bookmarkStart w:id="103" w:name="_Toc430867119"/>
      <w:bookmarkStart w:id="104" w:name="_Toc155267897"/>
      <w:r w:rsidRPr="00564DC7">
        <w:rPr>
          <w:rFonts w:cstheme="minorHAnsi"/>
          <w:color w:val="auto"/>
          <w:lang w:val="ro-RO"/>
        </w:rPr>
        <w:t>III.2.</w:t>
      </w:r>
      <w:r w:rsidR="00143852" w:rsidRPr="00564DC7">
        <w:rPr>
          <w:rFonts w:cstheme="minorHAnsi"/>
          <w:color w:val="auto"/>
          <w:lang w:val="ro-RO"/>
        </w:rPr>
        <w:t xml:space="preserve"> </w:t>
      </w:r>
      <w:r w:rsidRPr="00564DC7">
        <w:rPr>
          <w:rFonts w:cstheme="minorHAnsi"/>
          <w:color w:val="auto"/>
          <w:lang w:val="ro-RO"/>
        </w:rPr>
        <w:t>Elaborarea legislaţiei secundare</w:t>
      </w:r>
      <w:bookmarkEnd w:id="103"/>
      <w:bookmarkEnd w:id="104"/>
      <w:r w:rsidRPr="00564DC7">
        <w:rPr>
          <w:rFonts w:cstheme="minorHAnsi"/>
          <w:color w:val="auto"/>
          <w:lang w:val="ro-RO"/>
        </w:rPr>
        <w:t xml:space="preserve"> </w:t>
      </w:r>
      <w:bookmarkStart w:id="105" w:name="_Toc430867120"/>
    </w:p>
    <w:p w14:paraId="5FA38055" w14:textId="77777777" w:rsidR="00A52FAE" w:rsidRPr="00564DC7" w:rsidRDefault="00A52FAE"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La </w:t>
      </w:r>
      <w:r w:rsidRPr="00564DC7">
        <w:rPr>
          <w:rFonts w:asciiTheme="minorHAnsi" w:hAnsiTheme="minorHAnsi" w:cstheme="minorHAnsi"/>
          <w:iCs/>
          <w:sz w:val="26"/>
          <w:szCs w:val="26"/>
        </w:rPr>
        <w:t>data de 16.12.2022 au intrat în vigoare Legea nr. 303/2022 privind statutul judecătorilor și procurorilor, Legea nr. 304/2022 privind organizarea judiciară și Legea nr. 305/2022 privind Consiliul Superior al Magistraturii, prin care au fost abrogate Legea nr. 303/2004 privind statutul judecătorilor și procurorilor, republicată, cu modificările și completările ulterioare, Legea nr. 304/2004 privind organizarea judiciară, republicată, cu modificările și completările ulterioare și Legea nr. 317/2004 privind Consiliul Superior al Magistraturii, republicată, cu modificările și completările ulterioare.</w:t>
      </w:r>
    </w:p>
    <w:p w14:paraId="1E7F1958" w14:textId="77777777" w:rsidR="00A52FAE" w:rsidRPr="00564DC7" w:rsidRDefault="00A52FAE"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În acest context, în anul 2023, în exercitarea atribuțiilor Consiliului Superior al Magistraturii prevăzute de art. 39 alin. (1) din Legea nr. 305/2022, au fost adoptate mai multe regulamente şi metodologii ce intră în competența de reglementare a Consiliului.</w:t>
      </w:r>
    </w:p>
    <w:p w14:paraId="0CFBFDFE" w14:textId="77777777" w:rsidR="00A52FAE" w:rsidRPr="00564DC7" w:rsidRDefault="00A52FAE"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lastRenderedPageBreak/>
        <w:t>Dintre hotărârile adoptate de Plenul Consiliului Superior al Magistraturii</w:t>
      </w:r>
      <w:r w:rsidRPr="00564DC7">
        <w:rPr>
          <w:rFonts w:asciiTheme="minorHAnsi" w:hAnsiTheme="minorHAnsi" w:cstheme="minorHAnsi"/>
          <w:b/>
          <w:sz w:val="26"/>
          <w:szCs w:val="26"/>
        </w:rPr>
        <w:t>,</w:t>
      </w:r>
      <w:r w:rsidRPr="00564DC7">
        <w:rPr>
          <w:rFonts w:asciiTheme="minorHAnsi" w:hAnsiTheme="minorHAnsi" w:cstheme="minorHAnsi"/>
          <w:sz w:val="26"/>
          <w:szCs w:val="26"/>
        </w:rPr>
        <w:t xml:space="preserve"> menționăm următoarele:</w:t>
      </w:r>
    </w:p>
    <w:p w14:paraId="3A4BB584"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sz w:val="26"/>
          <w:szCs w:val="26"/>
        </w:rPr>
      </w:pPr>
      <w:r w:rsidRPr="00564DC7">
        <w:rPr>
          <w:rFonts w:asciiTheme="minorHAnsi" w:hAnsiTheme="minorHAnsi" w:cstheme="minorHAnsi"/>
          <w:b/>
          <w:sz w:val="26"/>
          <w:szCs w:val="26"/>
        </w:rPr>
        <w:t xml:space="preserve">Hotărârea Plenului nr. 27 din 1 martie 2023 </w:t>
      </w:r>
      <w:r w:rsidRPr="00564DC7">
        <w:rPr>
          <w:rFonts w:asciiTheme="minorHAnsi" w:hAnsiTheme="minorHAnsi" w:cstheme="minorHAnsi"/>
          <w:sz w:val="26"/>
          <w:szCs w:val="26"/>
        </w:rPr>
        <w:t xml:space="preserve">pentru modificarea art. 13 alineatul (2) din Regulamentul privind organizarea şi desfăşurarea concursului de admitere la Şcoala Naţională de Grefieri, aprobat prin Hotărârea Plenului Consiliului Superior al Magistraturii nr. 173/2007, cu modificările şi completările ulterioare; </w:t>
      </w:r>
    </w:p>
    <w:p w14:paraId="057F644B"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sz w:val="26"/>
          <w:szCs w:val="26"/>
        </w:rPr>
      </w:pPr>
      <w:r w:rsidRPr="00564DC7">
        <w:rPr>
          <w:rFonts w:asciiTheme="minorHAnsi" w:hAnsiTheme="minorHAnsi" w:cstheme="minorHAnsi"/>
          <w:b/>
          <w:sz w:val="26"/>
          <w:szCs w:val="26"/>
        </w:rPr>
        <w:t xml:space="preserve">Hotărârea Plenului nr. 92 din 25 mai 2023 </w:t>
      </w:r>
      <w:r w:rsidRPr="00564DC7">
        <w:rPr>
          <w:rFonts w:asciiTheme="minorHAnsi" w:hAnsiTheme="minorHAnsi" w:cstheme="minorHAnsi"/>
          <w:sz w:val="26"/>
          <w:szCs w:val="26"/>
        </w:rPr>
        <w:t>pentru aprobarea Regulamentului Institutului Naţional al Magistraturii</w:t>
      </w:r>
      <w:r w:rsidRPr="00564DC7">
        <w:rPr>
          <w:rFonts w:asciiTheme="minorHAnsi" w:hAnsiTheme="minorHAnsi" w:cstheme="minorHAnsi"/>
          <w:bCs/>
          <w:sz w:val="26"/>
          <w:szCs w:val="26"/>
        </w:rPr>
        <w:t>;</w:t>
      </w:r>
    </w:p>
    <w:p w14:paraId="033754D6"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Hotărârea Plenului nr. 103 din 15 iunie 2023</w:t>
      </w:r>
      <w:r w:rsidRPr="00564DC7">
        <w:rPr>
          <w:rFonts w:asciiTheme="minorHAnsi" w:hAnsiTheme="minorHAnsi" w:cstheme="minorHAnsi"/>
          <w:bCs/>
          <w:sz w:val="26"/>
          <w:szCs w:val="26"/>
        </w:rPr>
        <w:t xml:space="preserve"> pentru aprobarea Regulamentului privind examenul de absolvire a Institutului Naţional al Magistraturii;</w:t>
      </w:r>
    </w:p>
    <w:p w14:paraId="7CBE4312"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Hotărârea Plenului nr. 114 din 28.06.2023</w:t>
      </w:r>
      <w:r w:rsidRPr="00564DC7">
        <w:rPr>
          <w:rFonts w:asciiTheme="minorHAnsi" w:hAnsiTheme="minorHAnsi" w:cstheme="minorHAnsi"/>
          <w:bCs/>
          <w:sz w:val="26"/>
          <w:szCs w:val="26"/>
        </w:rPr>
        <w:t xml:space="preserve"> pentru aprobarea Regulamentului privind admiterea la Institutul Naţional al Magistraturii;</w:t>
      </w:r>
    </w:p>
    <w:p w14:paraId="2A2005A0"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Hotărârea Plenului nr. 115 din 28 iunie 2023</w:t>
      </w:r>
      <w:r w:rsidRPr="00564DC7">
        <w:rPr>
          <w:rFonts w:asciiTheme="minorHAnsi" w:hAnsiTheme="minorHAnsi" w:cstheme="minorHAnsi"/>
          <w:bCs/>
          <w:sz w:val="26"/>
          <w:szCs w:val="26"/>
        </w:rPr>
        <w:t xml:space="preserve"> pentru aprobarea Regulamentului privind concursul de admitere în magistratură;</w:t>
      </w:r>
    </w:p>
    <w:p w14:paraId="29848DE3"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Hotărârea Plenului nr. 116 din 28 iunie 2023</w:t>
      </w:r>
      <w:r w:rsidRPr="00564DC7">
        <w:rPr>
          <w:rFonts w:asciiTheme="minorHAnsi" w:hAnsiTheme="minorHAnsi" w:cstheme="minorHAnsi"/>
          <w:bCs/>
          <w:sz w:val="26"/>
          <w:szCs w:val="26"/>
        </w:rPr>
        <w:t xml:space="preserve"> pentru aprobarea Regulamentului privind organizarea, desfăşurarea şi evaluarea stagiilor de practică ale auditorilor de justiţie;</w:t>
      </w:r>
    </w:p>
    <w:p w14:paraId="5D44113C"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Hotărârea Plenului nr. 122 din 6 iulie 2023</w:t>
      </w:r>
      <w:r w:rsidRPr="00564DC7">
        <w:rPr>
          <w:rFonts w:asciiTheme="minorHAnsi" w:hAnsiTheme="minorHAnsi" w:cstheme="minorHAnsi"/>
          <w:bCs/>
          <w:sz w:val="26"/>
          <w:szCs w:val="26"/>
        </w:rPr>
        <w:t xml:space="preserve"> pentru aprobarea Regulamentului de organizare şi funcţionare a Consiliului Superior al Magistraturii și abrogarea Hotărârii Plenului nr. 1073/2018;</w:t>
      </w:r>
    </w:p>
    <w:p w14:paraId="1756077C"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Hotărârea Plenului nr. 123 din 6 iulie 2023</w:t>
      </w:r>
      <w:r w:rsidRPr="00564DC7">
        <w:rPr>
          <w:rFonts w:asciiTheme="minorHAnsi" w:hAnsiTheme="minorHAnsi" w:cstheme="minorHAnsi"/>
          <w:bCs/>
          <w:sz w:val="26"/>
          <w:szCs w:val="26"/>
        </w:rPr>
        <w:t xml:space="preserve"> pentru aprobarea Regulamentului privind examenul de capacitate al judecătorilor stagiari şi al procurorilor stagiari;</w:t>
      </w:r>
    </w:p>
    <w:p w14:paraId="5A69EDF9"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Hotărârea Plenului nr. 135 din 24 august 2023</w:t>
      </w:r>
      <w:r w:rsidRPr="00564DC7">
        <w:rPr>
          <w:rFonts w:asciiTheme="minorHAnsi" w:hAnsiTheme="minorHAnsi" w:cstheme="minorHAnsi"/>
          <w:bCs/>
          <w:sz w:val="26"/>
          <w:szCs w:val="26"/>
        </w:rPr>
        <w:t xml:space="preserve"> pentru aprobarea Regulamentului de organizare şi funcţionare a Inspecţiei Judiciare;</w:t>
      </w:r>
    </w:p>
    <w:p w14:paraId="2CDB3FB3"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Hotărârea Plenului nr. 117 din 28 iunie 2023</w:t>
      </w:r>
      <w:r w:rsidRPr="00564DC7">
        <w:rPr>
          <w:rFonts w:asciiTheme="minorHAnsi" w:hAnsiTheme="minorHAnsi" w:cstheme="minorHAnsi"/>
          <w:bCs/>
          <w:sz w:val="26"/>
          <w:szCs w:val="26"/>
        </w:rPr>
        <w:t xml:space="preserve"> pentru aprobarea Metodologiei privind efectuarea expertizei medicale de specialitate în cazul suspendării din calitatea de auditor de justiție;</w:t>
      </w:r>
    </w:p>
    <w:p w14:paraId="7227927C"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 xml:space="preserve">Hotărârea Plenului nr. 93 din 25 mai 2023 </w:t>
      </w:r>
      <w:r w:rsidRPr="00564DC7">
        <w:rPr>
          <w:rFonts w:asciiTheme="minorHAnsi" w:hAnsiTheme="minorHAnsi" w:cstheme="minorHAnsi"/>
          <w:bCs/>
          <w:sz w:val="26"/>
          <w:szCs w:val="26"/>
        </w:rPr>
        <w:t>pentru aprobarea Baremului medical pentru verificarea îndeplinirii condiţiei de a fi apt din punct de vedere medical în vederea ocupării funcţiei de judecător sau procuror;</w:t>
      </w:r>
    </w:p>
    <w:p w14:paraId="732BA4CB" w14:textId="77777777" w:rsidR="00A52FAE"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Hotărârea Plenului nr. 147 din 11 octombrie 2023</w:t>
      </w:r>
      <w:r w:rsidRPr="00564DC7">
        <w:rPr>
          <w:rFonts w:asciiTheme="minorHAnsi" w:hAnsiTheme="minorHAnsi" w:cstheme="minorHAnsi"/>
          <w:bCs/>
          <w:sz w:val="26"/>
          <w:szCs w:val="26"/>
        </w:rPr>
        <w:t xml:space="preserve"> pentru completarea Regulamentului de organizare și funcționare a Consiliului Superior al Magistraturii nr. 122/2023.</w:t>
      </w:r>
    </w:p>
    <w:p w14:paraId="305C0699" w14:textId="77777777" w:rsidR="00E708BB" w:rsidRDefault="00E708BB" w:rsidP="00E708BB">
      <w:pPr>
        <w:pStyle w:val="ListParagraph"/>
        <w:numPr>
          <w:ilvl w:val="0"/>
          <w:numId w:val="8"/>
        </w:numPr>
        <w:tabs>
          <w:tab w:val="left" w:pos="993"/>
        </w:tabs>
        <w:ind w:left="0" w:firstLine="709"/>
        <w:jc w:val="both"/>
        <w:rPr>
          <w:rFonts w:ascii="Calibri" w:hAnsi="Calibri" w:cs="Calibri"/>
          <w:bCs/>
          <w:sz w:val="26"/>
          <w:szCs w:val="26"/>
        </w:rPr>
      </w:pPr>
      <w:r w:rsidRPr="00E708BB">
        <w:rPr>
          <w:rFonts w:ascii="Calibri" w:hAnsi="Calibri" w:cs="Calibri"/>
          <w:b/>
          <w:bCs/>
          <w:sz w:val="26"/>
          <w:szCs w:val="26"/>
        </w:rPr>
        <w:t>Hotărârea Plenului nr. 164 din 16 noiembrie 2023</w:t>
      </w:r>
      <w:r w:rsidRPr="00E708BB">
        <w:rPr>
          <w:rFonts w:ascii="Calibri" w:hAnsi="Calibri" w:cs="Calibri"/>
          <w:bCs/>
          <w:sz w:val="26"/>
          <w:szCs w:val="26"/>
        </w:rPr>
        <w:t xml:space="preserve"> pentru aprobarea Regulamentului privind normele pentru efectuarea lucrărilor de inspecţie.</w:t>
      </w:r>
    </w:p>
    <w:p w14:paraId="6889F1E7" w14:textId="77777777" w:rsidR="00E708BB" w:rsidRPr="00E708BB" w:rsidRDefault="00E708BB" w:rsidP="00E708BB">
      <w:pPr>
        <w:pStyle w:val="ListParagraph"/>
        <w:tabs>
          <w:tab w:val="left" w:pos="993"/>
        </w:tabs>
        <w:ind w:left="709"/>
        <w:jc w:val="both"/>
        <w:rPr>
          <w:rFonts w:ascii="Calibri" w:hAnsi="Calibri" w:cs="Calibri"/>
          <w:bCs/>
          <w:sz w:val="26"/>
          <w:szCs w:val="26"/>
        </w:rPr>
      </w:pPr>
    </w:p>
    <w:p w14:paraId="68C451FA" w14:textId="77777777" w:rsidR="00A52FAE" w:rsidRPr="00564DC7" w:rsidRDefault="00A52FAE" w:rsidP="00690186">
      <w:pPr>
        <w:tabs>
          <w:tab w:val="left" w:pos="993"/>
        </w:tabs>
        <w:jc w:val="both"/>
        <w:rPr>
          <w:rFonts w:asciiTheme="minorHAnsi" w:hAnsiTheme="minorHAnsi" w:cstheme="minorHAnsi"/>
          <w:bCs/>
          <w:sz w:val="26"/>
          <w:szCs w:val="26"/>
        </w:rPr>
      </w:pPr>
      <w:r w:rsidRPr="00564DC7">
        <w:rPr>
          <w:rFonts w:asciiTheme="minorHAnsi" w:hAnsiTheme="minorHAnsi" w:cstheme="minorHAnsi"/>
          <w:bCs/>
          <w:sz w:val="26"/>
          <w:szCs w:val="26"/>
        </w:rPr>
        <w:tab/>
        <w:t>Dintre hotărârile adoptate de către Secţia pentru judecători a Consiliului Superior al Magistraturii, menționăm următoarele:</w:t>
      </w:r>
    </w:p>
    <w:p w14:paraId="4E89D0B1"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Secţiei pentru judecători nr. 266 din 16 februarie 2023 </w:t>
      </w:r>
      <w:r w:rsidRPr="00564DC7">
        <w:rPr>
          <w:rFonts w:asciiTheme="minorHAnsi" w:hAnsiTheme="minorHAnsi" w:cstheme="minorHAnsi"/>
          <w:sz w:val="26"/>
          <w:szCs w:val="26"/>
        </w:rPr>
        <w:t>pentru aprobarea Regulamentului privind numirea în funcții de conducere a judecătorilor;</w:t>
      </w:r>
    </w:p>
    <w:p w14:paraId="1817ED38"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Secţiei pentru judecători nr. 1057 din 6 aprilie 2023 </w:t>
      </w:r>
      <w:r w:rsidRPr="00564DC7">
        <w:rPr>
          <w:rFonts w:asciiTheme="minorHAnsi" w:hAnsiTheme="minorHAnsi" w:cstheme="minorHAnsi"/>
          <w:sz w:val="26"/>
          <w:szCs w:val="26"/>
        </w:rPr>
        <w:t>pentru aprobarea Regulamentului privind concursul de promovare în funcția de judecător la Înalta Curte de Casaţie şi Justiţie;</w:t>
      </w:r>
    </w:p>
    <w:p w14:paraId="68F44BCB"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Secţiei pentru judecători nr. 1434 din 27 aprilie 2023 </w:t>
      </w:r>
      <w:r w:rsidRPr="00564DC7">
        <w:rPr>
          <w:rFonts w:asciiTheme="minorHAnsi" w:hAnsiTheme="minorHAnsi" w:cstheme="minorHAnsi"/>
          <w:sz w:val="26"/>
          <w:szCs w:val="26"/>
        </w:rPr>
        <w:t>pentru aprobarea Regulamentului privind concursul de promovare a judecătorilor;</w:t>
      </w:r>
    </w:p>
    <w:p w14:paraId="7F0C8B66"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bookmarkStart w:id="106" w:name="_Hlk87370051"/>
      <w:r w:rsidRPr="00564DC7">
        <w:rPr>
          <w:rFonts w:asciiTheme="minorHAnsi" w:hAnsiTheme="minorHAnsi" w:cstheme="minorHAnsi"/>
          <w:b/>
          <w:sz w:val="26"/>
          <w:szCs w:val="26"/>
        </w:rPr>
        <w:t xml:space="preserve">Hotărârea Secţiei pentru judecători nr. 1978 din 6 iulie 2023 </w:t>
      </w:r>
      <w:r w:rsidRPr="00564DC7">
        <w:rPr>
          <w:rFonts w:asciiTheme="minorHAnsi" w:hAnsiTheme="minorHAnsi" w:cstheme="minorHAnsi"/>
          <w:sz w:val="26"/>
          <w:szCs w:val="26"/>
        </w:rPr>
        <w:t>pentru</w:t>
      </w:r>
      <w:bookmarkEnd w:id="106"/>
      <w:r w:rsidRPr="00564DC7">
        <w:rPr>
          <w:rFonts w:asciiTheme="minorHAnsi" w:hAnsiTheme="minorHAnsi" w:cstheme="minorHAnsi"/>
          <w:sz w:val="26"/>
          <w:szCs w:val="26"/>
        </w:rPr>
        <w:t xml:space="preserve"> modificarea Regulamentului de ordine interioară a instanțelor judecătorești, aprobat prin Hotărârea Secției pentru judecători a Consiliului Superior al Magistraturii nr. 3243/2022</w:t>
      </w:r>
      <w:r w:rsidRPr="00564DC7">
        <w:rPr>
          <w:rFonts w:asciiTheme="minorHAnsi" w:hAnsiTheme="minorHAnsi" w:cstheme="minorHAnsi"/>
          <w:bCs/>
          <w:sz w:val="26"/>
          <w:szCs w:val="26"/>
        </w:rPr>
        <w:t>;</w:t>
      </w:r>
    </w:p>
    <w:p w14:paraId="1F4CD466"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lastRenderedPageBreak/>
        <w:t xml:space="preserve">Hotărârea Secţiei pentru judecători nr. 1798 din 22 iunie 2023 </w:t>
      </w:r>
      <w:r w:rsidRPr="00564DC7">
        <w:rPr>
          <w:rFonts w:asciiTheme="minorHAnsi" w:eastAsia="Calibri" w:hAnsiTheme="minorHAnsi" w:cstheme="minorHAnsi"/>
          <w:sz w:val="26"/>
          <w:szCs w:val="26"/>
        </w:rPr>
        <w:t xml:space="preserve">pentru aprobarea </w:t>
      </w:r>
      <w:r w:rsidRPr="00564DC7">
        <w:rPr>
          <w:rFonts w:asciiTheme="minorHAnsi" w:eastAsia="Calibri" w:hAnsiTheme="minorHAnsi" w:cstheme="minorHAnsi"/>
          <w:bCs/>
          <w:sz w:val="26"/>
          <w:szCs w:val="26"/>
        </w:rPr>
        <w:t>Metodologiei privind efectuarea expertizei medicale de specialitate în cazul suspendării din funcție a judecătorilor pentru o altă afecțiune decât boala psihică;</w:t>
      </w:r>
    </w:p>
    <w:p w14:paraId="617D08C5"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Secţiei pentru judecători nr. 1799 din 22 iunie 2023 </w:t>
      </w:r>
      <w:r w:rsidRPr="00564DC7">
        <w:rPr>
          <w:rFonts w:asciiTheme="minorHAnsi" w:eastAsia="Calibri" w:hAnsiTheme="minorHAnsi" w:cstheme="minorHAnsi"/>
          <w:sz w:val="26"/>
          <w:szCs w:val="26"/>
        </w:rPr>
        <w:t xml:space="preserve">pentru aprobarea </w:t>
      </w:r>
      <w:r w:rsidRPr="00564DC7">
        <w:rPr>
          <w:rFonts w:asciiTheme="minorHAnsi" w:eastAsia="Calibri" w:hAnsiTheme="minorHAnsi" w:cstheme="minorHAnsi"/>
          <w:bCs/>
          <w:sz w:val="26"/>
          <w:szCs w:val="26"/>
        </w:rPr>
        <w:t>Metodologiei privind efectuarea expertizei medicale de specialitate în cazul suspendării din funcție a judecătorilor pentru boală psihică;</w:t>
      </w:r>
    </w:p>
    <w:p w14:paraId="14C664DB"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Secţiei pentru judecători nr. 1471 din 4 mai 2023 </w:t>
      </w:r>
      <w:r w:rsidRPr="00564DC7">
        <w:rPr>
          <w:rFonts w:asciiTheme="minorHAnsi" w:eastAsia="Calibri" w:hAnsiTheme="minorHAnsi" w:cstheme="minorHAnsi"/>
          <w:sz w:val="26"/>
          <w:szCs w:val="26"/>
        </w:rPr>
        <w:t xml:space="preserve">pentru aprobarea </w:t>
      </w:r>
      <w:r w:rsidRPr="00564DC7">
        <w:rPr>
          <w:rFonts w:asciiTheme="minorHAnsi" w:eastAsia="Calibri" w:hAnsiTheme="minorHAnsi" w:cstheme="minorHAnsi"/>
          <w:bCs/>
          <w:sz w:val="26"/>
          <w:szCs w:val="26"/>
        </w:rPr>
        <w:t>Metodologiei privind detașarea și delegarea judecătorilor;</w:t>
      </w:r>
    </w:p>
    <w:p w14:paraId="1A17DFA1" w14:textId="77777777" w:rsidR="00A52FAE"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Secţiei pentru judecători nr. 423 din 23 martie 2023 </w:t>
      </w:r>
      <w:r w:rsidRPr="00564DC7">
        <w:rPr>
          <w:rFonts w:asciiTheme="minorHAnsi" w:eastAsia="Calibri" w:hAnsiTheme="minorHAnsi" w:cstheme="minorHAnsi"/>
          <w:sz w:val="26"/>
          <w:szCs w:val="26"/>
        </w:rPr>
        <w:t xml:space="preserve">pentru aprobarea </w:t>
      </w:r>
      <w:r w:rsidRPr="00564DC7">
        <w:rPr>
          <w:rFonts w:asciiTheme="minorHAnsi" w:eastAsia="Calibri" w:hAnsiTheme="minorHAnsi" w:cstheme="minorHAnsi"/>
          <w:bCs/>
          <w:sz w:val="26"/>
          <w:szCs w:val="26"/>
        </w:rPr>
        <w:t>Metodologiei privind reîncadrarea în funcția de judecător;</w:t>
      </w:r>
    </w:p>
    <w:p w14:paraId="45C85744" w14:textId="77777777" w:rsidR="00E708BB" w:rsidRDefault="00E708BB" w:rsidP="00E708BB">
      <w:pPr>
        <w:numPr>
          <w:ilvl w:val="0"/>
          <w:numId w:val="8"/>
        </w:numPr>
        <w:tabs>
          <w:tab w:val="left" w:pos="993"/>
        </w:tabs>
        <w:ind w:left="0" w:firstLine="709"/>
        <w:contextualSpacing/>
        <w:jc w:val="both"/>
        <w:rPr>
          <w:rFonts w:ascii="Calibri" w:eastAsia="Calibri" w:hAnsi="Calibri" w:cs="Calibri"/>
          <w:bCs/>
          <w:sz w:val="26"/>
          <w:szCs w:val="26"/>
        </w:rPr>
      </w:pPr>
      <w:r w:rsidRPr="00E708BB">
        <w:rPr>
          <w:rFonts w:ascii="Calibri" w:eastAsia="Calibri" w:hAnsi="Calibri" w:cs="Calibri"/>
          <w:b/>
          <w:sz w:val="26"/>
          <w:szCs w:val="26"/>
        </w:rPr>
        <w:t xml:space="preserve">Hotărârea Secţiei pentru judecători nr. 2333 din 5 octombrie 2023 </w:t>
      </w:r>
      <w:r w:rsidRPr="00E708BB">
        <w:rPr>
          <w:rFonts w:ascii="Calibri" w:eastAsia="Calibri" w:hAnsi="Calibri" w:cs="Calibri"/>
          <w:sz w:val="26"/>
          <w:szCs w:val="26"/>
        </w:rPr>
        <w:t xml:space="preserve">pentru aprobarea </w:t>
      </w:r>
      <w:r w:rsidRPr="00E708BB">
        <w:rPr>
          <w:rFonts w:ascii="Calibri" w:eastAsia="Calibri" w:hAnsi="Calibri" w:cs="Calibri"/>
          <w:bCs/>
          <w:sz w:val="26"/>
          <w:szCs w:val="26"/>
        </w:rPr>
        <w:t>Procedurii de evaluare psihologică periodică a judecătorilor;</w:t>
      </w:r>
    </w:p>
    <w:p w14:paraId="3A6A2977" w14:textId="77777777" w:rsidR="006E2552" w:rsidRPr="006E2552" w:rsidRDefault="006E2552" w:rsidP="006E2552">
      <w:pPr>
        <w:numPr>
          <w:ilvl w:val="0"/>
          <w:numId w:val="8"/>
        </w:numPr>
        <w:tabs>
          <w:tab w:val="left" w:pos="993"/>
        </w:tabs>
        <w:ind w:left="0" w:firstLine="709"/>
        <w:contextualSpacing/>
        <w:jc w:val="both"/>
        <w:rPr>
          <w:rFonts w:ascii="Calibri" w:eastAsia="Calibri" w:hAnsi="Calibri" w:cs="Calibri"/>
          <w:bCs/>
          <w:sz w:val="26"/>
          <w:szCs w:val="26"/>
        </w:rPr>
      </w:pPr>
      <w:r w:rsidRPr="006E2552">
        <w:rPr>
          <w:rFonts w:ascii="Calibri" w:eastAsia="Calibri" w:hAnsi="Calibri" w:cs="Calibri"/>
          <w:b/>
          <w:sz w:val="26"/>
          <w:szCs w:val="26"/>
        </w:rPr>
        <w:t xml:space="preserve">Hotărârea Secţiei pentru judecători nr. 3461 din 19 decembrie 2023 </w:t>
      </w:r>
      <w:r w:rsidRPr="006E2552">
        <w:rPr>
          <w:rFonts w:ascii="Calibri" w:eastAsia="Calibri" w:hAnsi="Calibri" w:cs="Calibri"/>
          <w:bCs/>
          <w:sz w:val="26"/>
          <w:szCs w:val="26"/>
        </w:rPr>
        <w:t>pentru modificarea și completarea Hotărârii Secţiei pentru judecători nr. 148/2015, vizând metodologia de organizare și desfășurare a întâlnirilor președinților de secții din cadrul curților de apel.</w:t>
      </w:r>
    </w:p>
    <w:p w14:paraId="1E5AA6F4" w14:textId="77777777" w:rsidR="00E708BB" w:rsidRDefault="00E708BB" w:rsidP="00690186">
      <w:pPr>
        <w:tabs>
          <w:tab w:val="left" w:pos="993"/>
        </w:tabs>
        <w:jc w:val="both"/>
        <w:rPr>
          <w:rFonts w:asciiTheme="minorHAnsi" w:hAnsiTheme="minorHAnsi" w:cstheme="minorHAnsi"/>
          <w:bCs/>
          <w:sz w:val="26"/>
          <w:szCs w:val="26"/>
        </w:rPr>
      </w:pPr>
    </w:p>
    <w:p w14:paraId="70B50051" w14:textId="59F81C18" w:rsidR="00A52FAE" w:rsidRPr="00564DC7" w:rsidRDefault="00A52FAE" w:rsidP="00690186">
      <w:pPr>
        <w:tabs>
          <w:tab w:val="left" w:pos="993"/>
        </w:tabs>
        <w:jc w:val="both"/>
        <w:rPr>
          <w:rFonts w:asciiTheme="minorHAnsi" w:hAnsiTheme="minorHAnsi" w:cstheme="minorHAnsi"/>
          <w:sz w:val="26"/>
          <w:szCs w:val="26"/>
        </w:rPr>
      </w:pPr>
      <w:r w:rsidRPr="00564DC7">
        <w:rPr>
          <w:rFonts w:asciiTheme="minorHAnsi" w:hAnsiTheme="minorHAnsi" w:cstheme="minorHAnsi"/>
          <w:bCs/>
          <w:sz w:val="26"/>
          <w:szCs w:val="26"/>
        </w:rPr>
        <w:tab/>
        <w:t>Dintre hotărârile adoptate de către Secţia pentru procurori a Consiliului Superior al Magistraturii, menționăm următoarele:</w:t>
      </w:r>
    </w:p>
    <w:p w14:paraId="6ADA129E"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Secției pentru procurori nr. 506 din 11 aprilie 2023 </w:t>
      </w:r>
      <w:r w:rsidRPr="00564DC7">
        <w:rPr>
          <w:rFonts w:asciiTheme="minorHAnsi" w:hAnsiTheme="minorHAnsi" w:cstheme="minorHAnsi"/>
          <w:bCs/>
          <w:sz w:val="26"/>
          <w:szCs w:val="26"/>
        </w:rPr>
        <w:t>pentru aprobarea Regulamentului privind numirea în funcții de conducere a procurorilor;</w:t>
      </w:r>
    </w:p>
    <w:p w14:paraId="4B092684"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Secției pentru procurori nr. 682 din 4 mai 2023 </w:t>
      </w:r>
      <w:r w:rsidRPr="00564DC7">
        <w:rPr>
          <w:rFonts w:asciiTheme="minorHAnsi" w:hAnsiTheme="minorHAnsi" w:cstheme="minorHAnsi"/>
          <w:bCs/>
          <w:sz w:val="26"/>
          <w:szCs w:val="26"/>
        </w:rPr>
        <w:t>pentru aprobarea Regulamentului privind concursul de promovare a procurorilor;</w:t>
      </w:r>
    </w:p>
    <w:p w14:paraId="39177E2E"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Secției pentru procurori nr. 843 din 13.06.2023 </w:t>
      </w:r>
      <w:r w:rsidRPr="00564DC7">
        <w:rPr>
          <w:rFonts w:asciiTheme="minorHAnsi" w:hAnsiTheme="minorHAnsi" w:cstheme="minorHAnsi"/>
          <w:bCs/>
          <w:sz w:val="26"/>
          <w:szCs w:val="26"/>
        </w:rPr>
        <w:t>pentru aprobarea Regulamentului privind numirea procurorilor în funcții de execuție la Direcția de Investigare a Infracțiunilor de Criminalitate Organizată și Terorism și revocarea din aceste funcții;</w:t>
      </w:r>
    </w:p>
    <w:p w14:paraId="55507796"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Secției pentru procurori nr. 1106 din 31 august 2023 </w:t>
      </w:r>
      <w:r w:rsidRPr="00564DC7">
        <w:rPr>
          <w:rFonts w:asciiTheme="minorHAnsi" w:hAnsiTheme="minorHAnsi" w:cstheme="minorHAnsi"/>
          <w:bCs/>
          <w:sz w:val="26"/>
          <w:szCs w:val="26"/>
        </w:rPr>
        <w:t>pentru aprobarea Regulamentului de ordine interioară al parchetelor;</w:t>
      </w:r>
    </w:p>
    <w:p w14:paraId="0B089D45"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Secției pentru procurori nr. 1107 din 31 august 2023 </w:t>
      </w:r>
      <w:r w:rsidRPr="00564DC7">
        <w:rPr>
          <w:rFonts w:asciiTheme="minorHAnsi" w:hAnsiTheme="minorHAnsi" w:cstheme="minorHAnsi"/>
          <w:bCs/>
          <w:sz w:val="26"/>
          <w:szCs w:val="26"/>
        </w:rPr>
        <w:t>pentru aprobarea Regulamentului privind numirea procurorilor în funcții de execuție la Direcția Națională Anticorupție și revocarea din aceste funcții;</w:t>
      </w:r>
    </w:p>
    <w:p w14:paraId="6486297F"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sz w:val="26"/>
          <w:szCs w:val="26"/>
        </w:rPr>
        <w:t xml:space="preserve">Hotărârea Secției pentru procurori nr. 1169 din 28 septembrie 2023 </w:t>
      </w:r>
      <w:r w:rsidRPr="00564DC7">
        <w:rPr>
          <w:rFonts w:asciiTheme="minorHAnsi" w:hAnsiTheme="minorHAnsi" w:cstheme="minorHAnsi"/>
          <w:sz w:val="26"/>
          <w:szCs w:val="26"/>
        </w:rPr>
        <w:t>pentru aprobarea</w:t>
      </w:r>
      <w:r w:rsidRPr="00564DC7">
        <w:rPr>
          <w:rFonts w:asciiTheme="minorHAnsi" w:hAnsiTheme="minorHAnsi" w:cstheme="minorHAnsi"/>
          <w:b/>
          <w:sz w:val="26"/>
          <w:szCs w:val="26"/>
        </w:rPr>
        <w:t xml:space="preserve"> </w:t>
      </w:r>
      <w:r w:rsidRPr="00564DC7">
        <w:rPr>
          <w:rFonts w:asciiTheme="minorHAnsi" w:hAnsiTheme="minorHAnsi" w:cstheme="minorHAnsi"/>
          <w:bCs/>
          <w:sz w:val="26"/>
          <w:szCs w:val="26"/>
        </w:rPr>
        <w:t>Regulamentului de ordine interioară al Direcției Naționale Anticorupție;</w:t>
      </w:r>
    </w:p>
    <w:p w14:paraId="09F2C747"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Secției pentru procurori nr. 851 din 15 iunie 2023 </w:t>
      </w:r>
      <w:r w:rsidRPr="00564DC7">
        <w:rPr>
          <w:rFonts w:asciiTheme="minorHAnsi" w:eastAsia="Calibri" w:hAnsiTheme="minorHAnsi" w:cstheme="minorHAnsi"/>
          <w:sz w:val="26"/>
          <w:szCs w:val="26"/>
        </w:rPr>
        <w:t>pentru aprobarea</w:t>
      </w:r>
      <w:r w:rsidRPr="00564DC7">
        <w:rPr>
          <w:rFonts w:asciiTheme="minorHAnsi" w:eastAsia="Calibri" w:hAnsiTheme="minorHAnsi" w:cstheme="minorHAnsi"/>
          <w:b/>
          <w:sz w:val="26"/>
          <w:szCs w:val="26"/>
        </w:rPr>
        <w:t xml:space="preserve"> </w:t>
      </w:r>
      <w:r w:rsidRPr="00564DC7">
        <w:rPr>
          <w:rFonts w:asciiTheme="minorHAnsi" w:eastAsia="Calibri" w:hAnsiTheme="minorHAnsi" w:cstheme="minorHAnsi"/>
          <w:bCs/>
          <w:sz w:val="26"/>
          <w:szCs w:val="26"/>
        </w:rPr>
        <w:t>Metodologiei privind efectuarea expertizei medicale de specialitate în cazul suspendării din funcție a procurorilor pentru boală psihică;</w:t>
      </w:r>
    </w:p>
    <w:p w14:paraId="41D3B5FA"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 xml:space="preserve">Hotărârea Secției pentru procurori nr. 852 din 15 iunie 2023 </w:t>
      </w:r>
      <w:r w:rsidRPr="00564DC7">
        <w:rPr>
          <w:rFonts w:asciiTheme="minorHAnsi" w:hAnsiTheme="minorHAnsi" w:cstheme="minorHAnsi"/>
          <w:bCs/>
          <w:sz w:val="26"/>
          <w:szCs w:val="26"/>
        </w:rPr>
        <w:t>pentru aprobarea</w:t>
      </w:r>
      <w:r w:rsidRPr="00564DC7">
        <w:rPr>
          <w:rFonts w:asciiTheme="minorHAnsi" w:hAnsiTheme="minorHAnsi" w:cstheme="minorHAnsi"/>
          <w:b/>
          <w:bCs/>
          <w:sz w:val="26"/>
          <w:szCs w:val="26"/>
        </w:rPr>
        <w:t xml:space="preserve"> </w:t>
      </w:r>
      <w:r w:rsidRPr="00564DC7">
        <w:rPr>
          <w:rFonts w:asciiTheme="minorHAnsi" w:hAnsiTheme="minorHAnsi" w:cstheme="minorHAnsi"/>
          <w:bCs/>
          <w:sz w:val="26"/>
          <w:szCs w:val="26"/>
        </w:rPr>
        <w:t>Metodologiei privind efectuarea expertizei medicale de specialitate în cazul suspendării din funcție a procurorilor pentru o altă afecțiune decât boala psihică;</w:t>
      </w:r>
    </w:p>
    <w:p w14:paraId="71F900B9" w14:textId="77777777" w:rsidR="00A52FAE" w:rsidRPr="00564DC7"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 xml:space="preserve">Hotărârea Secției pentru procurori nr. 240 din 4 aprilie 2023 </w:t>
      </w:r>
      <w:r w:rsidRPr="00564DC7">
        <w:rPr>
          <w:rFonts w:asciiTheme="minorHAnsi" w:hAnsiTheme="minorHAnsi" w:cstheme="minorHAnsi"/>
          <w:bCs/>
          <w:sz w:val="26"/>
          <w:szCs w:val="26"/>
        </w:rPr>
        <w:t>pentru aprobarea</w:t>
      </w:r>
      <w:r w:rsidRPr="00564DC7">
        <w:rPr>
          <w:rFonts w:asciiTheme="minorHAnsi" w:hAnsiTheme="minorHAnsi" w:cstheme="minorHAnsi"/>
          <w:b/>
          <w:bCs/>
          <w:sz w:val="26"/>
          <w:szCs w:val="26"/>
        </w:rPr>
        <w:t xml:space="preserve"> </w:t>
      </w:r>
      <w:r w:rsidRPr="00564DC7">
        <w:rPr>
          <w:rFonts w:asciiTheme="minorHAnsi" w:hAnsiTheme="minorHAnsi" w:cstheme="minorHAnsi"/>
          <w:bCs/>
          <w:sz w:val="26"/>
          <w:szCs w:val="26"/>
        </w:rPr>
        <w:t>Metodologiei privind reîncadrarea în funcția de procuror;</w:t>
      </w:r>
    </w:p>
    <w:p w14:paraId="789DAF4A" w14:textId="77777777" w:rsidR="00A52FAE" w:rsidRDefault="00A52FAE">
      <w:pPr>
        <w:pStyle w:val="ListParagraph"/>
        <w:numPr>
          <w:ilvl w:val="0"/>
          <w:numId w:val="8"/>
        </w:numPr>
        <w:tabs>
          <w:tab w:val="left" w:pos="993"/>
        </w:tabs>
        <w:ind w:left="0" w:firstLine="709"/>
        <w:jc w:val="both"/>
        <w:rPr>
          <w:rFonts w:asciiTheme="minorHAnsi" w:hAnsiTheme="minorHAnsi" w:cstheme="minorHAnsi"/>
          <w:bCs/>
          <w:sz w:val="26"/>
          <w:szCs w:val="26"/>
        </w:rPr>
      </w:pPr>
      <w:r w:rsidRPr="00564DC7">
        <w:rPr>
          <w:rFonts w:asciiTheme="minorHAnsi" w:hAnsiTheme="minorHAnsi" w:cstheme="minorHAnsi"/>
          <w:b/>
          <w:bCs/>
          <w:sz w:val="26"/>
          <w:szCs w:val="26"/>
        </w:rPr>
        <w:t xml:space="preserve">Hotărârea Secţiei pentru procurori nr. 1226 din 17 octombrie 2023 </w:t>
      </w:r>
      <w:r w:rsidRPr="00564DC7">
        <w:rPr>
          <w:rFonts w:asciiTheme="minorHAnsi" w:hAnsiTheme="minorHAnsi" w:cstheme="minorHAnsi"/>
          <w:bCs/>
          <w:sz w:val="26"/>
          <w:szCs w:val="26"/>
        </w:rPr>
        <w:t>pentru aprobarea Procedurii de evaluare psihologică periodică a procurorilor.</w:t>
      </w:r>
    </w:p>
    <w:p w14:paraId="11DAFCEE" w14:textId="77777777" w:rsidR="006E2552" w:rsidRPr="006E2552" w:rsidRDefault="006E2552" w:rsidP="006E2552">
      <w:pPr>
        <w:pStyle w:val="ListParagraph"/>
        <w:numPr>
          <w:ilvl w:val="0"/>
          <w:numId w:val="8"/>
        </w:numPr>
        <w:tabs>
          <w:tab w:val="left" w:pos="993"/>
        </w:tabs>
        <w:ind w:left="0" w:firstLine="709"/>
        <w:jc w:val="both"/>
        <w:rPr>
          <w:rFonts w:asciiTheme="minorHAnsi" w:hAnsiTheme="minorHAnsi" w:cstheme="minorHAnsi"/>
          <w:bCs/>
          <w:sz w:val="26"/>
          <w:szCs w:val="26"/>
        </w:rPr>
      </w:pPr>
      <w:r w:rsidRPr="006E2552">
        <w:rPr>
          <w:rFonts w:asciiTheme="minorHAnsi" w:hAnsiTheme="minorHAnsi" w:cstheme="minorHAnsi"/>
          <w:b/>
          <w:bCs/>
          <w:sz w:val="26"/>
          <w:szCs w:val="26"/>
        </w:rPr>
        <w:t xml:space="preserve">Hotărârea Secţiei pentru procurori nr. 1608 din 14 decembrie 2023 </w:t>
      </w:r>
      <w:r w:rsidRPr="006E2552">
        <w:rPr>
          <w:rFonts w:asciiTheme="minorHAnsi" w:hAnsiTheme="minorHAnsi" w:cstheme="minorHAnsi"/>
          <w:bCs/>
          <w:sz w:val="26"/>
          <w:szCs w:val="26"/>
        </w:rPr>
        <w:t>pentru modificarea şi completarea Regulamentului de ordine interioară al parchetelor, aprobat prin Hotărârea Secţiei pentru procurori a Consiliului Superior al Magistratuii nr. 1106/2023.</w:t>
      </w:r>
    </w:p>
    <w:p w14:paraId="3ECE7D30" w14:textId="77777777" w:rsidR="006E2552" w:rsidRDefault="006E2552" w:rsidP="00690186">
      <w:pPr>
        <w:tabs>
          <w:tab w:val="left" w:pos="993"/>
        </w:tabs>
        <w:jc w:val="both"/>
        <w:rPr>
          <w:rFonts w:asciiTheme="minorHAnsi" w:hAnsiTheme="minorHAnsi" w:cstheme="minorHAnsi"/>
          <w:bCs/>
          <w:sz w:val="26"/>
          <w:szCs w:val="26"/>
        </w:rPr>
      </w:pPr>
    </w:p>
    <w:p w14:paraId="36C2CE27" w14:textId="717208F4" w:rsidR="00A52FAE" w:rsidRPr="00564DC7" w:rsidRDefault="00A52FAE" w:rsidP="00690186">
      <w:pPr>
        <w:tabs>
          <w:tab w:val="left" w:pos="993"/>
        </w:tabs>
        <w:jc w:val="both"/>
        <w:rPr>
          <w:rFonts w:asciiTheme="minorHAnsi" w:hAnsiTheme="minorHAnsi" w:cstheme="minorHAnsi"/>
          <w:bCs/>
          <w:sz w:val="26"/>
          <w:szCs w:val="26"/>
        </w:rPr>
      </w:pPr>
      <w:r w:rsidRPr="00564DC7">
        <w:rPr>
          <w:rFonts w:asciiTheme="minorHAnsi" w:hAnsiTheme="minorHAnsi" w:cstheme="minorHAnsi"/>
          <w:bCs/>
          <w:sz w:val="26"/>
          <w:szCs w:val="26"/>
        </w:rPr>
        <w:lastRenderedPageBreak/>
        <w:tab/>
        <w:t>Totodată,</w:t>
      </w:r>
      <w:r w:rsidRPr="00564DC7">
        <w:rPr>
          <w:rStyle w:val="Heading2Char"/>
          <w:rFonts w:asciiTheme="minorHAnsi" w:eastAsiaTheme="minorHAnsi" w:hAnsiTheme="minorHAnsi" w:cstheme="minorHAnsi"/>
          <w:bCs/>
          <w:color w:val="auto"/>
          <w:bdr w:val="none" w:sz="0" w:space="0" w:color="auto" w:frame="1"/>
          <w:shd w:val="clear" w:color="auto" w:fill="FFFFFF"/>
        </w:rPr>
        <w:t xml:space="preserve"> î</w:t>
      </w:r>
      <w:r w:rsidRPr="00564DC7">
        <w:rPr>
          <w:rFonts w:asciiTheme="minorHAnsi" w:hAnsiTheme="minorHAnsi" w:cstheme="minorHAnsi"/>
          <w:bCs/>
          <w:sz w:val="26"/>
          <w:szCs w:val="26"/>
        </w:rPr>
        <w:t>n vederea asanării legislaţiei active, în procesul de elaborare a proiectelor de acte normative s-a avut în vedere necesitatea abrogării exprese a anumitor dispoziţii legale. Dintre hotărârile de abrogare menţionăm următoarele:</w:t>
      </w:r>
    </w:p>
    <w:p w14:paraId="6A6B7725"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Secției pentru judecători nr. 421 din 23 martie 2023 </w:t>
      </w:r>
      <w:r w:rsidRPr="00564DC7">
        <w:rPr>
          <w:rFonts w:asciiTheme="minorHAnsi" w:eastAsia="Calibri" w:hAnsiTheme="minorHAnsi" w:cstheme="minorHAnsi"/>
          <w:bCs/>
          <w:sz w:val="26"/>
          <w:szCs w:val="26"/>
        </w:rPr>
        <w:t>pentru abrogarea Regulamentului privind transferul judecătorilor, aprobat prin Hotărârea Secției pentru judecători nr. 1347/17.09.2019, publicată în Monitorul Oficial al României, Partea I, nr. 769 din 23 septembrie 2019;</w:t>
      </w:r>
    </w:p>
    <w:p w14:paraId="37C6C37F"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Secției pentru judecători nr. 422 din 23 martie 2023 </w:t>
      </w:r>
      <w:r w:rsidRPr="00564DC7">
        <w:rPr>
          <w:rFonts w:asciiTheme="minorHAnsi" w:eastAsia="Calibri" w:hAnsiTheme="minorHAnsi" w:cstheme="minorHAnsi"/>
          <w:bCs/>
          <w:sz w:val="26"/>
          <w:szCs w:val="26"/>
        </w:rPr>
        <w:t>pentru abrogarea Metodologiei privind numirea procurorilor în funcția de judecător, aprobată prin Hotărârea Secției pentru judecători nr. 695 din 28 mai 2019;</w:t>
      </w:r>
    </w:p>
    <w:p w14:paraId="5F46BF0B"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Plenului nr. 49 din 23 martie 2023 </w:t>
      </w:r>
      <w:r w:rsidRPr="00564DC7">
        <w:rPr>
          <w:rFonts w:asciiTheme="minorHAnsi" w:eastAsia="Calibri" w:hAnsiTheme="minorHAnsi" w:cstheme="minorHAnsi"/>
          <w:bCs/>
          <w:sz w:val="26"/>
          <w:szCs w:val="26"/>
        </w:rPr>
        <w:t>pentru abrogarea Regulamentului privind numirea şi revocarea procurorilor cu funcţii de conducere din cadrul Secţiei pentru investigarea infracţiunilor din justiţie, aprobat prin Hotărârea Plenului Consiliului Superior al Magistraturii nr. 910 din 19 septembrie 2018, publicată în Monitorul Oficial al României, Partea I, nr. 812 din 21 septembrie 2018;</w:t>
      </w:r>
    </w:p>
    <w:p w14:paraId="381BF604"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Plenului nr. 50 din 23 martie 2023 </w:t>
      </w:r>
      <w:r w:rsidRPr="00564DC7">
        <w:rPr>
          <w:rFonts w:asciiTheme="minorHAnsi" w:eastAsia="Calibri" w:hAnsiTheme="minorHAnsi" w:cstheme="minorHAnsi"/>
          <w:bCs/>
          <w:sz w:val="26"/>
          <w:szCs w:val="26"/>
        </w:rPr>
        <w:t>pentru abrogarea Regulamentului privind numirea, continuarea activităţii şi revocarea procurorilor cu funcţii de execuţie din cadrul Secţiei pentru investigarea infracţiunilor din justiţie, aprobat prin Hotărârea Plenului Consiliului Superior al Magistraturii nr. 911 din 19 septembrie 2018, publicată în Monitorul Oficial al României, Partea I, nr. 812 din 21 septembrie 2018;</w:t>
      </w:r>
    </w:p>
    <w:p w14:paraId="23B9DC4F"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bCs/>
          <w:sz w:val="26"/>
          <w:szCs w:val="26"/>
        </w:rPr>
        <w:t xml:space="preserve">Hotărârea Plenului nr. 51 din 23 martie 2023 </w:t>
      </w:r>
      <w:r w:rsidRPr="00564DC7">
        <w:rPr>
          <w:rFonts w:asciiTheme="minorHAnsi" w:eastAsia="Calibri" w:hAnsiTheme="minorHAnsi" w:cstheme="minorHAnsi"/>
          <w:bCs/>
          <w:sz w:val="26"/>
          <w:szCs w:val="26"/>
        </w:rPr>
        <w:t>pentru abrogarea Regulamentului privind organizarea şi desfăşurarea concursului pentru ocuparea posturilor vacante de magistrat-asistent la Înalta Curte de Casaţie şi Justiţie, aprobat prin Hotărârea Plenului Consiliului Superior al Magistraturii nr. 293/2007, publicată în Monitorul Oficial al României, Partea I, nr. 288 din 2 mai 2007, cu modificările şi completările ulterioare;</w:t>
      </w:r>
    </w:p>
    <w:p w14:paraId="2C4588E9" w14:textId="77777777" w:rsidR="00A52FAE" w:rsidRPr="00564DC7" w:rsidRDefault="00A52FAE">
      <w:pPr>
        <w:numPr>
          <w:ilvl w:val="0"/>
          <w:numId w:val="8"/>
        </w:numPr>
        <w:tabs>
          <w:tab w:val="left" w:pos="993"/>
        </w:tabs>
        <w:ind w:left="0" w:firstLine="709"/>
        <w:contextualSpacing/>
        <w:jc w:val="both"/>
        <w:rPr>
          <w:rFonts w:asciiTheme="minorHAnsi" w:eastAsia="Calibri" w:hAnsiTheme="minorHAnsi" w:cstheme="minorHAnsi"/>
          <w:bCs/>
          <w:sz w:val="26"/>
          <w:szCs w:val="26"/>
        </w:rPr>
      </w:pPr>
      <w:r w:rsidRPr="00564DC7">
        <w:rPr>
          <w:rFonts w:asciiTheme="minorHAnsi" w:eastAsia="Calibri" w:hAnsiTheme="minorHAnsi" w:cstheme="minorHAnsi"/>
          <w:b/>
          <w:sz w:val="26"/>
          <w:szCs w:val="26"/>
        </w:rPr>
        <w:t xml:space="preserve">Hotărârea Plenului nr. 52 din 23 martie 2023 </w:t>
      </w:r>
      <w:r w:rsidRPr="00564DC7">
        <w:rPr>
          <w:rFonts w:asciiTheme="minorHAnsi" w:eastAsia="Calibri" w:hAnsiTheme="minorHAnsi" w:cstheme="minorHAnsi"/>
          <w:bCs/>
          <w:sz w:val="26"/>
          <w:szCs w:val="26"/>
        </w:rPr>
        <w:t>pentru abrogarea Regulamentului privind promovarea în funcţia de prim-magistrat asistent şi de magistrat-asistent şef la Înalta Curte de Casaţie şi Justiţie, aprobat prin Hotărârea Plenului Consiliului Superior al Magistraturii nr. 292/2007, publicată în Monitorul Oficial al României, Partea I, nr. 288 din 2 mai 2007;</w:t>
      </w:r>
    </w:p>
    <w:p w14:paraId="2B8C96B7" w14:textId="1EDD45A1" w:rsidR="000F37DE" w:rsidRPr="00261D6B" w:rsidRDefault="00A52FAE" w:rsidP="00BC57A8">
      <w:pPr>
        <w:pStyle w:val="NoSpacing"/>
        <w:numPr>
          <w:ilvl w:val="0"/>
          <w:numId w:val="8"/>
        </w:numPr>
        <w:tabs>
          <w:tab w:val="left" w:pos="993"/>
        </w:tabs>
        <w:ind w:left="0" w:firstLine="709"/>
        <w:jc w:val="both"/>
        <w:rPr>
          <w:rFonts w:asciiTheme="minorHAnsi" w:eastAsia="Calibri" w:hAnsiTheme="minorHAnsi" w:cstheme="minorHAnsi"/>
          <w:bCs/>
          <w:sz w:val="26"/>
          <w:szCs w:val="26"/>
          <w:lang w:val="ro-RO"/>
        </w:rPr>
      </w:pPr>
      <w:r w:rsidRPr="00261D6B">
        <w:rPr>
          <w:rFonts w:asciiTheme="minorHAnsi" w:eastAsia="Calibri" w:hAnsiTheme="minorHAnsi" w:cstheme="minorHAnsi"/>
          <w:b/>
          <w:bCs/>
          <w:sz w:val="26"/>
          <w:szCs w:val="26"/>
          <w:lang w:val="ro-RO"/>
        </w:rPr>
        <w:t xml:space="preserve">Hotărârea Plenului nr. 189 din 14 martie 2023 </w:t>
      </w:r>
      <w:r w:rsidRPr="00261D6B">
        <w:rPr>
          <w:rFonts w:asciiTheme="minorHAnsi" w:eastAsia="Calibri" w:hAnsiTheme="minorHAnsi" w:cstheme="minorHAnsi"/>
          <w:bCs/>
          <w:sz w:val="26"/>
          <w:szCs w:val="26"/>
          <w:lang w:val="ro-RO"/>
        </w:rPr>
        <w:t>pentru abrogarea Metodologiei privind detașarea și delegarea procurorilor aprobată prin Hotărârea Secției pentru procurori nr. 720/2022.</w:t>
      </w:r>
    </w:p>
    <w:p w14:paraId="4B7EAF1D" w14:textId="77777777" w:rsidR="000F37DE" w:rsidRPr="000F37DE" w:rsidRDefault="000F37DE" w:rsidP="000F37DE">
      <w:pPr>
        <w:numPr>
          <w:ilvl w:val="0"/>
          <w:numId w:val="8"/>
        </w:numPr>
        <w:tabs>
          <w:tab w:val="left" w:pos="993"/>
        </w:tabs>
        <w:ind w:left="0" w:firstLine="709"/>
        <w:contextualSpacing/>
        <w:jc w:val="both"/>
        <w:rPr>
          <w:rFonts w:ascii="Calibri" w:eastAsia="Calibri" w:hAnsi="Calibri" w:cs="Calibri"/>
          <w:bCs/>
          <w:sz w:val="26"/>
          <w:szCs w:val="26"/>
        </w:rPr>
      </w:pPr>
      <w:r w:rsidRPr="000F37DE">
        <w:rPr>
          <w:rFonts w:ascii="Calibri" w:eastAsia="Calibri" w:hAnsi="Calibri" w:cs="Calibri"/>
          <w:b/>
          <w:bCs/>
          <w:sz w:val="26"/>
          <w:szCs w:val="26"/>
        </w:rPr>
        <w:t xml:space="preserve">Hotărârea Plenului nr. 163 din 16 noiembrie 2023 </w:t>
      </w:r>
      <w:r w:rsidRPr="000F37DE">
        <w:rPr>
          <w:rFonts w:ascii="Calibri" w:eastAsia="Calibri" w:hAnsi="Calibri" w:cs="Calibri"/>
          <w:bCs/>
          <w:sz w:val="26"/>
          <w:szCs w:val="26"/>
        </w:rPr>
        <w:t>pentru abrogarea Regulamentului privind numirea ca judecător sau procuror militar, transferul de la instanţele sau parchetele civile la instanţele ori parchetele militare, precum şi acordarea gradelor militare şi înaintarea în grad a judecătorilor şi procurorilor militari.</w:t>
      </w:r>
    </w:p>
    <w:p w14:paraId="3914D1D1" w14:textId="02A20DB1" w:rsidR="000F37DE" w:rsidRPr="00564DC7" w:rsidRDefault="000F37DE" w:rsidP="000F37DE">
      <w:pPr>
        <w:pStyle w:val="NoSpacing"/>
        <w:tabs>
          <w:tab w:val="left" w:pos="993"/>
        </w:tabs>
        <w:jc w:val="both"/>
        <w:rPr>
          <w:rFonts w:asciiTheme="minorHAnsi" w:hAnsiTheme="minorHAnsi" w:cstheme="minorHAnsi"/>
          <w:bCs/>
          <w:sz w:val="26"/>
          <w:szCs w:val="26"/>
          <w:lang w:val="ro-RO"/>
        </w:rPr>
        <w:sectPr w:rsidR="000F37DE" w:rsidRPr="00564DC7" w:rsidSect="00A3761E">
          <w:pgSz w:w="11906" w:h="16838" w:code="9"/>
          <w:pgMar w:top="567" w:right="851" w:bottom="567" w:left="851" w:header="567" w:footer="284" w:gutter="0"/>
          <w:cols w:space="708"/>
          <w:docGrid w:linePitch="381"/>
        </w:sectPr>
      </w:pPr>
    </w:p>
    <w:p w14:paraId="65B55801" w14:textId="77777777" w:rsidR="000363DB" w:rsidRPr="000363DB" w:rsidRDefault="000363DB" w:rsidP="000363DB">
      <w:pPr>
        <w:tabs>
          <w:tab w:val="left" w:pos="5475"/>
        </w:tabs>
        <w:ind w:firstLine="709"/>
        <w:jc w:val="both"/>
        <w:rPr>
          <w:rFonts w:asciiTheme="minorHAnsi" w:hAnsiTheme="minorHAnsi" w:cstheme="minorHAnsi"/>
          <w:sz w:val="26"/>
          <w:szCs w:val="26"/>
        </w:rPr>
      </w:pPr>
    </w:p>
    <w:p w14:paraId="49D8BA89" w14:textId="57FED16E" w:rsidR="00D92C14" w:rsidRPr="00564DC7" w:rsidRDefault="006C1588" w:rsidP="000363DB">
      <w:pPr>
        <w:pStyle w:val="Heading1"/>
        <w:keepNext w:val="0"/>
        <w:keepLines w:val="0"/>
        <w:suppressLineNumbers/>
        <w:suppressAutoHyphens/>
        <w:spacing w:line="240" w:lineRule="auto"/>
        <w:ind w:firstLine="0"/>
        <w:rPr>
          <w:rFonts w:cstheme="minorHAnsi"/>
          <w:color w:val="auto"/>
          <w:szCs w:val="28"/>
        </w:rPr>
      </w:pPr>
      <w:bookmarkStart w:id="107" w:name="_Toc155267898"/>
      <w:r w:rsidRPr="00564DC7">
        <w:rPr>
          <w:rFonts w:cstheme="minorHAnsi"/>
          <w:color w:val="auto"/>
          <w:szCs w:val="28"/>
        </w:rPr>
        <w:t>CAPITOLUL IV</w:t>
      </w:r>
      <w:bookmarkEnd w:id="107"/>
    </w:p>
    <w:p w14:paraId="1F3C449E" w14:textId="5BCFB17C" w:rsidR="006C1588" w:rsidRPr="00564DC7" w:rsidRDefault="006C1588" w:rsidP="00690186">
      <w:pPr>
        <w:pStyle w:val="Heading1"/>
        <w:keepNext w:val="0"/>
        <w:keepLines w:val="0"/>
        <w:suppressLineNumbers/>
        <w:suppressAutoHyphens/>
        <w:spacing w:line="240" w:lineRule="auto"/>
        <w:ind w:firstLine="0"/>
        <w:rPr>
          <w:rFonts w:cstheme="minorHAnsi"/>
          <w:color w:val="auto"/>
          <w:szCs w:val="28"/>
        </w:rPr>
      </w:pPr>
      <w:bookmarkStart w:id="108" w:name="_Toc155267899"/>
      <w:r w:rsidRPr="00564DC7">
        <w:rPr>
          <w:rFonts w:cstheme="minorHAnsi"/>
          <w:color w:val="auto"/>
          <w:szCs w:val="28"/>
        </w:rPr>
        <w:t>Activităţi derulate în legătură cu atribuţiile în materie disciplinară</w:t>
      </w:r>
      <w:bookmarkEnd w:id="105"/>
      <w:bookmarkEnd w:id="108"/>
    </w:p>
    <w:p w14:paraId="0740B36B" w14:textId="77777777" w:rsidR="000C431F" w:rsidRPr="00564DC7" w:rsidRDefault="000C431F" w:rsidP="00690186">
      <w:pPr>
        <w:rPr>
          <w:rFonts w:asciiTheme="minorHAnsi" w:hAnsiTheme="minorHAnsi" w:cstheme="minorHAnsi"/>
        </w:rPr>
      </w:pPr>
    </w:p>
    <w:p w14:paraId="66212B93" w14:textId="3073155E" w:rsidR="006C1588" w:rsidRPr="00564DC7" w:rsidRDefault="006C1588" w:rsidP="00690186">
      <w:pPr>
        <w:pStyle w:val="Heading2"/>
        <w:keepNext w:val="0"/>
        <w:keepLines w:val="0"/>
        <w:suppressLineNumbers/>
        <w:suppressAutoHyphens/>
        <w:spacing w:line="240" w:lineRule="auto"/>
        <w:rPr>
          <w:rFonts w:cstheme="minorHAnsi"/>
          <w:b w:val="0"/>
          <w:color w:val="auto"/>
          <w:lang w:val="ro-RO"/>
        </w:rPr>
      </w:pPr>
      <w:bookmarkStart w:id="109" w:name="_Toc430867121"/>
      <w:bookmarkStart w:id="110" w:name="_Toc155267900"/>
      <w:r w:rsidRPr="00564DC7">
        <w:rPr>
          <w:rFonts w:cstheme="minorHAnsi"/>
          <w:color w:val="auto"/>
          <w:lang w:val="ro-RO"/>
        </w:rPr>
        <w:t>IV.1.</w:t>
      </w:r>
      <w:r w:rsidR="00143852" w:rsidRPr="00564DC7">
        <w:rPr>
          <w:rFonts w:cstheme="minorHAnsi"/>
          <w:color w:val="auto"/>
          <w:lang w:val="ro-RO"/>
        </w:rPr>
        <w:t xml:space="preserve"> </w:t>
      </w:r>
      <w:r w:rsidRPr="00564DC7">
        <w:rPr>
          <w:rFonts w:cstheme="minorHAnsi"/>
          <w:color w:val="auto"/>
          <w:lang w:val="ro-RO"/>
        </w:rPr>
        <w:t>Activitatea Secţiilor Consiliului Superior al Magistraturii, ca instanţe de judecată în materie disciplinară</w:t>
      </w:r>
      <w:bookmarkEnd w:id="109"/>
      <w:bookmarkEnd w:id="110"/>
      <w:r w:rsidRPr="00564DC7">
        <w:rPr>
          <w:rFonts w:cstheme="minorHAnsi"/>
          <w:color w:val="auto"/>
          <w:lang w:val="ro-RO"/>
        </w:rPr>
        <w:t xml:space="preserve">  </w:t>
      </w:r>
    </w:p>
    <w:p w14:paraId="7583A76A" w14:textId="77777777" w:rsidR="00EE466D" w:rsidRPr="00EE466D" w:rsidRDefault="00EE466D" w:rsidP="00EE466D">
      <w:pPr>
        <w:widowControl w:val="0"/>
        <w:autoSpaceDE w:val="0"/>
        <w:autoSpaceDN w:val="0"/>
        <w:adjustRightInd w:val="0"/>
        <w:ind w:firstLine="708"/>
        <w:jc w:val="both"/>
        <w:rPr>
          <w:rFonts w:ascii="Calibri" w:hAnsi="Calibri" w:cs="Calibri"/>
          <w:b/>
          <w:sz w:val="26"/>
          <w:szCs w:val="26"/>
        </w:rPr>
      </w:pPr>
      <w:r w:rsidRPr="00EE466D">
        <w:rPr>
          <w:rFonts w:ascii="Calibri" w:hAnsi="Calibri" w:cs="Calibri"/>
          <w:bCs/>
          <w:sz w:val="26"/>
          <w:szCs w:val="26"/>
        </w:rPr>
        <w:t>Potrivit art. 44 din Legea nr. 305/2022 privind Consiliul Superior al Magistraturii (fostul art. 44 din Legea nr. 317/2004, republicată), Consiliul îndeplinește, prin secțiile sale, rolul de instanță de judecată în domeniul răspunderii disciplinare a judecătorilor şi a procurorilor, pentru faptele prevăzute de lege ca abateri disciplinare.</w:t>
      </w:r>
    </w:p>
    <w:p w14:paraId="56BA9055" w14:textId="77777777" w:rsidR="00EE466D" w:rsidRPr="00EE466D" w:rsidRDefault="00EE466D" w:rsidP="00EE466D">
      <w:pPr>
        <w:pStyle w:val="AddParagraf"/>
        <w:spacing w:after="0"/>
        <w:rPr>
          <w:rFonts w:cs="Calibri"/>
          <w:bCs/>
          <w:sz w:val="26"/>
          <w:szCs w:val="26"/>
        </w:rPr>
      </w:pPr>
      <w:r w:rsidRPr="00EE466D">
        <w:rPr>
          <w:rFonts w:cs="Calibri"/>
          <w:sz w:val="26"/>
          <w:szCs w:val="26"/>
        </w:rPr>
        <w:t xml:space="preserve">Conform art. 51 </w:t>
      </w:r>
      <w:bookmarkStart w:id="111" w:name="_Hlk147479362"/>
      <w:r w:rsidRPr="00EE466D">
        <w:rPr>
          <w:rFonts w:cs="Calibri"/>
          <w:sz w:val="26"/>
          <w:szCs w:val="26"/>
        </w:rPr>
        <w:t xml:space="preserve">din </w:t>
      </w:r>
      <w:r w:rsidRPr="00EE466D">
        <w:rPr>
          <w:rFonts w:cs="Calibri"/>
          <w:bCs/>
          <w:sz w:val="26"/>
          <w:szCs w:val="26"/>
        </w:rPr>
        <w:t>Regulamentul de organizare și funcționare a Consiliului Superior al Magistraturii, aprobat prin Hotărârea nr. 122/06.07.2023</w:t>
      </w:r>
      <w:bookmarkEnd w:id="111"/>
      <w:r w:rsidRPr="00EE466D">
        <w:rPr>
          <w:rFonts w:cs="Calibri"/>
          <w:bCs/>
          <w:sz w:val="26"/>
          <w:szCs w:val="26"/>
        </w:rPr>
        <w:t>, (fostul art. 56 alin 1 din Hotărârea nr. 1073/3.12.2018 a Plenului Consiliului Superior al Magistraturii privind aprobarea Regulamentului de organizare și funcționare a Consiliului Superior al Magistraturii) Consiliul îndeplinește, prin Secția pentru judecători, rolul de instanță de judecată în domeniul răspunderii disciplinare a judecătorilor pentru faptele prevăzute la art. 271 din Legea nr. 303/2022 (fostul art. 99 din Legea nr. 303/2004, republicată, cu modificările şi completările ulterioare).</w:t>
      </w:r>
    </w:p>
    <w:p w14:paraId="4E3FEC69" w14:textId="6EB6C3E1" w:rsidR="00EE466D" w:rsidRPr="00EE466D" w:rsidRDefault="00EE466D" w:rsidP="00EE466D">
      <w:pPr>
        <w:pStyle w:val="AddParagraf"/>
        <w:spacing w:after="0"/>
        <w:rPr>
          <w:rFonts w:cs="Calibri"/>
          <w:bCs/>
          <w:sz w:val="26"/>
          <w:szCs w:val="26"/>
        </w:rPr>
      </w:pPr>
      <w:r w:rsidRPr="00EE466D">
        <w:rPr>
          <w:rFonts w:cs="Calibri"/>
          <w:bCs/>
          <w:sz w:val="26"/>
          <w:szCs w:val="26"/>
        </w:rPr>
        <w:t>Până la data de</w:t>
      </w:r>
      <w:r w:rsidR="001B5B35">
        <w:rPr>
          <w:rFonts w:cs="Calibri"/>
          <w:bCs/>
          <w:sz w:val="26"/>
          <w:szCs w:val="26"/>
        </w:rPr>
        <w:t xml:space="preserve"> </w:t>
      </w:r>
      <w:r w:rsidR="001B5B35" w:rsidRPr="001B5B35">
        <w:rPr>
          <w:rFonts w:cs="Calibri"/>
          <w:bCs/>
          <w:sz w:val="26"/>
          <w:szCs w:val="26"/>
        </w:rPr>
        <w:t>31 decembrie 2023</w:t>
      </w:r>
      <w:r w:rsidRPr="00EE466D">
        <w:rPr>
          <w:rFonts w:cs="Calibri"/>
          <w:bCs/>
          <w:sz w:val="26"/>
          <w:szCs w:val="26"/>
        </w:rPr>
        <w:t>, pe rolul Secției pentru judecători în materie disciplinară s-au înregistrat un număr de 32 dosare, având ca obiect acțiuni disciplinare.</w:t>
      </w:r>
    </w:p>
    <w:p w14:paraId="055D68B1" w14:textId="77777777" w:rsidR="00EE466D" w:rsidRPr="00117D82" w:rsidRDefault="00EE466D" w:rsidP="00EE466D">
      <w:pPr>
        <w:pStyle w:val="AddParagraf"/>
        <w:spacing w:after="0"/>
        <w:rPr>
          <w:rFonts w:cs="Calibri"/>
          <w:bCs/>
          <w:sz w:val="26"/>
          <w:szCs w:val="26"/>
        </w:rPr>
      </w:pPr>
      <w:r w:rsidRPr="00117D82">
        <w:rPr>
          <w:rFonts w:cs="Calibri"/>
          <w:bCs/>
          <w:sz w:val="26"/>
          <w:szCs w:val="26"/>
        </w:rPr>
        <w:t>Astfel, Secția pentru judecători în materie disciplinară a pronunțat următoarele hotărâri:</w:t>
      </w:r>
    </w:p>
    <w:p w14:paraId="0D3B64DA"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1J din 1 februarie 2023, pronunțată în dosarul nr. 23/J/2022, s-a admis acțiunea și s-a aplicat pârâtului sancțiunea disciplinară constând în „suspendarea din funcție pentru o perioadă de 3 luni” pentru săvârșirea abaterii disciplinare prevăzute de art. 99 lit. r) teza I din Legea nr. 303/2004. Hotărârea este definitivă prin nerecurare.</w:t>
      </w:r>
    </w:p>
    <w:p w14:paraId="3A98BD29"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2J din 15 februarie 2023, pronunțată în dosarul nr. 24/J/2022, s-a respins acțiunea exercitată pentru săvârșirea abaterii disciplinare prevăzute de art. 99 lit. c) din Legea nr.303/2004, ca neîntemeiată.</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Hotărârea este definitivă prin nerecurare.</w:t>
      </w:r>
    </w:p>
    <w:p w14:paraId="109DB00E"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3J din 15 februarie 2023, pronunțată în dosarul nr. 31/J/2022, s-a </w:t>
      </w:r>
      <w:bookmarkStart w:id="112" w:name="_Hlk147480091"/>
      <w:r w:rsidRPr="00564DC7">
        <w:rPr>
          <w:rFonts w:asciiTheme="minorHAnsi" w:hAnsiTheme="minorHAnsi" w:cstheme="minorHAnsi"/>
          <w:bCs/>
          <w:sz w:val="26"/>
          <w:szCs w:val="26"/>
        </w:rPr>
        <w:t>admis, în parte, acțiunea și s-a aplicat pârâtului sancțiunea disciplinară constând în „suspendarea din funcție pentru o perioadă de 6 luni” pentru săvârșirea abaterilor disciplinare prevăzute de art. 99 lit. r) teza I și lit. h) teza I din Legea nr. 303/2004.</w:t>
      </w:r>
      <w:bookmarkEnd w:id="112"/>
      <w:r w:rsidRPr="00564DC7">
        <w:rPr>
          <w:rFonts w:asciiTheme="minorHAnsi" w:hAnsiTheme="minorHAnsi" w:cstheme="minorHAnsi"/>
          <w:bCs/>
          <w:sz w:val="26"/>
          <w:szCs w:val="26"/>
        </w:rPr>
        <w:t xml:space="preserve"> Prin aceeași hotărâre, s-a respins acțiunea exercitată pentru săvârșirea abaterii disciplinare prevăzute de art. 99 lit. t) teza a II-a din Legea nr. 303/2004, ca neîntemeiată. Hotărârea este definitivă prin nerecurare.</w:t>
      </w:r>
    </w:p>
    <w:p w14:paraId="0C77BA9E" w14:textId="49D225D0" w:rsidR="00A068F6" w:rsidRPr="00EE466D" w:rsidRDefault="00A068F6" w:rsidP="00EE466D">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4J din 15 martie 2023, pronunțată în dosarul nr. 30/J/2022, s-a admis acțiunea și s-a aplicat pârâtelor sancțiunea disciplinară constând în „excluderea din magistratură” pentru săvârșirea abaterii disciplinare prevăzute de art. 99 lit. t) teza I din Legea nr. 303/2004. </w:t>
      </w:r>
      <w:r w:rsidR="00EE466D" w:rsidRPr="00EE466D">
        <w:rPr>
          <w:rFonts w:cs="Calibri"/>
          <w:bCs/>
          <w:sz w:val="26"/>
          <w:szCs w:val="26"/>
        </w:rPr>
        <w:t xml:space="preserve">Prin decizia civilă nr. 232 din 30.10.2023 pronunțată de Înalta Curte de Casație şi Justiție s-a admis recursul, s-a casat hotărârea atacată şi, rejudecând, s-a respins acţiunea disciplinară exercitată împotriva pârâtelor sub aspectul săvârșirii abaterii disciplinare prevăzute de art. 99 lit. t) teza I din Legea nr. 303/2004 privind statutul judecătorilor şi procurorilor, republicată, cu modificările şi completările ulterioare, ca neîntemeiată. </w:t>
      </w:r>
    </w:p>
    <w:p w14:paraId="0FF49ABF" w14:textId="66FE1C57" w:rsidR="00EE466D" w:rsidRPr="00EE466D" w:rsidRDefault="00A068F6" w:rsidP="00EE466D">
      <w:pPr>
        <w:pStyle w:val="AddParagraf"/>
        <w:spacing w:after="0"/>
        <w:rPr>
          <w:rFonts w:cs="Calibri"/>
          <w:bCs/>
          <w:sz w:val="26"/>
          <w:szCs w:val="26"/>
        </w:rPr>
      </w:pPr>
      <w:r w:rsidRPr="00564DC7">
        <w:rPr>
          <w:rFonts w:asciiTheme="minorHAnsi" w:hAnsiTheme="minorHAnsi" w:cstheme="minorHAnsi"/>
          <w:bCs/>
          <w:sz w:val="26"/>
          <w:szCs w:val="26"/>
        </w:rPr>
        <w:t>Prin Hotărârea nr. 5J din 26 aprilie 2023, pronunțată în dosarul nr. 28/J/2022, s-a admis în parte acțiunea și s-a aplicat pârâtei sancțiunea disciplinară constând în „suspendarea din funcție pentru o perioadă de 2 luni” pentru săvârșirea abaterilor disciplinare prevăzute de art. 99 lit. h) teza I și lit. r) teza I din Legea nr. 303/2004. Prin aceeași hotărâre, s-a respins acțiunea exercitată pentru săvârșirea abaterii disciplinare prevăzute de art.</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 xml:space="preserve">99 lit. t) teza a II-a din Legea nr. 303/2004, </w:t>
      </w:r>
      <w:r w:rsidRPr="00564DC7">
        <w:rPr>
          <w:rFonts w:asciiTheme="minorHAnsi" w:hAnsiTheme="minorHAnsi" w:cstheme="minorHAnsi"/>
          <w:bCs/>
          <w:sz w:val="26"/>
          <w:szCs w:val="26"/>
        </w:rPr>
        <w:lastRenderedPageBreak/>
        <w:t xml:space="preserve">ca neîntemeiată. </w:t>
      </w:r>
      <w:r w:rsidR="00EE466D" w:rsidRPr="00EE466D">
        <w:rPr>
          <w:rFonts w:cs="Calibri"/>
          <w:bCs/>
          <w:sz w:val="26"/>
          <w:szCs w:val="26"/>
        </w:rPr>
        <w:t>Prin decizia civilă nr. 212 din 09.10.2023</w:t>
      </w:r>
      <w:r w:rsidR="00EE466D" w:rsidRPr="00EE466D">
        <w:t xml:space="preserve"> </w:t>
      </w:r>
      <w:r w:rsidR="00EE466D" w:rsidRPr="00EE466D">
        <w:rPr>
          <w:rFonts w:cs="Calibri"/>
          <w:bCs/>
          <w:sz w:val="26"/>
          <w:szCs w:val="26"/>
        </w:rPr>
        <w:t>pronunțată de Înalta Curte de Casație şi Justiție s-a luat act de renunţarea pârâtei la recursul declarat.</w:t>
      </w:r>
    </w:p>
    <w:p w14:paraId="525728C7" w14:textId="35E14264"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6J din 3 mai 2023, pronunțată în dosarul nr. 3/J/2023, s-a admis acțiunea și s-a aplicat pârâtei sancțiunea disciplinară constând în „avertisment” pentru săvârșirea abaterii disciplinare prevăzute de art. 271 lit. q) teza I din Legea nr. 303/2022. Hotărârea este definitivă prin nerecurare.</w:t>
      </w:r>
    </w:p>
    <w:p w14:paraId="74C44523"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7J din 3 mai 2023, pronunțată în dosarul nr. 4/J/2023, s-a respins acțiunea exercitată pentru săvârșirea abaterilor disciplinare prevăzute de art. 271 lit. g) teza I, lit.q) teza I şi lit. s) teza a II-a din Legea nr. 303/2022, ca neîntemeiată. Hotărârea este definitivă prin nerecurare.</w:t>
      </w:r>
    </w:p>
    <w:p w14:paraId="289D50AB" w14:textId="3957093B"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8J din 3 mai 2023, pronunțată în dosarul nr. 7/J/2021(Rj), s-a admis în parte acțiunea</w:t>
      </w:r>
      <w:r w:rsidR="00FF4A5E">
        <w:rPr>
          <w:rFonts w:asciiTheme="minorHAnsi" w:hAnsiTheme="minorHAnsi" w:cstheme="minorHAnsi"/>
          <w:bCs/>
          <w:sz w:val="26"/>
          <w:szCs w:val="26"/>
        </w:rPr>
        <w:t xml:space="preserve"> </w:t>
      </w:r>
      <w:r w:rsidRPr="00564DC7">
        <w:rPr>
          <w:rFonts w:asciiTheme="minorHAnsi" w:hAnsiTheme="minorHAnsi" w:cstheme="minorHAnsi"/>
          <w:bCs/>
          <w:sz w:val="26"/>
          <w:szCs w:val="26"/>
        </w:rPr>
        <w:t>și s-a aplicat pârâtului sancțiunea disciplinară constând în „avertisment” pentru săvârșirea abaterii disciplinare prevăzute de art. 99 lit. s) teza I din Legea nr. 303/2004. Prin aceeași hotărâre s</w:t>
      </w:r>
      <w:bookmarkStart w:id="113" w:name="_Hlk147475006"/>
      <w:r w:rsidRPr="00564DC7">
        <w:rPr>
          <w:rFonts w:asciiTheme="minorHAnsi" w:hAnsiTheme="minorHAnsi" w:cstheme="minorHAnsi"/>
          <w:bCs/>
          <w:sz w:val="26"/>
          <w:szCs w:val="26"/>
        </w:rPr>
        <w:t>-a respins acțiunea exercitată pentru săvârșirea abaterilor disciplinare prevăzute de art.</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99 lit. c) și lit. t) teza I din Legea nr. 303/2004, ca neîntemeiată.</w:t>
      </w:r>
      <w:bookmarkEnd w:id="113"/>
      <w:r w:rsidRPr="00564DC7">
        <w:rPr>
          <w:rFonts w:asciiTheme="minorHAnsi" w:hAnsiTheme="minorHAnsi" w:cstheme="minorHAnsi"/>
          <w:bCs/>
          <w:sz w:val="26"/>
          <w:szCs w:val="26"/>
        </w:rPr>
        <w:t xml:space="preserve"> Hotărârea este definitivă prin nerecurare.</w:t>
      </w:r>
    </w:p>
    <w:p w14:paraId="362C7AD3"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9J din 3 mai 2023, pronunțată în dosarul nr. 29/J/2022, s-a respins acțiunea exercitată pentru săvârșirea abaterilor disciplinare prevăzute de art. 99 lit. h) teza I și lit. t) teza a II-a din Legea nr. 303/2004, ca neîntemeiată. Hotărârea este definitivă prin nerecurare.</w:t>
      </w:r>
    </w:p>
    <w:p w14:paraId="6370CE29"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10J din 31 mai 2023, pronunțată în dosarul nr. 7/J/2023, s-a admis în parte acțiunea și s-a aplicat pârâtei sancțiunea disciplinară constând în „avertisment” pentru săvârșirea abaterii disciplinare prevăzute de art. 271 lit. s) teza a II-a raportat la art. 272 alin. (2) din Legea nr. 303/2022. </w:t>
      </w:r>
      <w:bookmarkStart w:id="114" w:name="_Hlk147474860"/>
      <w:r w:rsidRPr="00564DC7">
        <w:rPr>
          <w:rFonts w:asciiTheme="minorHAnsi" w:hAnsiTheme="minorHAnsi" w:cstheme="minorHAnsi"/>
          <w:bCs/>
          <w:sz w:val="26"/>
          <w:szCs w:val="26"/>
        </w:rPr>
        <w:t xml:space="preserve">Prin aceeași hotărâre s-a respins acțiunea exercitată pentru săvârșirea abaterilor disciplinare prevăzute de art. 271 lit. g) teza I și lit. l) din Legea nr. 303/2022, ca neîntemeiată. </w:t>
      </w:r>
      <w:bookmarkEnd w:id="114"/>
      <w:r w:rsidRPr="00564DC7">
        <w:rPr>
          <w:rFonts w:asciiTheme="minorHAnsi" w:hAnsiTheme="minorHAnsi" w:cstheme="minorHAnsi"/>
          <w:bCs/>
          <w:sz w:val="26"/>
          <w:szCs w:val="26"/>
        </w:rPr>
        <w:t>Hotărârea este definitivă prin nerecurare.</w:t>
      </w:r>
    </w:p>
    <w:p w14:paraId="79A1EF1B"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11J din 14 iunie 2023, pronunțată în dosarul nr. 2/J/2023, s-a admis acțiunea şi s-a aplicat pârâtei sancțiunea disciplinară constând în „excluderea din magistratură” pentru săvârșirea abaterilor disciplinare prevăzute de art. 271 lit. b), lit. l) și lit. s) teza a II-a raportat la art. 272 alin. (2) și (3) din Legea nr. 303/2022.</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Hotărârea nu este definitivă.</w:t>
      </w:r>
    </w:p>
    <w:p w14:paraId="545ED472" w14:textId="786B5CC0"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12J din 14 iunie 2023, pronunțată în dosarul nr. 8/J/2023, s-a respins acțiunea exercitată pentru săvârșirea abaterii disciplinare prevăzute de art. 271 lit. h) teza I din Legea nr. 303/2022, ca neîntemeiată. </w:t>
      </w:r>
      <w:r w:rsidR="00EE466D" w:rsidRPr="00EE466D">
        <w:rPr>
          <w:rFonts w:cs="Calibri"/>
          <w:bCs/>
          <w:sz w:val="26"/>
          <w:szCs w:val="26"/>
        </w:rPr>
        <w:t>Prin decizia civilă nr. 268 din 15.11.2023</w:t>
      </w:r>
      <w:r w:rsidR="00EE466D" w:rsidRPr="00EE466D">
        <w:t xml:space="preserve"> </w:t>
      </w:r>
      <w:r w:rsidR="00EE466D" w:rsidRPr="00EE466D">
        <w:rPr>
          <w:rFonts w:cs="Calibri"/>
          <w:bCs/>
          <w:sz w:val="26"/>
          <w:szCs w:val="26"/>
        </w:rPr>
        <w:t>pronunțată de Înalta Curte de Casație şi Justiție s-a respins, ca nefondat, recursul declarat de reclamantă.</w:t>
      </w:r>
    </w:p>
    <w:p w14:paraId="5508FA25"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13J din 28 iunie 2023, pronunțată în dosarul nr. 32/J/2022, s-a admis acțiunea şi s-a aplicat pârâtului sancțiunea disciplinară constând în „diminuarea indemnizației de încadrare lunare brute cu 15% pentru o perioadă de 3 luni” pentru săvârșirea abaterii disciplinare prevăzute de art. 99 lit. r) teza I din Legea nr. 303/2004. Hotărârea nu este definitivă.</w:t>
      </w:r>
    </w:p>
    <w:p w14:paraId="54714A63"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14J din 28 iunie 2023, pronunțată în dosarul nr. 10/J/2023, s-a admis acțiunea şi s-a aplicat pârâtei sancțiunea disciplinară constând în ”diminuarea indemnizației de încadrare lunare brute cu 25% pe o perioadă de 1 an” pentru săvârșirea abaterii disciplinare prevăzute de art. 271 lit. g) teza I din Legea nr. 303/2022. Hotărârea nu este definitivă.</w:t>
      </w:r>
    </w:p>
    <w:p w14:paraId="193F95DA" w14:textId="77777777"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15J din 28 iunie 2023, pronunțată în dosarul nr. 11/J/2023, s-a admis acțiunea și s-a aplicat pârâtului sancțiunea disciplinară constând în ”diminuarea indemnizației de încadrare lunare brute cu 10% pe o perioadă de 3 luni” pentru săvârșirea abaterii disciplinare prevăzute de art. 271 lit. g) teza I din Legea nr. 303/2022. Hotărârea este definitivă prin nerecurare.</w:t>
      </w:r>
    </w:p>
    <w:p w14:paraId="37649686" w14:textId="5D55480A"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16J din 12 iulie 2023, pronunțată în dosarul nr. 1/J/2023, s-a admis acțiunea și s-a aplicat pârâtei sancțiunea disciplinară constând în „retrogradarea din gradul profesional de tribunal în gradul profesional de judecătorie și continuarea activității la </w:t>
      </w:r>
      <w:r w:rsidRPr="00564DC7">
        <w:rPr>
          <w:rFonts w:asciiTheme="minorHAnsi" w:hAnsiTheme="minorHAnsi" w:cstheme="minorHAnsi"/>
          <w:bCs/>
          <w:sz w:val="26"/>
          <w:szCs w:val="26"/>
        </w:rPr>
        <w:lastRenderedPageBreak/>
        <w:t xml:space="preserve">Judecătoria </w:t>
      </w:r>
      <w:r w:rsidR="00FF4A5E">
        <w:rPr>
          <w:rFonts w:asciiTheme="minorHAnsi" w:hAnsiTheme="minorHAnsi" w:cstheme="minorHAnsi"/>
          <w:bCs/>
          <w:sz w:val="26"/>
          <w:szCs w:val="26"/>
        </w:rPr>
        <w:t>...</w:t>
      </w:r>
      <w:r w:rsidRPr="00564DC7">
        <w:rPr>
          <w:rFonts w:asciiTheme="minorHAnsi" w:hAnsiTheme="minorHAnsi" w:cstheme="minorHAnsi"/>
          <w:bCs/>
          <w:sz w:val="26"/>
          <w:szCs w:val="26"/>
        </w:rPr>
        <w:t>” pentru săvârșirea abaterii disciplinare prevăzute de art. 271 lit. s) teza I și teza a II-a din Legea nr. 303/2022. Hotărârea nu este definitivă.</w:t>
      </w:r>
    </w:p>
    <w:p w14:paraId="72667E68" w14:textId="77777777" w:rsidR="00EE466D" w:rsidRPr="00EE466D" w:rsidRDefault="00A068F6" w:rsidP="00EE466D">
      <w:pPr>
        <w:pStyle w:val="AddParagraf"/>
        <w:spacing w:after="0"/>
        <w:rPr>
          <w:rFonts w:cs="Calibri"/>
          <w:bCs/>
          <w:sz w:val="26"/>
          <w:szCs w:val="26"/>
        </w:rPr>
      </w:pPr>
      <w:r w:rsidRPr="00564DC7">
        <w:rPr>
          <w:rFonts w:asciiTheme="minorHAnsi" w:hAnsiTheme="minorHAnsi" w:cstheme="minorHAnsi"/>
          <w:bCs/>
          <w:sz w:val="26"/>
          <w:szCs w:val="26"/>
        </w:rPr>
        <w:t xml:space="preserve">Prin Hotărârea nr. 17J din 27 septembrie 2023, pronunțată în dosarul nr. 13/J/2023, s-a admis acţiunea şi s-a aplicat pârâtei sancțiunea disciplinară constând în ”avertisment” pentru săvârșirea abaterilor disciplinare prevăzute de art. 271 lit. g) teza I și lit. q) teza I din Legea nr. 303/2022. </w:t>
      </w:r>
      <w:bookmarkStart w:id="115" w:name="_Hlk147481914"/>
      <w:r w:rsidR="00EE466D" w:rsidRPr="00EE466D">
        <w:rPr>
          <w:rFonts w:cs="Calibri"/>
          <w:bCs/>
          <w:sz w:val="26"/>
          <w:szCs w:val="26"/>
        </w:rPr>
        <w:t>Hotărârea este definitivă prin nerecurare.</w:t>
      </w:r>
    </w:p>
    <w:p w14:paraId="0536EF94" w14:textId="610C4953" w:rsidR="00A068F6" w:rsidRPr="00564DC7" w:rsidRDefault="00A068F6" w:rsidP="00690186">
      <w:pPr>
        <w:pStyle w:val="AddParagraf"/>
        <w:spacing w:after="0"/>
        <w:rPr>
          <w:rFonts w:asciiTheme="minorHAnsi" w:hAnsiTheme="minorHAnsi" w:cstheme="minorHAnsi"/>
          <w:bCs/>
          <w:sz w:val="26"/>
          <w:szCs w:val="26"/>
        </w:rPr>
      </w:pPr>
      <w:r w:rsidRPr="00564DC7">
        <w:rPr>
          <w:rFonts w:asciiTheme="minorHAnsi" w:hAnsiTheme="minorHAnsi" w:cstheme="minorHAnsi"/>
          <w:bCs/>
          <w:sz w:val="26"/>
          <w:szCs w:val="26"/>
        </w:rPr>
        <w:t>Prin Hotărârea nr. 18J din 27 septembrie 2023, pronunțată în dosarul nr. 6/J/2023,  s-a admis acțiunea și s-a aplicat pârâtei sancțiunea disciplinară constând în ”diminuarea indemnizației de încadrare lunare brute cu 15% pe o perioadă de 3 luni” pentru săvârșirea abaterii disciplinare prevăzute de art. 271 lit. q) teza I din Legea nr. 303/2022. Hotărârea nu este definitivă.</w:t>
      </w:r>
    </w:p>
    <w:bookmarkEnd w:id="115"/>
    <w:p w14:paraId="2791A7CE" w14:textId="592B80EE" w:rsidR="00A068F6" w:rsidRPr="00564DC7" w:rsidRDefault="00A068F6" w:rsidP="00690186">
      <w:pPr>
        <w:ind w:right="48" w:firstLine="709"/>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 xml:space="preserve">Prin Hotărârea nr. 19J din 11 octombrie 2023, pronunțată în dosarul nr. 9/J/2023, s-a admis acțiunea și s-a aplicat pârâtului sancțiunea disciplinară constând în ”mutarea disciplinară pentru o perioadă efectivă de 2 ani la Tribunalul </w:t>
      </w:r>
      <w:r w:rsidR="00FF4A5E">
        <w:rPr>
          <w:rFonts w:asciiTheme="minorHAnsi" w:eastAsia="Calibri" w:hAnsiTheme="minorHAnsi" w:cstheme="minorHAnsi"/>
          <w:bCs/>
          <w:sz w:val="26"/>
          <w:szCs w:val="26"/>
        </w:rPr>
        <w:t>...</w:t>
      </w:r>
      <w:r w:rsidRPr="00564DC7">
        <w:rPr>
          <w:rFonts w:asciiTheme="minorHAnsi" w:eastAsia="Calibri" w:hAnsiTheme="minorHAnsi" w:cstheme="minorHAnsi"/>
          <w:bCs/>
          <w:sz w:val="26"/>
          <w:szCs w:val="26"/>
        </w:rPr>
        <w:t>” pentru săvârșirea abaterii disciplinare prevăzute de art. 271 lit. g) teza I din Legea nr. 303/2022. Hotărârea nu este definitivă.</w:t>
      </w:r>
    </w:p>
    <w:p w14:paraId="74353047" w14:textId="77777777" w:rsidR="000C431F" w:rsidRPr="00564DC7" w:rsidRDefault="000C431F" w:rsidP="00690186">
      <w:pPr>
        <w:ind w:right="48" w:firstLine="709"/>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Prin Hotărârea nr. 20J din 1 noiembrie 2023 pronunțată în dosarul nr. 16/J/2023 s-a admis acțiunea și s-a aplicat pârâtei sancțiunea disciplinară constând în „excluderea din magistratură” pentru săvârșirea abaterii disciplinare prevăzute de art.271 lit. q) teza I din Legea nr. 303/2022. Hotărârea nu este definitivă.</w:t>
      </w:r>
    </w:p>
    <w:p w14:paraId="378A0CE1" w14:textId="77777777" w:rsidR="000C431F" w:rsidRPr="00564DC7" w:rsidRDefault="000C431F" w:rsidP="00690186">
      <w:pPr>
        <w:ind w:right="48" w:firstLine="709"/>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Prin Hotărârea nr. 21J din 1 noiembrie 2023 pronunțată în dosarul nr. 14/J/2023 s-a admis acțiunea și s-a aplicat pârâtei sancțiunea disciplinară constând în „diminuarea indemnizației de încadrare lunare brute cu 10% pe o perioadă de 6 luni” pentru săvârșirea abaterii disciplinare prevăzute de art.271 lit. g) teza I din Legea nr. 303/2022. Hotărârea nu este definitivă.</w:t>
      </w:r>
    </w:p>
    <w:p w14:paraId="461CDB98" w14:textId="77777777" w:rsidR="000C431F" w:rsidRPr="00564DC7" w:rsidRDefault="000C431F" w:rsidP="00690186">
      <w:pPr>
        <w:ind w:right="48" w:firstLine="709"/>
        <w:jc w:val="both"/>
        <w:rPr>
          <w:rFonts w:asciiTheme="minorHAnsi" w:eastAsia="Calibri" w:hAnsiTheme="minorHAnsi" w:cstheme="minorHAnsi"/>
          <w:bCs/>
          <w:sz w:val="26"/>
          <w:szCs w:val="26"/>
        </w:rPr>
      </w:pPr>
      <w:r w:rsidRPr="00564DC7">
        <w:rPr>
          <w:rFonts w:asciiTheme="minorHAnsi" w:eastAsia="Calibri" w:hAnsiTheme="minorHAnsi" w:cstheme="minorHAnsi"/>
          <w:bCs/>
          <w:sz w:val="26"/>
          <w:szCs w:val="26"/>
        </w:rPr>
        <w:t>Prin Hotărârea nr. 22J din 1 noiembrie 2023 pronunțată în dosarul nr. 19/J/2023 s-a admis acțiunea și s-a aplicat pârâtului sancțiunea disciplinară constând în „avertisment” pentru săvârșirea abaterii disciplinare prevăzute de art.271 lit. g) teza I din Legea nr. 303/2022. Hotărârea nu este definitivă.</w:t>
      </w:r>
    </w:p>
    <w:p w14:paraId="209BAB10" w14:textId="77777777" w:rsidR="00EE466D" w:rsidRDefault="000C431F" w:rsidP="00EE466D">
      <w:pPr>
        <w:pStyle w:val="AddParagraf"/>
        <w:spacing w:after="0"/>
        <w:rPr>
          <w:rFonts w:cs="Calibri"/>
          <w:bCs/>
          <w:sz w:val="26"/>
          <w:szCs w:val="26"/>
        </w:rPr>
      </w:pPr>
      <w:r w:rsidRPr="00564DC7">
        <w:rPr>
          <w:rFonts w:asciiTheme="minorHAnsi" w:eastAsia="Calibri" w:hAnsiTheme="minorHAnsi" w:cstheme="minorHAnsi"/>
          <w:bCs/>
          <w:sz w:val="26"/>
          <w:szCs w:val="26"/>
        </w:rPr>
        <w:t xml:space="preserve">Prin Hotărârea nr. 23J din 1 noiembrie 2023 pronunțată în dosarul nr. 21/J/2023 s-a admis acțiunea și s-a aplicat pârâtei sancțiunea disciplinară constând în „avertisment” pentru săvârșirea abaterii disciplinare prevăzute de art.271 lit. s) teza I din Legea nr. 303/2022. </w:t>
      </w:r>
      <w:r w:rsidR="00EE466D" w:rsidRPr="00EE466D">
        <w:rPr>
          <w:rFonts w:cs="Calibri"/>
          <w:bCs/>
          <w:sz w:val="26"/>
          <w:szCs w:val="26"/>
        </w:rPr>
        <w:t>Hotărârea este definitivă prin nerecurare.</w:t>
      </w:r>
    </w:p>
    <w:p w14:paraId="082B2605" w14:textId="77777777" w:rsidR="00EE466D" w:rsidRPr="00C20990" w:rsidRDefault="00EE466D" w:rsidP="00EE466D">
      <w:pPr>
        <w:ind w:right="48" w:firstLine="709"/>
        <w:jc w:val="both"/>
        <w:rPr>
          <w:rFonts w:ascii="Calibri" w:eastAsia="Calibri" w:hAnsi="Calibri" w:cs="Calibri"/>
          <w:bCs/>
          <w:sz w:val="26"/>
          <w:szCs w:val="26"/>
        </w:rPr>
      </w:pPr>
      <w:r w:rsidRPr="00C20990">
        <w:rPr>
          <w:rFonts w:ascii="Calibri" w:eastAsia="Calibri" w:hAnsi="Calibri" w:cs="Calibri"/>
          <w:bCs/>
          <w:sz w:val="26"/>
          <w:szCs w:val="26"/>
        </w:rPr>
        <w:t>Prin Hotărârea nr. 24J din 15 noiembrie 2023 pronunțată în dosarul nr. 15/J/2023  s-a respins acțiunea pentru săvârșirea abaterii disciplinare prevăzute de art.271 lit. s) teza a II-a din Legea nr. 303/2022, ca neîntemeiată. Hotărârea nu este definitivă.</w:t>
      </w:r>
    </w:p>
    <w:p w14:paraId="7A5E5346" w14:textId="77777777" w:rsidR="00EE466D" w:rsidRDefault="00EE466D" w:rsidP="00EE466D">
      <w:pPr>
        <w:ind w:right="48" w:firstLine="709"/>
        <w:jc w:val="both"/>
        <w:rPr>
          <w:rFonts w:ascii="Calibri" w:eastAsia="Calibri" w:hAnsi="Calibri" w:cs="Calibri"/>
          <w:bCs/>
          <w:sz w:val="26"/>
          <w:szCs w:val="26"/>
        </w:rPr>
      </w:pPr>
      <w:r w:rsidRPr="00C20990">
        <w:rPr>
          <w:rFonts w:ascii="Calibri" w:eastAsia="Calibri" w:hAnsi="Calibri" w:cs="Calibri"/>
          <w:bCs/>
          <w:sz w:val="26"/>
          <w:szCs w:val="26"/>
        </w:rPr>
        <w:t>Prin Hotărârea nr. 25J din 15 noiembrie 2023 pronunțată în dosarul nr. 18/J/2023  s-a respins acțiunea pentru săvârșirea abaterii disciplinare prevăzute de art.271 lit. s) teza I din Legea nr. 303/2022, ca neîntemeiată. Hotărârea nu este definitivă.</w:t>
      </w:r>
    </w:p>
    <w:p w14:paraId="0FAD8CE2" w14:textId="77777777" w:rsidR="00EE466D" w:rsidRPr="00EE466D" w:rsidRDefault="00EE466D" w:rsidP="00EE466D">
      <w:pPr>
        <w:ind w:right="48" w:firstLine="709"/>
        <w:jc w:val="both"/>
        <w:rPr>
          <w:rFonts w:ascii="Calibri" w:eastAsia="Calibri" w:hAnsi="Calibri" w:cs="Calibri"/>
          <w:bCs/>
          <w:sz w:val="26"/>
          <w:szCs w:val="26"/>
        </w:rPr>
      </w:pPr>
      <w:r w:rsidRPr="00EE466D">
        <w:rPr>
          <w:rFonts w:ascii="Calibri" w:eastAsia="Calibri" w:hAnsi="Calibri" w:cs="Calibri"/>
          <w:bCs/>
          <w:sz w:val="26"/>
          <w:szCs w:val="26"/>
        </w:rPr>
        <w:t>Prin Hotărârea nr. 26J din 22 noiembrie 2023 pronunțată în dosarul nr. 12/J/2023  s-a admis acțiunea și s-a aplicat pârâtului sancțiunea disciplinară constând în „retrogradarea din gradul profesional de curte de apel în gradul profesional de tribunal și continuarea activității la Tribunalul ...” pentru săvârșirea abaterii disciplinare prevăzute de art.271 lit. q) teza I din Legea nr. 303/2022. Hotărârea nu este definitivă.</w:t>
      </w:r>
    </w:p>
    <w:p w14:paraId="100275AC" w14:textId="4278E5D4" w:rsidR="00EE466D" w:rsidRPr="00EE466D" w:rsidRDefault="00EE466D" w:rsidP="00EE466D">
      <w:pPr>
        <w:ind w:right="48" w:firstLine="709"/>
        <w:jc w:val="both"/>
        <w:rPr>
          <w:rFonts w:ascii="Calibri" w:eastAsia="Calibri" w:hAnsi="Calibri" w:cs="Calibri"/>
          <w:bCs/>
          <w:sz w:val="26"/>
          <w:szCs w:val="26"/>
        </w:rPr>
      </w:pPr>
      <w:r w:rsidRPr="00EE466D">
        <w:rPr>
          <w:rFonts w:ascii="Calibri" w:eastAsia="Calibri" w:hAnsi="Calibri" w:cs="Calibri"/>
          <w:bCs/>
          <w:sz w:val="26"/>
          <w:szCs w:val="26"/>
        </w:rPr>
        <w:t>Prin Hotărârea nr. 27J din 22 noiembrie 2023 pronunțată în dosarul nr. 23/J/2023  s-au admis acțiunile conexate și s-a aplicat pârâtei sancțiunea disciplinară constând în „avertisment” pentru săvârșirea abateril</w:t>
      </w:r>
      <w:r w:rsidR="001B5B35">
        <w:rPr>
          <w:rFonts w:ascii="Calibri" w:eastAsia="Calibri" w:hAnsi="Calibri" w:cs="Calibri"/>
          <w:bCs/>
          <w:sz w:val="26"/>
          <w:szCs w:val="26"/>
        </w:rPr>
        <w:t>or</w:t>
      </w:r>
      <w:r w:rsidRPr="00EE466D">
        <w:rPr>
          <w:rFonts w:ascii="Calibri" w:eastAsia="Calibri" w:hAnsi="Calibri" w:cs="Calibri"/>
          <w:bCs/>
          <w:sz w:val="26"/>
          <w:szCs w:val="26"/>
        </w:rPr>
        <w:t xml:space="preserve"> disciplinare prevăzute de art.271 lit. g) şi q) teza I din Legea nr. 303/2022. Hotărârea nu este definitivă.</w:t>
      </w:r>
    </w:p>
    <w:p w14:paraId="49690A78" w14:textId="4A9E503E"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Astfel, până la data de </w:t>
      </w:r>
      <w:r w:rsidR="001B5B35" w:rsidRPr="001B5B35">
        <w:rPr>
          <w:rFonts w:ascii="Calibri" w:hAnsi="Calibri" w:cs="Calibri"/>
          <w:bCs/>
          <w:sz w:val="26"/>
          <w:szCs w:val="26"/>
        </w:rPr>
        <w:t>31 decembrie 2023</w:t>
      </w:r>
      <w:r w:rsidRPr="00EE466D">
        <w:rPr>
          <w:rFonts w:ascii="Calibri" w:hAnsi="Calibri" w:cs="Calibri"/>
          <w:bCs/>
          <w:sz w:val="26"/>
          <w:szCs w:val="26"/>
        </w:rPr>
        <w:t xml:space="preserve">, Secția pentru judecători în materie disciplinară a pronunțat un număr de 27 de hotărâri, după cum urmează: </w:t>
      </w:r>
    </w:p>
    <w:p w14:paraId="5DC38644"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- 17 acțiuni disciplinare admise (6 hotărâri definitive, 11 hotărâri nedefinitive)</w:t>
      </w:r>
    </w:p>
    <w:p w14:paraId="3102D564"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lastRenderedPageBreak/>
        <w:t>- 4 acțiuni disciplinare admise în parte (4 hotărâri definitive)</w:t>
      </w:r>
    </w:p>
    <w:p w14:paraId="54C12C60"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- 6 acțiuni disciplinare respinse (4 hotărâri definitive şi 2 hotărâri nedefinitive)</w:t>
      </w:r>
    </w:p>
    <w:p w14:paraId="027407E3"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Facem mențiunea că în trei cauze a fost admisă excepția conexității, respectiv dosarul nr. 5/J/2023 a fost conexat la dosarul nr. 1/J/2023, dosarul 26/J/2023 la dosarul nr. 20/J/2023, iar dosarele nr. 28/J/2023 şi nr. 29/J/2023 la dosarul nr. 23/J/2023.</w:t>
      </w:r>
    </w:p>
    <w:p w14:paraId="385F536D" w14:textId="510F39CA"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La data de </w:t>
      </w:r>
      <w:r w:rsidR="001B5B35" w:rsidRPr="001B5B35">
        <w:rPr>
          <w:rFonts w:ascii="Calibri" w:hAnsi="Calibri" w:cs="Calibri"/>
          <w:bCs/>
          <w:sz w:val="26"/>
          <w:szCs w:val="26"/>
        </w:rPr>
        <w:t>31 decembrie 2023</w:t>
      </w:r>
      <w:r w:rsidRPr="00EE466D">
        <w:rPr>
          <w:rFonts w:ascii="Calibri" w:hAnsi="Calibri" w:cs="Calibri"/>
          <w:bCs/>
          <w:sz w:val="26"/>
          <w:szCs w:val="26"/>
        </w:rPr>
        <w:t xml:space="preserve">, pe rolul Secției pentru judecători în materie disciplinară se află un număr de 9 dosare în vederea soluționării. </w:t>
      </w:r>
    </w:p>
    <w:p w14:paraId="3C104CC6"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Stocul dosarelor Secției pentru judecători în materie disciplinară la data de 01.01.2023: 7 dosare înregistrate în anul 2022 şi un dosar suspendat din anul 2019. Total stoc: 8 dosare.</w:t>
      </w:r>
    </w:p>
    <w:p w14:paraId="54FD011D" w14:textId="2DCFEC82" w:rsidR="000C431F" w:rsidRPr="00564DC7" w:rsidRDefault="000C431F"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 xml:space="preserve">Potrivit art. 65 alin. (1) din Regulamentul de organizare și funcționare a Consiliului Superior al Magistraturii, aprobat prin Hotărârea nr. 122/06.07.2023, Consiliul îndeplinește, prin Secția </w:t>
      </w:r>
      <w:r w:rsidR="00FF4A5E">
        <w:rPr>
          <w:rFonts w:asciiTheme="minorHAnsi" w:hAnsiTheme="minorHAnsi" w:cstheme="minorHAnsi"/>
          <w:bCs/>
          <w:sz w:val="26"/>
          <w:szCs w:val="26"/>
        </w:rPr>
        <w:t xml:space="preserve">pentru </w:t>
      </w:r>
      <w:r w:rsidRPr="00564DC7">
        <w:rPr>
          <w:rFonts w:asciiTheme="minorHAnsi" w:hAnsiTheme="minorHAnsi" w:cstheme="minorHAnsi"/>
          <w:bCs/>
          <w:sz w:val="26"/>
          <w:szCs w:val="26"/>
        </w:rPr>
        <w:t>procurori, rolul de instanță de judecată în domeniul răspunderii disciplinare a procurorilor pentru faptele prevăzute la art. 271 din Legea nr. 303/2022.</w:t>
      </w:r>
    </w:p>
    <w:p w14:paraId="49B1ECE7" w14:textId="3F4537CD"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Până la data de </w:t>
      </w:r>
      <w:r w:rsidR="001B5B35" w:rsidRPr="001B5B35">
        <w:rPr>
          <w:rFonts w:ascii="Calibri" w:hAnsi="Calibri" w:cs="Calibri"/>
          <w:bCs/>
          <w:sz w:val="26"/>
          <w:szCs w:val="26"/>
        </w:rPr>
        <w:t>31 decembrie 2023</w:t>
      </w:r>
      <w:r w:rsidRPr="00EE466D">
        <w:rPr>
          <w:rFonts w:ascii="Calibri" w:hAnsi="Calibri" w:cs="Calibri"/>
          <w:bCs/>
          <w:sz w:val="26"/>
          <w:szCs w:val="26"/>
        </w:rPr>
        <w:t>, pe rolul Secției pentru procurori în materie disciplinară s-au înregistrat un număr de 14 dosare (un dosar având ca obiect radiere sancțiune disciplinară a fost înregistrat din eroare pe rolul Secţiei pentru procurori în materie disciplinară).</w:t>
      </w:r>
    </w:p>
    <w:p w14:paraId="71F74F28" w14:textId="77777777"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Secția pentru procurori în materie disciplinară a pronunțat următoarele hotărâri:</w:t>
      </w:r>
    </w:p>
    <w:p w14:paraId="37A49BDB" w14:textId="77777777"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Prin Hotărârea nr. 1P din 8 martie 2023, pronunțată în dosarul nr. 1/P/2019, s-a admis acțiunea disciplinară şi s-a aplicat pârâtului sancțiunea disciplinară constând în „excludere din magistratură” pentru săvârșirea abaterilor disciplinare prevăzute de art. 99 lit. a), lit. n) şi lit. t) teza I din Legea nr. 303/2004. Hotărârea nu este definitivă.</w:t>
      </w:r>
    </w:p>
    <w:p w14:paraId="40FBF0CF" w14:textId="63FE3638"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2P din 3 mai 2023, pronunțată în dosarul nr. 12/P/2019, s-a constatat nulitatea acțiunii disciplinare având ca obiect săvârșirea abaterii disciplinare prevăzută de art. 99 lit. a) din Legea nr.303/2004. </w:t>
      </w:r>
      <w:r w:rsidR="00EE466D" w:rsidRPr="00EE466D">
        <w:rPr>
          <w:rFonts w:ascii="Calibri" w:hAnsi="Calibri" w:cs="Calibri"/>
          <w:bCs/>
          <w:sz w:val="26"/>
          <w:szCs w:val="26"/>
        </w:rPr>
        <w:t xml:space="preserve">Prin decizia civilă nr. 267 din 15.11.2023 pronunțată de Înalta Curte de Casație şi Justiție s-a admis recursul declarat de Inspecția Judiciară, s-a casat hotărârea nr. 2P din 3.05.2023 şi s-a trimis cauza pentru continuarea judecății în dosarul nr. 12/P/2022. </w:t>
      </w:r>
    </w:p>
    <w:p w14:paraId="1C51FD48" w14:textId="77777777"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Prin Hotărârea nr. 3P din 17 mai 2023, pronunțată în dosarul nr. 18/P/2019, s-a respins acțiunea disciplinară având ca obiect săvârșirea abaterii disciplinare prevăzută de art. 99 lit. t) teza a II-a din Legea nr. 303/2004, ca neîntemeiată. Hotărârea nu este definitivă.</w:t>
      </w:r>
    </w:p>
    <w:p w14:paraId="42E2FEE0" w14:textId="77777777" w:rsidR="001B5B35" w:rsidRPr="001B5B35" w:rsidRDefault="00A068F6" w:rsidP="001B5B35">
      <w:pPr>
        <w:ind w:right="43" w:firstLine="709"/>
        <w:jc w:val="both"/>
        <w:rPr>
          <w:rFonts w:ascii="Calibri" w:hAnsi="Calibri" w:cs="Calibri"/>
          <w:bCs/>
          <w:sz w:val="26"/>
          <w:szCs w:val="26"/>
        </w:rPr>
      </w:pPr>
      <w:r w:rsidRPr="00564DC7">
        <w:rPr>
          <w:rFonts w:asciiTheme="minorHAnsi" w:hAnsiTheme="minorHAnsi" w:cstheme="minorHAnsi"/>
          <w:bCs/>
          <w:sz w:val="26"/>
          <w:szCs w:val="26"/>
        </w:rPr>
        <w:t>Prin Hotărârea nr. 4P din 14 iunie 2023, pronunțată în dosarul nr. 4/P/2019, s-a respins acțiunea disciplinară având ca obiect săvârșirea abaterii disciplinare prevăzută de art. 99 lit. i) din Legea nr. 303/2004, ca neîntemeiată</w:t>
      </w:r>
      <w:r w:rsidRPr="00EE466D">
        <w:rPr>
          <w:rFonts w:asciiTheme="minorHAnsi" w:hAnsiTheme="minorHAnsi" w:cstheme="minorHAnsi"/>
          <w:bCs/>
          <w:sz w:val="26"/>
          <w:szCs w:val="26"/>
        </w:rPr>
        <w:t xml:space="preserve">. </w:t>
      </w:r>
      <w:r w:rsidR="001B5B35" w:rsidRPr="001B5B35">
        <w:rPr>
          <w:rFonts w:ascii="Calibri" w:hAnsi="Calibri" w:cs="Calibri"/>
          <w:bCs/>
          <w:sz w:val="26"/>
          <w:szCs w:val="26"/>
        </w:rPr>
        <w:t xml:space="preserve">Prin decizia civilă nr. 269 din 4.12.2023 pronunțată de Înalta Curte de Casație şi Justiție s-a respins recursul declarat de Inspecția Judiciară, ca nefondat. </w:t>
      </w:r>
    </w:p>
    <w:p w14:paraId="7AA2B5A3" w14:textId="613A6286"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Prin Hotărârea nr. 5P din 22 iunie 2023, pronunțată în dosarul nr. 3/P/2023, s-a respins acțiunea disciplinară având ca obiect săvârșirea abaterii disciplinare prevăzută de art. 271 lit. s) teza a II-a din Legea nr. 303/2022, ca neîntemeiată. Hotărârea nu este definitivă.</w:t>
      </w:r>
    </w:p>
    <w:p w14:paraId="4F1F16BD" w14:textId="77777777"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Prin Hotărârea nr. 6P din 22.06.2023, pronunțată în dosarul nr. 4/P/2022, s-a admis în parte acțiunea disciplinară şi s-a aplicat pârâtului sancțiunea disciplinară constând în „avertisment” pentru săvârșirea abaterii disciplinare prevăzute de art. 99 lit. t) teza a II-a din Legea nr. 303/2004. Prin aceeași hotărâre s-a respins acțiunea disciplinară privind săvârșirea abaterii disciplinare prevăzută de art. 99 lit. ş) din Legea nr. 303/2004, ca neîntemeiată. Hotărârea este definitivă prin nerecurare.</w:t>
      </w:r>
    </w:p>
    <w:p w14:paraId="76B8397B" w14:textId="77777777"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Prin Hotărârea nr. 7P din 12.07.2023, pronunțată în dosarul nr. 4/P/2023, s-a respins cererea de revizuire, ca inadmisibilă. Hotărârea este definitivă prin nerecurare.</w:t>
      </w:r>
    </w:p>
    <w:p w14:paraId="628502FD" w14:textId="3BE4FE60" w:rsidR="00EE466D" w:rsidRPr="00EE466D" w:rsidRDefault="00A068F6" w:rsidP="00EE466D">
      <w:pPr>
        <w:ind w:right="43" w:firstLine="709"/>
        <w:jc w:val="both"/>
        <w:rPr>
          <w:rFonts w:ascii="Calibri" w:hAnsi="Calibri" w:cs="Calibri"/>
          <w:bCs/>
          <w:sz w:val="26"/>
          <w:szCs w:val="26"/>
        </w:rPr>
      </w:pPr>
      <w:r w:rsidRPr="00564DC7">
        <w:rPr>
          <w:rFonts w:asciiTheme="minorHAnsi" w:hAnsiTheme="minorHAnsi" w:cstheme="minorHAnsi"/>
          <w:bCs/>
          <w:sz w:val="26"/>
          <w:szCs w:val="26"/>
        </w:rPr>
        <w:t xml:space="preserve">Prin Hotărârea nr. 8P din 13.09.2023, pronunțată în dosarul nr. 2/P/2023, s-a respins acțiunea disciplinară având ca obiect săvârșirea abaterii disciplinare prevăzută de art. 271 lit. s) teza a II-a din Legea nr. 303/2022, ca neîntemeiată. </w:t>
      </w:r>
      <w:r w:rsidR="00EE466D" w:rsidRPr="00EE466D">
        <w:rPr>
          <w:rFonts w:ascii="Calibri" w:hAnsi="Calibri" w:cs="Calibri"/>
          <w:bCs/>
          <w:sz w:val="26"/>
          <w:szCs w:val="26"/>
        </w:rPr>
        <w:t xml:space="preserve">Prin decizia civilă nr. 270 din 4.12.2023 pronunțată de Înalta Curte de Casație şi Justiție s-au respins recursurile declarate de părţi, ca nefondate. </w:t>
      </w:r>
    </w:p>
    <w:p w14:paraId="605125A8" w14:textId="23D08458"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lastRenderedPageBreak/>
        <w:t>Prin Hotărârea nr. 9P din 13.09.2023, pronunțată în dosarul nr. 9/P/2021, s-a respins acțiunea disciplinară având ca obiect săvârșirea abaterilor disciplinare prevăzute de art. 99 lit. a) şi lit. b) din Legea nr. 303/2004, ca neîntemeiată. Hotărârea nu este definitivă.</w:t>
      </w:r>
    </w:p>
    <w:p w14:paraId="241E7866" w14:textId="77777777" w:rsidR="00A068F6" w:rsidRPr="00564DC7" w:rsidRDefault="00A068F6"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Prin Hotărârea nr. 10P din 13.09.2023, pronunțată în dosarul nr. 6/P/2022, s-a respins acțiunea disciplinară având ca obiect săvârșirea abaterii disciplinare prevăzută de art. 99 lit. a) din Legea nr. 303/2004, ca neîntemeiată. Hotărârea nu este definitivă.</w:t>
      </w:r>
    </w:p>
    <w:p w14:paraId="7CE6B6AC" w14:textId="4EC637E9" w:rsidR="000C431F" w:rsidRDefault="000C431F" w:rsidP="00690186">
      <w:pPr>
        <w:ind w:right="43" w:firstLine="709"/>
        <w:jc w:val="both"/>
        <w:rPr>
          <w:rFonts w:asciiTheme="minorHAnsi" w:hAnsiTheme="minorHAnsi" w:cstheme="minorHAnsi"/>
          <w:bCs/>
          <w:sz w:val="26"/>
          <w:szCs w:val="26"/>
        </w:rPr>
      </w:pPr>
      <w:r w:rsidRPr="00564DC7">
        <w:rPr>
          <w:rFonts w:asciiTheme="minorHAnsi" w:hAnsiTheme="minorHAnsi" w:cstheme="minorHAnsi"/>
          <w:bCs/>
          <w:sz w:val="26"/>
          <w:szCs w:val="26"/>
        </w:rPr>
        <w:t xml:space="preserve">Prin Hotărârea nr. 11P din 08.11.2023 pronunțată în dosarul nr. 5/P/2022 s-a respins acțiunea disciplinară având ca obiect săvârșirea abaterilor disciplinare prevăzute de art. 99 lit. a) </w:t>
      </w:r>
      <w:r w:rsidR="00FF4A5E">
        <w:rPr>
          <w:rFonts w:asciiTheme="minorHAnsi" w:hAnsiTheme="minorHAnsi" w:cstheme="minorHAnsi"/>
          <w:bCs/>
          <w:sz w:val="26"/>
          <w:szCs w:val="26"/>
        </w:rPr>
        <w:t>ș</w:t>
      </w:r>
      <w:r w:rsidRPr="00564DC7">
        <w:rPr>
          <w:rFonts w:asciiTheme="minorHAnsi" w:hAnsiTheme="minorHAnsi" w:cstheme="minorHAnsi"/>
          <w:bCs/>
          <w:sz w:val="26"/>
          <w:szCs w:val="26"/>
        </w:rPr>
        <w:t>i lit. m) din Legea nr. 303/2004, ca neîntemeiată. Hotărârea nu este definitivă.</w:t>
      </w:r>
    </w:p>
    <w:p w14:paraId="68FF942D" w14:textId="3E233485" w:rsidR="001B5B35" w:rsidRPr="001B5B35" w:rsidRDefault="001B5B35" w:rsidP="001B5B35">
      <w:pPr>
        <w:pStyle w:val="AddParagraf"/>
        <w:spacing w:after="0"/>
        <w:rPr>
          <w:bCs/>
          <w:sz w:val="26"/>
          <w:szCs w:val="26"/>
        </w:rPr>
      </w:pPr>
      <w:r w:rsidRPr="001B5B35">
        <w:rPr>
          <w:bCs/>
          <w:sz w:val="26"/>
          <w:szCs w:val="26"/>
        </w:rPr>
        <w:t>Prin Hotărârea nr. 12P din 13.12.2023 pronunțată în dosarul nr. 5/P/2022 s-a respins acțiunea disciplinară având ca obiect săvârșirea abaterii disciplinare prevăzută de art. 99 lit. m) teza a II-a din Legea nr. 303/2004. Hotărârea nu este definitivă.</w:t>
      </w:r>
    </w:p>
    <w:p w14:paraId="2FE46601" w14:textId="77777777" w:rsidR="001B5B35" w:rsidRPr="001B5FC4" w:rsidRDefault="001B5B35" w:rsidP="001B5B35">
      <w:pPr>
        <w:ind w:right="43" w:firstLine="709"/>
        <w:jc w:val="both"/>
        <w:rPr>
          <w:rFonts w:ascii="Calibri" w:hAnsi="Calibri" w:cs="Calibri"/>
          <w:bCs/>
          <w:sz w:val="26"/>
          <w:szCs w:val="26"/>
        </w:rPr>
      </w:pPr>
      <w:r w:rsidRPr="001B5B35">
        <w:rPr>
          <w:rFonts w:ascii="Calibri" w:hAnsi="Calibri" w:cs="Calibri"/>
          <w:bCs/>
          <w:sz w:val="26"/>
          <w:szCs w:val="26"/>
        </w:rPr>
        <w:t xml:space="preserve">Astfel, până la data de 31 decembrie 2023, Secția pentru procurori în materie disciplinară a pronunțat un număr de 12 hotărâri, </w:t>
      </w:r>
      <w:r w:rsidRPr="001B5FC4">
        <w:rPr>
          <w:rFonts w:ascii="Calibri" w:hAnsi="Calibri" w:cs="Calibri"/>
          <w:bCs/>
          <w:sz w:val="26"/>
          <w:szCs w:val="26"/>
        </w:rPr>
        <w:t>după cum urmează:</w:t>
      </w:r>
    </w:p>
    <w:p w14:paraId="4095B14E"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o acţiune admisă (hotărârea nu este definitivă)</w:t>
      </w:r>
    </w:p>
    <w:p w14:paraId="49BFE64F"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o acţiune admisă în parte (hotărârea este definitivă)</w:t>
      </w:r>
    </w:p>
    <w:p w14:paraId="61F350E5" w14:textId="79C81C6F"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 </w:t>
      </w:r>
      <w:r w:rsidR="001B5B35">
        <w:rPr>
          <w:rFonts w:ascii="Calibri" w:hAnsi="Calibri" w:cs="Calibri"/>
          <w:bCs/>
          <w:sz w:val="26"/>
          <w:szCs w:val="26"/>
        </w:rPr>
        <w:t>8</w:t>
      </w:r>
      <w:r w:rsidRPr="00EE466D">
        <w:rPr>
          <w:rFonts w:ascii="Calibri" w:hAnsi="Calibri" w:cs="Calibri"/>
          <w:bCs/>
          <w:sz w:val="26"/>
          <w:szCs w:val="26"/>
        </w:rPr>
        <w:t xml:space="preserve"> acţiuni disciplinare respinse (2 hotărâri definitive şi </w:t>
      </w:r>
      <w:r w:rsidR="001B5B35">
        <w:rPr>
          <w:rFonts w:ascii="Calibri" w:hAnsi="Calibri" w:cs="Calibri"/>
          <w:bCs/>
          <w:sz w:val="26"/>
          <w:szCs w:val="26"/>
        </w:rPr>
        <w:t>6</w:t>
      </w:r>
      <w:r w:rsidRPr="00EE466D">
        <w:rPr>
          <w:rFonts w:ascii="Calibri" w:hAnsi="Calibri" w:cs="Calibri"/>
          <w:bCs/>
          <w:sz w:val="26"/>
          <w:szCs w:val="26"/>
        </w:rPr>
        <w:t xml:space="preserve"> hotărâri nedefinitive)</w:t>
      </w:r>
    </w:p>
    <w:p w14:paraId="4E73461F"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 - o cerere de revizuire respinsă (hotărârea este definitivă)</w:t>
      </w:r>
    </w:p>
    <w:p w14:paraId="3755E070"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într-un dosar s-a constatat nulitatea absolută a acțiunii disciplinare (hotărârea este definitivă)</w:t>
      </w:r>
    </w:p>
    <w:p w14:paraId="749005F8" w14:textId="65003B1C"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De asemenea, până la data de </w:t>
      </w:r>
      <w:r w:rsidR="001B5B35" w:rsidRPr="001B5B35">
        <w:rPr>
          <w:rFonts w:ascii="Calibri" w:hAnsi="Calibri" w:cs="Calibri"/>
          <w:bCs/>
          <w:sz w:val="26"/>
          <w:szCs w:val="26"/>
        </w:rPr>
        <w:t>31 decembrie 2023</w:t>
      </w:r>
      <w:r w:rsidRPr="00EE466D">
        <w:rPr>
          <w:rFonts w:ascii="Calibri" w:hAnsi="Calibri" w:cs="Calibri"/>
          <w:bCs/>
          <w:sz w:val="26"/>
          <w:szCs w:val="26"/>
        </w:rPr>
        <w:t>, Secţia pentru procurori în materie disciplinară a dispus suspendarea judecății cauzei într-un dosar şi a menținut măsura suspendării judecății în două dosare.</w:t>
      </w:r>
    </w:p>
    <w:p w14:paraId="544200C4" w14:textId="4FE98A4F"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 xml:space="preserve">La data de </w:t>
      </w:r>
      <w:r w:rsidR="001B5B35">
        <w:rPr>
          <w:rFonts w:ascii="Calibri" w:hAnsi="Calibri" w:cs="Calibri"/>
          <w:bCs/>
          <w:sz w:val="26"/>
          <w:szCs w:val="26"/>
        </w:rPr>
        <w:t>31</w:t>
      </w:r>
      <w:r w:rsidR="001B5B35" w:rsidRPr="00EE466D">
        <w:rPr>
          <w:rFonts w:ascii="Calibri" w:hAnsi="Calibri" w:cs="Calibri"/>
          <w:bCs/>
          <w:sz w:val="26"/>
          <w:szCs w:val="26"/>
        </w:rPr>
        <w:t xml:space="preserve"> decembrie 2023</w:t>
      </w:r>
      <w:r w:rsidRPr="00EE466D">
        <w:rPr>
          <w:rFonts w:ascii="Calibri" w:hAnsi="Calibri" w:cs="Calibri"/>
          <w:bCs/>
          <w:sz w:val="26"/>
          <w:szCs w:val="26"/>
        </w:rPr>
        <w:t>, pe rolul Secției pentru procurori în materie disciplinară se află un număr de 1</w:t>
      </w:r>
      <w:r w:rsidR="001B5B35">
        <w:rPr>
          <w:rFonts w:ascii="Calibri" w:hAnsi="Calibri" w:cs="Calibri"/>
          <w:bCs/>
          <w:sz w:val="26"/>
          <w:szCs w:val="26"/>
        </w:rPr>
        <w:t>2</w:t>
      </w:r>
      <w:r w:rsidRPr="00EE466D">
        <w:rPr>
          <w:rFonts w:ascii="Calibri" w:hAnsi="Calibri" w:cs="Calibri"/>
          <w:bCs/>
          <w:sz w:val="26"/>
          <w:szCs w:val="26"/>
        </w:rPr>
        <w:t xml:space="preserve"> dosare în vederea soluționării.</w:t>
      </w:r>
    </w:p>
    <w:p w14:paraId="03243AD8" w14:textId="77777777" w:rsidR="00EE466D" w:rsidRPr="00EE466D" w:rsidRDefault="00EE466D" w:rsidP="00EE466D">
      <w:pPr>
        <w:ind w:right="43" w:firstLine="709"/>
        <w:jc w:val="both"/>
        <w:rPr>
          <w:rFonts w:ascii="Calibri" w:hAnsi="Calibri" w:cs="Calibri"/>
          <w:bCs/>
          <w:sz w:val="26"/>
          <w:szCs w:val="26"/>
        </w:rPr>
      </w:pPr>
      <w:r w:rsidRPr="00EE466D">
        <w:rPr>
          <w:rFonts w:ascii="Calibri" w:hAnsi="Calibri" w:cs="Calibri"/>
          <w:bCs/>
          <w:sz w:val="26"/>
          <w:szCs w:val="26"/>
        </w:rPr>
        <w:t>Stocul dosarelor Secției pentru procurori în materie disciplinară la data de 01.01.2023: 4 dosare înregistrate în anul 2019 + 2 dosare înregistrate în anul 2021 + 3 dosare înregistrate în anul 2022 + 9 dosare suspendate (2 dosare din anul 2018 + 3 dosare din anul 2019 + 1 dosar din anul 2020 + 3 dosare din anul 2021). Total în stoc: 18 dosare.</w:t>
      </w:r>
    </w:p>
    <w:p w14:paraId="1FF22991" w14:textId="77777777" w:rsidR="00EE466D" w:rsidRPr="00EE466D" w:rsidRDefault="00EE466D" w:rsidP="00EE466D">
      <w:pPr>
        <w:pStyle w:val="AddParagraf"/>
        <w:spacing w:after="0"/>
        <w:rPr>
          <w:rFonts w:cs="Calibri"/>
          <w:bCs/>
          <w:sz w:val="26"/>
          <w:szCs w:val="26"/>
        </w:rPr>
      </w:pPr>
    </w:p>
    <w:p w14:paraId="283162E4" w14:textId="77777777" w:rsidR="00EE466D" w:rsidRPr="00117D82" w:rsidRDefault="00EE466D" w:rsidP="00EE466D">
      <w:pPr>
        <w:rPr>
          <w:rFonts w:ascii="Calibri" w:hAnsi="Calibri" w:cs="Calibri"/>
          <w:sz w:val="26"/>
          <w:szCs w:val="26"/>
        </w:rPr>
      </w:pPr>
    </w:p>
    <w:p w14:paraId="3CEF9E15" w14:textId="77777777" w:rsidR="000C431F" w:rsidRDefault="000C431F" w:rsidP="00690186">
      <w:pPr>
        <w:pStyle w:val="AddParagraf"/>
        <w:spacing w:after="0"/>
        <w:rPr>
          <w:rFonts w:asciiTheme="minorHAnsi" w:hAnsiTheme="minorHAnsi" w:cstheme="minorHAnsi"/>
          <w:bCs/>
          <w:sz w:val="26"/>
          <w:szCs w:val="26"/>
        </w:rPr>
      </w:pPr>
    </w:p>
    <w:p w14:paraId="4D112BE4" w14:textId="77777777" w:rsidR="00EE466D" w:rsidRDefault="00EE466D" w:rsidP="00690186">
      <w:pPr>
        <w:pStyle w:val="AddParagraf"/>
        <w:spacing w:after="0"/>
        <w:rPr>
          <w:rFonts w:asciiTheme="minorHAnsi" w:hAnsiTheme="minorHAnsi" w:cstheme="minorHAnsi"/>
          <w:bCs/>
          <w:sz w:val="26"/>
          <w:szCs w:val="26"/>
        </w:rPr>
      </w:pPr>
    </w:p>
    <w:p w14:paraId="3A68A4A8" w14:textId="77777777" w:rsidR="00EE466D" w:rsidRDefault="00EE466D" w:rsidP="00690186">
      <w:pPr>
        <w:pStyle w:val="AddParagraf"/>
        <w:spacing w:after="0"/>
        <w:rPr>
          <w:rFonts w:asciiTheme="minorHAnsi" w:hAnsiTheme="minorHAnsi" w:cstheme="minorHAnsi"/>
          <w:bCs/>
          <w:sz w:val="26"/>
          <w:szCs w:val="26"/>
        </w:rPr>
      </w:pPr>
    </w:p>
    <w:p w14:paraId="138A0C6E" w14:textId="77777777" w:rsidR="00EE466D" w:rsidRDefault="00EE466D" w:rsidP="00690186">
      <w:pPr>
        <w:pStyle w:val="AddParagraf"/>
        <w:spacing w:after="0"/>
        <w:rPr>
          <w:rFonts w:asciiTheme="minorHAnsi" w:hAnsiTheme="minorHAnsi" w:cstheme="minorHAnsi"/>
          <w:bCs/>
          <w:sz w:val="26"/>
          <w:szCs w:val="26"/>
        </w:rPr>
      </w:pPr>
    </w:p>
    <w:p w14:paraId="03F06B53" w14:textId="77777777" w:rsidR="00EE466D" w:rsidRDefault="00EE466D" w:rsidP="00690186">
      <w:pPr>
        <w:pStyle w:val="AddParagraf"/>
        <w:spacing w:after="0"/>
        <w:rPr>
          <w:rFonts w:asciiTheme="minorHAnsi" w:hAnsiTheme="minorHAnsi" w:cstheme="minorHAnsi"/>
          <w:bCs/>
          <w:sz w:val="26"/>
          <w:szCs w:val="26"/>
        </w:rPr>
      </w:pPr>
    </w:p>
    <w:p w14:paraId="18C5FCFA" w14:textId="77777777" w:rsidR="00EE466D" w:rsidRDefault="00EE466D" w:rsidP="00690186">
      <w:pPr>
        <w:pStyle w:val="AddParagraf"/>
        <w:spacing w:after="0"/>
        <w:rPr>
          <w:rFonts w:asciiTheme="minorHAnsi" w:hAnsiTheme="minorHAnsi" w:cstheme="minorHAnsi"/>
          <w:bCs/>
          <w:sz w:val="26"/>
          <w:szCs w:val="26"/>
        </w:rPr>
      </w:pPr>
    </w:p>
    <w:p w14:paraId="10C75663" w14:textId="77777777" w:rsidR="00EE466D" w:rsidRDefault="00EE466D" w:rsidP="00690186">
      <w:pPr>
        <w:pStyle w:val="AddParagraf"/>
        <w:spacing w:after="0"/>
        <w:rPr>
          <w:rFonts w:asciiTheme="minorHAnsi" w:hAnsiTheme="minorHAnsi" w:cstheme="minorHAnsi"/>
          <w:bCs/>
          <w:sz w:val="26"/>
          <w:szCs w:val="26"/>
        </w:rPr>
      </w:pPr>
    </w:p>
    <w:p w14:paraId="0EBC65F6" w14:textId="77777777" w:rsidR="00EE466D" w:rsidRDefault="00EE466D" w:rsidP="00690186">
      <w:pPr>
        <w:pStyle w:val="AddParagraf"/>
        <w:spacing w:after="0"/>
        <w:rPr>
          <w:rFonts w:asciiTheme="minorHAnsi" w:hAnsiTheme="minorHAnsi" w:cstheme="minorHAnsi"/>
          <w:bCs/>
          <w:sz w:val="26"/>
          <w:szCs w:val="26"/>
        </w:rPr>
      </w:pPr>
    </w:p>
    <w:p w14:paraId="5E9CE403" w14:textId="77777777" w:rsidR="00EE466D" w:rsidRDefault="00EE466D" w:rsidP="00690186">
      <w:pPr>
        <w:pStyle w:val="AddParagraf"/>
        <w:spacing w:after="0"/>
        <w:rPr>
          <w:rFonts w:asciiTheme="minorHAnsi" w:hAnsiTheme="minorHAnsi" w:cstheme="minorHAnsi"/>
          <w:bCs/>
          <w:sz w:val="26"/>
          <w:szCs w:val="26"/>
        </w:rPr>
      </w:pPr>
    </w:p>
    <w:p w14:paraId="2692E54D" w14:textId="77777777" w:rsidR="00EE466D" w:rsidRDefault="00EE466D" w:rsidP="00690186">
      <w:pPr>
        <w:pStyle w:val="AddParagraf"/>
        <w:spacing w:after="0"/>
        <w:rPr>
          <w:rFonts w:asciiTheme="minorHAnsi" w:hAnsiTheme="minorHAnsi" w:cstheme="minorHAnsi"/>
          <w:bCs/>
          <w:sz w:val="26"/>
          <w:szCs w:val="26"/>
        </w:rPr>
      </w:pPr>
    </w:p>
    <w:p w14:paraId="25EAA639" w14:textId="77777777" w:rsidR="00EE466D" w:rsidRDefault="00EE466D" w:rsidP="00690186">
      <w:pPr>
        <w:pStyle w:val="AddParagraf"/>
        <w:spacing w:after="0"/>
        <w:rPr>
          <w:rFonts w:asciiTheme="minorHAnsi" w:hAnsiTheme="minorHAnsi" w:cstheme="minorHAnsi"/>
          <w:bCs/>
          <w:sz w:val="26"/>
          <w:szCs w:val="26"/>
        </w:rPr>
      </w:pPr>
    </w:p>
    <w:p w14:paraId="78E009AB" w14:textId="77777777" w:rsidR="00EE466D" w:rsidRDefault="00EE466D" w:rsidP="00690186">
      <w:pPr>
        <w:pStyle w:val="AddParagraf"/>
        <w:spacing w:after="0"/>
        <w:rPr>
          <w:rFonts w:asciiTheme="minorHAnsi" w:hAnsiTheme="minorHAnsi" w:cstheme="minorHAnsi"/>
          <w:bCs/>
          <w:sz w:val="26"/>
          <w:szCs w:val="26"/>
        </w:rPr>
      </w:pPr>
    </w:p>
    <w:p w14:paraId="38C6BA67" w14:textId="77777777" w:rsidR="00EE466D" w:rsidRDefault="00EE466D" w:rsidP="00690186">
      <w:pPr>
        <w:pStyle w:val="AddParagraf"/>
        <w:spacing w:after="0"/>
        <w:rPr>
          <w:rFonts w:asciiTheme="minorHAnsi" w:hAnsiTheme="minorHAnsi" w:cstheme="minorHAnsi"/>
          <w:bCs/>
          <w:sz w:val="26"/>
          <w:szCs w:val="26"/>
        </w:rPr>
      </w:pPr>
    </w:p>
    <w:p w14:paraId="351ACC5A" w14:textId="77777777" w:rsidR="00EE466D" w:rsidRDefault="00EE466D" w:rsidP="00690186">
      <w:pPr>
        <w:pStyle w:val="AddParagraf"/>
        <w:spacing w:after="0"/>
        <w:rPr>
          <w:rFonts w:asciiTheme="minorHAnsi" w:hAnsiTheme="minorHAnsi" w:cstheme="minorHAnsi"/>
          <w:bCs/>
          <w:sz w:val="26"/>
          <w:szCs w:val="26"/>
        </w:rPr>
      </w:pPr>
    </w:p>
    <w:p w14:paraId="0AEBE5A5" w14:textId="77777777" w:rsidR="00EE466D" w:rsidRDefault="00EE466D" w:rsidP="00690186">
      <w:pPr>
        <w:pStyle w:val="AddParagraf"/>
        <w:spacing w:after="0"/>
        <w:rPr>
          <w:rFonts w:asciiTheme="minorHAnsi" w:hAnsiTheme="minorHAnsi" w:cstheme="minorHAnsi"/>
          <w:bCs/>
          <w:sz w:val="26"/>
          <w:szCs w:val="26"/>
        </w:rPr>
      </w:pPr>
    </w:p>
    <w:p w14:paraId="1B1A2CD5" w14:textId="77777777" w:rsidR="00EE466D" w:rsidRDefault="00EE466D" w:rsidP="00690186">
      <w:pPr>
        <w:pStyle w:val="AddParagraf"/>
        <w:spacing w:after="0"/>
        <w:rPr>
          <w:rFonts w:asciiTheme="minorHAnsi" w:hAnsiTheme="minorHAnsi" w:cstheme="minorHAnsi"/>
          <w:bCs/>
          <w:sz w:val="26"/>
          <w:szCs w:val="26"/>
        </w:rPr>
      </w:pPr>
    </w:p>
    <w:p w14:paraId="08FC286E" w14:textId="77777777" w:rsidR="00EE466D" w:rsidRPr="00564DC7" w:rsidRDefault="00EE466D" w:rsidP="00690186">
      <w:pPr>
        <w:pStyle w:val="AddParagraf"/>
        <w:spacing w:after="0"/>
        <w:rPr>
          <w:rFonts w:asciiTheme="minorHAnsi" w:hAnsiTheme="minorHAnsi" w:cstheme="minorHAnsi"/>
          <w:bCs/>
          <w:sz w:val="26"/>
          <w:szCs w:val="26"/>
        </w:rPr>
      </w:pPr>
    </w:p>
    <w:p w14:paraId="4F907068" w14:textId="77777777" w:rsidR="000C431F" w:rsidRPr="00564DC7" w:rsidRDefault="000C431F" w:rsidP="00690186">
      <w:pPr>
        <w:rPr>
          <w:rFonts w:asciiTheme="minorHAnsi" w:hAnsiTheme="minorHAnsi" w:cstheme="minorHAnsi"/>
          <w:sz w:val="26"/>
          <w:szCs w:val="26"/>
        </w:rPr>
      </w:pPr>
    </w:p>
    <w:p w14:paraId="73352B62" w14:textId="77777777" w:rsidR="000C431F" w:rsidRPr="00564DC7" w:rsidRDefault="000C431F" w:rsidP="00690186">
      <w:pPr>
        <w:widowControl w:val="0"/>
        <w:autoSpaceDE w:val="0"/>
        <w:autoSpaceDN w:val="0"/>
        <w:adjustRightInd w:val="0"/>
        <w:rPr>
          <w:rFonts w:asciiTheme="minorHAnsi" w:hAnsiTheme="minorHAnsi" w:cstheme="minorHAnsi"/>
          <w:sz w:val="26"/>
          <w:szCs w:val="26"/>
        </w:rPr>
      </w:pPr>
    </w:p>
    <w:p w14:paraId="3D17D99F" w14:textId="77777777" w:rsidR="00F429E0" w:rsidRPr="006D2B12" w:rsidRDefault="00F429E0" w:rsidP="006D2B12">
      <w:pPr>
        <w:tabs>
          <w:tab w:val="left" w:pos="5475"/>
        </w:tabs>
        <w:ind w:firstLine="709"/>
        <w:jc w:val="both"/>
        <w:rPr>
          <w:rFonts w:asciiTheme="minorHAnsi" w:hAnsiTheme="minorHAnsi" w:cstheme="minorHAnsi"/>
          <w:sz w:val="26"/>
          <w:szCs w:val="26"/>
        </w:rPr>
      </w:pPr>
      <w:bookmarkStart w:id="116" w:name="_Toc430867124"/>
    </w:p>
    <w:p w14:paraId="541F4EA2" w14:textId="4142DCA7" w:rsidR="00D92C14" w:rsidRPr="00564DC7" w:rsidRDefault="006C1588" w:rsidP="00690186">
      <w:pPr>
        <w:pStyle w:val="Heading1"/>
        <w:keepNext w:val="0"/>
        <w:keepLines w:val="0"/>
        <w:suppressLineNumbers/>
        <w:suppressAutoHyphens/>
        <w:spacing w:line="240" w:lineRule="auto"/>
        <w:ind w:firstLine="0"/>
        <w:rPr>
          <w:rFonts w:cstheme="minorHAnsi"/>
          <w:color w:val="auto"/>
        </w:rPr>
      </w:pPr>
      <w:bookmarkStart w:id="117" w:name="_Toc155267901"/>
      <w:r w:rsidRPr="00564DC7">
        <w:rPr>
          <w:rFonts w:cstheme="minorHAnsi"/>
          <w:color w:val="auto"/>
        </w:rPr>
        <w:t>CAPITOLUL V</w:t>
      </w:r>
      <w:bookmarkEnd w:id="117"/>
    </w:p>
    <w:p w14:paraId="4914916A" w14:textId="73FD3DE4" w:rsidR="006C1588" w:rsidRPr="00564DC7" w:rsidRDefault="006C1588" w:rsidP="00690186">
      <w:pPr>
        <w:pStyle w:val="Heading1"/>
        <w:keepNext w:val="0"/>
        <w:keepLines w:val="0"/>
        <w:suppressLineNumbers/>
        <w:suppressAutoHyphens/>
        <w:spacing w:line="240" w:lineRule="auto"/>
        <w:ind w:firstLine="0"/>
        <w:rPr>
          <w:rFonts w:cstheme="minorHAnsi"/>
          <w:color w:val="auto"/>
        </w:rPr>
      </w:pPr>
      <w:bookmarkStart w:id="118" w:name="_Toc155267902"/>
      <w:r w:rsidRPr="00564DC7">
        <w:rPr>
          <w:rFonts w:cstheme="minorHAnsi"/>
          <w:color w:val="auto"/>
        </w:rPr>
        <w:t>Bugetul Consiliului Superior al Magistraturii</w:t>
      </w:r>
      <w:bookmarkEnd w:id="116"/>
      <w:bookmarkEnd w:id="118"/>
      <w:r w:rsidRPr="00564DC7">
        <w:rPr>
          <w:rFonts w:cstheme="minorHAnsi"/>
          <w:color w:val="auto"/>
        </w:rPr>
        <w:t xml:space="preserve"> </w:t>
      </w:r>
    </w:p>
    <w:p w14:paraId="183A225D" w14:textId="77777777" w:rsidR="002C206D" w:rsidRDefault="002C206D" w:rsidP="002C206D">
      <w:pPr>
        <w:pStyle w:val="Heading2"/>
        <w:keepNext w:val="0"/>
        <w:keepLines w:val="0"/>
        <w:suppressLineNumbers/>
        <w:suppressAutoHyphens/>
        <w:spacing w:line="240" w:lineRule="auto"/>
        <w:rPr>
          <w:rFonts w:cstheme="minorHAnsi"/>
          <w:color w:val="auto"/>
          <w:lang w:val="ro-RO"/>
        </w:rPr>
      </w:pPr>
      <w:bookmarkStart w:id="119" w:name="_Toc430867125"/>
      <w:bookmarkStart w:id="120" w:name="_Toc155267903"/>
      <w:r>
        <w:rPr>
          <w:rFonts w:cstheme="minorHAnsi"/>
          <w:color w:val="auto"/>
          <w:lang w:val="ro-RO"/>
        </w:rPr>
        <w:t>V.1. Dinamica bugetului 2022 - 2023 şi perspectiva pentru anul 20</w:t>
      </w:r>
      <w:bookmarkEnd w:id="119"/>
      <w:r>
        <w:rPr>
          <w:rFonts w:cstheme="minorHAnsi"/>
          <w:color w:val="auto"/>
          <w:lang w:val="ro-RO"/>
        </w:rPr>
        <w:t>24</w:t>
      </w:r>
      <w:bookmarkEnd w:id="120"/>
    </w:p>
    <w:p w14:paraId="0944FBD7" w14:textId="77777777" w:rsidR="002C206D" w:rsidRDefault="002C206D" w:rsidP="002C206D">
      <w:pPr>
        <w:ind w:right="48" w:firstLine="709"/>
        <w:jc w:val="both"/>
        <w:rPr>
          <w:rFonts w:asciiTheme="minorHAnsi" w:hAnsiTheme="minorHAnsi" w:cstheme="minorHAnsi"/>
          <w:sz w:val="26"/>
          <w:szCs w:val="26"/>
        </w:rPr>
      </w:pPr>
      <w:r>
        <w:rPr>
          <w:rFonts w:asciiTheme="minorHAnsi" w:hAnsiTheme="minorHAnsi" w:cstheme="minorHAnsi"/>
          <w:sz w:val="26"/>
          <w:szCs w:val="26"/>
        </w:rPr>
        <w:t xml:space="preserve">Politica bugetară pe anul 2023 a susţinut, în mare măsură, activitatea desfăşurată de Consiliul Superior al Magistraturii şi de instituţiile aflate în coordonarea Consiliului, stabilindu-se o finanţare corespunzătoare prin estimarea bugetului pentru fiecare obiectiv în parte. </w:t>
      </w:r>
    </w:p>
    <w:p w14:paraId="367E2778" w14:textId="77777777" w:rsidR="002C206D" w:rsidRDefault="002C206D" w:rsidP="002C206D">
      <w:pPr>
        <w:ind w:right="48" w:firstLine="709"/>
        <w:jc w:val="both"/>
        <w:rPr>
          <w:rFonts w:asciiTheme="minorHAnsi" w:hAnsiTheme="minorHAnsi" w:cstheme="minorHAnsi"/>
          <w:sz w:val="26"/>
          <w:szCs w:val="26"/>
        </w:rPr>
      </w:pPr>
      <w:r>
        <w:rPr>
          <w:rFonts w:asciiTheme="minorHAnsi" w:hAnsiTheme="minorHAnsi" w:cstheme="minorHAnsi"/>
          <w:sz w:val="26"/>
          <w:szCs w:val="26"/>
        </w:rPr>
        <w:t>Astfel, programul de cheltuieli potrivit bugetului de stat acordat pentru întreaga activitate desfăşurată de Consiliul Superior al Magistraturii, precum şi în perspectiva anului 2024, în dinamică, este următorul:</w:t>
      </w:r>
    </w:p>
    <w:p w14:paraId="20BD018F" w14:textId="77777777" w:rsidR="002C206D" w:rsidRDefault="002C206D" w:rsidP="002C206D">
      <w:pPr>
        <w:ind w:firstLine="709"/>
        <w:jc w:val="both"/>
        <w:rPr>
          <w:rFonts w:asciiTheme="minorHAnsi" w:hAnsiTheme="minorHAnsi" w:cstheme="minorHAnsi"/>
          <w:b/>
          <w:sz w:val="26"/>
          <w:szCs w:val="26"/>
        </w:rPr>
      </w:pPr>
      <w:r>
        <w:rPr>
          <w:rFonts w:asciiTheme="minorHAnsi" w:hAnsiTheme="minorHAnsi" w:cstheme="minorHAnsi"/>
          <w:b/>
          <w:sz w:val="26"/>
          <w:szCs w:val="26"/>
        </w:rPr>
        <w:t>Dinamica bugetului total al C.S.M. în anii 2022-2023 şi perspectiva anului 2024:</w:t>
      </w:r>
    </w:p>
    <w:p w14:paraId="0DF1920F" w14:textId="77777777" w:rsidR="002C206D" w:rsidRDefault="002C206D" w:rsidP="002C206D">
      <w:pPr>
        <w:jc w:val="both"/>
        <w:rPr>
          <w:rFonts w:asciiTheme="minorHAnsi" w:hAnsiTheme="minorHAnsi" w:cstheme="minorHAnsi"/>
          <w:b/>
          <w:sz w:val="26"/>
          <w:szCs w:val="26"/>
        </w:rPr>
      </w:pP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r>
      <w:r>
        <w:rPr>
          <w:rFonts w:asciiTheme="minorHAnsi" w:hAnsiTheme="minorHAnsi" w:cstheme="minorHAnsi"/>
          <w:b/>
          <w:sz w:val="26"/>
          <w:szCs w:val="26"/>
        </w:rPr>
        <w:tab/>
        <w:t xml:space="preserve">     mii lei/euro</w:t>
      </w:r>
    </w:p>
    <w:tbl>
      <w:tblPr>
        <w:tblW w:w="10622" w:type="dxa"/>
        <w:tblLook w:val="04A0" w:firstRow="1" w:lastRow="0" w:firstColumn="1" w:lastColumn="0" w:noHBand="0" w:noVBand="1"/>
      </w:tblPr>
      <w:tblGrid>
        <w:gridCol w:w="567"/>
        <w:gridCol w:w="1408"/>
        <w:gridCol w:w="1276"/>
        <w:gridCol w:w="1275"/>
        <w:gridCol w:w="1418"/>
        <w:gridCol w:w="1134"/>
        <w:gridCol w:w="1134"/>
        <w:gridCol w:w="1276"/>
        <w:gridCol w:w="1134"/>
      </w:tblGrid>
      <w:tr w:rsidR="002C206D" w14:paraId="70949317" w14:textId="77777777" w:rsidTr="002C206D">
        <w:trPr>
          <w:trHeight w:val="405"/>
        </w:trPr>
        <w:tc>
          <w:tcPr>
            <w:tcW w:w="567"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077D0B64"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 xml:space="preserve">Nr. </w:t>
            </w:r>
            <w:proofErr w:type="spellStart"/>
            <w:r>
              <w:rPr>
                <w:rFonts w:ascii="Calibri Light" w:hAnsi="Calibri Light" w:cs="Calibri Light"/>
                <w:color w:val="000000"/>
                <w:sz w:val="26"/>
                <w:szCs w:val="26"/>
                <w:lang w:val="en-US"/>
              </w:rPr>
              <w:t>crt</w:t>
            </w:r>
            <w:proofErr w:type="spellEnd"/>
            <w:r>
              <w:rPr>
                <w:rFonts w:ascii="Calibri Light" w:hAnsi="Calibri Light" w:cs="Calibri Light"/>
                <w:color w:val="000000"/>
                <w:sz w:val="26"/>
                <w:szCs w:val="26"/>
                <w:lang w:val="en-US"/>
              </w:rPr>
              <w:t>.</w:t>
            </w:r>
          </w:p>
        </w:tc>
        <w:tc>
          <w:tcPr>
            <w:tcW w:w="1408"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632AA8CF"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 xml:space="preserve">BUGET C.S.M. total </w:t>
            </w:r>
          </w:p>
        </w:tc>
        <w:tc>
          <w:tcPr>
            <w:tcW w:w="1276" w:type="dxa"/>
            <w:tcBorders>
              <w:top w:val="single" w:sz="8" w:space="0" w:color="auto"/>
              <w:left w:val="nil"/>
              <w:bottom w:val="nil"/>
              <w:right w:val="nil"/>
            </w:tcBorders>
            <w:shd w:val="clear" w:color="auto" w:fill="D9D9D9"/>
            <w:vAlign w:val="center"/>
            <w:hideMark/>
          </w:tcPr>
          <w:p w14:paraId="769AF0DA" w14:textId="77777777" w:rsidR="002C206D" w:rsidRDefault="002C206D">
            <w:pPr>
              <w:spacing w:line="256" w:lineRule="auto"/>
              <w:jc w:val="center"/>
              <w:rPr>
                <w:rFonts w:ascii="Calibri Light" w:hAnsi="Calibri Light" w:cs="Calibri Light"/>
                <w:color w:val="000000"/>
                <w:sz w:val="26"/>
                <w:szCs w:val="26"/>
                <w:lang w:val="en-US"/>
              </w:rPr>
            </w:pPr>
            <w:proofErr w:type="spellStart"/>
            <w:r>
              <w:rPr>
                <w:rFonts w:ascii="Calibri Light" w:hAnsi="Calibri Light" w:cs="Calibri Light"/>
                <w:color w:val="000000"/>
                <w:sz w:val="26"/>
                <w:szCs w:val="26"/>
                <w:lang w:val="en-US"/>
              </w:rPr>
              <w:t>Credite</w:t>
            </w:r>
            <w:proofErr w:type="spellEnd"/>
          </w:p>
        </w:tc>
        <w:tc>
          <w:tcPr>
            <w:tcW w:w="2693"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3116CB5D"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2022</w:t>
            </w:r>
          </w:p>
        </w:tc>
        <w:tc>
          <w:tcPr>
            <w:tcW w:w="2268" w:type="dxa"/>
            <w:gridSpan w:val="2"/>
            <w:tcBorders>
              <w:top w:val="single" w:sz="8" w:space="0" w:color="auto"/>
              <w:left w:val="nil"/>
              <w:bottom w:val="single" w:sz="8" w:space="0" w:color="auto"/>
              <w:right w:val="single" w:sz="8" w:space="0" w:color="000000"/>
            </w:tcBorders>
            <w:shd w:val="clear" w:color="auto" w:fill="D9D9D9"/>
            <w:vAlign w:val="center"/>
            <w:hideMark/>
          </w:tcPr>
          <w:p w14:paraId="5284857A"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2023</w:t>
            </w:r>
          </w:p>
        </w:tc>
        <w:tc>
          <w:tcPr>
            <w:tcW w:w="2410" w:type="dxa"/>
            <w:gridSpan w:val="2"/>
            <w:tcBorders>
              <w:top w:val="single" w:sz="8" w:space="0" w:color="auto"/>
              <w:left w:val="nil"/>
              <w:bottom w:val="single" w:sz="8" w:space="0" w:color="auto"/>
              <w:right w:val="single" w:sz="8" w:space="0" w:color="000000"/>
            </w:tcBorders>
            <w:shd w:val="clear" w:color="auto" w:fill="D9D9D9"/>
            <w:vAlign w:val="center"/>
            <w:hideMark/>
          </w:tcPr>
          <w:p w14:paraId="4101793B"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2024</w:t>
            </w:r>
          </w:p>
        </w:tc>
      </w:tr>
      <w:tr w:rsidR="002C206D" w14:paraId="6460B992" w14:textId="77777777" w:rsidTr="002C206D">
        <w:trPr>
          <w:trHeight w:val="36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EDBBE36" w14:textId="77777777" w:rsidR="002C206D" w:rsidRDefault="002C206D">
            <w:pPr>
              <w:spacing w:line="256" w:lineRule="auto"/>
              <w:rPr>
                <w:rFonts w:ascii="Calibri Light" w:hAnsi="Calibri Light" w:cs="Calibri Light"/>
                <w:color w:val="000000"/>
                <w:sz w:val="26"/>
                <w:szCs w:val="26"/>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1CE3FA" w14:textId="77777777" w:rsidR="002C206D" w:rsidRDefault="002C206D">
            <w:pPr>
              <w:spacing w:line="256" w:lineRule="auto"/>
              <w:rPr>
                <w:rFonts w:ascii="Calibri Light" w:hAnsi="Calibri Light" w:cs="Calibri Light"/>
                <w:color w:val="000000"/>
                <w:sz w:val="26"/>
                <w:szCs w:val="26"/>
                <w:lang w:val="en-US"/>
              </w:rPr>
            </w:pPr>
          </w:p>
        </w:tc>
        <w:tc>
          <w:tcPr>
            <w:tcW w:w="1276" w:type="dxa"/>
            <w:tcBorders>
              <w:top w:val="nil"/>
              <w:left w:val="nil"/>
              <w:bottom w:val="single" w:sz="8" w:space="0" w:color="auto"/>
              <w:right w:val="single" w:sz="8" w:space="0" w:color="auto"/>
            </w:tcBorders>
            <w:shd w:val="clear" w:color="auto" w:fill="D9D9D9"/>
            <w:vAlign w:val="center"/>
            <w:hideMark/>
          </w:tcPr>
          <w:p w14:paraId="3262B6CD"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 </w:t>
            </w:r>
          </w:p>
        </w:tc>
        <w:tc>
          <w:tcPr>
            <w:tcW w:w="1275" w:type="dxa"/>
            <w:tcBorders>
              <w:top w:val="nil"/>
              <w:left w:val="nil"/>
              <w:bottom w:val="single" w:sz="8" w:space="0" w:color="auto"/>
              <w:right w:val="single" w:sz="8" w:space="0" w:color="auto"/>
            </w:tcBorders>
            <w:shd w:val="clear" w:color="auto" w:fill="D9D9D9"/>
            <w:vAlign w:val="center"/>
            <w:hideMark/>
          </w:tcPr>
          <w:p w14:paraId="100BAD2B"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LEI</w:t>
            </w:r>
          </w:p>
        </w:tc>
        <w:tc>
          <w:tcPr>
            <w:tcW w:w="1418" w:type="dxa"/>
            <w:tcBorders>
              <w:top w:val="nil"/>
              <w:left w:val="nil"/>
              <w:bottom w:val="single" w:sz="8" w:space="0" w:color="auto"/>
              <w:right w:val="single" w:sz="8" w:space="0" w:color="auto"/>
            </w:tcBorders>
            <w:shd w:val="clear" w:color="auto" w:fill="D9D9D9"/>
            <w:vAlign w:val="center"/>
            <w:hideMark/>
          </w:tcPr>
          <w:p w14:paraId="2AFF042B"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EURO</w:t>
            </w:r>
          </w:p>
        </w:tc>
        <w:tc>
          <w:tcPr>
            <w:tcW w:w="1134" w:type="dxa"/>
            <w:tcBorders>
              <w:top w:val="nil"/>
              <w:left w:val="nil"/>
              <w:bottom w:val="single" w:sz="8" w:space="0" w:color="auto"/>
              <w:right w:val="single" w:sz="8" w:space="0" w:color="auto"/>
            </w:tcBorders>
            <w:shd w:val="clear" w:color="auto" w:fill="D9D9D9"/>
            <w:vAlign w:val="center"/>
            <w:hideMark/>
          </w:tcPr>
          <w:p w14:paraId="144FAC48"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LEI</w:t>
            </w:r>
          </w:p>
        </w:tc>
        <w:tc>
          <w:tcPr>
            <w:tcW w:w="1134" w:type="dxa"/>
            <w:tcBorders>
              <w:top w:val="nil"/>
              <w:left w:val="nil"/>
              <w:bottom w:val="single" w:sz="8" w:space="0" w:color="auto"/>
              <w:right w:val="single" w:sz="8" w:space="0" w:color="auto"/>
            </w:tcBorders>
            <w:shd w:val="clear" w:color="auto" w:fill="D9D9D9"/>
            <w:vAlign w:val="center"/>
            <w:hideMark/>
          </w:tcPr>
          <w:p w14:paraId="4F9104A5"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EURO</w:t>
            </w:r>
          </w:p>
        </w:tc>
        <w:tc>
          <w:tcPr>
            <w:tcW w:w="1276" w:type="dxa"/>
            <w:tcBorders>
              <w:top w:val="nil"/>
              <w:left w:val="nil"/>
              <w:bottom w:val="single" w:sz="8" w:space="0" w:color="auto"/>
              <w:right w:val="single" w:sz="8" w:space="0" w:color="auto"/>
            </w:tcBorders>
            <w:shd w:val="clear" w:color="auto" w:fill="D9D9D9"/>
            <w:vAlign w:val="center"/>
            <w:hideMark/>
          </w:tcPr>
          <w:p w14:paraId="096C1A84"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LEI</w:t>
            </w:r>
          </w:p>
        </w:tc>
        <w:tc>
          <w:tcPr>
            <w:tcW w:w="1134" w:type="dxa"/>
            <w:tcBorders>
              <w:top w:val="nil"/>
              <w:left w:val="nil"/>
              <w:bottom w:val="single" w:sz="8" w:space="0" w:color="auto"/>
              <w:right w:val="single" w:sz="8" w:space="0" w:color="auto"/>
            </w:tcBorders>
            <w:shd w:val="clear" w:color="auto" w:fill="D9D9D9"/>
            <w:vAlign w:val="center"/>
            <w:hideMark/>
          </w:tcPr>
          <w:p w14:paraId="1341F500"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EURO</w:t>
            </w:r>
          </w:p>
        </w:tc>
      </w:tr>
      <w:tr w:rsidR="002C206D" w14:paraId="6D614795" w14:textId="77777777" w:rsidTr="002C206D">
        <w:trPr>
          <w:trHeight w:val="510"/>
        </w:trPr>
        <w:tc>
          <w:tcPr>
            <w:tcW w:w="567" w:type="dxa"/>
            <w:tcBorders>
              <w:top w:val="nil"/>
              <w:left w:val="single" w:sz="8" w:space="0" w:color="auto"/>
              <w:bottom w:val="single" w:sz="8" w:space="0" w:color="auto"/>
              <w:right w:val="single" w:sz="8" w:space="0" w:color="auto"/>
            </w:tcBorders>
            <w:vAlign w:val="center"/>
            <w:hideMark/>
          </w:tcPr>
          <w:p w14:paraId="6DBBF532"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1</w:t>
            </w:r>
          </w:p>
        </w:tc>
        <w:tc>
          <w:tcPr>
            <w:tcW w:w="1408" w:type="dxa"/>
            <w:vMerge w:val="restart"/>
            <w:tcBorders>
              <w:top w:val="nil"/>
              <w:left w:val="single" w:sz="8" w:space="0" w:color="auto"/>
              <w:bottom w:val="single" w:sz="8" w:space="0" w:color="000000"/>
              <w:right w:val="single" w:sz="8" w:space="0" w:color="auto"/>
            </w:tcBorders>
            <w:vAlign w:val="center"/>
            <w:hideMark/>
          </w:tcPr>
          <w:p w14:paraId="5EBA733A"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 xml:space="preserve">BUGET C.S.M. total </w:t>
            </w:r>
          </w:p>
        </w:tc>
        <w:tc>
          <w:tcPr>
            <w:tcW w:w="1276" w:type="dxa"/>
            <w:tcBorders>
              <w:top w:val="nil"/>
              <w:left w:val="nil"/>
              <w:bottom w:val="single" w:sz="8" w:space="0" w:color="auto"/>
              <w:right w:val="single" w:sz="8" w:space="0" w:color="auto"/>
            </w:tcBorders>
            <w:vAlign w:val="center"/>
            <w:hideMark/>
          </w:tcPr>
          <w:p w14:paraId="31E35FD9"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CA</w:t>
            </w:r>
          </w:p>
        </w:tc>
        <w:tc>
          <w:tcPr>
            <w:tcW w:w="1275" w:type="dxa"/>
            <w:tcBorders>
              <w:top w:val="nil"/>
              <w:left w:val="nil"/>
              <w:bottom w:val="single" w:sz="8" w:space="0" w:color="auto"/>
              <w:right w:val="single" w:sz="8" w:space="0" w:color="auto"/>
            </w:tcBorders>
            <w:vAlign w:val="center"/>
            <w:hideMark/>
          </w:tcPr>
          <w:p w14:paraId="7AE0D142"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218 178</w:t>
            </w:r>
          </w:p>
        </w:tc>
        <w:tc>
          <w:tcPr>
            <w:tcW w:w="1418" w:type="dxa"/>
            <w:tcBorders>
              <w:top w:val="nil"/>
              <w:left w:val="nil"/>
              <w:bottom w:val="single" w:sz="8" w:space="0" w:color="auto"/>
              <w:right w:val="single" w:sz="8" w:space="0" w:color="auto"/>
            </w:tcBorders>
            <w:vAlign w:val="center"/>
            <w:hideMark/>
          </w:tcPr>
          <w:p w14:paraId="1DC8D17B"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44 076</w:t>
            </w:r>
          </w:p>
        </w:tc>
        <w:tc>
          <w:tcPr>
            <w:tcW w:w="1134" w:type="dxa"/>
            <w:tcBorders>
              <w:top w:val="nil"/>
              <w:left w:val="nil"/>
              <w:bottom w:val="single" w:sz="8" w:space="0" w:color="auto"/>
              <w:right w:val="single" w:sz="8" w:space="0" w:color="auto"/>
            </w:tcBorders>
            <w:vAlign w:val="center"/>
            <w:hideMark/>
          </w:tcPr>
          <w:p w14:paraId="3C1922F1"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277 425</w:t>
            </w:r>
          </w:p>
        </w:tc>
        <w:tc>
          <w:tcPr>
            <w:tcW w:w="1134" w:type="dxa"/>
            <w:tcBorders>
              <w:top w:val="nil"/>
              <w:left w:val="nil"/>
              <w:bottom w:val="single" w:sz="8" w:space="0" w:color="auto"/>
              <w:right w:val="single" w:sz="8" w:space="0" w:color="auto"/>
            </w:tcBorders>
            <w:vAlign w:val="center"/>
            <w:hideMark/>
          </w:tcPr>
          <w:p w14:paraId="2B5E476D"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55 485</w:t>
            </w:r>
          </w:p>
        </w:tc>
        <w:tc>
          <w:tcPr>
            <w:tcW w:w="1276" w:type="dxa"/>
            <w:tcBorders>
              <w:top w:val="nil"/>
              <w:left w:val="nil"/>
              <w:bottom w:val="single" w:sz="8" w:space="0" w:color="auto"/>
              <w:right w:val="single" w:sz="8" w:space="0" w:color="auto"/>
            </w:tcBorders>
            <w:vAlign w:val="center"/>
            <w:hideMark/>
          </w:tcPr>
          <w:p w14:paraId="5AE6EC33"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244 331</w:t>
            </w:r>
          </w:p>
        </w:tc>
        <w:tc>
          <w:tcPr>
            <w:tcW w:w="1134" w:type="dxa"/>
            <w:tcBorders>
              <w:top w:val="nil"/>
              <w:left w:val="nil"/>
              <w:bottom w:val="single" w:sz="8" w:space="0" w:color="auto"/>
              <w:right w:val="single" w:sz="8" w:space="0" w:color="auto"/>
            </w:tcBorders>
            <w:vAlign w:val="center"/>
            <w:hideMark/>
          </w:tcPr>
          <w:p w14:paraId="680044EE"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48 866</w:t>
            </w:r>
          </w:p>
        </w:tc>
      </w:tr>
      <w:tr w:rsidR="002C206D" w14:paraId="68513244" w14:textId="77777777" w:rsidTr="002C206D">
        <w:trPr>
          <w:trHeight w:val="360"/>
        </w:trPr>
        <w:tc>
          <w:tcPr>
            <w:tcW w:w="567" w:type="dxa"/>
            <w:tcBorders>
              <w:top w:val="nil"/>
              <w:left w:val="single" w:sz="8" w:space="0" w:color="auto"/>
              <w:bottom w:val="single" w:sz="8" w:space="0" w:color="auto"/>
              <w:right w:val="single" w:sz="8" w:space="0" w:color="auto"/>
            </w:tcBorders>
            <w:noWrap/>
            <w:vAlign w:val="center"/>
            <w:hideMark/>
          </w:tcPr>
          <w:p w14:paraId="48041943"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w:t>
            </w:r>
          </w:p>
        </w:tc>
        <w:tc>
          <w:tcPr>
            <w:tcW w:w="0" w:type="auto"/>
            <w:vMerge/>
            <w:tcBorders>
              <w:top w:val="nil"/>
              <w:left w:val="single" w:sz="8" w:space="0" w:color="auto"/>
              <w:bottom w:val="single" w:sz="8" w:space="0" w:color="000000"/>
              <w:right w:val="single" w:sz="8" w:space="0" w:color="auto"/>
            </w:tcBorders>
            <w:vAlign w:val="center"/>
            <w:hideMark/>
          </w:tcPr>
          <w:p w14:paraId="6049FC2D" w14:textId="77777777" w:rsidR="002C206D" w:rsidRDefault="002C206D">
            <w:pPr>
              <w:spacing w:line="256" w:lineRule="auto"/>
              <w:rPr>
                <w:rFonts w:ascii="Calibri Light" w:hAnsi="Calibri Light" w:cs="Calibri Light"/>
                <w:color w:val="000000"/>
                <w:sz w:val="26"/>
                <w:szCs w:val="26"/>
                <w:lang w:val="en-US"/>
              </w:rPr>
            </w:pPr>
          </w:p>
        </w:tc>
        <w:tc>
          <w:tcPr>
            <w:tcW w:w="1276" w:type="dxa"/>
            <w:tcBorders>
              <w:top w:val="nil"/>
              <w:left w:val="nil"/>
              <w:bottom w:val="single" w:sz="8" w:space="0" w:color="auto"/>
              <w:right w:val="single" w:sz="8" w:space="0" w:color="auto"/>
            </w:tcBorders>
            <w:noWrap/>
            <w:vAlign w:val="center"/>
            <w:hideMark/>
          </w:tcPr>
          <w:p w14:paraId="115C2637"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CB</w:t>
            </w:r>
          </w:p>
        </w:tc>
        <w:tc>
          <w:tcPr>
            <w:tcW w:w="1275" w:type="dxa"/>
            <w:tcBorders>
              <w:top w:val="nil"/>
              <w:left w:val="nil"/>
              <w:bottom w:val="single" w:sz="8" w:space="0" w:color="auto"/>
              <w:right w:val="single" w:sz="8" w:space="0" w:color="auto"/>
            </w:tcBorders>
            <w:vAlign w:val="center"/>
            <w:hideMark/>
          </w:tcPr>
          <w:p w14:paraId="1732B39F"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182 774</w:t>
            </w:r>
          </w:p>
        </w:tc>
        <w:tc>
          <w:tcPr>
            <w:tcW w:w="1418" w:type="dxa"/>
            <w:tcBorders>
              <w:top w:val="nil"/>
              <w:left w:val="nil"/>
              <w:bottom w:val="single" w:sz="8" w:space="0" w:color="auto"/>
              <w:right w:val="single" w:sz="8" w:space="0" w:color="auto"/>
            </w:tcBorders>
            <w:vAlign w:val="center"/>
            <w:hideMark/>
          </w:tcPr>
          <w:p w14:paraId="0F21919D"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36 924</w:t>
            </w:r>
          </w:p>
        </w:tc>
        <w:tc>
          <w:tcPr>
            <w:tcW w:w="1134" w:type="dxa"/>
            <w:tcBorders>
              <w:top w:val="nil"/>
              <w:left w:val="nil"/>
              <w:bottom w:val="single" w:sz="8" w:space="0" w:color="auto"/>
              <w:right w:val="single" w:sz="8" w:space="0" w:color="auto"/>
            </w:tcBorders>
            <w:vAlign w:val="center"/>
            <w:hideMark/>
          </w:tcPr>
          <w:p w14:paraId="15DBE604"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299 070</w:t>
            </w:r>
          </w:p>
        </w:tc>
        <w:tc>
          <w:tcPr>
            <w:tcW w:w="1134" w:type="dxa"/>
            <w:tcBorders>
              <w:top w:val="nil"/>
              <w:left w:val="nil"/>
              <w:bottom w:val="single" w:sz="8" w:space="0" w:color="auto"/>
              <w:right w:val="single" w:sz="8" w:space="0" w:color="auto"/>
            </w:tcBorders>
            <w:vAlign w:val="center"/>
            <w:hideMark/>
          </w:tcPr>
          <w:p w14:paraId="3013E0D9"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59 814</w:t>
            </w:r>
          </w:p>
        </w:tc>
        <w:tc>
          <w:tcPr>
            <w:tcW w:w="1276" w:type="dxa"/>
            <w:tcBorders>
              <w:top w:val="nil"/>
              <w:left w:val="nil"/>
              <w:bottom w:val="single" w:sz="8" w:space="0" w:color="auto"/>
              <w:right w:val="single" w:sz="8" w:space="0" w:color="auto"/>
            </w:tcBorders>
            <w:vAlign w:val="center"/>
            <w:hideMark/>
          </w:tcPr>
          <w:p w14:paraId="05A5C3EB"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243 390</w:t>
            </w:r>
          </w:p>
        </w:tc>
        <w:tc>
          <w:tcPr>
            <w:tcW w:w="1134" w:type="dxa"/>
            <w:tcBorders>
              <w:top w:val="nil"/>
              <w:left w:val="nil"/>
              <w:bottom w:val="single" w:sz="8" w:space="0" w:color="auto"/>
              <w:right w:val="single" w:sz="8" w:space="0" w:color="auto"/>
            </w:tcBorders>
            <w:vAlign w:val="center"/>
            <w:hideMark/>
          </w:tcPr>
          <w:p w14:paraId="4359D51B" w14:textId="77777777" w:rsidR="002C206D" w:rsidRDefault="002C206D">
            <w:pPr>
              <w:spacing w:line="256" w:lineRule="auto"/>
              <w:jc w:val="center"/>
              <w:rPr>
                <w:rFonts w:ascii="Calibri Light" w:hAnsi="Calibri Light" w:cs="Calibri Light"/>
                <w:color w:val="000000"/>
                <w:sz w:val="26"/>
                <w:szCs w:val="26"/>
                <w:lang w:val="en-US"/>
              </w:rPr>
            </w:pPr>
            <w:r>
              <w:rPr>
                <w:rFonts w:ascii="Calibri Light" w:hAnsi="Calibri Light" w:cs="Calibri Light"/>
                <w:color w:val="000000"/>
                <w:sz w:val="26"/>
                <w:szCs w:val="26"/>
                <w:lang w:val="en-US"/>
              </w:rPr>
              <w:t>48 678</w:t>
            </w:r>
          </w:p>
        </w:tc>
      </w:tr>
    </w:tbl>
    <w:p w14:paraId="0E024328" w14:textId="77777777" w:rsidR="002C206D" w:rsidRDefault="002C206D" w:rsidP="002C206D">
      <w:pPr>
        <w:ind w:firstLine="720"/>
        <w:jc w:val="both"/>
        <w:rPr>
          <w:rFonts w:asciiTheme="minorHAnsi" w:hAnsiTheme="minorHAnsi" w:cstheme="minorHAnsi"/>
          <w:sz w:val="26"/>
          <w:szCs w:val="26"/>
          <w:lang w:val="en-GB"/>
        </w:rPr>
      </w:pPr>
      <w:r>
        <w:rPr>
          <w:rFonts w:asciiTheme="minorHAnsi" w:hAnsiTheme="minorHAnsi" w:cstheme="minorHAnsi"/>
          <w:sz w:val="26"/>
          <w:szCs w:val="26"/>
        </w:rPr>
        <w:t>CA</w:t>
      </w:r>
      <w:r>
        <w:rPr>
          <w:rFonts w:asciiTheme="minorHAnsi" w:hAnsiTheme="minorHAnsi" w:cstheme="minorHAnsi"/>
          <w:sz w:val="26"/>
          <w:szCs w:val="26"/>
          <w:lang w:val="en-GB"/>
        </w:rPr>
        <w:t xml:space="preserve">: </w:t>
      </w:r>
      <w:proofErr w:type="spellStart"/>
      <w:r>
        <w:rPr>
          <w:rFonts w:asciiTheme="minorHAnsi" w:hAnsiTheme="minorHAnsi" w:cstheme="minorHAnsi"/>
          <w:sz w:val="26"/>
          <w:szCs w:val="26"/>
          <w:lang w:val="en-GB"/>
        </w:rPr>
        <w:t>credite</w:t>
      </w:r>
      <w:proofErr w:type="spellEnd"/>
      <w:r>
        <w:rPr>
          <w:rFonts w:asciiTheme="minorHAnsi" w:hAnsiTheme="minorHAnsi" w:cstheme="minorHAnsi"/>
          <w:sz w:val="26"/>
          <w:szCs w:val="26"/>
          <w:lang w:val="en-GB"/>
        </w:rPr>
        <w:t xml:space="preserve"> de </w:t>
      </w:r>
      <w:proofErr w:type="spellStart"/>
      <w:r>
        <w:rPr>
          <w:rFonts w:asciiTheme="minorHAnsi" w:hAnsiTheme="minorHAnsi" w:cstheme="minorHAnsi"/>
          <w:sz w:val="26"/>
          <w:szCs w:val="26"/>
          <w:lang w:val="en-GB"/>
        </w:rPr>
        <w:t>angajament</w:t>
      </w:r>
      <w:proofErr w:type="spellEnd"/>
    </w:p>
    <w:p w14:paraId="07D710F4" w14:textId="77777777" w:rsidR="002C206D" w:rsidRDefault="002C206D" w:rsidP="002C206D">
      <w:pPr>
        <w:ind w:firstLine="720"/>
        <w:jc w:val="both"/>
        <w:rPr>
          <w:rFonts w:asciiTheme="minorHAnsi" w:hAnsiTheme="minorHAnsi" w:cstheme="minorHAnsi"/>
          <w:sz w:val="26"/>
          <w:szCs w:val="26"/>
          <w:lang w:val="en-GB"/>
        </w:rPr>
      </w:pPr>
      <w:r>
        <w:rPr>
          <w:rFonts w:asciiTheme="minorHAnsi" w:hAnsiTheme="minorHAnsi" w:cstheme="minorHAnsi"/>
          <w:sz w:val="26"/>
          <w:szCs w:val="26"/>
          <w:lang w:val="en-GB"/>
        </w:rPr>
        <w:t xml:space="preserve">CB: </w:t>
      </w:r>
      <w:proofErr w:type="spellStart"/>
      <w:r>
        <w:rPr>
          <w:rFonts w:asciiTheme="minorHAnsi" w:hAnsiTheme="minorHAnsi" w:cstheme="minorHAnsi"/>
          <w:sz w:val="26"/>
          <w:szCs w:val="26"/>
          <w:lang w:val="en-GB"/>
        </w:rPr>
        <w:t>credite</w:t>
      </w:r>
      <w:proofErr w:type="spellEnd"/>
      <w:r>
        <w:rPr>
          <w:rFonts w:asciiTheme="minorHAnsi" w:hAnsiTheme="minorHAnsi" w:cstheme="minorHAnsi"/>
          <w:sz w:val="26"/>
          <w:szCs w:val="26"/>
          <w:lang w:val="en-GB"/>
        </w:rPr>
        <w:t xml:space="preserve"> </w:t>
      </w:r>
      <w:proofErr w:type="spellStart"/>
      <w:r>
        <w:rPr>
          <w:rFonts w:asciiTheme="minorHAnsi" w:hAnsiTheme="minorHAnsi" w:cstheme="minorHAnsi"/>
          <w:sz w:val="26"/>
          <w:szCs w:val="26"/>
          <w:lang w:val="en-GB"/>
        </w:rPr>
        <w:t>bugetare</w:t>
      </w:r>
      <w:proofErr w:type="spellEnd"/>
    </w:p>
    <w:p w14:paraId="60B215B0" w14:textId="77777777" w:rsidR="002C206D" w:rsidRDefault="002C206D" w:rsidP="002C206D">
      <w:pPr>
        <w:ind w:firstLine="720"/>
        <w:jc w:val="both"/>
        <w:rPr>
          <w:rFonts w:asciiTheme="minorHAnsi" w:hAnsiTheme="minorHAnsi" w:cstheme="minorHAnsi"/>
          <w:sz w:val="26"/>
          <w:szCs w:val="26"/>
        </w:rPr>
      </w:pPr>
    </w:p>
    <w:p w14:paraId="2AF6F1DB" w14:textId="77777777" w:rsidR="002C206D" w:rsidRDefault="002C206D" w:rsidP="002C206D">
      <w:pPr>
        <w:ind w:firstLine="720"/>
        <w:jc w:val="both"/>
        <w:rPr>
          <w:rFonts w:asciiTheme="minorHAnsi" w:hAnsiTheme="minorHAnsi" w:cstheme="minorHAnsi"/>
          <w:sz w:val="26"/>
          <w:szCs w:val="26"/>
        </w:rPr>
      </w:pPr>
      <w:r>
        <w:rPr>
          <w:rFonts w:asciiTheme="minorHAnsi" w:hAnsiTheme="minorHAnsi" w:cstheme="minorHAnsi"/>
          <w:sz w:val="26"/>
          <w:szCs w:val="26"/>
        </w:rPr>
        <w:t xml:space="preserve">Măsurile ce au fost adoptate au avut în vedere riscurile determinate de evoluţiile economice interne şi externe şi au impus adoptarea unei politici bugetare prudente. </w:t>
      </w:r>
    </w:p>
    <w:p w14:paraId="5EA92E22" w14:textId="77777777" w:rsidR="002C206D" w:rsidRDefault="002C206D" w:rsidP="002C206D">
      <w:pPr>
        <w:ind w:firstLine="720"/>
        <w:jc w:val="both"/>
        <w:rPr>
          <w:rFonts w:asciiTheme="minorHAnsi" w:hAnsiTheme="minorHAnsi" w:cstheme="minorHAnsi"/>
          <w:sz w:val="26"/>
          <w:szCs w:val="26"/>
        </w:rPr>
      </w:pPr>
      <w:r>
        <w:rPr>
          <w:rFonts w:asciiTheme="minorHAnsi" w:hAnsiTheme="minorHAnsi" w:cstheme="minorHAnsi"/>
          <w:sz w:val="26"/>
          <w:szCs w:val="26"/>
        </w:rPr>
        <w:t>Datele pentru anul 2024  reprezintă necesarul de cheltuieli stabilit pentru buna funcționare a  Consiliul Superior al Magistraturii.</w:t>
      </w:r>
    </w:p>
    <w:p w14:paraId="1B5BA472" w14:textId="77777777" w:rsidR="002C206D" w:rsidRDefault="002C206D" w:rsidP="00F8687F">
      <w:pPr>
        <w:ind w:firstLine="720"/>
        <w:jc w:val="both"/>
        <w:rPr>
          <w:rFonts w:asciiTheme="minorHAnsi" w:hAnsiTheme="minorHAnsi" w:cstheme="minorHAnsi"/>
          <w:b/>
          <w:sz w:val="26"/>
          <w:szCs w:val="26"/>
        </w:rPr>
      </w:pPr>
      <w:r>
        <w:rPr>
          <w:rFonts w:asciiTheme="minorHAnsi" w:hAnsiTheme="minorHAnsi" w:cstheme="minorHAnsi"/>
          <w:sz w:val="26"/>
          <w:szCs w:val="26"/>
        </w:rPr>
        <w:t>Reprezentată grafic, evoluţia bugetului se prezintă astfel:</w:t>
      </w:r>
    </w:p>
    <w:p w14:paraId="25C077F1" w14:textId="6A29ADB7" w:rsidR="002C206D" w:rsidRDefault="002C206D" w:rsidP="00F8687F">
      <w:pPr>
        <w:jc w:val="center"/>
        <w:rPr>
          <w:rFonts w:asciiTheme="minorHAnsi" w:hAnsiTheme="minorHAnsi" w:cstheme="minorHAnsi"/>
          <w:sz w:val="26"/>
          <w:szCs w:val="26"/>
        </w:rPr>
      </w:pPr>
      <w:r>
        <w:rPr>
          <w:noProof/>
        </w:rPr>
        <w:drawing>
          <wp:inline distT="0" distB="0" distL="0" distR="0" wp14:anchorId="43AB53DD" wp14:editId="7B777856">
            <wp:extent cx="5257800" cy="3295650"/>
            <wp:effectExtent l="0" t="0" r="0" b="0"/>
            <wp:docPr id="1185205027" name="Chart 10">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C619D0" w14:textId="77777777" w:rsidR="002C206D" w:rsidRDefault="002C206D" w:rsidP="00F8687F">
      <w:pPr>
        <w:tabs>
          <w:tab w:val="left" w:pos="5433"/>
        </w:tabs>
        <w:ind w:firstLine="709"/>
        <w:jc w:val="both"/>
        <w:rPr>
          <w:rFonts w:asciiTheme="minorHAnsi" w:hAnsiTheme="minorHAnsi" w:cstheme="minorHAnsi"/>
          <w:sz w:val="26"/>
          <w:szCs w:val="26"/>
        </w:rPr>
      </w:pPr>
      <w:r>
        <w:rPr>
          <w:rFonts w:asciiTheme="minorHAnsi" w:hAnsiTheme="minorHAnsi" w:cstheme="minorHAnsi"/>
          <w:sz w:val="26"/>
          <w:szCs w:val="26"/>
        </w:rPr>
        <w:lastRenderedPageBreak/>
        <w:t>Bugetul Consiliului Superior al Magistraturii pe anul 2023 a fost aprobat prin Legea  bugetului de stat nr. 368/2022 şi este structurat astfel: Consiliul Superior al Magistraturii (Aparatul Propriu), Inspecția Judiciară, Institutul Naţional al Magistraturii şi Şcoala Naţională de Grefieri.</w:t>
      </w:r>
    </w:p>
    <w:p w14:paraId="41D9226B" w14:textId="77777777" w:rsidR="002C206D" w:rsidRDefault="002C206D" w:rsidP="00F8687F">
      <w:pPr>
        <w:ind w:firstLine="709"/>
        <w:jc w:val="both"/>
        <w:rPr>
          <w:rFonts w:asciiTheme="minorHAnsi" w:eastAsia="SimSun" w:hAnsiTheme="minorHAnsi" w:cstheme="minorHAnsi"/>
          <w:b/>
          <w:bCs/>
          <w:sz w:val="26"/>
          <w:szCs w:val="26"/>
          <w:lang w:eastAsia="zh-CN"/>
        </w:rPr>
      </w:pPr>
      <w:r>
        <w:rPr>
          <w:rFonts w:asciiTheme="minorHAnsi" w:eastAsia="SimSun" w:hAnsiTheme="minorHAnsi" w:cstheme="minorHAnsi"/>
          <w:b/>
          <w:bCs/>
          <w:sz w:val="26"/>
          <w:szCs w:val="26"/>
          <w:lang w:eastAsia="zh-CN"/>
        </w:rPr>
        <w:t>Situaţia  finanţării Consiliului Superior al Magistraturii pe anii  2022, 2023 şi în perspectiva anului  2024</w:t>
      </w:r>
    </w:p>
    <w:p w14:paraId="420A4541" w14:textId="77777777" w:rsidR="002C206D" w:rsidRDefault="002C206D" w:rsidP="002C206D">
      <w:pPr>
        <w:jc w:val="center"/>
        <w:rPr>
          <w:rFonts w:asciiTheme="minorHAnsi" w:eastAsia="SimSun" w:hAnsiTheme="minorHAnsi" w:cstheme="minorHAnsi"/>
          <w:b/>
          <w:bCs/>
          <w:sz w:val="26"/>
          <w:szCs w:val="26"/>
          <w:lang w:eastAsia="zh-CN"/>
        </w:rPr>
      </w:pP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r>
      <w:r>
        <w:rPr>
          <w:rFonts w:asciiTheme="minorHAnsi" w:eastAsia="SimSun" w:hAnsiTheme="minorHAnsi" w:cstheme="minorHAnsi"/>
          <w:b/>
          <w:bCs/>
          <w:sz w:val="26"/>
          <w:szCs w:val="26"/>
          <w:lang w:eastAsia="zh-CN"/>
        </w:rPr>
        <w:tab/>
        <w:t xml:space="preserve">   mii lei/euro</w:t>
      </w:r>
    </w:p>
    <w:tbl>
      <w:tblPr>
        <w:tblW w:w="0" w:type="auto"/>
        <w:jc w:val="center"/>
        <w:tblLook w:val="04A0" w:firstRow="1" w:lastRow="0" w:firstColumn="1" w:lastColumn="0" w:noHBand="0" w:noVBand="1"/>
      </w:tblPr>
      <w:tblGrid>
        <w:gridCol w:w="3044"/>
        <w:gridCol w:w="444"/>
        <w:gridCol w:w="876"/>
        <w:gridCol w:w="775"/>
        <w:gridCol w:w="1125"/>
        <w:gridCol w:w="996"/>
        <w:gridCol w:w="775"/>
        <w:gridCol w:w="692"/>
        <w:gridCol w:w="775"/>
        <w:gridCol w:w="692"/>
      </w:tblGrid>
      <w:tr w:rsidR="002C206D" w14:paraId="5B7E5391" w14:textId="77777777" w:rsidTr="002C206D">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DBDBDB"/>
            <w:vAlign w:val="center"/>
            <w:hideMark/>
          </w:tcPr>
          <w:p w14:paraId="1F0F950C" w14:textId="77777777" w:rsidR="002C206D" w:rsidRDefault="002C206D">
            <w:pPr>
              <w:spacing w:line="256" w:lineRule="auto"/>
              <w:rPr>
                <w:rFonts w:asciiTheme="minorHAnsi" w:hAnsiTheme="minorHAnsi" w:cstheme="minorHAnsi"/>
                <w:b/>
                <w:bCs/>
                <w:sz w:val="20"/>
                <w:lang w:val="en-US"/>
              </w:rPr>
            </w:pPr>
            <w:r>
              <w:rPr>
                <w:rFonts w:asciiTheme="minorHAnsi" w:hAnsiTheme="minorHAnsi" w:cstheme="minorHAnsi"/>
                <w:b/>
                <w:bCs/>
                <w:sz w:val="20"/>
                <w:lang w:val="en-US"/>
              </w:rPr>
              <w:t>ANUL 2022</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33D5BD4F" w14:textId="77777777" w:rsidR="002C206D" w:rsidRDefault="002C206D">
            <w:pPr>
              <w:spacing w:line="256" w:lineRule="auto"/>
              <w:rPr>
                <w:rFonts w:asciiTheme="minorHAnsi" w:hAnsiTheme="minorHAnsi" w:cstheme="minorHAnsi"/>
                <w:b/>
                <w:bCs/>
                <w:sz w:val="20"/>
                <w:lang w:val="en-US"/>
              </w:rPr>
            </w:pPr>
            <w:r>
              <w:rPr>
                <w:rFonts w:asciiTheme="minorHAnsi" w:hAnsiTheme="minorHAnsi" w:cstheme="minorHAnsi"/>
                <w:b/>
                <w:bCs/>
                <w:sz w:val="20"/>
                <w:lang w:val="en-US"/>
              </w:rPr>
              <w:t> </w:t>
            </w:r>
          </w:p>
        </w:tc>
        <w:tc>
          <w:tcPr>
            <w:tcW w:w="0" w:type="auto"/>
            <w:gridSpan w:val="2"/>
            <w:tcBorders>
              <w:top w:val="single" w:sz="4" w:space="0" w:color="auto"/>
              <w:left w:val="nil"/>
              <w:bottom w:val="single" w:sz="4" w:space="0" w:color="auto"/>
              <w:right w:val="single" w:sz="4" w:space="0" w:color="000000"/>
            </w:tcBorders>
            <w:shd w:val="clear" w:color="auto" w:fill="D9D9D9"/>
            <w:noWrap/>
            <w:vAlign w:val="bottom"/>
            <w:hideMark/>
          </w:tcPr>
          <w:p w14:paraId="29CC5246"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TOTAL</w:t>
            </w:r>
          </w:p>
        </w:tc>
        <w:tc>
          <w:tcPr>
            <w:tcW w:w="0" w:type="auto"/>
            <w:gridSpan w:val="2"/>
            <w:tcBorders>
              <w:top w:val="single" w:sz="4" w:space="0" w:color="auto"/>
              <w:left w:val="nil"/>
              <w:bottom w:val="single" w:sz="4" w:space="0" w:color="auto"/>
              <w:right w:val="single" w:sz="4" w:space="0" w:color="000000"/>
            </w:tcBorders>
            <w:shd w:val="clear" w:color="auto" w:fill="D9D9D9"/>
            <w:noWrap/>
            <w:vAlign w:val="bottom"/>
            <w:hideMark/>
          </w:tcPr>
          <w:p w14:paraId="1E7D015A"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CSM APARAT PROPRIU</w:t>
            </w:r>
          </w:p>
        </w:tc>
        <w:tc>
          <w:tcPr>
            <w:tcW w:w="0" w:type="auto"/>
            <w:gridSpan w:val="2"/>
            <w:tcBorders>
              <w:top w:val="single" w:sz="4" w:space="0" w:color="auto"/>
              <w:left w:val="nil"/>
              <w:bottom w:val="single" w:sz="4" w:space="0" w:color="auto"/>
              <w:right w:val="single" w:sz="4" w:space="0" w:color="000000"/>
            </w:tcBorders>
            <w:shd w:val="clear" w:color="auto" w:fill="D9D9D9"/>
            <w:noWrap/>
            <w:vAlign w:val="bottom"/>
            <w:hideMark/>
          </w:tcPr>
          <w:p w14:paraId="3CA99CD5"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INM</w:t>
            </w:r>
          </w:p>
        </w:tc>
        <w:tc>
          <w:tcPr>
            <w:tcW w:w="0" w:type="auto"/>
            <w:gridSpan w:val="2"/>
            <w:tcBorders>
              <w:top w:val="single" w:sz="4" w:space="0" w:color="auto"/>
              <w:left w:val="nil"/>
              <w:bottom w:val="single" w:sz="4" w:space="0" w:color="auto"/>
              <w:right w:val="single" w:sz="4" w:space="0" w:color="000000"/>
            </w:tcBorders>
            <w:shd w:val="clear" w:color="auto" w:fill="D9D9D9"/>
            <w:noWrap/>
            <w:vAlign w:val="bottom"/>
            <w:hideMark/>
          </w:tcPr>
          <w:p w14:paraId="51F267A0"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SNG</w:t>
            </w:r>
          </w:p>
        </w:tc>
      </w:tr>
      <w:tr w:rsidR="002C206D" w14:paraId="18CD8644" w14:textId="77777777" w:rsidTr="002C206D">
        <w:trPr>
          <w:trHeight w:val="304"/>
          <w:jc w:val="center"/>
        </w:trPr>
        <w:tc>
          <w:tcPr>
            <w:tcW w:w="0" w:type="auto"/>
            <w:tcBorders>
              <w:top w:val="nil"/>
              <w:left w:val="single" w:sz="4" w:space="0" w:color="auto"/>
              <w:bottom w:val="single" w:sz="4" w:space="0" w:color="auto"/>
              <w:right w:val="single" w:sz="4" w:space="0" w:color="auto"/>
            </w:tcBorders>
            <w:shd w:val="clear" w:color="auto" w:fill="D9D9D9"/>
            <w:vAlign w:val="center"/>
            <w:hideMark/>
          </w:tcPr>
          <w:p w14:paraId="1858D7D7" w14:textId="77777777" w:rsidR="002C206D" w:rsidRDefault="002C206D">
            <w:pPr>
              <w:spacing w:line="256" w:lineRule="auto"/>
              <w:rPr>
                <w:rFonts w:asciiTheme="minorHAnsi" w:hAnsiTheme="minorHAnsi" w:cstheme="minorHAnsi"/>
                <w:b/>
                <w:bCs/>
                <w:sz w:val="20"/>
                <w:lang w:val="en-US"/>
              </w:rPr>
            </w:pPr>
            <w:proofErr w:type="gramStart"/>
            <w:r>
              <w:rPr>
                <w:rFonts w:asciiTheme="minorHAnsi" w:hAnsiTheme="minorHAnsi" w:cstheme="minorHAnsi"/>
                <w:b/>
                <w:bCs/>
                <w:sz w:val="20"/>
                <w:lang w:val="en-US"/>
              </w:rPr>
              <w:t>BUGET  CSM</w:t>
            </w:r>
            <w:proofErr w:type="gramEnd"/>
          </w:p>
        </w:tc>
        <w:tc>
          <w:tcPr>
            <w:tcW w:w="0" w:type="auto"/>
            <w:tcBorders>
              <w:top w:val="nil"/>
              <w:left w:val="nil"/>
              <w:bottom w:val="single" w:sz="4" w:space="0" w:color="auto"/>
              <w:right w:val="single" w:sz="4" w:space="0" w:color="auto"/>
            </w:tcBorders>
            <w:shd w:val="clear" w:color="auto" w:fill="D9D9D9"/>
            <w:vAlign w:val="bottom"/>
            <w:hideMark/>
          </w:tcPr>
          <w:p w14:paraId="235D17BE"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 </w:t>
            </w:r>
          </w:p>
        </w:tc>
        <w:tc>
          <w:tcPr>
            <w:tcW w:w="0" w:type="auto"/>
            <w:tcBorders>
              <w:top w:val="nil"/>
              <w:left w:val="nil"/>
              <w:bottom w:val="single" w:sz="4" w:space="0" w:color="auto"/>
              <w:right w:val="single" w:sz="4" w:space="0" w:color="auto"/>
            </w:tcBorders>
            <w:shd w:val="clear" w:color="auto" w:fill="D9D9D9"/>
            <w:noWrap/>
            <w:vAlign w:val="bottom"/>
            <w:hideMark/>
          </w:tcPr>
          <w:p w14:paraId="4564962F"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LEI</w:t>
            </w:r>
          </w:p>
        </w:tc>
        <w:tc>
          <w:tcPr>
            <w:tcW w:w="0" w:type="auto"/>
            <w:tcBorders>
              <w:top w:val="nil"/>
              <w:left w:val="nil"/>
              <w:bottom w:val="single" w:sz="4" w:space="0" w:color="auto"/>
              <w:right w:val="single" w:sz="4" w:space="0" w:color="auto"/>
            </w:tcBorders>
            <w:shd w:val="clear" w:color="auto" w:fill="D9D9D9"/>
            <w:noWrap/>
            <w:vAlign w:val="bottom"/>
            <w:hideMark/>
          </w:tcPr>
          <w:p w14:paraId="3EE271D3"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EURO</w:t>
            </w:r>
          </w:p>
        </w:tc>
        <w:tc>
          <w:tcPr>
            <w:tcW w:w="0" w:type="auto"/>
            <w:tcBorders>
              <w:top w:val="nil"/>
              <w:left w:val="nil"/>
              <w:bottom w:val="single" w:sz="4" w:space="0" w:color="auto"/>
              <w:right w:val="single" w:sz="4" w:space="0" w:color="auto"/>
            </w:tcBorders>
            <w:shd w:val="clear" w:color="auto" w:fill="D9D9D9"/>
            <w:noWrap/>
            <w:vAlign w:val="bottom"/>
            <w:hideMark/>
          </w:tcPr>
          <w:p w14:paraId="103582F2"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LEI</w:t>
            </w:r>
          </w:p>
        </w:tc>
        <w:tc>
          <w:tcPr>
            <w:tcW w:w="0" w:type="auto"/>
            <w:tcBorders>
              <w:top w:val="nil"/>
              <w:left w:val="nil"/>
              <w:bottom w:val="single" w:sz="4" w:space="0" w:color="auto"/>
              <w:right w:val="single" w:sz="4" w:space="0" w:color="auto"/>
            </w:tcBorders>
            <w:shd w:val="clear" w:color="auto" w:fill="D9D9D9"/>
            <w:noWrap/>
            <w:vAlign w:val="bottom"/>
            <w:hideMark/>
          </w:tcPr>
          <w:p w14:paraId="6FED48D7"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EURO</w:t>
            </w:r>
          </w:p>
        </w:tc>
        <w:tc>
          <w:tcPr>
            <w:tcW w:w="0" w:type="auto"/>
            <w:tcBorders>
              <w:top w:val="nil"/>
              <w:left w:val="nil"/>
              <w:bottom w:val="single" w:sz="4" w:space="0" w:color="auto"/>
              <w:right w:val="single" w:sz="4" w:space="0" w:color="auto"/>
            </w:tcBorders>
            <w:shd w:val="clear" w:color="auto" w:fill="D9D9D9"/>
            <w:noWrap/>
            <w:vAlign w:val="bottom"/>
            <w:hideMark/>
          </w:tcPr>
          <w:p w14:paraId="7D105284"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LEI</w:t>
            </w:r>
          </w:p>
        </w:tc>
        <w:tc>
          <w:tcPr>
            <w:tcW w:w="0" w:type="auto"/>
            <w:tcBorders>
              <w:top w:val="nil"/>
              <w:left w:val="nil"/>
              <w:bottom w:val="single" w:sz="4" w:space="0" w:color="auto"/>
              <w:right w:val="single" w:sz="4" w:space="0" w:color="auto"/>
            </w:tcBorders>
            <w:shd w:val="clear" w:color="auto" w:fill="D9D9D9"/>
            <w:noWrap/>
            <w:vAlign w:val="bottom"/>
            <w:hideMark/>
          </w:tcPr>
          <w:p w14:paraId="763AA03D"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EURO</w:t>
            </w:r>
          </w:p>
        </w:tc>
        <w:tc>
          <w:tcPr>
            <w:tcW w:w="0" w:type="auto"/>
            <w:tcBorders>
              <w:top w:val="nil"/>
              <w:left w:val="nil"/>
              <w:bottom w:val="single" w:sz="4" w:space="0" w:color="auto"/>
              <w:right w:val="single" w:sz="4" w:space="0" w:color="auto"/>
            </w:tcBorders>
            <w:shd w:val="clear" w:color="auto" w:fill="D9D9D9"/>
            <w:noWrap/>
            <w:vAlign w:val="bottom"/>
            <w:hideMark/>
          </w:tcPr>
          <w:p w14:paraId="422241F7"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LEI</w:t>
            </w:r>
          </w:p>
        </w:tc>
        <w:tc>
          <w:tcPr>
            <w:tcW w:w="0" w:type="auto"/>
            <w:tcBorders>
              <w:top w:val="nil"/>
              <w:left w:val="nil"/>
              <w:bottom w:val="single" w:sz="4" w:space="0" w:color="auto"/>
              <w:right w:val="single" w:sz="4" w:space="0" w:color="auto"/>
            </w:tcBorders>
            <w:shd w:val="clear" w:color="auto" w:fill="D9D9D9"/>
            <w:noWrap/>
            <w:vAlign w:val="bottom"/>
            <w:hideMark/>
          </w:tcPr>
          <w:p w14:paraId="374979AC" w14:textId="77777777" w:rsidR="002C206D" w:rsidRDefault="002C206D">
            <w:pPr>
              <w:spacing w:line="256" w:lineRule="auto"/>
              <w:jc w:val="center"/>
              <w:rPr>
                <w:rFonts w:asciiTheme="minorHAnsi" w:hAnsiTheme="minorHAnsi" w:cstheme="minorHAnsi"/>
                <w:b/>
                <w:bCs/>
                <w:sz w:val="20"/>
                <w:lang w:val="en-US"/>
              </w:rPr>
            </w:pPr>
            <w:r>
              <w:rPr>
                <w:rFonts w:asciiTheme="minorHAnsi" w:hAnsiTheme="minorHAnsi" w:cstheme="minorHAnsi"/>
                <w:b/>
                <w:bCs/>
                <w:sz w:val="20"/>
                <w:lang w:val="en-US"/>
              </w:rPr>
              <w:t>EURO</w:t>
            </w:r>
          </w:p>
        </w:tc>
      </w:tr>
      <w:tr w:rsidR="002C206D" w14:paraId="42168B7C" w14:textId="77777777" w:rsidTr="002C206D">
        <w:trPr>
          <w:trHeight w:val="30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1FA49CD2" w14:textId="77777777" w:rsidR="002C206D" w:rsidRDefault="002C206D">
            <w:pPr>
              <w:spacing w:line="256" w:lineRule="auto"/>
              <w:rPr>
                <w:rFonts w:asciiTheme="minorHAnsi" w:hAnsiTheme="minorHAnsi" w:cstheme="minorHAnsi"/>
                <w:b/>
                <w:bCs/>
                <w:sz w:val="20"/>
                <w:lang w:val="en-US"/>
              </w:rPr>
            </w:pPr>
            <w:proofErr w:type="gramStart"/>
            <w:r>
              <w:rPr>
                <w:rFonts w:asciiTheme="minorHAnsi" w:hAnsiTheme="minorHAnsi" w:cstheme="minorHAnsi"/>
                <w:b/>
                <w:bCs/>
                <w:sz w:val="20"/>
                <w:lang w:val="en-US"/>
              </w:rPr>
              <w:t>TOTAL  din</w:t>
            </w:r>
            <w:proofErr w:type="gramEnd"/>
            <w:r>
              <w:rPr>
                <w:rFonts w:asciiTheme="minorHAnsi" w:hAnsiTheme="minorHAnsi" w:cstheme="minorHAnsi"/>
                <w:b/>
                <w:bCs/>
                <w:sz w:val="20"/>
                <w:lang w:val="en-US"/>
              </w:rPr>
              <w:t xml:space="preserve"> care:</w:t>
            </w:r>
          </w:p>
        </w:tc>
        <w:tc>
          <w:tcPr>
            <w:tcW w:w="0" w:type="auto"/>
            <w:tcBorders>
              <w:top w:val="nil"/>
              <w:left w:val="nil"/>
              <w:bottom w:val="single" w:sz="4" w:space="0" w:color="auto"/>
              <w:right w:val="single" w:sz="4" w:space="0" w:color="auto"/>
            </w:tcBorders>
            <w:vAlign w:val="center"/>
            <w:hideMark/>
          </w:tcPr>
          <w:p w14:paraId="0920EE06" w14:textId="77777777" w:rsidR="002C206D" w:rsidRDefault="002C206D">
            <w:pPr>
              <w:spacing w:line="256" w:lineRule="auto"/>
              <w:rPr>
                <w:rFonts w:asciiTheme="minorHAnsi" w:hAnsiTheme="minorHAnsi" w:cstheme="minorHAnsi"/>
                <w:b/>
                <w:bCs/>
                <w:sz w:val="20"/>
                <w:lang w:val="en-US"/>
              </w:rPr>
            </w:pPr>
            <w:r>
              <w:rPr>
                <w:rFonts w:asciiTheme="minorHAnsi" w:hAnsiTheme="minorHAnsi" w:cstheme="minorHAnsi"/>
                <w:b/>
                <w:bCs/>
                <w:sz w:val="20"/>
                <w:lang w:val="en-US"/>
              </w:rPr>
              <w:t>CA</w:t>
            </w:r>
          </w:p>
        </w:tc>
        <w:tc>
          <w:tcPr>
            <w:tcW w:w="0" w:type="auto"/>
            <w:tcBorders>
              <w:top w:val="nil"/>
              <w:left w:val="nil"/>
              <w:bottom w:val="single" w:sz="4" w:space="0" w:color="auto"/>
              <w:right w:val="single" w:sz="4" w:space="0" w:color="auto"/>
            </w:tcBorders>
            <w:noWrap/>
            <w:vAlign w:val="bottom"/>
            <w:hideMark/>
          </w:tcPr>
          <w:p w14:paraId="4F580577"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218,178</w:t>
            </w:r>
          </w:p>
        </w:tc>
        <w:tc>
          <w:tcPr>
            <w:tcW w:w="0" w:type="auto"/>
            <w:tcBorders>
              <w:top w:val="nil"/>
              <w:left w:val="nil"/>
              <w:bottom w:val="single" w:sz="4" w:space="0" w:color="auto"/>
              <w:right w:val="single" w:sz="4" w:space="0" w:color="auto"/>
            </w:tcBorders>
            <w:noWrap/>
            <w:vAlign w:val="bottom"/>
            <w:hideMark/>
          </w:tcPr>
          <w:p w14:paraId="7ED6834A"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44,077</w:t>
            </w:r>
          </w:p>
        </w:tc>
        <w:tc>
          <w:tcPr>
            <w:tcW w:w="0" w:type="auto"/>
            <w:tcBorders>
              <w:top w:val="nil"/>
              <w:left w:val="nil"/>
              <w:bottom w:val="single" w:sz="4" w:space="0" w:color="auto"/>
              <w:right w:val="single" w:sz="4" w:space="0" w:color="auto"/>
            </w:tcBorders>
            <w:noWrap/>
            <w:vAlign w:val="bottom"/>
            <w:hideMark/>
          </w:tcPr>
          <w:p w14:paraId="06779EA7"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159,474</w:t>
            </w:r>
          </w:p>
        </w:tc>
        <w:tc>
          <w:tcPr>
            <w:tcW w:w="0" w:type="auto"/>
            <w:tcBorders>
              <w:top w:val="nil"/>
              <w:left w:val="nil"/>
              <w:bottom w:val="single" w:sz="4" w:space="0" w:color="auto"/>
              <w:right w:val="single" w:sz="4" w:space="0" w:color="auto"/>
            </w:tcBorders>
            <w:noWrap/>
            <w:vAlign w:val="bottom"/>
            <w:hideMark/>
          </w:tcPr>
          <w:p w14:paraId="360E2E62"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32,217</w:t>
            </w:r>
          </w:p>
        </w:tc>
        <w:tc>
          <w:tcPr>
            <w:tcW w:w="0" w:type="auto"/>
            <w:tcBorders>
              <w:top w:val="nil"/>
              <w:left w:val="nil"/>
              <w:bottom w:val="single" w:sz="4" w:space="0" w:color="auto"/>
              <w:right w:val="single" w:sz="4" w:space="0" w:color="auto"/>
            </w:tcBorders>
            <w:noWrap/>
            <w:vAlign w:val="bottom"/>
            <w:hideMark/>
          </w:tcPr>
          <w:p w14:paraId="5916248A"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40,147</w:t>
            </w:r>
          </w:p>
        </w:tc>
        <w:tc>
          <w:tcPr>
            <w:tcW w:w="0" w:type="auto"/>
            <w:tcBorders>
              <w:top w:val="nil"/>
              <w:left w:val="nil"/>
              <w:bottom w:val="single" w:sz="4" w:space="0" w:color="auto"/>
              <w:right w:val="single" w:sz="4" w:space="0" w:color="auto"/>
            </w:tcBorders>
            <w:noWrap/>
            <w:vAlign w:val="bottom"/>
            <w:hideMark/>
          </w:tcPr>
          <w:p w14:paraId="4184B227"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8,110</w:t>
            </w:r>
          </w:p>
        </w:tc>
        <w:tc>
          <w:tcPr>
            <w:tcW w:w="0" w:type="auto"/>
            <w:tcBorders>
              <w:top w:val="nil"/>
              <w:left w:val="nil"/>
              <w:bottom w:val="single" w:sz="4" w:space="0" w:color="auto"/>
              <w:right w:val="single" w:sz="4" w:space="0" w:color="auto"/>
            </w:tcBorders>
            <w:noWrap/>
            <w:vAlign w:val="bottom"/>
            <w:hideMark/>
          </w:tcPr>
          <w:p w14:paraId="1AB34ADA"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18,557</w:t>
            </w:r>
          </w:p>
        </w:tc>
        <w:tc>
          <w:tcPr>
            <w:tcW w:w="0" w:type="auto"/>
            <w:tcBorders>
              <w:top w:val="nil"/>
              <w:left w:val="nil"/>
              <w:bottom w:val="single" w:sz="4" w:space="0" w:color="auto"/>
              <w:right w:val="single" w:sz="4" w:space="0" w:color="auto"/>
            </w:tcBorders>
            <w:noWrap/>
            <w:vAlign w:val="bottom"/>
            <w:hideMark/>
          </w:tcPr>
          <w:p w14:paraId="6B4B4803"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3,750</w:t>
            </w:r>
          </w:p>
        </w:tc>
      </w:tr>
      <w:tr w:rsidR="002C206D" w14:paraId="52D22BD7"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75F1D934" w14:textId="77777777" w:rsidR="002C206D" w:rsidRDefault="002C206D">
            <w:pPr>
              <w:spacing w:line="256" w:lineRule="auto"/>
              <w:rPr>
                <w:rFonts w:asciiTheme="minorHAnsi" w:hAnsiTheme="minorHAnsi" w:cstheme="minorHAnsi"/>
                <w:b/>
                <w:bCs/>
                <w:sz w:val="20"/>
                <w:lang w:val="en-US"/>
              </w:rPr>
            </w:pPr>
          </w:p>
        </w:tc>
        <w:tc>
          <w:tcPr>
            <w:tcW w:w="0" w:type="auto"/>
            <w:tcBorders>
              <w:top w:val="nil"/>
              <w:left w:val="nil"/>
              <w:bottom w:val="single" w:sz="4" w:space="0" w:color="auto"/>
              <w:right w:val="single" w:sz="4" w:space="0" w:color="auto"/>
            </w:tcBorders>
            <w:vAlign w:val="center"/>
            <w:hideMark/>
          </w:tcPr>
          <w:p w14:paraId="5A2692D4" w14:textId="77777777" w:rsidR="002C206D" w:rsidRDefault="002C206D">
            <w:pPr>
              <w:spacing w:line="256" w:lineRule="auto"/>
              <w:rPr>
                <w:rFonts w:asciiTheme="minorHAnsi" w:hAnsiTheme="minorHAnsi" w:cstheme="minorHAnsi"/>
                <w:b/>
                <w:bCs/>
                <w:sz w:val="20"/>
                <w:lang w:val="en-US"/>
              </w:rPr>
            </w:pPr>
            <w:r>
              <w:rPr>
                <w:rFonts w:asciiTheme="minorHAnsi" w:hAnsiTheme="minorHAnsi" w:cstheme="minorHAnsi"/>
                <w:b/>
                <w:bCs/>
                <w:sz w:val="20"/>
                <w:lang w:val="en-US"/>
              </w:rPr>
              <w:t>CB</w:t>
            </w:r>
          </w:p>
        </w:tc>
        <w:tc>
          <w:tcPr>
            <w:tcW w:w="0" w:type="auto"/>
            <w:tcBorders>
              <w:top w:val="nil"/>
              <w:left w:val="nil"/>
              <w:bottom w:val="single" w:sz="4" w:space="0" w:color="auto"/>
              <w:right w:val="single" w:sz="4" w:space="0" w:color="auto"/>
            </w:tcBorders>
            <w:noWrap/>
            <w:vAlign w:val="bottom"/>
            <w:hideMark/>
          </w:tcPr>
          <w:p w14:paraId="14DBC16F"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182,774</w:t>
            </w:r>
          </w:p>
        </w:tc>
        <w:tc>
          <w:tcPr>
            <w:tcW w:w="0" w:type="auto"/>
            <w:tcBorders>
              <w:top w:val="nil"/>
              <w:left w:val="nil"/>
              <w:bottom w:val="single" w:sz="4" w:space="0" w:color="auto"/>
              <w:right w:val="single" w:sz="4" w:space="0" w:color="auto"/>
            </w:tcBorders>
            <w:noWrap/>
            <w:vAlign w:val="bottom"/>
            <w:hideMark/>
          </w:tcPr>
          <w:p w14:paraId="4D9880D0"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36,925</w:t>
            </w:r>
          </w:p>
        </w:tc>
        <w:tc>
          <w:tcPr>
            <w:tcW w:w="0" w:type="auto"/>
            <w:tcBorders>
              <w:top w:val="nil"/>
              <w:left w:val="nil"/>
              <w:bottom w:val="single" w:sz="4" w:space="0" w:color="auto"/>
              <w:right w:val="single" w:sz="4" w:space="0" w:color="auto"/>
            </w:tcBorders>
            <w:noWrap/>
            <w:vAlign w:val="bottom"/>
            <w:hideMark/>
          </w:tcPr>
          <w:p w14:paraId="6E927BF5"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124,171</w:t>
            </w:r>
          </w:p>
        </w:tc>
        <w:tc>
          <w:tcPr>
            <w:tcW w:w="0" w:type="auto"/>
            <w:tcBorders>
              <w:top w:val="nil"/>
              <w:left w:val="nil"/>
              <w:bottom w:val="single" w:sz="4" w:space="0" w:color="auto"/>
              <w:right w:val="single" w:sz="4" w:space="0" w:color="auto"/>
            </w:tcBorders>
            <w:noWrap/>
            <w:vAlign w:val="bottom"/>
            <w:hideMark/>
          </w:tcPr>
          <w:p w14:paraId="04AA6264"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25,085</w:t>
            </w:r>
          </w:p>
        </w:tc>
        <w:tc>
          <w:tcPr>
            <w:tcW w:w="0" w:type="auto"/>
            <w:tcBorders>
              <w:top w:val="nil"/>
              <w:left w:val="nil"/>
              <w:bottom w:val="single" w:sz="4" w:space="0" w:color="auto"/>
              <w:right w:val="single" w:sz="4" w:space="0" w:color="auto"/>
            </w:tcBorders>
            <w:noWrap/>
            <w:vAlign w:val="bottom"/>
            <w:hideMark/>
          </w:tcPr>
          <w:p w14:paraId="178D3786"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41,810</w:t>
            </w:r>
          </w:p>
        </w:tc>
        <w:tc>
          <w:tcPr>
            <w:tcW w:w="0" w:type="auto"/>
            <w:tcBorders>
              <w:top w:val="nil"/>
              <w:left w:val="nil"/>
              <w:bottom w:val="single" w:sz="4" w:space="0" w:color="auto"/>
              <w:right w:val="single" w:sz="4" w:space="0" w:color="auto"/>
            </w:tcBorders>
            <w:noWrap/>
            <w:vAlign w:val="bottom"/>
            <w:hideMark/>
          </w:tcPr>
          <w:p w14:paraId="1F97D511"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8,446</w:t>
            </w:r>
          </w:p>
        </w:tc>
        <w:tc>
          <w:tcPr>
            <w:tcW w:w="0" w:type="auto"/>
            <w:tcBorders>
              <w:top w:val="nil"/>
              <w:left w:val="nil"/>
              <w:bottom w:val="single" w:sz="4" w:space="0" w:color="auto"/>
              <w:right w:val="single" w:sz="4" w:space="0" w:color="auto"/>
            </w:tcBorders>
            <w:noWrap/>
            <w:vAlign w:val="bottom"/>
            <w:hideMark/>
          </w:tcPr>
          <w:p w14:paraId="1ED5A84C"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16,793</w:t>
            </w:r>
          </w:p>
        </w:tc>
        <w:tc>
          <w:tcPr>
            <w:tcW w:w="0" w:type="auto"/>
            <w:tcBorders>
              <w:top w:val="nil"/>
              <w:left w:val="nil"/>
              <w:bottom w:val="single" w:sz="4" w:space="0" w:color="auto"/>
              <w:right w:val="single" w:sz="4" w:space="0" w:color="auto"/>
            </w:tcBorders>
            <w:noWrap/>
            <w:vAlign w:val="bottom"/>
            <w:hideMark/>
          </w:tcPr>
          <w:p w14:paraId="05A62B27" w14:textId="77777777" w:rsidR="002C206D" w:rsidRDefault="002C206D">
            <w:pPr>
              <w:spacing w:line="256" w:lineRule="auto"/>
              <w:jc w:val="right"/>
              <w:rPr>
                <w:rFonts w:asciiTheme="minorHAnsi" w:hAnsiTheme="minorHAnsi" w:cstheme="minorHAnsi"/>
                <w:b/>
                <w:bCs/>
                <w:sz w:val="20"/>
                <w:lang w:val="en-US"/>
              </w:rPr>
            </w:pPr>
            <w:r>
              <w:rPr>
                <w:rFonts w:asciiTheme="minorHAnsi" w:hAnsiTheme="minorHAnsi" w:cstheme="minorHAnsi"/>
                <w:b/>
                <w:bCs/>
                <w:sz w:val="20"/>
                <w:lang w:val="en-US"/>
              </w:rPr>
              <w:t>3,394</w:t>
            </w:r>
          </w:p>
        </w:tc>
      </w:tr>
      <w:tr w:rsidR="002C206D" w14:paraId="0F346B2B" w14:textId="77777777" w:rsidTr="002C206D">
        <w:trPr>
          <w:trHeight w:val="30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63E8CB8B" w14:textId="77777777" w:rsidR="002C206D" w:rsidRDefault="002C206D">
            <w:pPr>
              <w:spacing w:line="256" w:lineRule="auto"/>
              <w:rPr>
                <w:rFonts w:asciiTheme="minorHAnsi" w:hAnsiTheme="minorHAnsi" w:cstheme="minorHAnsi"/>
                <w:sz w:val="20"/>
                <w:lang w:val="en-US"/>
              </w:rPr>
            </w:pPr>
            <w:proofErr w:type="spellStart"/>
            <w:r>
              <w:rPr>
                <w:rFonts w:asciiTheme="minorHAnsi" w:hAnsiTheme="minorHAnsi" w:cstheme="minorHAnsi"/>
                <w:sz w:val="20"/>
                <w:lang w:val="en-US"/>
              </w:rPr>
              <w:t>Cheltuieli</w:t>
            </w:r>
            <w:proofErr w:type="spellEnd"/>
            <w:r>
              <w:rPr>
                <w:rFonts w:asciiTheme="minorHAnsi" w:hAnsiTheme="minorHAnsi" w:cstheme="minorHAnsi"/>
                <w:sz w:val="20"/>
                <w:lang w:val="en-US"/>
              </w:rPr>
              <w:t xml:space="preserve"> de personal</w:t>
            </w:r>
          </w:p>
        </w:tc>
        <w:tc>
          <w:tcPr>
            <w:tcW w:w="0" w:type="auto"/>
            <w:tcBorders>
              <w:top w:val="nil"/>
              <w:left w:val="nil"/>
              <w:bottom w:val="single" w:sz="4" w:space="0" w:color="auto"/>
              <w:right w:val="single" w:sz="4" w:space="0" w:color="auto"/>
            </w:tcBorders>
            <w:vAlign w:val="center"/>
            <w:hideMark/>
          </w:tcPr>
          <w:p w14:paraId="74D577AC"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3C5CFC11"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105,560</w:t>
            </w:r>
          </w:p>
        </w:tc>
        <w:tc>
          <w:tcPr>
            <w:tcW w:w="0" w:type="auto"/>
            <w:tcBorders>
              <w:top w:val="nil"/>
              <w:left w:val="nil"/>
              <w:bottom w:val="single" w:sz="4" w:space="0" w:color="auto"/>
              <w:right w:val="single" w:sz="4" w:space="0" w:color="auto"/>
            </w:tcBorders>
            <w:noWrap/>
            <w:vAlign w:val="bottom"/>
            <w:hideMark/>
          </w:tcPr>
          <w:p w14:paraId="563EF84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21,326</w:t>
            </w:r>
          </w:p>
        </w:tc>
        <w:tc>
          <w:tcPr>
            <w:tcW w:w="0" w:type="auto"/>
            <w:tcBorders>
              <w:top w:val="nil"/>
              <w:left w:val="nil"/>
              <w:bottom w:val="single" w:sz="4" w:space="0" w:color="auto"/>
              <w:right w:val="single" w:sz="4" w:space="0" w:color="auto"/>
            </w:tcBorders>
            <w:noWrap/>
            <w:vAlign w:val="bottom"/>
            <w:hideMark/>
          </w:tcPr>
          <w:p w14:paraId="48C8CA43"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74,803</w:t>
            </w:r>
          </w:p>
        </w:tc>
        <w:tc>
          <w:tcPr>
            <w:tcW w:w="0" w:type="auto"/>
            <w:tcBorders>
              <w:top w:val="nil"/>
              <w:left w:val="nil"/>
              <w:bottom w:val="single" w:sz="4" w:space="0" w:color="auto"/>
              <w:right w:val="single" w:sz="4" w:space="0" w:color="auto"/>
            </w:tcBorders>
            <w:noWrap/>
            <w:vAlign w:val="bottom"/>
            <w:hideMark/>
          </w:tcPr>
          <w:p w14:paraId="5A0444D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15,112</w:t>
            </w:r>
          </w:p>
        </w:tc>
        <w:tc>
          <w:tcPr>
            <w:tcW w:w="0" w:type="auto"/>
            <w:tcBorders>
              <w:top w:val="nil"/>
              <w:left w:val="nil"/>
              <w:bottom w:val="single" w:sz="4" w:space="0" w:color="auto"/>
              <w:right w:val="single" w:sz="4" w:space="0" w:color="auto"/>
            </w:tcBorders>
            <w:noWrap/>
            <w:vAlign w:val="bottom"/>
            <w:hideMark/>
          </w:tcPr>
          <w:p w14:paraId="70D166B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20,680</w:t>
            </w:r>
          </w:p>
        </w:tc>
        <w:tc>
          <w:tcPr>
            <w:tcW w:w="0" w:type="auto"/>
            <w:tcBorders>
              <w:top w:val="nil"/>
              <w:left w:val="nil"/>
              <w:bottom w:val="single" w:sz="4" w:space="0" w:color="auto"/>
              <w:right w:val="single" w:sz="4" w:space="0" w:color="auto"/>
            </w:tcBorders>
            <w:noWrap/>
            <w:vAlign w:val="bottom"/>
            <w:hideMark/>
          </w:tcPr>
          <w:p w14:paraId="2C5E2AF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4,178</w:t>
            </w:r>
          </w:p>
        </w:tc>
        <w:tc>
          <w:tcPr>
            <w:tcW w:w="0" w:type="auto"/>
            <w:tcBorders>
              <w:top w:val="nil"/>
              <w:left w:val="nil"/>
              <w:bottom w:val="single" w:sz="4" w:space="0" w:color="auto"/>
              <w:right w:val="single" w:sz="4" w:space="0" w:color="auto"/>
            </w:tcBorders>
            <w:noWrap/>
            <w:vAlign w:val="bottom"/>
            <w:hideMark/>
          </w:tcPr>
          <w:p w14:paraId="33A2E6E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10,077</w:t>
            </w:r>
          </w:p>
        </w:tc>
        <w:tc>
          <w:tcPr>
            <w:tcW w:w="0" w:type="auto"/>
            <w:tcBorders>
              <w:top w:val="nil"/>
              <w:left w:val="nil"/>
              <w:bottom w:val="single" w:sz="4" w:space="0" w:color="auto"/>
              <w:right w:val="single" w:sz="4" w:space="0" w:color="auto"/>
            </w:tcBorders>
            <w:noWrap/>
            <w:vAlign w:val="bottom"/>
            <w:hideMark/>
          </w:tcPr>
          <w:p w14:paraId="0B81D77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2,036</w:t>
            </w:r>
          </w:p>
        </w:tc>
      </w:tr>
      <w:tr w:rsidR="002C206D" w14:paraId="6D4C8572"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69001028" w14:textId="77777777" w:rsidR="002C206D" w:rsidRDefault="002C206D">
            <w:pPr>
              <w:spacing w:line="256" w:lineRule="auto"/>
              <w:rPr>
                <w:rFonts w:asciiTheme="minorHAnsi" w:hAnsiTheme="minorHAnsi" w:cstheme="minorHAnsi"/>
                <w:sz w:val="20"/>
                <w:lang w:val="en-US"/>
              </w:rPr>
            </w:pPr>
          </w:p>
        </w:tc>
        <w:tc>
          <w:tcPr>
            <w:tcW w:w="0" w:type="auto"/>
            <w:tcBorders>
              <w:top w:val="nil"/>
              <w:left w:val="nil"/>
              <w:bottom w:val="single" w:sz="4" w:space="0" w:color="auto"/>
              <w:right w:val="single" w:sz="4" w:space="0" w:color="auto"/>
            </w:tcBorders>
            <w:vAlign w:val="center"/>
            <w:hideMark/>
          </w:tcPr>
          <w:p w14:paraId="4278CFEF"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2FCDD1E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105,560</w:t>
            </w:r>
          </w:p>
        </w:tc>
        <w:tc>
          <w:tcPr>
            <w:tcW w:w="0" w:type="auto"/>
            <w:tcBorders>
              <w:top w:val="nil"/>
              <w:left w:val="nil"/>
              <w:bottom w:val="single" w:sz="4" w:space="0" w:color="auto"/>
              <w:right w:val="single" w:sz="4" w:space="0" w:color="auto"/>
            </w:tcBorders>
            <w:noWrap/>
            <w:vAlign w:val="bottom"/>
            <w:hideMark/>
          </w:tcPr>
          <w:p w14:paraId="05FA48B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21,326</w:t>
            </w:r>
          </w:p>
        </w:tc>
        <w:tc>
          <w:tcPr>
            <w:tcW w:w="0" w:type="auto"/>
            <w:tcBorders>
              <w:top w:val="nil"/>
              <w:left w:val="nil"/>
              <w:bottom w:val="single" w:sz="4" w:space="0" w:color="auto"/>
              <w:right w:val="single" w:sz="4" w:space="0" w:color="auto"/>
            </w:tcBorders>
            <w:noWrap/>
            <w:vAlign w:val="bottom"/>
            <w:hideMark/>
          </w:tcPr>
          <w:p w14:paraId="6DC5288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74,803</w:t>
            </w:r>
          </w:p>
        </w:tc>
        <w:tc>
          <w:tcPr>
            <w:tcW w:w="0" w:type="auto"/>
            <w:tcBorders>
              <w:top w:val="nil"/>
              <w:left w:val="nil"/>
              <w:bottom w:val="single" w:sz="4" w:space="0" w:color="auto"/>
              <w:right w:val="single" w:sz="4" w:space="0" w:color="auto"/>
            </w:tcBorders>
            <w:noWrap/>
            <w:vAlign w:val="bottom"/>
            <w:hideMark/>
          </w:tcPr>
          <w:p w14:paraId="3FB0301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15,112</w:t>
            </w:r>
          </w:p>
        </w:tc>
        <w:tc>
          <w:tcPr>
            <w:tcW w:w="0" w:type="auto"/>
            <w:tcBorders>
              <w:top w:val="nil"/>
              <w:left w:val="nil"/>
              <w:bottom w:val="single" w:sz="4" w:space="0" w:color="auto"/>
              <w:right w:val="single" w:sz="4" w:space="0" w:color="auto"/>
            </w:tcBorders>
            <w:noWrap/>
            <w:vAlign w:val="bottom"/>
            <w:hideMark/>
          </w:tcPr>
          <w:p w14:paraId="653197A1"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20,680</w:t>
            </w:r>
          </w:p>
        </w:tc>
        <w:tc>
          <w:tcPr>
            <w:tcW w:w="0" w:type="auto"/>
            <w:tcBorders>
              <w:top w:val="nil"/>
              <w:left w:val="nil"/>
              <w:bottom w:val="single" w:sz="4" w:space="0" w:color="auto"/>
              <w:right w:val="single" w:sz="4" w:space="0" w:color="auto"/>
            </w:tcBorders>
            <w:noWrap/>
            <w:vAlign w:val="bottom"/>
            <w:hideMark/>
          </w:tcPr>
          <w:p w14:paraId="3A92DAF3"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4,178</w:t>
            </w:r>
          </w:p>
        </w:tc>
        <w:tc>
          <w:tcPr>
            <w:tcW w:w="0" w:type="auto"/>
            <w:tcBorders>
              <w:top w:val="nil"/>
              <w:left w:val="nil"/>
              <w:bottom w:val="single" w:sz="4" w:space="0" w:color="auto"/>
              <w:right w:val="single" w:sz="4" w:space="0" w:color="auto"/>
            </w:tcBorders>
            <w:noWrap/>
            <w:vAlign w:val="bottom"/>
            <w:hideMark/>
          </w:tcPr>
          <w:p w14:paraId="2EE65F7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10,077</w:t>
            </w:r>
          </w:p>
        </w:tc>
        <w:tc>
          <w:tcPr>
            <w:tcW w:w="0" w:type="auto"/>
            <w:tcBorders>
              <w:top w:val="nil"/>
              <w:left w:val="nil"/>
              <w:bottom w:val="single" w:sz="4" w:space="0" w:color="auto"/>
              <w:right w:val="single" w:sz="4" w:space="0" w:color="auto"/>
            </w:tcBorders>
            <w:noWrap/>
            <w:vAlign w:val="bottom"/>
            <w:hideMark/>
          </w:tcPr>
          <w:p w14:paraId="56EA15A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2,036</w:t>
            </w:r>
          </w:p>
        </w:tc>
      </w:tr>
      <w:tr w:rsidR="002C206D" w14:paraId="2BB0FA76" w14:textId="77777777" w:rsidTr="002C206D">
        <w:trPr>
          <w:trHeight w:val="30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2BA85CF4" w14:textId="77777777" w:rsidR="002C206D" w:rsidRDefault="002C206D">
            <w:pPr>
              <w:spacing w:line="256" w:lineRule="auto"/>
              <w:rPr>
                <w:rFonts w:asciiTheme="minorHAnsi" w:hAnsiTheme="minorHAnsi" w:cstheme="minorHAnsi"/>
                <w:sz w:val="20"/>
                <w:lang w:val="en-US"/>
              </w:rPr>
            </w:pPr>
            <w:proofErr w:type="spellStart"/>
            <w:r>
              <w:rPr>
                <w:rFonts w:asciiTheme="minorHAnsi" w:hAnsiTheme="minorHAnsi" w:cstheme="minorHAnsi"/>
                <w:sz w:val="20"/>
                <w:lang w:val="en-US"/>
              </w:rPr>
              <w:t>Bunuri</w:t>
            </w:r>
            <w:proofErr w:type="spellEnd"/>
            <w:r>
              <w:rPr>
                <w:rFonts w:asciiTheme="minorHAnsi" w:hAnsiTheme="minorHAnsi" w:cstheme="minorHAnsi"/>
                <w:sz w:val="20"/>
                <w:lang w:val="en-US"/>
              </w:rPr>
              <w:t xml:space="preserve"> </w:t>
            </w:r>
            <w:proofErr w:type="spellStart"/>
            <w:r>
              <w:rPr>
                <w:rFonts w:asciiTheme="minorHAnsi" w:hAnsiTheme="minorHAnsi" w:cstheme="minorHAnsi"/>
                <w:sz w:val="20"/>
                <w:lang w:val="en-US"/>
              </w:rPr>
              <w:t>și</w:t>
            </w:r>
            <w:proofErr w:type="spellEnd"/>
            <w:r>
              <w:rPr>
                <w:rFonts w:asciiTheme="minorHAnsi" w:hAnsiTheme="minorHAnsi" w:cstheme="minorHAnsi"/>
                <w:sz w:val="20"/>
                <w:lang w:val="en-US"/>
              </w:rPr>
              <w:t xml:space="preserve"> </w:t>
            </w:r>
            <w:proofErr w:type="spellStart"/>
            <w:r>
              <w:rPr>
                <w:rFonts w:asciiTheme="minorHAnsi" w:hAnsiTheme="minorHAnsi" w:cstheme="minorHAnsi"/>
                <w:sz w:val="20"/>
                <w:lang w:val="en-US"/>
              </w:rPr>
              <w:t>servicii</w:t>
            </w:r>
            <w:proofErr w:type="spellEnd"/>
          </w:p>
        </w:tc>
        <w:tc>
          <w:tcPr>
            <w:tcW w:w="0" w:type="auto"/>
            <w:tcBorders>
              <w:top w:val="nil"/>
              <w:left w:val="nil"/>
              <w:bottom w:val="single" w:sz="4" w:space="0" w:color="auto"/>
              <w:right w:val="single" w:sz="4" w:space="0" w:color="auto"/>
            </w:tcBorders>
            <w:vAlign w:val="center"/>
            <w:hideMark/>
          </w:tcPr>
          <w:p w14:paraId="7502BDE6"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053C28C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10,647</w:t>
            </w:r>
          </w:p>
        </w:tc>
        <w:tc>
          <w:tcPr>
            <w:tcW w:w="0" w:type="auto"/>
            <w:tcBorders>
              <w:top w:val="nil"/>
              <w:left w:val="nil"/>
              <w:bottom w:val="single" w:sz="4" w:space="0" w:color="auto"/>
              <w:right w:val="single" w:sz="4" w:space="0" w:color="auto"/>
            </w:tcBorders>
            <w:noWrap/>
            <w:vAlign w:val="bottom"/>
            <w:hideMark/>
          </w:tcPr>
          <w:p w14:paraId="6FF5167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2,151</w:t>
            </w:r>
          </w:p>
        </w:tc>
        <w:tc>
          <w:tcPr>
            <w:tcW w:w="0" w:type="auto"/>
            <w:tcBorders>
              <w:top w:val="nil"/>
              <w:left w:val="nil"/>
              <w:bottom w:val="single" w:sz="4" w:space="0" w:color="auto"/>
              <w:right w:val="single" w:sz="4" w:space="0" w:color="auto"/>
            </w:tcBorders>
            <w:noWrap/>
            <w:vAlign w:val="bottom"/>
            <w:hideMark/>
          </w:tcPr>
          <w:p w14:paraId="286B813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8,033</w:t>
            </w:r>
          </w:p>
        </w:tc>
        <w:tc>
          <w:tcPr>
            <w:tcW w:w="0" w:type="auto"/>
            <w:tcBorders>
              <w:top w:val="nil"/>
              <w:left w:val="nil"/>
              <w:bottom w:val="single" w:sz="4" w:space="0" w:color="auto"/>
              <w:right w:val="single" w:sz="4" w:space="0" w:color="auto"/>
            </w:tcBorders>
            <w:noWrap/>
            <w:vAlign w:val="bottom"/>
            <w:hideMark/>
          </w:tcPr>
          <w:p w14:paraId="3F49C90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1,623</w:t>
            </w:r>
          </w:p>
        </w:tc>
        <w:tc>
          <w:tcPr>
            <w:tcW w:w="0" w:type="auto"/>
            <w:tcBorders>
              <w:top w:val="nil"/>
              <w:left w:val="nil"/>
              <w:bottom w:val="single" w:sz="4" w:space="0" w:color="auto"/>
              <w:right w:val="single" w:sz="4" w:space="0" w:color="auto"/>
            </w:tcBorders>
            <w:noWrap/>
            <w:vAlign w:val="bottom"/>
            <w:hideMark/>
          </w:tcPr>
          <w:p w14:paraId="0CB17FB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2,175</w:t>
            </w:r>
          </w:p>
        </w:tc>
        <w:tc>
          <w:tcPr>
            <w:tcW w:w="0" w:type="auto"/>
            <w:tcBorders>
              <w:top w:val="nil"/>
              <w:left w:val="nil"/>
              <w:bottom w:val="single" w:sz="4" w:space="0" w:color="auto"/>
              <w:right w:val="single" w:sz="4" w:space="0" w:color="auto"/>
            </w:tcBorders>
            <w:noWrap/>
            <w:vAlign w:val="bottom"/>
            <w:hideMark/>
          </w:tcPr>
          <w:p w14:paraId="107D3A1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439</w:t>
            </w:r>
          </w:p>
        </w:tc>
        <w:tc>
          <w:tcPr>
            <w:tcW w:w="0" w:type="auto"/>
            <w:tcBorders>
              <w:top w:val="nil"/>
              <w:left w:val="nil"/>
              <w:bottom w:val="single" w:sz="4" w:space="0" w:color="auto"/>
              <w:right w:val="single" w:sz="4" w:space="0" w:color="auto"/>
            </w:tcBorders>
            <w:noWrap/>
            <w:vAlign w:val="bottom"/>
            <w:hideMark/>
          </w:tcPr>
          <w:p w14:paraId="2F2B51F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439</w:t>
            </w:r>
          </w:p>
        </w:tc>
        <w:tc>
          <w:tcPr>
            <w:tcW w:w="0" w:type="auto"/>
            <w:tcBorders>
              <w:top w:val="nil"/>
              <w:left w:val="nil"/>
              <w:bottom w:val="single" w:sz="4" w:space="0" w:color="auto"/>
              <w:right w:val="single" w:sz="4" w:space="0" w:color="auto"/>
            </w:tcBorders>
            <w:noWrap/>
            <w:vAlign w:val="bottom"/>
            <w:hideMark/>
          </w:tcPr>
          <w:p w14:paraId="2BF3312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89</w:t>
            </w:r>
          </w:p>
        </w:tc>
      </w:tr>
      <w:tr w:rsidR="002C206D" w14:paraId="24CE3D21" w14:textId="77777777" w:rsidTr="002C206D">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3F85462D" w14:textId="77777777" w:rsidR="002C206D" w:rsidRDefault="002C206D">
            <w:pPr>
              <w:spacing w:line="256" w:lineRule="auto"/>
              <w:rPr>
                <w:rFonts w:asciiTheme="minorHAnsi" w:hAnsiTheme="minorHAnsi" w:cstheme="minorHAnsi"/>
                <w:sz w:val="20"/>
                <w:lang w:val="en-US"/>
              </w:rPr>
            </w:pPr>
          </w:p>
        </w:tc>
        <w:tc>
          <w:tcPr>
            <w:tcW w:w="0" w:type="auto"/>
            <w:tcBorders>
              <w:top w:val="nil"/>
              <w:left w:val="nil"/>
              <w:bottom w:val="single" w:sz="4" w:space="0" w:color="auto"/>
              <w:right w:val="single" w:sz="4" w:space="0" w:color="auto"/>
            </w:tcBorders>
            <w:vAlign w:val="center"/>
            <w:hideMark/>
          </w:tcPr>
          <w:p w14:paraId="76E206DC"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582E0FF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10,647</w:t>
            </w:r>
          </w:p>
        </w:tc>
        <w:tc>
          <w:tcPr>
            <w:tcW w:w="0" w:type="auto"/>
            <w:tcBorders>
              <w:top w:val="nil"/>
              <w:left w:val="nil"/>
              <w:bottom w:val="single" w:sz="4" w:space="0" w:color="auto"/>
              <w:right w:val="single" w:sz="4" w:space="0" w:color="auto"/>
            </w:tcBorders>
            <w:noWrap/>
            <w:vAlign w:val="bottom"/>
            <w:hideMark/>
          </w:tcPr>
          <w:p w14:paraId="7A2691A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2,151</w:t>
            </w:r>
          </w:p>
        </w:tc>
        <w:tc>
          <w:tcPr>
            <w:tcW w:w="0" w:type="auto"/>
            <w:tcBorders>
              <w:top w:val="nil"/>
              <w:left w:val="nil"/>
              <w:bottom w:val="single" w:sz="4" w:space="0" w:color="auto"/>
              <w:right w:val="single" w:sz="4" w:space="0" w:color="auto"/>
            </w:tcBorders>
            <w:noWrap/>
            <w:vAlign w:val="bottom"/>
            <w:hideMark/>
          </w:tcPr>
          <w:p w14:paraId="34AE8C3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8,033</w:t>
            </w:r>
          </w:p>
        </w:tc>
        <w:tc>
          <w:tcPr>
            <w:tcW w:w="0" w:type="auto"/>
            <w:tcBorders>
              <w:top w:val="nil"/>
              <w:left w:val="nil"/>
              <w:bottom w:val="single" w:sz="4" w:space="0" w:color="auto"/>
              <w:right w:val="single" w:sz="4" w:space="0" w:color="auto"/>
            </w:tcBorders>
            <w:noWrap/>
            <w:vAlign w:val="bottom"/>
            <w:hideMark/>
          </w:tcPr>
          <w:p w14:paraId="2746A84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1,623</w:t>
            </w:r>
          </w:p>
        </w:tc>
        <w:tc>
          <w:tcPr>
            <w:tcW w:w="0" w:type="auto"/>
            <w:tcBorders>
              <w:top w:val="nil"/>
              <w:left w:val="nil"/>
              <w:bottom w:val="single" w:sz="4" w:space="0" w:color="auto"/>
              <w:right w:val="single" w:sz="4" w:space="0" w:color="auto"/>
            </w:tcBorders>
            <w:noWrap/>
            <w:vAlign w:val="bottom"/>
            <w:hideMark/>
          </w:tcPr>
          <w:p w14:paraId="5CB1598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2,175</w:t>
            </w:r>
          </w:p>
        </w:tc>
        <w:tc>
          <w:tcPr>
            <w:tcW w:w="0" w:type="auto"/>
            <w:tcBorders>
              <w:top w:val="nil"/>
              <w:left w:val="nil"/>
              <w:bottom w:val="single" w:sz="4" w:space="0" w:color="auto"/>
              <w:right w:val="single" w:sz="4" w:space="0" w:color="auto"/>
            </w:tcBorders>
            <w:noWrap/>
            <w:vAlign w:val="bottom"/>
            <w:hideMark/>
          </w:tcPr>
          <w:p w14:paraId="1AC50F7A"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439</w:t>
            </w:r>
          </w:p>
        </w:tc>
        <w:tc>
          <w:tcPr>
            <w:tcW w:w="0" w:type="auto"/>
            <w:tcBorders>
              <w:top w:val="nil"/>
              <w:left w:val="nil"/>
              <w:bottom w:val="single" w:sz="4" w:space="0" w:color="auto"/>
              <w:right w:val="single" w:sz="4" w:space="0" w:color="auto"/>
            </w:tcBorders>
            <w:noWrap/>
            <w:vAlign w:val="bottom"/>
            <w:hideMark/>
          </w:tcPr>
          <w:p w14:paraId="14EF76F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439</w:t>
            </w:r>
          </w:p>
        </w:tc>
        <w:tc>
          <w:tcPr>
            <w:tcW w:w="0" w:type="auto"/>
            <w:tcBorders>
              <w:top w:val="nil"/>
              <w:left w:val="nil"/>
              <w:bottom w:val="single" w:sz="4" w:space="0" w:color="auto"/>
              <w:right w:val="single" w:sz="4" w:space="0" w:color="auto"/>
            </w:tcBorders>
            <w:noWrap/>
            <w:vAlign w:val="bottom"/>
            <w:hideMark/>
          </w:tcPr>
          <w:p w14:paraId="41B3ABA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89</w:t>
            </w:r>
          </w:p>
        </w:tc>
      </w:tr>
      <w:tr w:rsidR="002C206D" w14:paraId="3E9A9AB0" w14:textId="77777777" w:rsidTr="002C206D">
        <w:trPr>
          <w:trHeight w:val="30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170BEBB0" w14:textId="77777777" w:rsidR="002C206D" w:rsidRDefault="002C206D">
            <w:pPr>
              <w:spacing w:line="256" w:lineRule="auto"/>
              <w:rPr>
                <w:rFonts w:asciiTheme="minorHAnsi" w:hAnsiTheme="minorHAnsi" w:cstheme="minorHAnsi"/>
                <w:sz w:val="20"/>
                <w:lang w:val="en-US"/>
              </w:rPr>
            </w:pPr>
            <w:proofErr w:type="spellStart"/>
            <w:r>
              <w:rPr>
                <w:rFonts w:asciiTheme="minorHAnsi" w:hAnsiTheme="minorHAnsi" w:cstheme="minorHAnsi"/>
                <w:sz w:val="20"/>
                <w:lang w:val="en-US"/>
              </w:rPr>
              <w:t>Transferuri</w:t>
            </w:r>
            <w:proofErr w:type="spellEnd"/>
          </w:p>
        </w:tc>
        <w:tc>
          <w:tcPr>
            <w:tcW w:w="0" w:type="auto"/>
            <w:tcBorders>
              <w:top w:val="nil"/>
              <w:left w:val="nil"/>
              <w:bottom w:val="single" w:sz="4" w:space="0" w:color="auto"/>
              <w:right w:val="single" w:sz="4" w:space="0" w:color="auto"/>
            </w:tcBorders>
            <w:vAlign w:val="center"/>
            <w:hideMark/>
          </w:tcPr>
          <w:p w14:paraId="3F5D8A77"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0295D4A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w:t>
            </w:r>
          </w:p>
        </w:tc>
        <w:tc>
          <w:tcPr>
            <w:tcW w:w="0" w:type="auto"/>
            <w:tcBorders>
              <w:top w:val="nil"/>
              <w:left w:val="nil"/>
              <w:bottom w:val="single" w:sz="4" w:space="0" w:color="auto"/>
              <w:right w:val="single" w:sz="4" w:space="0" w:color="auto"/>
            </w:tcBorders>
            <w:noWrap/>
            <w:vAlign w:val="bottom"/>
            <w:hideMark/>
          </w:tcPr>
          <w:p w14:paraId="490C6B01"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w:t>
            </w:r>
          </w:p>
        </w:tc>
        <w:tc>
          <w:tcPr>
            <w:tcW w:w="0" w:type="auto"/>
            <w:tcBorders>
              <w:top w:val="nil"/>
              <w:left w:val="nil"/>
              <w:bottom w:val="single" w:sz="4" w:space="0" w:color="auto"/>
              <w:right w:val="single" w:sz="4" w:space="0" w:color="auto"/>
            </w:tcBorders>
            <w:noWrap/>
            <w:vAlign w:val="bottom"/>
            <w:hideMark/>
          </w:tcPr>
          <w:p w14:paraId="7C71D8C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369581B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209D167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w:t>
            </w:r>
          </w:p>
        </w:tc>
        <w:tc>
          <w:tcPr>
            <w:tcW w:w="0" w:type="auto"/>
            <w:tcBorders>
              <w:top w:val="nil"/>
              <w:left w:val="nil"/>
              <w:bottom w:val="single" w:sz="4" w:space="0" w:color="auto"/>
              <w:right w:val="single" w:sz="4" w:space="0" w:color="auto"/>
            </w:tcBorders>
            <w:noWrap/>
            <w:vAlign w:val="bottom"/>
            <w:hideMark/>
          </w:tcPr>
          <w:p w14:paraId="4574227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w:t>
            </w:r>
          </w:p>
        </w:tc>
        <w:tc>
          <w:tcPr>
            <w:tcW w:w="0" w:type="auto"/>
            <w:tcBorders>
              <w:top w:val="nil"/>
              <w:left w:val="nil"/>
              <w:bottom w:val="single" w:sz="4" w:space="0" w:color="auto"/>
              <w:right w:val="single" w:sz="4" w:space="0" w:color="auto"/>
            </w:tcBorders>
            <w:noWrap/>
            <w:vAlign w:val="bottom"/>
            <w:hideMark/>
          </w:tcPr>
          <w:p w14:paraId="135BB28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3FDDE4A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r>
      <w:tr w:rsidR="002C206D" w14:paraId="0A033ECB"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4C2D239C" w14:textId="77777777" w:rsidR="002C206D" w:rsidRDefault="002C206D">
            <w:pPr>
              <w:spacing w:line="256" w:lineRule="auto"/>
              <w:rPr>
                <w:rFonts w:asciiTheme="minorHAnsi" w:hAnsiTheme="minorHAnsi" w:cstheme="minorHAnsi"/>
                <w:sz w:val="20"/>
                <w:lang w:val="en-US"/>
              </w:rPr>
            </w:pPr>
          </w:p>
        </w:tc>
        <w:tc>
          <w:tcPr>
            <w:tcW w:w="0" w:type="auto"/>
            <w:tcBorders>
              <w:top w:val="nil"/>
              <w:left w:val="nil"/>
              <w:bottom w:val="single" w:sz="4" w:space="0" w:color="auto"/>
              <w:right w:val="single" w:sz="4" w:space="0" w:color="auto"/>
            </w:tcBorders>
            <w:vAlign w:val="center"/>
            <w:hideMark/>
          </w:tcPr>
          <w:p w14:paraId="7ABBF10F"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171BC10A"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w:t>
            </w:r>
          </w:p>
        </w:tc>
        <w:tc>
          <w:tcPr>
            <w:tcW w:w="0" w:type="auto"/>
            <w:tcBorders>
              <w:top w:val="nil"/>
              <w:left w:val="nil"/>
              <w:bottom w:val="single" w:sz="4" w:space="0" w:color="auto"/>
              <w:right w:val="single" w:sz="4" w:space="0" w:color="auto"/>
            </w:tcBorders>
            <w:noWrap/>
            <w:vAlign w:val="bottom"/>
            <w:hideMark/>
          </w:tcPr>
          <w:p w14:paraId="1EC96863"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w:t>
            </w:r>
          </w:p>
        </w:tc>
        <w:tc>
          <w:tcPr>
            <w:tcW w:w="0" w:type="auto"/>
            <w:tcBorders>
              <w:top w:val="nil"/>
              <w:left w:val="nil"/>
              <w:bottom w:val="single" w:sz="4" w:space="0" w:color="auto"/>
              <w:right w:val="single" w:sz="4" w:space="0" w:color="auto"/>
            </w:tcBorders>
            <w:noWrap/>
            <w:vAlign w:val="bottom"/>
            <w:hideMark/>
          </w:tcPr>
          <w:p w14:paraId="2FB669F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040B237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3A5B2DD8"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w:t>
            </w:r>
          </w:p>
        </w:tc>
        <w:tc>
          <w:tcPr>
            <w:tcW w:w="0" w:type="auto"/>
            <w:tcBorders>
              <w:top w:val="nil"/>
              <w:left w:val="nil"/>
              <w:bottom w:val="single" w:sz="4" w:space="0" w:color="auto"/>
              <w:right w:val="single" w:sz="4" w:space="0" w:color="auto"/>
            </w:tcBorders>
            <w:noWrap/>
            <w:vAlign w:val="bottom"/>
            <w:hideMark/>
          </w:tcPr>
          <w:p w14:paraId="56FA8D1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w:t>
            </w:r>
          </w:p>
        </w:tc>
        <w:tc>
          <w:tcPr>
            <w:tcW w:w="0" w:type="auto"/>
            <w:tcBorders>
              <w:top w:val="nil"/>
              <w:left w:val="nil"/>
              <w:bottom w:val="single" w:sz="4" w:space="0" w:color="auto"/>
              <w:right w:val="single" w:sz="4" w:space="0" w:color="auto"/>
            </w:tcBorders>
            <w:noWrap/>
            <w:vAlign w:val="bottom"/>
            <w:hideMark/>
          </w:tcPr>
          <w:p w14:paraId="65045C9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7361CD0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r>
      <w:tr w:rsidR="002C206D" w14:paraId="0DBBD582" w14:textId="77777777" w:rsidTr="002C206D">
        <w:trPr>
          <w:trHeight w:val="30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398C9C88"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 xml:space="preserve">Alte </w:t>
            </w:r>
            <w:proofErr w:type="spellStart"/>
            <w:r>
              <w:rPr>
                <w:rFonts w:asciiTheme="minorHAnsi" w:hAnsiTheme="minorHAnsi" w:cstheme="minorHAnsi"/>
                <w:sz w:val="20"/>
                <w:lang w:val="en-US"/>
              </w:rPr>
              <w:t>transferuri</w:t>
            </w:r>
            <w:proofErr w:type="spellEnd"/>
          </w:p>
        </w:tc>
        <w:tc>
          <w:tcPr>
            <w:tcW w:w="0" w:type="auto"/>
            <w:tcBorders>
              <w:top w:val="nil"/>
              <w:left w:val="nil"/>
              <w:bottom w:val="single" w:sz="4" w:space="0" w:color="auto"/>
              <w:right w:val="single" w:sz="4" w:space="0" w:color="auto"/>
            </w:tcBorders>
            <w:vAlign w:val="center"/>
            <w:hideMark/>
          </w:tcPr>
          <w:p w14:paraId="625DDC61"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45DC605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51</w:t>
            </w:r>
          </w:p>
        </w:tc>
        <w:tc>
          <w:tcPr>
            <w:tcW w:w="0" w:type="auto"/>
            <w:tcBorders>
              <w:top w:val="nil"/>
              <w:left w:val="nil"/>
              <w:bottom w:val="single" w:sz="4" w:space="0" w:color="auto"/>
              <w:right w:val="single" w:sz="4" w:space="0" w:color="auto"/>
            </w:tcBorders>
            <w:noWrap/>
            <w:vAlign w:val="bottom"/>
            <w:hideMark/>
          </w:tcPr>
          <w:p w14:paraId="3267A63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w:t>
            </w:r>
          </w:p>
        </w:tc>
        <w:tc>
          <w:tcPr>
            <w:tcW w:w="0" w:type="auto"/>
            <w:tcBorders>
              <w:top w:val="nil"/>
              <w:left w:val="nil"/>
              <w:bottom w:val="single" w:sz="4" w:space="0" w:color="auto"/>
              <w:right w:val="single" w:sz="4" w:space="0" w:color="auto"/>
            </w:tcBorders>
            <w:noWrap/>
            <w:vAlign w:val="bottom"/>
            <w:hideMark/>
          </w:tcPr>
          <w:p w14:paraId="4D5F8A6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25</w:t>
            </w:r>
          </w:p>
        </w:tc>
        <w:tc>
          <w:tcPr>
            <w:tcW w:w="0" w:type="auto"/>
            <w:tcBorders>
              <w:top w:val="nil"/>
              <w:left w:val="nil"/>
              <w:bottom w:val="single" w:sz="4" w:space="0" w:color="auto"/>
              <w:right w:val="single" w:sz="4" w:space="0" w:color="auto"/>
            </w:tcBorders>
            <w:noWrap/>
            <w:vAlign w:val="bottom"/>
            <w:hideMark/>
          </w:tcPr>
          <w:p w14:paraId="654E75A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5</w:t>
            </w:r>
          </w:p>
        </w:tc>
        <w:tc>
          <w:tcPr>
            <w:tcW w:w="0" w:type="auto"/>
            <w:tcBorders>
              <w:top w:val="nil"/>
              <w:left w:val="nil"/>
              <w:bottom w:val="single" w:sz="4" w:space="0" w:color="auto"/>
              <w:right w:val="single" w:sz="4" w:space="0" w:color="auto"/>
            </w:tcBorders>
            <w:noWrap/>
            <w:vAlign w:val="bottom"/>
            <w:hideMark/>
          </w:tcPr>
          <w:p w14:paraId="0E0368E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26</w:t>
            </w:r>
          </w:p>
        </w:tc>
        <w:tc>
          <w:tcPr>
            <w:tcW w:w="0" w:type="auto"/>
            <w:tcBorders>
              <w:top w:val="nil"/>
              <w:left w:val="nil"/>
              <w:bottom w:val="single" w:sz="4" w:space="0" w:color="auto"/>
              <w:right w:val="single" w:sz="4" w:space="0" w:color="auto"/>
            </w:tcBorders>
            <w:noWrap/>
            <w:vAlign w:val="bottom"/>
            <w:hideMark/>
          </w:tcPr>
          <w:p w14:paraId="33DBF701"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5</w:t>
            </w:r>
          </w:p>
        </w:tc>
        <w:tc>
          <w:tcPr>
            <w:tcW w:w="0" w:type="auto"/>
            <w:tcBorders>
              <w:top w:val="nil"/>
              <w:left w:val="nil"/>
              <w:bottom w:val="single" w:sz="4" w:space="0" w:color="auto"/>
              <w:right w:val="single" w:sz="4" w:space="0" w:color="auto"/>
            </w:tcBorders>
            <w:noWrap/>
            <w:vAlign w:val="bottom"/>
            <w:hideMark/>
          </w:tcPr>
          <w:p w14:paraId="189FA4BA"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3F7F325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r>
      <w:tr w:rsidR="002C206D" w14:paraId="192E9DBC"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79FA86C8" w14:textId="77777777" w:rsidR="002C206D" w:rsidRDefault="002C206D">
            <w:pPr>
              <w:spacing w:line="256" w:lineRule="auto"/>
              <w:rPr>
                <w:rFonts w:asciiTheme="minorHAnsi" w:hAnsiTheme="minorHAnsi" w:cstheme="minorHAnsi"/>
                <w:sz w:val="20"/>
                <w:lang w:val="en-US"/>
              </w:rPr>
            </w:pPr>
          </w:p>
        </w:tc>
        <w:tc>
          <w:tcPr>
            <w:tcW w:w="0" w:type="auto"/>
            <w:tcBorders>
              <w:top w:val="nil"/>
              <w:left w:val="nil"/>
              <w:bottom w:val="single" w:sz="4" w:space="0" w:color="auto"/>
              <w:right w:val="single" w:sz="4" w:space="0" w:color="auto"/>
            </w:tcBorders>
            <w:vAlign w:val="center"/>
            <w:hideMark/>
          </w:tcPr>
          <w:p w14:paraId="1B11AD74"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10380C4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51</w:t>
            </w:r>
          </w:p>
        </w:tc>
        <w:tc>
          <w:tcPr>
            <w:tcW w:w="0" w:type="auto"/>
            <w:tcBorders>
              <w:top w:val="nil"/>
              <w:left w:val="nil"/>
              <w:bottom w:val="single" w:sz="4" w:space="0" w:color="auto"/>
              <w:right w:val="single" w:sz="4" w:space="0" w:color="auto"/>
            </w:tcBorders>
            <w:noWrap/>
            <w:vAlign w:val="bottom"/>
            <w:hideMark/>
          </w:tcPr>
          <w:p w14:paraId="513C41D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10</w:t>
            </w:r>
          </w:p>
        </w:tc>
        <w:tc>
          <w:tcPr>
            <w:tcW w:w="0" w:type="auto"/>
            <w:tcBorders>
              <w:top w:val="nil"/>
              <w:left w:val="nil"/>
              <w:bottom w:val="single" w:sz="4" w:space="0" w:color="auto"/>
              <w:right w:val="single" w:sz="4" w:space="0" w:color="auto"/>
            </w:tcBorders>
            <w:noWrap/>
            <w:vAlign w:val="bottom"/>
            <w:hideMark/>
          </w:tcPr>
          <w:p w14:paraId="0FB759A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25</w:t>
            </w:r>
          </w:p>
        </w:tc>
        <w:tc>
          <w:tcPr>
            <w:tcW w:w="0" w:type="auto"/>
            <w:tcBorders>
              <w:top w:val="nil"/>
              <w:left w:val="nil"/>
              <w:bottom w:val="single" w:sz="4" w:space="0" w:color="auto"/>
              <w:right w:val="single" w:sz="4" w:space="0" w:color="auto"/>
            </w:tcBorders>
            <w:noWrap/>
            <w:vAlign w:val="bottom"/>
            <w:hideMark/>
          </w:tcPr>
          <w:p w14:paraId="07F664F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5</w:t>
            </w:r>
          </w:p>
        </w:tc>
        <w:tc>
          <w:tcPr>
            <w:tcW w:w="0" w:type="auto"/>
            <w:tcBorders>
              <w:top w:val="nil"/>
              <w:left w:val="nil"/>
              <w:bottom w:val="single" w:sz="4" w:space="0" w:color="auto"/>
              <w:right w:val="single" w:sz="4" w:space="0" w:color="auto"/>
            </w:tcBorders>
            <w:noWrap/>
            <w:vAlign w:val="bottom"/>
            <w:hideMark/>
          </w:tcPr>
          <w:p w14:paraId="128CD5D1"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26</w:t>
            </w:r>
          </w:p>
        </w:tc>
        <w:tc>
          <w:tcPr>
            <w:tcW w:w="0" w:type="auto"/>
            <w:tcBorders>
              <w:top w:val="nil"/>
              <w:left w:val="nil"/>
              <w:bottom w:val="single" w:sz="4" w:space="0" w:color="auto"/>
              <w:right w:val="single" w:sz="4" w:space="0" w:color="auto"/>
            </w:tcBorders>
            <w:noWrap/>
            <w:vAlign w:val="bottom"/>
            <w:hideMark/>
          </w:tcPr>
          <w:p w14:paraId="3FF3643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5</w:t>
            </w:r>
          </w:p>
        </w:tc>
        <w:tc>
          <w:tcPr>
            <w:tcW w:w="0" w:type="auto"/>
            <w:tcBorders>
              <w:top w:val="nil"/>
              <w:left w:val="nil"/>
              <w:bottom w:val="single" w:sz="4" w:space="0" w:color="auto"/>
              <w:right w:val="single" w:sz="4" w:space="0" w:color="auto"/>
            </w:tcBorders>
            <w:noWrap/>
            <w:vAlign w:val="bottom"/>
            <w:hideMark/>
          </w:tcPr>
          <w:p w14:paraId="7758F2D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2A68FFE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r>
      <w:tr w:rsidR="002C206D" w14:paraId="2D3D35FA" w14:textId="77777777" w:rsidTr="002C206D">
        <w:trPr>
          <w:trHeight w:val="289"/>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2C65F417" w14:textId="77777777" w:rsidR="002C206D" w:rsidRDefault="002C206D">
            <w:pPr>
              <w:spacing w:line="256" w:lineRule="auto"/>
              <w:rPr>
                <w:rFonts w:asciiTheme="minorHAnsi" w:hAnsiTheme="minorHAnsi" w:cstheme="minorHAnsi"/>
                <w:sz w:val="20"/>
                <w:lang w:val="it-IT"/>
              </w:rPr>
            </w:pPr>
            <w:r>
              <w:rPr>
                <w:rFonts w:asciiTheme="minorHAnsi" w:hAnsiTheme="minorHAnsi" w:cstheme="minorHAnsi"/>
                <w:sz w:val="20"/>
                <w:lang w:val="it-IT"/>
              </w:rPr>
              <w:t>Proiecte cu finanțare din FEN postaderare</w:t>
            </w:r>
          </w:p>
        </w:tc>
        <w:tc>
          <w:tcPr>
            <w:tcW w:w="0" w:type="auto"/>
            <w:tcBorders>
              <w:top w:val="nil"/>
              <w:left w:val="nil"/>
              <w:bottom w:val="single" w:sz="4" w:space="0" w:color="auto"/>
              <w:right w:val="single" w:sz="4" w:space="0" w:color="auto"/>
            </w:tcBorders>
            <w:vAlign w:val="center"/>
            <w:hideMark/>
          </w:tcPr>
          <w:p w14:paraId="5E51D212"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03F4F3D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673AC61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54CE0B1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7F8B532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1F02FAE8"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50605F09"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1C2AC46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2FBE292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r>
      <w:tr w:rsidR="002C206D" w14:paraId="48B892C7"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204C80E1" w14:textId="77777777" w:rsidR="002C206D" w:rsidRDefault="002C206D">
            <w:pPr>
              <w:spacing w:line="256" w:lineRule="auto"/>
              <w:rPr>
                <w:rFonts w:asciiTheme="minorHAnsi" w:hAnsiTheme="minorHAnsi" w:cstheme="minorHAnsi"/>
                <w:sz w:val="20"/>
                <w:lang w:val="it-IT"/>
              </w:rPr>
            </w:pPr>
          </w:p>
        </w:tc>
        <w:tc>
          <w:tcPr>
            <w:tcW w:w="0" w:type="auto"/>
            <w:tcBorders>
              <w:top w:val="nil"/>
              <w:left w:val="nil"/>
              <w:bottom w:val="single" w:sz="4" w:space="0" w:color="auto"/>
              <w:right w:val="single" w:sz="4" w:space="0" w:color="auto"/>
            </w:tcBorders>
            <w:vAlign w:val="center"/>
            <w:hideMark/>
          </w:tcPr>
          <w:p w14:paraId="31F8EF09"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35F7080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60FCEE7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6255C60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0F9A5F6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304B6F2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58F3F87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2290E4F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c>
          <w:tcPr>
            <w:tcW w:w="0" w:type="auto"/>
            <w:tcBorders>
              <w:top w:val="nil"/>
              <w:left w:val="nil"/>
              <w:bottom w:val="single" w:sz="4" w:space="0" w:color="auto"/>
              <w:right w:val="single" w:sz="4" w:space="0" w:color="auto"/>
            </w:tcBorders>
            <w:noWrap/>
            <w:vAlign w:val="bottom"/>
            <w:hideMark/>
          </w:tcPr>
          <w:p w14:paraId="2BADE1B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0</w:t>
            </w:r>
          </w:p>
        </w:tc>
      </w:tr>
      <w:tr w:rsidR="002C206D" w14:paraId="64A88F76" w14:textId="77777777" w:rsidTr="002C206D">
        <w:trPr>
          <w:trHeight w:val="289"/>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6BE3B4B5" w14:textId="77777777" w:rsidR="002C206D" w:rsidRDefault="002C206D">
            <w:pPr>
              <w:spacing w:line="256" w:lineRule="auto"/>
              <w:rPr>
                <w:rFonts w:asciiTheme="minorHAnsi" w:hAnsiTheme="minorHAnsi" w:cstheme="minorHAnsi"/>
                <w:sz w:val="20"/>
                <w:lang w:val="it-IT"/>
              </w:rPr>
            </w:pPr>
            <w:r>
              <w:rPr>
                <w:rFonts w:asciiTheme="minorHAnsi" w:hAnsiTheme="minorHAnsi" w:cstheme="minorHAnsi"/>
                <w:sz w:val="20"/>
                <w:lang w:val="it-IT"/>
              </w:rPr>
              <w:t>Proiecte cu finanțare din FEN aferente cadrului financiar 2014-2020</w:t>
            </w:r>
          </w:p>
        </w:tc>
        <w:tc>
          <w:tcPr>
            <w:tcW w:w="0" w:type="auto"/>
            <w:tcBorders>
              <w:top w:val="nil"/>
              <w:left w:val="nil"/>
              <w:bottom w:val="single" w:sz="4" w:space="0" w:color="auto"/>
              <w:right w:val="single" w:sz="4" w:space="0" w:color="auto"/>
            </w:tcBorders>
            <w:vAlign w:val="center"/>
            <w:hideMark/>
          </w:tcPr>
          <w:p w14:paraId="19986A7C"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0739CBBA"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83,334</w:t>
            </w:r>
          </w:p>
        </w:tc>
        <w:tc>
          <w:tcPr>
            <w:tcW w:w="0" w:type="auto"/>
            <w:tcBorders>
              <w:top w:val="nil"/>
              <w:left w:val="nil"/>
              <w:bottom w:val="single" w:sz="4" w:space="0" w:color="auto"/>
              <w:right w:val="single" w:sz="4" w:space="0" w:color="auto"/>
            </w:tcBorders>
            <w:noWrap/>
            <w:vAlign w:val="bottom"/>
            <w:hideMark/>
          </w:tcPr>
          <w:p w14:paraId="4F494648"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16,834</w:t>
            </w:r>
          </w:p>
        </w:tc>
        <w:tc>
          <w:tcPr>
            <w:tcW w:w="0" w:type="auto"/>
            <w:tcBorders>
              <w:top w:val="nil"/>
              <w:left w:val="nil"/>
              <w:bottom w:val="single" w:sz="4" w:space="0" w:color="auto"/>
              <w:right w:val="single" w:sz="4" w:space="0" w:color="auto"/>
            </w:tcBorders>
            <w:noWrap/>
            <w:vAlign w:val="bottom"/>
            <w:hideMark/>
          </w:tcPr>
          <w:p w14:paraId="491A1C5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75,491</w:t>
            </w:r>
          </w:p>
        </w:tc>
        <w:tc>
          <w:tcPr>
            <w:tcW w:w="0" w:type="auto"/>
            <w:tcBorders>
              <w:top w:val="nil"/>
              <w:left w:val="nil"/>
              <w:bottom w:val="single" w:sz="4" w:space="0" w:color="auto"/>
              <w:right w:val="single" w:sz="4" w:space="0" w:color="auto"/>
            </w:tcBorders>
            <w:noWrap/>
            <w:vAlign w:val="bottom"/>
            <w:hideMark/>
          </w:tcPr>
          <w:p w14:paraId="09BDE37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15,250</w:t>
            </w:r>
          </w:p>
        </w:tc>
        <w:tc>
          <w:tcPr>
            <w:tcW w:w="0" w:type="auto"/>
            <w:tcBorders>
              <w:top w:val="nil"/>
              <w:left w:val="nil"/>
              <w:bottom w:val="single" w:sz="4" w:space="0" w:color="auto"/>
              <w:right w:val="single" w:sz="4" w:space="0" w:color="auto"/>
            </w:tcBorders>
            <w:noWrap/>
            <w:vAlign w:val="bottom"/>
            <w:hideMark/>
          </w:tcPr>
          <w:p w14:paraId="54CC060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3,056</w:t>
            </w:r>
          </w:p>
        </w:tc>
        <w:tc>
          <w:tcPr>
            <w:tcW w:w="0" w:type="auto"/>
            <w:tcBorders>
              <w:top w:val="nil"/>
              <w:left w:val="nil"/>
              <w:bottom w:val="single" w:sz="4" w:space="0" w:color="auto"/>
              <w:right w:val="single" w:sz="4" w:space="0" w:color="auto"/>
            </w:tcBorders>
            <w:noWrap/>
            <w:vAlign w:val="bottom"/>
            <w:hideMark/>
          </w:tcPr>
          <w:p w14:paraId="320F099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617</w:t>
            </w:r>
          </w:p>
        </w:tc>
        <w:tc>
          <w:tcPr>
            <w:tcW w:w="0" w:type="auto"/>
            <w:tcBorders>
              <w:top w:val="nil"/>
              <w:left w:val="nil"/>
              <w:bottom w:val="single" w:sz="4" w:space="0" w:color="auto"/>
              <w:right w:val="single" w:sz="4" w:space="0" w:color="auto"/>
            </w:tcBorders>
            <w:noWrap/>
            <w:vAlign w:val="bottom"/>
            <w:hideMark/>
          </w:tcPr>
          <w:p w14:paraId="05EEB1C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4,787</w:t>
            </w:r>
          </w:p>
        </w:tc>
        <w:tc>
          <w:tcPr>
            <w:tcW w:w="0" w:type="auto"/>
            <w:tcBorders>
              <w:top w:val="nil"/>
              <w:left w:val="nil"/>
              <w:bottom w:val="single" w:sz="4" w:space="0" w:color="auto"/>
              <w:right w:val="single" w:sz="4" w:space="0" w:color="auto"/>
            </w:tcBorders>
            <w:noWrap/>
            <w:vAlign w:val="bottom"/>
            <w:hideMark/>
          </w:tcPr>
          <w:p w14:paraId="3127F32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967</w:t>
            </w:r>
          </w:p>
        </w:tc>
      </w:tr>
      <w:tr w:rsidR="002C206D" w14:paraId="5CFCABB7" w14:textId="77777777" w:rsidTr="002C206D">
        <w:trPr>
          <w:trHeight w:val="630"/>
          <w:jc w:val="center"/>
        </w:trPr>
        <w:tc>
          <w:tcPr>
            <w:tcW w:w="0" w:type="auto"/>
            <w:vMerge/>
            <w:tcBorders>
              <w:top w:val="nil"/>
              <w:left w:val="single" w:sz="4" w:space="0" w:color="auto"/>
              <w:bottom w:val="single" w:sz="4" w:space="0" w:color="000000"/>
              <w:right w:val="single" w:sz="4" w:space="0" w:color="auto"/>
            </w:tcBorders>
            <w:vAlign w:val="center"/>
            <w:hideMark/>
          </w:tcPr>
          <w:p w14:paraId="31948FB7" w14:textId="77777777" w:rsidR="002C206D" w:rsidRDefault="002C206D">
            <w:pPr>
              <w:spacing w:line="256" w:lineRule="auto"/>
              <w:rPr>
                <w:rFonts w:asciiTheme="minorHAnsi" w:hAnsiTheme="minorHAnsi" w:cstheme="minorHAnsi"/>
                <w:sz w:val="20"/>
                <w:lang w:val="it-IT"/>
              </w:rPr>
            </w:pPr>
          </w:p>
        </w:tc>
        <w:tc>
          <w:tcPr>
            <w:tcW w:w="0" w:type="auto"/>
            <w:tcBorders>
              <w:top w:val="nil"/>
              <w:left w:val="nil"/>
              <w:bottom w:val="single" w:sz="4" w:space="0" w:color="auto"/>
              <w:right w:val="single" w:sz="4" w:space="0" w:color="auto"/>
            </w:tcBorders>
            <w:vAlign w:val="center"/>
            <w:hideMark/>
          </w:tcPr>
          <w:p w14:paraId="2B5A1DE6"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3B39BFC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48,016</w:t>
            </w:r>
          </w:p>
        </w:tc>
        <w:tc>
          <w:tcPr>
            <w:tcW w:w="0" w:type="auto"/>
            <w:tcBorders>
              <w:top w:val="nil"/>
              <w:left w:val="nil"/>
              <w:bottom w:val="single" w:sz="4" w:space="0" w:color="auto"/>
              <w:right w:val="single" w:sz="4" w:space="0" w:color="auto"/>
            </w:tcBorders>
            <w:noWrap/>
            <w:vAlign w:val="bottom"/>
            <w:hideMark/>
          </w:tcPr>
          <w:p w14:paraId="317FB44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9,700</w:t>
            </w:r>
          </w:p>
        </w:tc>
        <w:tc>
          <w:tcPr>
            <w:tcW w:w="0" w:type="auto"/>
            <w:tcBorders>
              <w:top w:val="nil"/>
              <w:left w:val="nil"/>
              <w:bottom w:val="single" w:sz="4" w:space="0" w:color="auto"/>
              <w:right w:val="single" w:sz="4" w:space="0" w:color="auto"/>
            </w:tcBorders>
            <w:noWrap/>
            <w:vAlign w:val="bottom"/>
            <w:hideMark/>
          </w:tcPr>
          <w:p w14:paraId="0B33BFF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40,188</w:t>
            </w:r>
          </w:p>
        </w:tc>
        <w:tc>
          <w:tcPr>
            <w:tcW w:w="0" w:type="auto"/>
            <w:tcBorders>
              <w:top w:val="nil"/>
              <w:left w:val="nil"/>
              <w:bottom w:val="single" w:sz="4" w:space="0" w:color="auto"/>
              <w:right w:val="single" w:sz="4" w:space="0" w:color="auto"/>
            </w:tcBorders>
            <w:noWrap/>
            <w:vAlign w:val="bottom"/>
            <w:hideMark/>
          </w:tcPr>
          <w:p w14:paraId="5B592F9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8,118</w:t>
            </w:r>
          </w:p>
        </w:tc>
        <w:tc>
          <w:tcPr>
            <w:tcW w:w="0" w:type="auto"/>
            <w:tcBorders>
              <w:top w:val="nil"/>
              <w:left w:val="nil"/>
              <w:bottom w:val="single" w:sz="4" w:space="0" w:color="auto"/>
              <w:right w:val="single" w:sz="4" w:space="0" w:color="auto"/>
            </w:tcBorders>
            <w:noWrap/>
            <w:vAlign w:val="bottom"/>
            <w:hideMark/>
          </w:tcPr>
          <w:p w14:paraId="0783962A"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4,805</w:t>
            </w:r>
          </w:p>
        </w:tc>
        <w:tc>
          <w:tcPr>
            <w:tcW w:w="0" w:type="auto"/>
            <w:tcBorders>
              <w:top w:val="nil"/>
              <w:left w:val="nil"/>
              <w:bottom w:val="single" w:sz="4" w:space="0" w:color="auto"/>
              <w:right w:val="single" w:sz="4" w:space="0" w:color="auto"/>
            </w:tcBorders>
            <w:noWrap/>
            <w:vAlign w:val="bottom"/>
            <w:hideMark/>
          </w:tcPr>
          <w:p w14:paraId="5E2488B8"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971</w:t>
            </w:r>
          </w:p>
        </w:tc>
        <w:tc>
          <w:tcPr>
            <w:tcW w:w="0" w:type="auto"/>
            <w:tcBorders>
              <w:top w:val="nil"/>
              <w:left w:val="nil"/>
              <w:bottom w:val="single" w:sz="4" w:space="0" w:color="auto"/>
              <w:right w:val="single" w:sz="4" w:space="0" w:color="auto"/>
            </w:tcBorders>
            <w:noWrap/>
            <w:vAlign w:val="bottom"/>
            <w:hideMark/>
          </w:tcPr>
          <w:p w14:paraId="3A9DF54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3,023</w:t>
            </w:r>
          </w:p>
        </w:tc>
        <w:tc>
          <w:tcPr>
            <w:tcW w:w="0" w:type="auto"/>
            <w:tcBorders>
              <w:top w:val="nil"/>
              <w:left w:val="nil"/>
              <w:bottom w:val="single" w:sz="4" w:space="0" w:color="auto"/>
              <w:right w:val="single" w:sz="4" w:space="0" w:color="auto"/>
            </w:tcBorders>
            <w:noWrap/>
            <w:vAlign w:val="bottom"/>
            <w:hideMark/>
          </w:tcPr>
          <w:p w14:paraId="58D776F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611</w:t>
            </w:r>
          </w:p>
        </w:tc>
      </w:tr>
      <w:tr w:rsidR="002C206D" w14:paraId="1FCC4381" w14:textId="77777777" w:rsidTr="002C206D">
        <w:trPr>
          <w:trHeight w:val="30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64546338"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 xml:space="preserve">Alte </w:t>
            </w:r>
            <w:proofErr w:type="spellStart"/>
            <w:r>
              <w:rPr>
                <w:rFonts w:asciiTheme="minorHAnsi" w:hAnsiTheme="minorHAnsi" w:cstheme="minorHAnsi"/>
                <w:sz w:val="20"/>
                <w:lang w:val="en-US"/>
              </w:rPr>
              <w:t>cheltuieli</w:t>
            </w:r>
            <w:proofErr w:type="spellEnd"/>
          </w:p>
        </w:tc>
        <w:tc>
          <w:tcPr>
            <w:tcW w:w="0" w:type="auto"/>
            <w:tcBorders>
              <w:top w:val="nil"/>
              <w:left w:val="nil"/>
              <w:bottom w:val="single" w:sz="4" w:space="0" w:color="auto"/>
              <w:right w:val="single" w:sz="4" w:space="0" w:color="auto"/>
            </w:tcBorders>
            <w:vAlign w:val="center"/>
            <w:hideMark/>
          </w:tcPr>
          <w:p w14:paraId="146F5016"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0D600F5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17,910</w:t>
            </w:r>
          </w:p>
        </w:tc>
        <w:tc>
          <w:tcPr>
            <w:tcW w:w="0" w:type="auto"/>
            <w:tcBorders>
              <w:top w:val="nil"/>
              <w:left w:val="nil"/>
              <w:bottom w:val="single" w:sz="4" w:space="0" w:color="auto"/>
              <w:right w:val="single" w:sz="4" w:space="0" w:color="auto"/>
            </w:tcBorders>
            <w:noWrap/>
            <w:vAlign w:val="bottom"/>
            <w:hideMark/>
          </w:tcPr>
          <w:p w14:paraId="3938808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3,619</w:t>
            </w:r>
          </w:p>
        </w:tc>
        <w:tc>
          <w:tcPr>
            <w:tcW w:w="0" w:type="auto"/>
            <w:tcBorders>
              <w:top w:val="nil"/>
              <w:left w:val="nil"/>
              <w:bottom w:val="single" w:sz="4" w:space="0" w:color="auto"/>
              <w:right w:val="single" w:sz="4" w:space="0" w:color="auto"/>
            </w:tcBorders>
            <w:noWrap/>
            <w:vAlign w:val="bottom"/>
            <w:hideMark/>
          </w:tcPr>
          <w:p w14:paraId="47A7765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777</w:t>
            </w:r>
          </w:p>
        </w:tc>
        <w:tc>
          <w:tcPr>
            <w:tcW w:w="0" w:type="auto"/>
            <w:tcBorders>
              <w:top w:val="nil"/>
              <w:left w:val="nil"/>
              <w:bottom w:val="single" w:sz="4" w:space="0" w:color="auto"/>
              <w:right w:val="single" w:sz="4" w:space="0" w:color="auto"/>
            </w:tcBorders>
            <w:noWrap/>
            <w:vAlign w:val="bottom"/>
            <w:hideMark/>
          </w:tcPr>
          <w:p w14:paraId="7E72A889"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157</w:t>
            </w:r>
          </w:p>
        </w:tc>
        <w:tc>
          <w:tcPr>
            <w:tcW w:w="0" w:type="auto"/>
            <w:tcBorders>
              <w:top w:val="nil"/>
              <w:left w:val="nil"/>
              <w:bottom w:val="single" w:sz="4" w:space="0" w:color="auto"/>
              <w:right w:val="single" w:sz="4" w:space="0" w:color="auto"/>
            </w:tcBorders>
            <w:noWrap/>
            <w:vAlign w:val="bottom"/>
            <w:hideMark/>
          </w:tcPr>
          <w:p w14:paraId="0FB888E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14,036</w:t>
            </w:r>
          </w:p>
        </w:tc>
        <w:tc>
          <w:tcPr>
            <w:tcW w:w="0" w:type="auto"/>
            <w:tcBorders>
              <w:top w:val="nil"/>
              <w:left w:val="nil"/>
              <w:bottom w:val="single" w:sz="4" w:space="0" w:color="auto"/>
              <w:right w:val="single" w:sz="4" w:space="0" w:color="auto"/>
            </w:tcBorders>
            <w:noWrap/>
            <w:vAlign w:val="bottom"/>
            <w:hideMark/>
          </w:tcPr>
          <w:p w14:paraId="3569E15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2,836</w:t>
            </w:r>
          </w:p>
        </w:tc>
        <w:tc>
          <w:tcPr>
            <w:tcW w:w="0" w:type="auto"/>
            <w:tcBorders>
              <w:top w:val="nil"/>
              <w:left w:val="nil"/>
              <w:bottom w:val="single" w:sz="4" w:space="0" w:color="auto"/>
              <w:right w:val="single" w:sz="4" w:space="0" w:color="auto"/>
            </w:tcBorders>
            <w:noWrap/>
            <w:vAlign w:val="bottom"/>
            <w:hideMark/>
          </w:tcPr>
          <w:p w14:paraId="39F76A8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3,097</w:t>
            </w:r>
          </w:p>
        </w:tc>
        <w:tc>
          <w:tcPr>
            <w:tcW w:w="0" w:type="auto"/>
            <w:tcBorders>
              <w:top w:val="nil"/>
              <w:left w:val="nil"/>
              <w:bottom w:val="single" w:sz="4" w:space="0" w:color="auto"/>
              <w:right w:val="single" w:sz="4" w:space="0" w:color="auto"/>
            </w:tcBorders>
            <w:noWrap/>
            <w:vAlign w:val="bottom"/>
            <w:hideMark/>
          </w:tcPr>
          <w:p w14:paraId="63BE8A4B"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626</w:t>
            </w:r>
          </w:p>
        </w:tc>
      </w:tr>
      <w:tr w:rsidR="002C206D" w14:paraId="2FF4CC63"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7A4660AF" w14:textId="77777777" w:rsidR="002C206D" w:rsidRDefault="002C206D">
            <w:pPr>
              <w:spacing w:line="256" w:lineRule="auto"/>
              <w:rPr>
                <w:rFonts w:asciiTheme="minorHAnsi" w:hAnsiTheme="minorHAnsi" w:cstheme="minorHAnsi"/>
                <w:sz w:val="20"/>
                <w:lang w:val="en-US"/>
              </w:rPr>
            </w:pPr>
          </w:p>
        </w:tc>
        <w:tc>
          <w:tcPr>
            <w:tcW w:w="0" w:type="auto"/>
            <w:tcBorders>
              <w:top w:val="nil"/>
              <w:left w:val="nil"/>
              <w:bottom w:val="single" w:sz="4" w:space="0" w:color="auto"/>
              <w:right w:val="single" w:sz="4" w:space="0" w:color="auto"/>
            </w:tcBorders>
            <w:vAlign w:val="center"/>
            <w:hideMark/>
          </w:tcPr>
          <w:p w14:paraId="78F81BF2"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6155153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17,824</w:t>
            </w:r>
          </w:p>
        </w:tc>
        <w:tc>
          <w:tcPr>
            <w:tcW w:w="0" w:type="auto"/>
            <w:tcBorders>
              <w:top w:val="nil"/>
              <w:left w:val="nil"/>
              <w:bottom w:val="single" w:sz="4" w:space="0" w:color="auto"/>
              <w:right w:val="single" w:sz="4" w:space="0" w:color="auto"/>
            </w:tcBorders>
            <w:noWrap/>
            <w:vAlign w:val="bottom"/>
            <w:hideMark/>
          </w:tcPr>
          <w:p w14:paraId="181BB40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3,601</w:t>
            </w:r>
          </w:p>
        </w:tc>
        <w:tc>
          <w:tcPr>
            <w:tcW w:w="0" w:type="auto"/>
            <w:tcBorders>
              <w:top w:val="nil"/>
              <w:left w:val="nil"/>
              <w:bottom w:val="single" w:sz="4" w:space="0" w:color="auto"/>
              <w:right w:val="single" w:sz="4" w:space="0" w:color="auto"/>
            </w:tcBorders>
            <w:noWrap/>
            <w:vAlign w:val="bottom"/>
            <w:hideMark/>
          </w:tcPr>
          <w:p w14:paraId="79D62A3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777</w:t>
            </w:r>
          </w:p>
        </w:tc>
        <w:tc>
          <w:tcPr>
            <w:tcW w:w="0" w:type="auto"/>
            <w:tcBorders>
              <w:top w:val="nil"/>
              <w:left w:val="nil"/>
              <w:bottom w:val="single" w:sz="4" w:space="0" w:color="auto"/>
              <w:right w:val="single" w:sz="4" w:space="0" w:color="auto"/>
            </w:tcBorders>
            <w:noWrap/>
            <w:vAlign w:val="bottom"/>
            <w:hideMark/>
          </w:tcPr>
          <w:p w14:paraId="281F3AC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157</w:t>
            </w:r>
          </w:p>
        </w:tc>
        <w:tc>
          <w:tcPr>
            <w:tcW w:w="0" w:type="auto"/>
            <w:tcBorders>
              <w:top w:val="nil"/>
              <w:left w:val="nil"/>
              <w:bottom w:val="single" w:sz="4" w:space="0" w:color="auto"/>
              <w:right w:val="single" w:sz="4" w:space="0" w:color="auto"/>
            </w:tcBorders>
            <w:noWrap/>
            <w:vAlign w:val="bottom"/>
            <w:hideMark/>
          </w:tcPr>
          <w:p w14:paraId="511DDAC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13,950</w:t>
            </w:r>
          </w:p>
        </w:tc>
        <w:tc>
          <w:tcPr>
            <w:tcW w:w="0" w:type="auto"/>
            <w:tcBorders>
              <w:top w:val="nil"/>
              <w:left w:val="nil"/>
              <w:bottom w:val="single" w:sz="4" w:space="0" w:color="auto"/>
              <w:right w:val="single" w:sz="4" w:space="0" w:color="auto"/>
            </w:tcBorders>
            <w:noWrap/>
            <w:vAlign w:val="bottom"/>
            <w:hideMark/>
          </w:tcPr>
          <w:p w14:paraId="015FB86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2,818</w:t>
            </w:r>
          </w:p>
        </w:tc>
        <w:tc>
          <w:tcPr>
            <w:tcW w:w="0" w:type="auto"/>
            <w:tcBorders>
              <w:top w:val="nil"/>
              <w:left w:val="nil"/>
              <w:bottom w:val="single" w:sz="4" w:space="0" w:color="auto"/>
              <w:right w:val="single" w:sz="4" w:space="0" w:color="auto"/>
            </w:tcBorders>
            <w:noWrap/>
            <w:vAlign w:val="bottom"/>
            <w:hideMark/>
          </w:tcPr>
          <w:p w14:paraId="5031F74C"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3,097</w:t>
            </w:r>
          </w:p>
        </w:tc>
        <w:tc>
          <w:tcPr>
            <w:tcW w:w="0" w:type="auto"/>
            <w:tcBorders>
              <w:top w:val="nil"/>
              <w:left w:val="nil"/>
              <w:bottom w:val="single" w:sz="4" w:space="0" w:color="auto"/>
              <w:right w:val="single" w:sz="4" w:space="0" w:color="auto"/>
            </w:tcBorders>
            <w:noWrap/>
            <w:vAlign w:val="bottom"/>
            <w:hideMark/>
          </w:tcPr>
          <w:p w14:paraId="27E8FB13"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626</w:t>
            </w:r>
          </w:p>
        </w:tc>
      </w:tr>
      <w:tr w:rsidR="002C206D" w14:paraId="17423699" w14:textId="77777777" w:rsidTr="002C206D">
        <w:trPr>
          <w:trHeight w:val="780"/>
          <w:jc w:val="center"/>
        </w:trPr>
        <w:tc>
          <w:tcPr>
            <w:tcW w:w="0" w:type="auto"/>
            <w:vMerge w:val="restart"/>
            <w:tcBorders>
              <w:top w:val="nil"/>
              <w:left w:val="single" w:sz="4" w:space="0" w:color="auto"/>
              <w:bottom w:val="single" w:sz="4" w:space="0" w:color="000000"/>
              <w:right w:val="single" w:sz="4" w:space="0" w:color="auto"/>
            </w:tcBorders>
            <w:vAlign w:val="center"/>
            <w:hideMark/>
          </w:tcPr>
          <w:p w14:paraId="5D51CC8D" w14:textId="77777777" w:rsidR="002C206D" w:rsidRDefault="002C206D">
            <w:pPr>
              <w:spacing w:line="256" w:lineRule="auto"/>
              <w:rPr>
                <w:rFonts w:asciiTheme="minorHAnsi" w:hAnsiTheme="minorHAnsi" w:cstheme="minorHAnsi"/>
                <w:sz w:val="20"/>
                <w:lang w:val="en-US"/>
              </w:rPr>
            </w:pPr>
            <w:proofErr w:type="spellStart"/>
            <w:r>
              <w:rPr>
                <w:rFonts w:asciiTheme="minorHAnsi" w:hAnsiTheme="minorHAnsi" w:cstheme="minorHAnsi"/>
                <w:sz w:val="20"/>
                <w:lang w:val="en-US"/>
              </w:rPr>
              <w:t>Cheltuieli</w:t>
            </w:r>
            <w:proofErr w:type="spellEnd"/>
            <w:r>
              <w:rPr>
                <w:rFonts w:asciiTheme="minorHAnsi" w:hAnsiTheme="minorHAnsi" w:cstheme="minorHAnsi"/>
                <w:sz w:val="20"/>
                <w:lang w:val="en-US"/>
              </w:rPr>
              <w:t xml:space="preserve"> de capital</w:t>
            </w:r>
          </w:p>
        </w:tc>
        <w:tc>
          <w:tcPr>
            <w:tcW w:w="0" w:type="auto"/>
            <w:tcBorders>
              <w:top w:val="nil"/>
              <w:left w:val="nil"/>
              <w:bottom w:val="single" w:sz="4" w:space="0" w:color="auto"/>
              <w:right w:val="single" w:sz="4" w:space="0" w:color="auto"/>
            </w:tcBorders>
            <w:vAlign w:val="center"/>
            <w:hideMark/>
          </w:tcPr>
          <w:p w14:paraId="26212E37"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CA</w:t>
            </w:r>
          </w:p>
        </w:tc>
        <w:tc>
          <w:tcPr>
            <w:tcW w:w="0" w:type="auto"/>
            <w:tcBorders>
              <w:top w:val="nil"/>
              <w:left w:val="nil"/>
              <w:bottom w:val="single" w:sz="4" w:space="0" w:color="auto"/>
              <w:right w:val="single" w:sz="4" w:space="0" w:color="auto"/>
            </w:tcBorders>
            <w:noWrap/>
            <w:vAlign w:val="bottom"/>
            <w:hideMark/>
          </w:tcPr>
          <w:p w14:paraId="61F6CA8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670</w:t>
            </w:r>
          </w:p>
        </w:tc>
        <w:tc>
          <w:tcPr>
            <w:tcW w:w="0" w:type="auto"/>
            <w:tcBorders>
              <w:top w:val="nil"/>
              <w:left w:val="nil"/>
              <w:bottom w:val="single" w:sz="4" w:space="0" w:color="auto"/>
              <w:right w:val="single" w:sz="4" w:space="0" w:color="auto"/>
            </w:tcBorders>
            <w:noWrap/>
            <w:vAlign w:val="bottom"/>
            <w:hideMark/>
          </w:tcPr>
          <w:p w14:paraId="53C448A6"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136</w:t>
            </w:r>
          </w:p>
        </w:tc>
        <w:tc>
          <w:tcPr>
            <w:tcW w:w="0" w:type="auto"/>
            <w:tcBorders>
              <w:top w:val="nil"/>
              <w:left w:val="nil"/>
              <w:bottom w:val="single" w:sz="4" w:space="0" w:color="auto"/>
              <w:right w:val="single" w:sz="4" w:space="0" w:color="auto"/>
            </w:tcBorders>
            <w:noWrap/>
            <w:vAlign w:val="bottom"/>
            <w:hideMark/>
          </w:tcPr>
          <w:p w14:paraId="2C23FD92"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345</w:t>
            </w:r>
          </w:p>
        </w:tc>
        <w:tc>
          <w:tcPr>
            <w:tcW w:w="0" w:type="auto"/>
            <w:tcBorders>
              <w:top w:val="nil"/>
              <w:left w:val="nil"/>
              <w:bottom w:val="single" w:sz="4" w:space="0" w:color="auto"/>
              <w:right w:val="single" w:sz="4" w:space="0" w:color="auto"/>
            </w:tcBorders>
            <w:noWrap/>
            <w:vAlign w:val="bottom"/>
            <w:hideMark/>
          </w:tcPr>
          <w:p w14:paraId="7BC387C7"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70</w:t>
            </w:r>
          </w:p>
        </w:tc>
        <w:tc>
          <w:tcPr>
            <w:tcW w:w="0" w:type="auto"/>
            <w:tcBorders>
              <w:top w:val="nil"/>
              <w:left w:val="nil"/>
              <w:bottom w:val="single" w:sz="4" w:space="0" w:color="auto"/>
              <w:right w:val="single" w:sz="4" w:space="0" w:color="auto"/>
            </w:tcBorders>
            <w:noWrap/>
            <w:vAlign w:val="bottom"/>
            <w:hideMark/>
          </w:tcPr>
          <w:p w14:paraId="173CD0E9"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168</w:t>
            </w:r>
          </w:p>
        </w:tc>
        <w:tc>
          <w:tcPr>
            <w:tcW w:w="0" w:type="auto"/>
            <w:tcBorders>
              <w:top w:val="nil"/>
              <w:left w:val="nil"/>
              <w:bottom w:val="single" w:sz="4" w:space="0" w:color="auto"/>
              <w:right w:val="single" w:sz="4" w:space="0" w:color="auto"/>
            </w:tcBorders>
            <w:noWrap/>
            <w:vAlign w:val="bottom"/>
            <w:hideMark/>
          </w:tcPr>
          <w:p w14:paraId="1327389D"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34</w:t>
            </w:r>
          </w:p>
        </w:tc>
        <w:tc>
          <w:tcPr>
            <w:tcW w:w="0" w:type="auto"/>
            <w:tcBorders>
              <w:top w:val="nil"/>
              <w:left w:val="nil"/>
              <w:bottom w:val="single" w:sz="4" w:space="0" w:color="auto"/>
              <w:right w:val="single" w:sz="4" w:space="0" w:color="auto"/>
            </w:tcBorders>
            <w:noWrap/>
            <w:vAlign w:val="bottom"/>
            <w:hideMark/>
          </w:tcPr>
          <w:p w14:paraId="62B39AD3"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157</w:t>
            </w:r>
          </w:p>
        </w:tc>
        <w:tc>
          <w:tcPr>
            <w:tcW w:w="0" w:type="auto"/>
            <w:tcBorders>
              <w:top w:val="nil"/>
              <w:left w:val="nil"/>
              <w:bottom w:val="single" w:sz="4" w:space="0" w:color="auto"/>
              <w:right w:val="single" w:sz="4" w:space="0" w:color="auto"/>
            </w:tcBorders>
            <w:noWrap/>
            <w:vAlign w:val="bottom"/>
            <w:hideMark/>
          </w:tcPr>
          <w:p w14:paraId="1F478EE9"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32</w:t>
            </w:r>
          </w:p>
        </w:tc>
      </w:tr>
      <w:tr w:rsidR="002C206D" w14:paraId="32C9542C" w14:textId="77777777" w:rsidTr="002C206D">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623536AA" w14:textId="77777777" w:rsidR="002C206D" w:rsidRDefault="002C206D">
            <w:pPr>
              <w:spacing w:line="256" w:lineRule="auto"/>
              <w:rPr>
                <w:rFonts w:asciiTheme="minorHAnsi" w:hAnsiTheme="minorHAnsi" w:cstheme="minorHAnsi"/>
                <w:sz w:val="20"/>
                <w:lang w:val="en-US"/>
              </w:rPr>
            </w:pPr>
          </w:p>
        </w:tc>
        <w:tc>
          <w:tcPr>
            <w:tcW w:w="0" w:type="auto"/>
            <w:tcBorders>
              <w:top w:val="nil"/>
              <w:left w:val="nil"/>
              <w:bottom w:val="single" w:sz="4" w:space="0" w:color="auto"/>
              <w:right w:val="single" w:sz="4" w:space="0" w:color="auto"/>
            </w:tcBorders>
            <w:noWrap/>
            <w:vAlign w:val="bottom"/>
            <w:hideMark/>
          </w:tcPr>
          <w:p w14:paraId="2E7F029B" w14:textId="77777777" w:rsidR="002C206D" w:rsidRDefault="002C206D">
            <w:pPr>
              <w:spacing w:line="256" w:lineRule="auto"/>
              <w:rPr>
                <w:rFonts w:asciiTheme="minorHAnsi" w:hAnsiTheme="minorHAnsi" w:cstheme="minorHAnsi"/>
                <w:sz w:val="20"/>
                <w:lang w:val="en-US"/>
              </w:rPr>
            </w:pPr>
            <w:r>
              <w:rPr>
                <w:rFonts w:asciiTheme="minorHAnsi" w:hAnsiTheme="minorHAnsi" w:cstheme="minorHAnsi"/>
                <w:sz w:val="20"/>
                <w:lang w:val="en-US"/>
              </w:rPr>
              <w:t>CB</w:t>
            </w:r>
          </w:p>
        </w:tc>
        <w:tc>
          <w:tcPr>
            <w:tcW w:w="0" w:type="auto"/>
            <w:tcBorders>
              <w:top w:val="nil"/>
              <w:left w:val="nil"/>
              <w:bottom w:val="single" w:sz="4" w:space="0" w:color="auto"/>
              <w:right w:val="single" w:sz="4" w:space="0" w:color="auto"/>
            </w:tcBorders>
            <w:noWrap/>
            <w:vAlign w:val="bottom"/>
            <w:hideMark/>
          </w:tcPr>
          <w:p w14:paraId="5993CEE5"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670</w:t>
            </w:r>
          </w:p>
        </w:tc>
        <w:tc>
          <w:tcPr>
            <w:tcW w:w="0" w:type="auto"/>
            <w:tcBorders>
              <w:top w:val="nil"/>
              <w:left w:val="nil"/>
              <w:bottom w:val="single" w:sz="4" w:space="0" w:color="auto"/>
              <w:right w:val="single" w:sz="4" w:space="0" w:color="auto"/>
            </w:tcBorders>
            <w:noWrap/>
            <w:vAlign w:val="bottom"/>
            <w:hideMark/>
          </w:tcPr>
          <w:p w14:paraId="16751830"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136</w:t>
            </w:r>
          </w:p>
        </w:tc>
        <w:tc>
          <w:tcPr>
            <w:tcW w:w="0" w:type="auto"/>
            <w:tcBorders>
              <w:top w:val="nil"/>
              <w:left w:val="nil"/>
              <w:bottom w:val="single" w:sz="4" w:space="0" w:color="auto"/>
              <w:right w:val="single" w:sz="4" w:space="0" w:color="auto"/>
            </w:tcBorders>
            <w:noWrap/>
            <w:vAlign w:val="bottom"/>
            <w:hideMark/>
          </w:tcPr>
          <w:p w14:paraId="252D999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345</w:t>
            </w:r>
          </w:p>
        </w:tc>
        <w:tc>
          <w:tcPr>
            <w:tcW w:w="0" w:type="auto"/>
            <w:tcBorders>
              <w:top w:val="nil"/>
              <w:left w:val="nil"/>
              <w:bottom w:val="single" w:sz="4" w:space="0" w:color="auto"/>
              <w:right w:val="single" w:sz="4" w:space="0" w:color="auto"/>
            </w:tcBorders>
            <w:noWrap/>
            <w:vAlign w:val="bottom"/>
            <w:hideMark/>
          </w:tcPr>
          <w:p w14:paraId="616B145E"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70</w:t>
            </w:r>
          </w:p>
        </w:tc>
        <w:tc>
          <w:tcPr>
            <w:tcW w:w="0" w:type="auto"/>
            <w:tcBorders>
              <w:top w:val="nil"/>
              <w:left w:val="nil"/>
              <w:bottom w:val="single" w:sz="4" w:space="0" w:color="auto"/>
              <w:right w:val="single" w:sz="4" w:space="0" w:color="auto"/>
            </w:tcBorders>
            <w:noWrap/>
            <w:vAlign w:val="bottom"/>
            <w:hideMark/>
          </w:tcPr>
          <w:p w14:paraId="63F94F69"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168</w:t>
            </w:r>
          </w:p>
        </w:tc>
        <w:tc>
          <w:tcPr>
            <w:tcW w:w="0" w:type="auto"/>
            <w:tcBorders>
              <w:top w:val="nil"/>
              <w:left w:val="nil"/>
              <w:bottom w:val="single" w:sz="4" w:space="0" w:color="auto"/>
              <w:right w:val="single" w:sz="4" w:space="0" w:color="auto"/>
            </w:tcBorders>
            <w:noWrap/>
            <w:vAlign w:val="bottom"/>
            <w:hideMark/>
          </w:tcPr>
          <w:p w14:paraId="6E68533F"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34</w:t>
            </w:r>
          </w:p>
        </w:tc>
        <w:tc>
          <w:tcPr>
            <w:tcW w:w="0" w:type="auto"/>
            <w:tcBorders>
              <w:top w:val="nil"/>
              <w:left w:val="nil"/>
              <w:bottom w:val="single" w:sz="4" w:space="0" w:color="auto"/>
              <w:right w:val="single" w:sz="4" w:space="0" w:color="auto"/>
            </w:tcBorders>
            <w:noWrap/>
            <w:vAlign w:val="bottom"/>
            <w:hideMark/>
          </w:tcPr>
          <w:p w14:paraId="334E8B81"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157</w:t>
            </w:r>
          </w:p>
        </w:tc>
        <w:tc>
          <w:tcPr>
            <w:tcW w:w="0" w:type="auto"/>
            <w:tcBorders>
              <w:top w:val="nil"/>
              <w:left w:val="nil"/>
              <w:bottom w:val="single" w:sz="4" w:space="0" w:color="auto"/>
              <w:right w:val="single" w:sz="4" w:space="0" w:color="auto"/>
            </w:tcBorders>
            <w:noWrap/>
            <w:vAlign w:val="bottom"/>
            <w:hideMark/>
          </w:tcPr>
          <w:p w14:paraId="674A91D4" w14:textId="77777777" w:rsidR="002C206D" w:rsidRDefault="002C206D">
            <w:pPr>
              <w:spacing w:line="256" w:lineRule="auto"/>
              <w:jc w:val="right"/>
              <w:rPr>
                <w:rFonts w:asciiTheme="minorHAnsi" w:hAnsiTheme="minorHAnsi" w:cstheme="minorHAnsi"/>
                <w:sz w:val="20"/>
                <w:lang w:val="en-US"/>
              </w:rPr>
            </w:pPr>
            <w:r>
              <w:rPr>
                <w:rFonts w:asciiTheme="minorHAnsi" w:hAnsiTheme="minorHAnsi" w:cstheme="minorHAnsi"/>
                <w:sz w:val="20"/>
                <w:lang w:val="en-US"/>
              </w:rPr>
              <w:t>32</w:t>
            </w:r>
          </w:p>
        </w:tc>
      </w:tr>
    </w:tbl>
    <w:p w14:paraId="70AEF3DF" w14:textId="77777777" w:rsidR="002C206D" w:rsidRDefault="002C206D" w:rsidP="002C206D">
      <w:pPr>
        <w:jc w:val="center"/>
        <w:rPr>
          <w:rFonts w:asciiTheme="minorHAnsi" w:eastAsia="SimSun" w:hAnsiTheme="minorHAnsi" w:cstheme="minorHAnsi"/>
          <w:b/>
          <w:bCs/>
          <w:sz w:val="26"/>
          <w:szCs w:val="26"/>
          <w:lang w:eastAsia="zh-CN"/>
        </w:rPr>
      </w:pPr>
    </w:p>
    <w:p w14:paraId="02CEB4B1" w14:textId="77777777" w:rsidR="002C206D" w:rsidRDefault="002C206D" w:rsidP="002C206D">
      <w:pPr>
        <w:keepNext/>
        <w:ind w:right="-2"/>
        <w:jc w:val="right"/>
        <w:rPr>
          <w:rFonts w:asciiTheme="minorHAnsi" w:hAnsiTheme="minorHAnsi" w:cstheme="minorHAnsi"/>
          <w:b/>
          <w:sz w:val="26"/>
          <w:szCs w:val="26"/>
        </w:rPr>
      </w:pPr>
      <w:bookmarkStart w:id="121" w:name="_Hlk117362286"/>
      <w:r>
        <w:rPr>
          <w:rFonts w:asciiTheme="minorHAnsi" w:hAnsiTheme="minorHAnsi" w:cstheme="minorHAnsi"/>
          <w:b/>
          <w:sz w:val="26"/>
          <w:szCs w:val="26"/>
        </w:rPr>
        <w:t>mii lei/euro</w:t>
      </w:r>
      <w:bookmarkEnd w:id="121"/>
    </w:p>
    <w:tbl>
      <w:tblPr>
        <w:tblW w:w="10350" w:type="dxa"/>
        <w:tblLayout w:type="fixed"/>
        <w:tblLook w:val="04A0" w:firstRow="1" w:lastRow="0" w:firstColumn="1" w:lastColumn="0" w:noHBand="0" w:noVBand="1"/>
      </w:tblPr>
      <w:tblGrid>
        <w:gridCol w:w="1197"/>
        <w:gridCol w:w="490"/>
        <w:gridCol w:w="948"/>
        <w:gridCol w:w="766"/>
        <w:gridCol w:w="989"/>
        <w:gridCol w:w="851"/>
        <w:gridCol w:w="839"/>
        <w:gridCol w:w="864"/>
        <w:gridCol w:w="983"/>
        <w:gridCol w:w="767"/>
        <w:gridCol w:w="805"/>
        <w:gridCol w:w="851"/>
      </w:tblGrid>
      <w:tr w:rsidR="002C206D" w:rsidRPr="009201C8" w14:paraId="09B1D047" w14:textId="77777777" w:rsidTr="009201C8">
        <w:trPr>
          <w:trHeight w:val="384"/>
        </w:trPr>
        <w:tc>
          <w:tcPr>
            <w:tcW w:w="1197" w:type="dxa"/>
            <w:tcBorders>
              <w:top w:val="single" w:sz="4" w:space="0" w:color="auto"/>
              <w:left w:val="single" w:sz="4" w:space="0" w:color="auto"/>
              <w:bottom w:val="single" w:sz="4" w:space="0" w:color="auto"/>
              <w:right w:val="single" w:sz="4" w:space="0" w:color="auto"/>
            </w:tcBorders>
            <w:shd w:val="clear" w:color="auto" w:fill="DBDBDB"/>
            <w:vAlign w:val="center"/>
            <w:hideMark/>
          </w:tcPr>
          <w:p w14:paraId="4EF69562" w14:textId="77777777" w:rsidR="002C206D" w:rsidRPr="009201C8" w:rsidRDefault="002C206D">
            <w:pPr>
              <w:spacing w:line="256" w:lineRule="auto"/>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ANUL 2023</w:t>
            </w:r>
          </w:p>
        </w:tc>
        <w:tc>
          <w:tcPr>
            <w:tcW w:w="491" w:type="dxa"/>
            <w:tcBorders>
              <w:top w:val="single" w:sz="4" w:space="0" w:color="auto"/>
              <w:left w:val="nil"/>
              <w:bottom w:val="single" w:sz="4" w:space="0" w:color="auto"/>
              <w:right w:val="single" w:sz="4" w:space="0" w:color="auto"/>
            </w:tcBorders>
            <w:shd w:val="clear" w:color="auto" w:fill="D9D9D9"/>
            <w:vAlign w:val="center"/>
            <w:hideMark/>
          </w:tcPr>
          <w:p w14:paraId="64CDBB73" w14:textId="77777777" w:rsidR="002C206D" w:rsidRPr="009201C8" w:rsidRDefault="002C206D">
            <w:pPr>
              <w:spacing w:line="256" w:lineRule="auto"/>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 </w:t>
            </w:r>
          </w:p>
        </w:tc>
        <w:tc>
          <w:tcPr>
            <w:tcW w:w="1714" w:type="dxa"/>
            <w:gridSpan w:val="2"/>
            <w:tcBorders>
              <w:top w:val="single" w:sz="4" w:space="0" w:color="auto"/>
              <w:left w:val="nil"/>
              <w:bottom w:val="single" w:sz="4" w:space="0" w:color="auto"/>
              <w:right w:val="single" w:sz="4" w:space="0" w:color="auto"/>
            </w:tcBorders>
            <w:shd w:val="clear" w:color="auto" w:fill="D9D9D9"/>
            <w:noWrap/>
            <w:vAlign w:val="bottom"/>
            <w:hideMark/>
          </w:tcPr>
          <w:p w14:paraId="439D1C5E"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TOTAL</w:t>
            </w:r>
          </w:p>
        </w:tc>
        <w:tc>
          <w:tcPr>
            <w:tcW w:w="1838" w:type="dxa"/>
            <w:gridSpan w:val="2"/>
            <w:tcBorders>
              <w:top w:val="single" w:sz="4" w:space="0" w:color="auto"/>
              <w:left w:val="nil"/>
              <w:bottom w:val="single" w:sz="4" w:space="0" w:color="auto"/>
              <w:right w:val="single" w:sz="4" w:space="0" w:color="auto"/>
            </w:tcBorders>
            <w:shd w:val="clear" w:color="auto" w:fill="D9D9D9"/>
            <w:noWrap/>
            <w:vAlign w:val="bottom"/>
            <w:hideMark/>
          </w:tcPr>
          <w:p w14:paraId="7D562A12"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CSM APARAT PROPRIU</w:t>
            </w:r>
          </w:p>
        </w:tc>
        <w:tc>
          <w:tcPr>
            <w:tcW w:w="1701" w:type="dxa"/>
            <w:gridSpan w:val="2"/>
            <w:tcBorders>
              <w:top w:val="single" w:sz="4" w:space="0" w:color="auto"/>
              <w:left w:val="nil"/>
              <w:bottom w:val="single" w:sz="4" w:space="0" w:color="auto"/>
              <w:right w:val="single" w:sz="4" w:space="0" w:color="auto"/>
            </w:tcBorders>
            <w:shd w:val="clear" w:color="auto" w:fill="D9D9D9"/>
            <w:noWrap/>
            <w:vAlign w:val="bottom"/>
            <w:hideMark/>
          </w:tcPr>
          <w:p w14:paraId="6D98F244"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INSPECTIA JUDICIARA</w:t>
            </w:r>
          </w:p>
        </w:tc>
        <w:tc>
          <w:tcPr>
            <w:tcW w:w="1748" w:type="dxa"/>
            <w:gridSpan w:val="2"/>
            <w:tcBorders>
              <w:top w:val="single" w:sz="4" w:space="0" w:color="auto"/>
              <w:left w:val="nil"/>
              <w:bottom w:val="single" w:sz="4" w:space="0" w:color="auto"/>
              <w:right w:val="single" w:sz="4" w:space="0" w:color="auto"/>
            </w:tcBorders>
            <w:shd w:val="clear" w:color="auto" w:fill="D9D9D9"/>
            <w:noWrap/>
            <w:vAlign w:val="bottom"/>
            <w:hideMark/>
          </w:tcPr>
          <w:p w14:paraId="1F93131D"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INM</w:t>
            </w:r>
          </w:p>
        </w:tc>
        <w:tc>
          <w:tcPr>
            <w:tcW w:w="1654" w:type="dxa"/>
            <w:gridSpan w:val="2"/>
            <w:tcBorders>
              <w:top w:val="single" w:sz="4" w:space="0" w:color="auto"/>
              <w:left w:val="nil"/>
              <w:bottom w:val="single" w:sz="4" w:space="0" w:color="auto"/>
              <w:right w:val="single" w:sz="4" w:space="0" w:color="auto"/>
            </w:tcBorders>
            <w:shd w:val="clear" w:color="auto" w:fill="D9D9D9"/>
            <w:noWrap/>
            <w:vAlign w:val="bottom"/>
            <w:hideMark/>
          </w:tcPr>
          <w:p w14:paraId="6851157A"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SNG</w:t>
            </w:r>
          </w:p>
        </w:tc>
      </w:tr>
      <w:tr w:rsidR="002C206D" w:rsidRPr="009201C8" w14:paraId="2DF73448" w14:textId="77777777" w:rsidTr="002C206D">
        <w:trPr>
          <w:trHeight w:val="300"/>
        </w:trPr>
        <w:tc>
          <w:tcPr>
            <w:tcW w:w="1197" w:type="dxa"/>
            <w:tcBorders>
              <w:top w:val="nil"/>
              <w:left w:val="single" w:sz="4" w:space="0" w:color="auto"/>
              <w:bottom w:val="single" w:sz="4" w:space="0" w:color="auto"/>
              <w:right w:val="single" w:sz="4" w:space="0" w:color="auto"/>
            </w:tcBorders>
            <w:shd w:val="clear" w:color="auto" w:fill="D9D9D9"/>
            <w:vAlign w:val="center"/>
            <w:hideMark/>
          </w:tcPr>
          <w:p w14:paraId="058FD6F0" w14:textId="77777777" w:rsidR="002C206D" w:rsidRPr="009201C8" w:rsidRDefault="002C206D">
            <w:pPr>
              <w:spacing w:line="256" w:lineRule="auto"/>
              <w:rPr>
                <w:rFonts w:asciiTheme="minorHAnsi" w:hAnsiTheme="minorHAnsi" w:cstheme="minorHAnsi"/>
                <w:b/>
                <w:bCs/>
                <w:color w:val="000000"/>
                <w:sz w:val="20"/>
                <w:lang w:val="en-US"/>
              </w:rPr>
            </w:pPr>
            <w:proofErr w:type="gramStart"/>
            <w:r w:rsidRPr="009201C8">
              <w:rPr>
                <w:rFonts w:asciiTheme="minorHAnsi" w:hAnsiTheme="minorHAnsi" w:cstheme="minorHAnsi"/>
                <w:b/>
                <w:bCs/>
                <w:color w:val="000000"/>
                <w:sz w:val="20"/>
                <w:lang w:val="en-US"/>
              </w:rPr>
              <w:t>BUGET  CSM</w:t>
            </w:r>
            <w:proofErr w:type="gramEnd"/>
          </w:p>
        </w:tc>
        <w:tc>
          <w:tcPr>
            <w:tcW w:w="491" w:type="dxa"/>
            <w:tcBorders>
              <w:top w:val="nil"/>
              <w:left w:val="nil"/>
              <w:bottom w:val="single" w:sz="4" w:space="0" w:color="auto"/>
              <w:right w:val="single" w:sz="4" w:space="0" w:color="auto"/>
            </w:tcBorders>
            <w:shd w:val="clear" w:color="auto" w:fill="D9D9D9"/>
            <w:vAlign w:val="bottom"/>
            <w:hideMark/>
          </w:tcPr>
          <w:p w14:paraId="7A356FEE"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 </w:t>
            </w:r>
          </w:p>
        </w:tc>
        <w:tc>
          <w:tcPr>
            <w:tcW w:w="948" w:type="dxa"/>
            <w:tcBorders>
              <w:top w:val="nil"/>
              <w:left w:val="nil"/>
              <w:bottom w:val="single" w:sz="4" w:space="0" w:color="auto"/>
              <w:right w:val="single" w:sz="4" w:space="0" w:color="auto"/>
            </w:tcBorders>
            <w:shd w:val="clear" w:color="auto" w:fill="D9D9D9"/>
            <w:noWrap/>
            <w:vAlign w:val="bottom"/>
            <w:hideMark/>
          </w:tcPr>
          <w:p w14:paraId="6F13E6E2"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LEI</w:t>
            </w:r>
          </w:p>
        </w:tc>
        <w:tc>
          <w:tcPr>
            <w:tcW w:w="766" w:type="dxa"/>
            <w:tcBorders>
              <w:top w:val="nil"/>
              <w:left w:val="nil"/>
              <w:bottom w:val="single" w:sz="4" w:space="0" w:color="auto"/>
              <w:right w:val="single" w:sz="4" w:space="0" w:color="auto"/>
            </w:tcBorders>
            <w:shd w:val="clear" w:color="auto" w:fill="D9D9D9"/>
            <w:noWrap/>
            <w:vAlign w:val="bottom"/>
            <w:hideMark/>
          </w:tcPr>
          <w:p w14:paraId="698D5BD1"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EURO</w:t>
            </w:r>
          </w:p>
        </w:tc>
        <w:tc>
          <w:tcPr>
            <w:tcW w:w="988" w:type="dxa"/>
            <w:tcBorders>
              <w:top w:val="nil"/>
              <w:left w:val="nil"/>
              <w:bottom w:val="single" w:sz="4" w:space="0" w:color="auto"/>
              <w:right w:val="single" w:sz="4" w:space="0" w:color="auto"/>
            </w:tcBorders>
            <w:shd w:val="clear" w:color="auto" w:fill="D9D9D9"/>
            <w:noWrap/>
            <w:vAlign w:val="bottom"/>
            <w:hideMark/>
          </w:tcPr>
          <w:p w14:paraId="6F085A88"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LEI</w:t>
            </w:r>
          </w:p>
        </w:tc>
        <w:tc>
          <w:tcPr>
            <w:tcW w:w="850" w:type="dxa"/>
            <w:tcBorders>
              <w:top w:val="nil"/>
              <w:left w:val="nil"/>
              <w:bottom w:val="single" w:sz="4" w:space="0" w:color="auto"/>
              <w:right w:val="single" w:sz="4" w:space="0" w:color="auto"/>
            </w:tcBorders>
            <w:shd w:val="clear" w:color="auto" w:fill="D9D9D9"/>
            <w:noWrap/>
            <w:vAlign w:val="bottom"/>
            <w:hideMark/>
          </w:tcPr>
          <w:p w14:paraId="2E860C0B"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EURO</w:t>
            </w:r>
          </w:p>
        </w:tc>
        <w:tc>
          <w:tcPr>
            <w:tcW w:w="838" w:type="dxa"/>
            <w:tcBorders>
              <w:top w:val="nil"/>
              <w:left w:val="nil"/>
              <w:bottom w:val="single" w:sz="4" w:space="0" w:color="auto"/>
              <w:right w:val="single" w:sz="4" w:space="0" w:color="auto"/>
            </w:tcBorders>
            <w:shd w:val="clear" w:color="auto" w:fill="D9D9D9"/>
            <w:noWrap/>
            <w:vAlign w:val="bottom"/>
            <w:hideMark/>
          </w:tcPr>
          <w:p w14:paraId="6788C68E"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 </w:t>
            </w:r>
          </w:p>
        </w:tc>
        <w:tc>
          <w:tcPr>
            <w:tcW w:w="863" w:type="dxa"/>
            <w:tcBorders>
              <w:top w:val="nil"/>
              <w:left w:val="nil"/>
              <w:bottom w:val="single" w:sz="4" w:space="0" w:color="auto"/>
              <w:right w:val="single" w:sz="4" w:space="0" w:color="auto"/>
            </w:tcBorders>
            <w:shd w:val="clear" w:color="auto" w:fill="D9D9D9"/>
            <w:noWrap/>
            <w:vAlign w:val="bottom"/>
            <w:hideMark/>
          </w:tcPr>
          <w:p w14:paraId="05361726"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 </w:t>
            </w:r>
          </w:p>
        </w:tc>
        <w:tc>
          <w:tcPr>
            <w:tcW w:w="982" w:type="dxa"/>
            <w:tcBorders>
              <w:top w:val="nil"/>
              <w:left w:val="nil"/>
              <w:bottom w:val="single" w:sz="4" w:space="0" w:color="auto"/>
              <w:right w:val="single" w:sz="4" w:space="0" w:color="auto"/>
            </w:tcBorders>
            <w:shd w:val="clear" w:color="auto" w:fill="D9D9D9"/>
            <w:noWrap/>
            <w:vAlign w:val="bottom"/>
            <w:hideMark/>
          </w:tcPr>
          <w:p w14:paraId="0722ACF4"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LEI</w:t>
            </w:r>
          </w:p>
        </w:tc>
        <w:tc>
          <w:tcPr>
            <w:tcW w:w="766" w:type="dxa"/>
            <w:tcBorders>
              <w:top w:val="nil"/>
              <w:left w:val="nil"/>
              <w:bottom w:val="single" w:sz="4" w:space="0" w:color="auto"/>
              <w:right w:val="single" w:sz="4" w:space="0" w:color="auto"/>
            </w:tcBorders>
            <w:shd w:val="clear" w:color="auto" w:fill="D9D9D9"/>
            <w:noWrap/>
            <w:vAlign w:val="bottom"/>
            <w:hideMark/>
          </w:tcPr>
          <w:p w14:paraId="5851BD31"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EURO</w:t>
            </w:r>
          </w:p>
        </w:tc>
        <w:tc>
          <w:tcPr>
            <w:tcW w:w="804" w:type="dxa"/>
            <w:tcBorders>
              <w:top w:val="nil"/>
              <w:left w:val="nil"/>
              <w:bottom w:val="single" w:sz="4" w:space="0" w:color="auto"/>
              <w:right w:val="single" w:sz="4" w:space="0" w:color="auto"/>
            </w:tcBorders>
            <w:shd w:val="clear" w:color="auto" w:fill="D9D9D9"/>
            <w:noWrap/>
            <w:vAlign w:val="bottom"/>
            <w:hideMark/>
          </w:tcPr>
          <w:p w14:paraId="52D3F59D"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LEI</w:t>
            </w:r>
          </w:p>
        </w:tc>
        <w:tc>
          <w:tcPr>
            <w:tcW w:w="850" w:type="dxa"/>
            <w:tcBorders>
              <w:top w:val="nil"/>
              <w:left w:val="nil"/>
              <w:bottom w:val="single" w:sz="4" w:space="0" w:color="auto"/>
              <w:right w:val="single" w:sz="4" w:space="0" w:color="auto"/>
            </w:tcBorders>
            <w:shd w:val="clear" w:color="auto" w:fill="D9D9D9"/>
            <w:noWrap/>
            <w:vAlign w:val="bottom"/>
            <w:hideMark/>
          </w:tcPr>
          <w:p w14:paraId="288268B2" w14:textId="77777777" w:rsidR="002C206D" w:rsidRPr="009201C8" w:rsidRDefault="002C206D">
            <w:pPr>
              <w:spacing w:line="256" w:lineRule="auto"/>
              <w:jc w:val="center"/>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EURO</w:t>
            </w:r>
          </w:p>
        </w:tc>
      </w:tr>
      <w:tr w:rsidR="002C206D" w:rsidRPr="009201C8" w14:paraId="2DC52388"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7F9D69CC" w14:textId="77777777" w:rsidR="002C206D" w:rsidRPr="009201C8" w:rsidRDefault="002C206D" w:rsidP="009201C8">
            <w:pPr>
              <w:spacing w:line="256" w:lineRule="auto"/>
              <w:ind w:left="-117" w:right="-45"/>
              <w:jc w:val="center"/>
              <w:rPr>
                <w:rFonts w:asciiTheme="minorHAnsi" w:hAnsiTheme="minorHAnsi" w:cstheme="minorHAnsi"/>
                <w:b/>
                <w:bCs/>
                <w:color w:val="000000"/>
                <w:sz w:val="20"/>
                <w:lang w:val="en-US"/>
              </w:rPr>
            </w:pPr>
            <w:proofErr w:type="gramStart"/>
            <w:r w:rsidRPr="009201C8">
              <w:rPr>
                <w:rFonts w:asciiTheme="minorHAnsi" w:hAnsiTheme="minorHAnsi" w:cstheme="minorHAnsi"/>
                <w:b/>
                <w:bCs/>
                <w:color w:val="000000"/>
                <w:sz w:val="20"/>
                <w:lang w:val="en-US"/>
              </w:rPr>
              <w:t>TOTAL  din</w:t>
            </w:r>
            <w:proofErr w:type="gramEnd"/>
            <w:r w:rsidRPr="009201C8">
              <w:rPr>
                <w:rFonts w:asciiTheme="minorHAnsi" w:hAnsiTheme="minorHAnsi" w:cstheme="minorHAnsi"/>
                <w:b/>
                <w:bCs/>
                <w:color w:val="000000"/>
                <w:sz w:val="20"/>
                <w:lang w:val="en-US"/>
              </w:rPr>
              <w:t xml:space="preserve"> care:</w:t>
            </w:r>
          </w:p>
        </w:tc>
        <w:tc>
          <w:tcPr>
            <w:tcW w:w="491" w:type="dxa"/>
            <w:tcBorders>
              <w:top w:val="nil"/>
              <w:left w:val="nil"/>
              <w:bottom w:val="single" w:sz="4" w:space="0" w:color="auto"/>
              <w:right w:val="single" w:sz="4" w:space="0" w:color="auto"/>
            </w:tcBorders>
            <w:vAlign w:val="center"/>
            <w:hideMark/>
          </w:tcPr>
          <w:p w14:paraId="54F0A76D" w14:textId="77777777" w:rsidR="002C206D" w:rsidRPr="009201C8" w:rsidRDefault="002C206D">
            <w:pPr>
              <w:spacing w:line="256" w:lineRule="auto"/>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2F53E53A"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277 425</w:t>
            </w:r>
          </w:p>
        </w:tc>
        <w:tc>
          <w:tcPr>
            <w:tcW w:w="766" w:type="dxa"/>
            <w:tcBorders>
              <w:top w:val="nil"/>
              <w:left w:val="nil"/>
              <w:bottom w:val="single" w:sz="4" w:space="0" w:color="auto"/>
              <w:right w:val="single" w:sz="4" w:space="0" w:color="auto"/>
            </w:tcBorders>
            <w:noWrap/>
            <w:vAlign w:val="bottom"/>
            <w:hideMark/>
          </w:tcPr>
          <w:p w14:paraId="408DB9BD" w14:textId="77777777" w:rsidR="002C206D" w:rsidRPr="009201C8" w:rsidRDefault="002C206D" w:rsidP="009201C8">
            <w:pPr>
              <w:spacing w:line="256" w:lineRule="auto"/>
              <w:ind w:left="-51"/>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47 371</w:t>
            </w:r>
          </w:p>
        </w:tc>
        <w:tc>
          <w:tcPr>
            <w:tcW w:w="988" w:type="dxa"/>
            <w:tcBorders>
              <w:top w:val="nil"/>
              <w:left w:val="nil"/>
              <w:bottom w:val="single" w:sz="4" w:space="0" w:color="auto"/>
              <w:right w:val="single" w:sz="4" w:space="0" w:color="auto"/>
            </w:tcBorders>
            <w:noWrap/>
            <w:vAlign w:val="bottom"/>
            <w:hideMark/>
          </w:tcPr>
          <w:p w14:paraId="181B4F12"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155 392</w:t>
            </w:r>
          </w:p>
        </w:tc>
        <w:tc>
          <w:tcPr>
            <w:tcW w:w="850" w:type="dxa"/>
            <w:tcBorders>
              <w:top w:val="nil"/>
              <w:left w:val="nil"/>
              <w:bottom w:val="single" w:sz="4" w:space="0" w:color="auto"/>
              <w:right w:val="single" w:sz="4" w:space="0" w:color="auto"/>
            </w:tcBorders>
            <w:noWrap/>
            <w:vAlign w:val="bottom"/>
            <w:hideMark/>
          </w:tcPr>
          <w:p w14:paraId="6AB51CFC"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31 078</w:t>
            </w:r>
          </w:p>
        </w:tc>
        <w:tc>
          <w:tcPr>
            <w:tcW w:w="838" w:type="dxa"/>
            <w:tcBorders>
              <w:top w:val="nil"/>
              <w:left w:val="nil"/>
              <w:bottom w:val="single" w:sz="4" w:space="0" w:color="auto"/>
              <w:right w:val="single" w:sz="4" w:space="0" w:color="auto"/>
            </w:tcBorders>
            <w:noWrap/>
            <w:vAlign w:val="bottom"/>
            <w:hideMark/>
          </w:tcPr>
          <w:p w14:paraId="4125D945"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36 645</w:t>
            </w:r>
          </w:p>
        </w:tc>
        <w:tc>
          <w:tcPr>
            <w:tcW w:w="863" w:type="dxa"/>
            <w:tcBorders>
              <w:top w:val="nil"/>
              <w:left w:val="nil"/>
              <w:bottom w:val="single" w:sz="4" w:space="0" w:color="auto"/>
              <w:right w:val="single" w:sz="4" w:space="0" w:color="auto"/>
            </w:tcBorders>
            <w:noWrap/>
            <w:vAlign w:val="bottom"/>
            <w:hideMark/>
          </w:tcPr>
          <w:p w14:paraId="640D1138"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7 329</w:t>
            </w:r>
          </w:p>
        </w:tc>
        <w:tc>
          <w:tcPr>
            <w:tcW w:w="982" w:type="dxa"/>
            <w:tcBorders>
              <w:top w:val="nil"/>
              <w:left w:val="nil"/>
              <w:bottom w:val="single" w:sz="4" w:space="0" w:color="auto"/>
              <w:right w:val="single" w:sz="4" w:space="0" w:color="auto"/>
            </w:tcBorders>
            <w:noWrap/>
            <w:vAlign w:val="bottom"/>
            <w:hideMark/>
          </w:tcPr>
          <w:p w14:paraId="645A736C"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72 088</w:t>
            </w:r>
          </w:p>
        </w:tc>
        <w:tc>
          <w:tcPr>
            <w:tcW w:w="766" w:type="dxa"/>
            <w:tcBorders>
              <w:top w:val="nil"/>
              <w:left w:val="nil"/>
              <w:bottom w:val="single" w:sz="4" w:space="0" w:color="auto"/>
              <w:right w:val="single" w:sz="4" w:space="0" w:color="auto"/>
            </w:tcBorders>
            <w:noWrap/>
            <w:vAlign w:val="bottom"/>
            <w:hideMark/>
          </w:tcPr>
          <w:p w14:paraId="7D0AED84"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14 418</w:t>
            </w:r>
          </w:p>
        </w:tc>
        <w:tc>
          <w:tcPr>
            <w:tcW w:w="804" w:type="dxa"/>
            <w:tcBorders>
              <w:top w:val="nil"/>
              <w:left w:val="nil"/>
              <w:bottom w:val="single" w:sz="4" w:space="0" w:color="auto"/>
              <w:right w:val="single" w:sz="4" w:space="0" w:color="auto"/>
            </w:tcBorders>
            <w:noWrap/>
            <w:vAlign w:val="bottom"/>
            <w:hideMark/>
          </w:tcPr>
          <w:p w14:paraId="2746E7C0"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13 300</w:t>
            </w:r>
          </w:p>
        </w:tc>
        <w:tc>
          <w:tcPr>
            <w:tcW w:w="850" w:type="dxa"/>
            <w:tcBorders>
              <w:top w:val="nil"/>
              <w:left w:val="nil"/>
              <w:bottom w:val="single" w:sz="4" w:space="0" w:color="auto"/>
              <w:right w:val="single" w:sz="4" w:space="0" w:color="auto"/>
            </w:tcBorders>
            <w:noWrap/>
            <w:vAlign w:val="bottom"/>
            <w:hideMark/>
          </w:tcPr>
          <w:p w14:paraId="663581E5"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2 660</w:t>
            </w:r>
          </w:p>
        </w:tc>
      </w:tr>
      <w:tr w:rsidR="002C206D" w:rsidRPr="009201C8" w14:paraId="2B76A165"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7EF0DD1D" w14:textId="77777777" w:rsidR="002C206D" w:rsidRPr="009201C8" w:rsidRDefault="002C206D" w:rsidP="009201C8">
            <w:pPr>
              <w:spacing w:line="256" w:lineRule="auto"/>
              <w:ind w:left="-117" w:right="-45"/>
              <w:rPr>
                <w:rFonts w:asciiTheme="minorHAnsi" w:hAnsiTheme="minorHAnsi" w:cstheme="minorHAnsi"/>
                <w:b/>
                <w:bCs/>
                <w:color w:val="000000"/>
                <w:sz w:val="20"/>
                <w:lang w:val="en-US"/>
              </w:rPr>
            </w:pPr>
          </w:p>
        </w:tc>
        <w:tc>
          <w:tcPr>
            <w:tcW w:w="491" w:type="dxa"/>
            <w:tcBorders>
              <w:top w:val="nil"/>
              <w:left w:val="nil"/>
              <w:bottom w:val="single" w:sz="4" w:space="0" w:color="auto"/>
              <w:right w:val="single" w:sz="4" w:space="0" w:color="auto"/>
            </w:tcBorders>
            <w:vAlign w:val="center"/>
            <w:hideMark/>
          </w:tcPr>
          <w:p w14:paraId="795F9106" w14:textId="77777777" w:rsidR="002C206D" w:rsidRPr="009201C8" w:rsidRDefault="002C206D">
            <w:pPr>
              <w:spacing w:line="256" w:lineRule="auto"/>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624B9E2B"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299 070</w:t>
            </w:r>
          </w:p>
        </w:tc>
        <w:tc>
          <w:tcPr>
            <w:tcW w:w="766" w:type="dxa"/>
            <w:tcBorders>
              <w:top w:val="nil"/>
              <w:left w:val="nil"/>
              <w:bottom w:val="single" w:sz="4" w:space="0" w:color="auto"/>
              <w:right w:val="single" w:sz="4" w:space="0" w:color="auto"/>
            </w:tcBorders>
            <w:noWrap/>
            <w:vAlign w:val="bottom"/>
            <w:hideMark/>
          </w:tcPr>
          <w:p w14:paraId="09FFD5BB" w14:textId="77777777" w:rsidR="002C206D" w:rsidRPr="009201C8" w:rsidRDefault="002C206D" w:rsidP="009201C8">
            <w:pPr>
              <w:spacing w:line="256" w:lineRule="auto"/>
              <w:ind w:left="-51"/>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52 096</w:t>
            </w:r>
          </w:p>
        </w:tc>
        <w:tc>
          <w:tcPr>
            <w:tcW w:w="988" w:type="dxa"/>
            <w:tcBorders>
              <w:top w:val="nil"/>
              <w:left w:val="nil"/>
              <w:bottom w:val="single" w:sz="4" w:space="0" w:color="auto"/>
              <w:right w:val="single" w:sz="4" w:space="0" w:color="auto"/>
            </w:tcBorders>
            <w:noWrap/>
            <w:vAlign w:val="bottom"/>
            <w:hideMark/>
          </w:tcPr>
          <w:p w14:paraId="36B70EF2"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173 305</w:t>
            </w:r>
          </w:p>
        </w:tc>
        <w:tc>
          <w:tcPr>
            <w:tcW w:w="850" w:type="dxa"/>
            <w:tcBorders>
              <w:top w:val="nil"/>
              <w:left w:val="nil"/>
              <w:bottom w:val="single" w:sz="4" w:space="0" w:color="auto"/>
              <w:right w:val="single" w:sz="4" w:space="0" w:color="auto"/>
            </w:tcBorders>
            <w:noWrap/>
            <w:vAlign w:val="bottom"/>
            <w:hideMark/>
          </w:tcPr>
          <w:p w14:paraId="27C5339B"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34 661</w:t>
            </w:r>
          </w:p>
        </w:tc>
        <w:tc>
          <w:tcPr>
            <w:tcW w:w="838" w:type="dxa"/>
            <w:tcBorders>
              <w:top w:val="nil"/>
              <w:left w:val="nil"/>
              <w:bottom w:val="single" w:sz="4" w:space="0" w:color="auto"/>
              <w:right w:val="single" w:sz="4" w:space="0" w:color="auto"/>
            </w:tcBorders>
            <w:noWrap/>
            <w:vAlign w:val="bottom"/>
            <w:hideMark/>
          </w:tcPr>
          <w:p w14:paraId="5359850B"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36 645</w:t>
            </w:r>
          </w:p>
        </w:tc>
        <w:tc>
          <w:tcPr>
            <w:tcW w:w="863" w:type="dxa"/>
            <w:tcBorders>
              <w:top w:val="nil"/>
              <w:left w:val="nil"/>
              <w:bottom w:val="single" w:sz="4" w:space="0" w:color="auto"/>
              <w:right w:val="single" w:sz="4" w:space="0" w:color="auto"/>
            </w:tcBorders>
            <w:noWrap/>
            <w:vAlign w:val="bottom"/>
            <w:hideMark/>
          </w:tcPr>
          <w:p w14:paraId="2C51D8A1"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7 329</w:t>
            </w:r>
          </w:p>
        </w:tc>
        <w:tc>
          <w:tcPr>
            <w:tcW w:w="982" w:type="dxa"/>
            <w:tcBorders>
              <w:top w:val="nil"/>
              <w:left w:val="nil"/>
              <w:bottom w:val="single" w:sz="4" w:space="0" w:color="auto"/>
              <w:right w:val="single" w:sz="4" w:space="0" w:color="auto"/>
            </w:tcBorders>
            <w:noWrap/>
            <w:vAlign w:val="bottom"/>
            <w:hideMark/>
          </w:tcPr>
          <w:p w14:paraId="5AF065F6"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74 127</w:t>
            </w:r>
          </w:p>
        </w:tc>
        <w:tc>
          <w:tcPr>
            <w:tcW w:w="766" w:type="dxa"/>
            <w:tcBorders>
              <w:top w:val="nil"/>
              <w:left w:val="nil"/>
              <w:bottom w:val="single" w:sz="4" w:space="0" w:color="auto"/>
              <w:right w:val="single" w:sz="4" w:space="0" w:color="auto"/>
            </w:tcBorders>
            <w:noWrap/>
            <w:vAlign w:val="bottom"/>
            <w:hideMark/>
          </w:tcPr>
          <w:p w14:paraId="53848786"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14 826</w:t>
            </w:r>
          </w:p>
        </w:tc>
        <w:tc>
          <w:tcPr>
            <w:tcW w:w="804" w:type="dxa"/>
            <w:tcBorders>
              <w:top w:val="nil"/>
              <w:left w:val="nil"/>
              <w:bottom w:val="single" w:sz="4" w:space="0" w:color="auto"/>
              <w:right w:val="single" w:sz="4" w:space="0" w:color="auto"/>
            </w:tcBorders>
            <w:noWrap/>
            <w:vAlign w:val="bottom"/>
            <w:hideMark/>
          </w:tcPr>
          <w:p w14:paraId="1E5014DF"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14 993</w:t>
            </w:r>
          </w:p>
        </w:tc>
        <w:tc>
          <w:tcPr>
            <w:tcW w:w="850" w:type="dxa"/>
            <w:tcBorders>
              <w:top w:val="nil"/>
              <w:left w:val="nil"/>
              <w:bottom w:val="single" w:sz="4" w:space="0" w:color="auto"/>
              <w:right w:val="single" w:sz="4" w:space="0" w:color="auto"/>
            </w:tcBorders>
            <w:noWrap/>
            <w:vAlign w:val="bottom"/>
            <w:hideMark/>
          </w:tcPr>
          <w:p w14:paraId="013D65CA" w14:textId="77777777" w:rsidR="002C206D" w:rsidRPr="009201C8" w:rsidRDefault="002C206D">
            <w:pPr>
              <w:spacing w:line="256" w:lineRule="auto"/>
              <w:jc w:val="right"/>
              <w:rPr>
                <w:rFonts w:asciiTheme="minorHAnsi" w:hAnsiTheme="minorHAnsi" w:cstheme="minorHAnsi"/>
                <w:b/>
                <w:bCs/>
                <w:color w:val="000000"/>
                <w:sz w:val="20"/>
                <w:lang w:val="en-US"/>
              </w:rPr>
            </w:pPr>
            <w:r w:rsidRPr="009201C8">
              <w:rPr>
                <w:rFonts w:asciiTheme="minorHAnsi" w:hAnsiTheme="minorHAnsi" w:cstheme="minorHAnsi"/>
                <w:b/>
                <w:bCs/>
                <w:color w:val="000000"/>
                <w:sz w:val="20"/>
                <w:lang w:val="en-US"/>
              </w:rPr>
              <w:t>2 999</w:t>
            </w:r>
          </w:p>
        </w:tc>
      </w:tr>
      <w:tr w:rsidR="002C206D" w:rsidRPr="009201C8" w14:paraId="377225B2"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011A5D36"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roofErr w:type="spellStart"/>
            <w:r w:rsidRPr="009201C8">
              <w:rPr>
                <w:rFonts w:asciiTheme="minorHAnsi" w:hAnsiTheme="minorHAnsi" w:cstheme="minorHAnsi"/>
                <w:color w:val="000000"/>
                <w:sz w:val="20"/>
                <w:lang w:val="en-US"/>
              </w:rPr>
              <w:t>Cheltuieli</w:t>
            </w:r>
            <w:proofErr w:type="spellEnd"/>
            <w:r w:rsidRPr="009201C8">
              <w:rPr>
                <w:rFonts w:asciiTheme="minorHAnsi" w:hAnsiTheme="minorHAnsi" w:cstheme="minorHAnsi"/>
                <w:color w:val="000000"/>
                <w:sz w:val="20"/>
                <w:lang w:val="en-US"/>
              </w:rPr>
              <w:t xml:space="preserve"> de personal</w:t>
            </w:r>
          </w:p>
        </w:tc>
        <w:tc>
          <w:tcPr>
            <w:tcW w:w="491" w:type="dxa"/>
            <w:tcBorders>
              <w:top w:val="nil"/>
              <w:left w:val="nil"/>
              <w:bottom w:val="single" w:sz="4" w:space="0" w:color="auto"/>
              <w:right w:val="single" w:sz="4" w:space="0" w:color="auto"/>
            </w:tcBorders>
            <w:vAlign w:val="center"/>
            <w:hideMark/>
          </w:tcPr>
          <w:p w14:paraId="6B76A476"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4190422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174 732</w:t>
            </w:r>
          </w:p>
        </w:tc>
        <w:tc>
          <w:tcPr>
            <w:tcW w:w="766" w:type="dxa"/>
            <w:tcBorders>
              <w:top w:val="nil"/>
              <w:left w:val="nil"/>
              <w:bottom w:val="single" w:sz="4" w:space="0" w:color="auto"/>
              <w:right w:val="single" w:sz="4" w:space="0" w:color="auto"/>
            </w:tcBorders>
            <w:noWrap/>
            <w:vAlign w:val="bottom"/>
            <w:hideMark/>
          </w:tcPr>
          <w:p w14:paraId="5645F854" w14:textId="77777777" w:rsidR="002C206D" w:rsidRPr="009201C8" w:rsidRDefault="002C206D" w:rsidP="009201C8">
            <w:pPr>
              <w:spacing w:line="256" w:lineRule="auto"/>
              <w:ind w:left="-51"/>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28 211</w:t>
            </w:r>
          </w:p>
        </w:tc>
        <w:tc>
          <w:tcPr>
            <w:tcW w:w="988" w:type="dxa"/>
            <w:tcBorders>
              <w:top w:val="nil"/>
              <w:left w:val="nil"/>
              <w:bottom w:val="single" w:sz="4" w:space="0" w:color="auto"/>
              <w:right w:val="single" w:sz="4" w:space="0" w:color="auto"/>
            </w:tcBorders>
            <w:noWrap/>
            <w:vAlign w:val="bottom"/>
            <w:hideMark/>
          </w:tcPr>
          <w:p w14:paraId="5554908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101 092</w:t>
            </w:r>
          </w:p>
        </w:tc>
        <w:tc>
          <w:tcPr>
            <w:tcW w:w="850" w:type="dxa"/>
            <w:tcBorders>
              <w:top w:val="nil"/>
              <w:left w:val="nil"/>
              <w:bottom w:val="single" w:sz="4" w:space="0" w:color="auto"/>
              <w:right w:val="single" w:sz="4" w:space="0" w:color="auto"/>
            </w:tcBorders>
            <w:noWrap/>
            <w:vAlign w:val="bottom"/>
            <w:hideMark/>
          </w:tcPr>
          <w:p w14:paraId="28392EA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20 218</w:t>
            </w:r>
          </w:p>
        </w:tc>
        <w:tc>
          <w:tcPr>
            <w:tcW w:w="838" w:type="dxa"/>
            <w:tcBorders>
              <w:top w:val="nil"/>
              <w:left w:val="nil"/>
              <w:bottom w:val="single" w:sz="4" w:space="0" w:color="auto"/>
              <w:right w:val="single" w:sz="4" w:space="0" w:color="auto"/>
            </w:tcBorders>
            <w:noWrap/>
            <w:vAlign w:val="bottom"/>
            <w:hideMark/>
          </w:tcPr>
          <w:p w14:paraId="34BEE16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33 675</w:t>
            </w:r>
          </w:p>
        </w:tc>
        <w:tc>
          <w:tcPr>
            <w:tcW w:w="863" w:type="dxa"/>
            <w:tcBorders>
              <w:top w:val="nil"/>
              <w:left w:val="nil"/>
              <w:bottom w:val="single" w:sz="4" w:space="0" w:color="auto"/>
              <w:right w:val="single" w:sz="4" w:space="0" w:color="auto"/>
            </w:tcBorders>
            <w:noWrap/>
            <w:vAlign w:val="bottom"/>
            <w:hideMark/>
          </w:tcPr>
          <w:p w14:paraId="19DA237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6 735</w:t>
            </w:r>
          </w:p>
        </w:tc>
        <w:tc>
          <w:tcPr>
            <w:tcW w:w="982" w:type="dxa"/>
            <w:tcBorders>
              <w:top w:val="nil"/>
              <w:left w:val="nil"/>
              <w:bottom w:val="single" w:sz="4" w:space="0" w:color="auto"/>
              <w:right w:val="single" w:sz="4" w:space="0" w:color="auto"/>
            </w:tcBorders>
            <w:noWrap/>
            <w:vAlign w:val="bottom"/>
            <w:hideMark/>
          </w:tcPr>
          <w:p w14:paraId="608FF13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29 230</w:t>
            </w:r>
          </w:p>
        </w:tc>
        <w:tc>
          <w:tcPr>
            <w:tcW w:w="766" w:type="dxa"/>
            <w:tcBorders>
              <w:top w:val="nil"/>
              <w:left w:val="nil"/>
              <w:bottom w:val="single" w:sz="4" w:space="0" w:color="auto"/>
              <w:right w:val="single" w:sz="4" w:space="0" w:color="auto"/>
            </w:tcBorders>
            <w:noWrap/>
            <w:vAlign w:val="bottom"/>
            <w:hideMark/>
          </w:tcPr>
          <w:p w14:paraId="0D25820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5 846</w:t>
            </w:r>
          </w:p>
        </w:tc>
        <w:tc>
          <w:tcPr>
            <w:tcW w:w="804" w:type="dxa"/>
            <w:tcBorders>
              <w:top w:val="nil"/>
              <w:left w:val="nil"/>
              <w:bottom w:val="single" w:sz="4" w:space="0" w:color="auto"/>
              <w:right w:val="single" w:sz="4" w:space="0" w:color="auto"/>
            </w:tcBorders>
            <w:noWrap/>
            <w:vAlign w:val="bottom"/>
            <w:hideMark/>
          </w:tcPr>
          <w:p w14:paraId="72FB19F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10 735</w:t>
            </w:r>
          </w:p>
        </w:tc>
        <w:tc>
          <w:tcPr>
            <w:tcW w:w="850" w:type="dxa"/>
            <w:tcBorders>
              <w:top w:val="nil"/>
              <w:left w:val="nil"/>
              <w:bottom w:val="single" w:sz="4" w:space="0" w:color="auto"/>
              <w:right w:val="single" w:sz="4" w:space="0" w:color="auto"/>
            </w:tcBorders>
            <w:noWrap/>
            <w:vAlign w:val="bottom"/>
            <w:hideMark/>
          </w:tcPr>
          <w:p w14:paraId="2620127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2 147</w:t>
            </w:r>
          </w:p>
        </w:tc>
      </w:tr>
      <w:tr w:rsidR="002C206D" w:rsidRPr="009201C8" w14:paraId="68310619"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311CE0CD"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3BE8E8B9"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7134C94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174 732</w:t>
            </w:r>
          </w:p>
        </w:tc>
        <w:tc>
          <w:tcPr>
            <w:tcW w:w="766" w:type="dxa"/>
            <w:tcBorders>
              <w:top w:val="nil"/>
              <w:left w:val="nil"/>
              <w:bottom w:val="single" w:sz="4" w:space="0" w:color="auto"/>
              <w:right w:val="single" w:sz="4" w:space="0" w:color="auto"/>
            </w:tcBorders>
            <w:noWrap/>
            <w:vAlign w:val="bottom"/>
            <w:hideMark/>
          </w:tcPr>
          <w:p w14:paraId="111AEBAF" w14:textId="77777777" w:rsidR="002C206D" w:rsidRPr="009201C8" w:rsidRDefault="002C206D" w:rsidP="009201C8">
            <w:pPr>
              <w:spacing w:line="256" w:lineRule="auto"/>
              <w:ind w:left="-51"/>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28 211</w:t>
            </w:r>
          </w:p>
        </w:tc>
        <w:tc>
          <w:tcPr>
            <w:tcW w:w="988" w:type="dxa"/>
            <w:tcBorders>
              <w:top w:val="nil"/>
              <w:left w:val="nil"/>
              <w:bottom w:val="single" w:sz="4" w:space="0" w:color="auto"/>
              <w:right w:val="single" w:sz="4" w:space="0" w:color="auto"/>
            </w:tcBorders>
            <w:noWrap/>
            <w:vAlign w:val="bottom"/>
            <w:hideMark/>
          </w:tcPr>
          <w:p w14:paraId="50D05D4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101 092</w:t>
            </w:r>
          </w:p>
        </w:tc>
        <w:tc>
          <w:tcPr>
            <w:tcW w:w="850" w:type="dxa"/>
            <w:tcBorders>
              <w:top w:val="nil"/>
              <w:left w:val="nil"/>
              <w:bottom w:val="single" w:sz="4" w:space="0" w:color="auto"/>
              <w:right w:val="single" w:sz="4" w:space="0" w:color="auto"/>
            </w:tcBorders>
            <w:noWrap/>
            <w:vAlign w:val="bottom"/>
            <w:hideMark/>
          </w:tcPr>
          <w:p w14:paraId="649782A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20 218</w:t>
            </w:r>
          </w:p>
        </w:tc>
        <w:tc>
          <w:tcPr>
            <w:tcW w:w="838" w:type="dxa"/>
            <w:tcBorders>
              <w:top w:val="nil"/>
              <w:left w:val="nil"/>
              <w:bottom w:val="single" w:sz="4" w:space="0" w:color="auto"/>
              <w:right w:val="single" w:sz="4" w:space="0" w:color="auto"/>
            </w:tcBorders>
            <w:noWrap/>
            <w:vAlign w:val="bottom"/>
            <w:hideMark/>
          </w:tcPr>
          <w:p w14:paraId="237BFEE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33 675</w:t>
            </w:r>
          </w:p>
        </w:tc>
        <w:tc>
          <w:tcPr>
            <w:tcW w:w="863" w:type="dxa"/>
            <w:tcBorders>
              <w:top w:val="nil"/>
              <w:left w:val="nil"/>
              <w:bottom w:val="single" w:sz="4" w:space="0" w:color="auto"/>
              <w:right w:val="single" w:sz="4" w:space="0" w:color="auto"/>
            </w:tcBorders>
            <w:noWrap/>
            <w:vAlign w:val="bottom"/>
            <w:hideMark/>
          </w:tcPr>
          <w:p w14:paraId="66EFEE7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6 735</w:t>
            </w:r>
          </w:p>
        </w:tc>
        <w:tc>
          <w:tcPr>
            <w:tcW w:w="982" w:type="dxa"/>
            <w:tcBorders>
              <w:top w:val="nil"/>
              <w:left w:val="nil"/>
              <w:bottom w:val="single" w:sz="4" w:space="0" w:color="auto"/>
              <w:right w:val="single" w:sz="4" w:space="0" w:color="auto"/>
            </w:tcBorders>
            <w:noWrap/>
            <w:vAlign w:val="bottom"/>
            <w:hideMark/>
          </w:tcPr>
          <w:p w14:paraId="1D9D1F2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29 230</w:t>
            </w:r>
          </w:p>
        </w:tc>
        <w:tc>
          <w:tcPr>
            <w:tcW w:w="766" w:type="dxa"/>
            <w:tcBorders>
              <w:top w:val="nil"/>
              <w:left w:val="nil"/>
              <w:bottom w:val="single" w:sz="4" w:space="0" w:color="auto"/>
              <w:right w:val="single" w:sz="4" w:space="0" w:color="auto"/>
            </w:tcBorders>
            <w:noWrap/>
            <w:vAlign w:val="bottom"/>
            <w:hideMark/>
          </w:tcPr>
          <w:p w14:paraId="2FC2058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5 846</w:t>
            </w:r>
          </w:p>
        </w:tc>
        <w:tc>
          <w:tcPr>
            <w:tcW w:w="804" w:type="dxa"/>
            <w:tcBorders>
              <w:top w:val="nil"/>
              <w:left w:val="nil"/>
              <w:bottom w:val="single" w:sz="4" w:space="0" w:color="auto"/>
              <w:right w:val="single" w:sz="4" w:space="0" w:color="auto"/>
            </w:tcBorders>
            <w:noWrap/>
            <w:vAlign w:val="bottom"/>
            <w:hideMark/>
          </w:tcPr>
          <w:p w14:paraId="415AA90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10 735</w:t>
            </w:r>
          </w:p>
        </w:tc>
        <w:tc>
          <w:tcPr>
            <w:tcW w:w="850" w:type="dxa"/>
            <w:tcBorders>
              <w:top w:val="nil"/>
              <w:left w:val="nil"/>
              <w:bottom w:val="single" w:sz="4" w:space="0" w:color="auto"/>
              <w:right w:val="single" w:sz="4" w:space="0" w:color="auto"/>
            </w:tcBorders>
            <w:noWrap/>
            <w:vAlign w:val="bottom"/>
            <w:hideMark/>
          </w:tcPr>
          <w:p w14:paraId="4E13C9C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2 147</w:t>
            </w:r>
          </w:p>
        </w:tc>
      </w:tr>
      <w:tr w:rsidR="002C206D" w:rsidRPr="009201C8" w14:paraId="79A6C913" w14:textId="77777777" w:rsidTr="002C206D">
        <w:trPr>
          <w:trHeight w:val="315"/>
        </w:trPr>
        <w:tc>
          <w:tcPr>
            <w:tcW w:w="1197" w:type="dxa"/>
            <w:vMerge w:val="restart"/>
            <w:tcBorders>
              <w:top w:val="nil"/>
              <w:left w:val="single" w:sz="4" w:space="0" w:color="auto"/>
              <w:bottom w:val="single" w:sz="4" w:space="0" w:color="000000"/>
              <w:right w:val="single" w:sz="4" w:space="0" w:color="auto"/>
            </w:tcBorders>
            <w:vAlign w:val="center"/>
            <w:hideMark/>
          </w:tcPr>
          <w:p w14:paraId="3BC3E45E"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roofErr w:type="spellStart"/>
            <w:r w:rsidRPr="009201C8">
              <w:rPr>
                <w:rFonts w:asciiTheme="minorHAnsi" w:hAnsiTheme="minorHAnsi" w:cstheme="minorHAnsi"/>
                <w:color w:val="000000"/>
                <w:sz w:val="20"/>
                <w:lang w:val="en-US"/>
              </w:rPr>
              <w:t>Bunuri</w:t>
            </w:r>
            <w:proofErr w:type="spellEnd"/>
            <w:r w:rsidRPr="009201C8">
              <w:rPr>
                <w:rFonts w:asciiTheme="minorHAnsi" w:hAnsiTheme="minorHAnsi" w:cstheme="minorHAnsi"/>
                <w:color w:val="000000"/>
                <w:sz w:val="20"/>
                <w:lang w:val="en-US"/>
              </w:rPr>
              <w:t xml:space="preserve"> </w:t>
            </w:r>
            <w:proofErr w:type="spellStart"/>
            <w:r w:rsidRPr="009201C8">
              <w:rPr>
                <w:rFonts w:asciiTheme="minorHAnsi" w:hAnsiTheme="minorHAnsi" w:cstheme="minorHAnsi"/>
                <w:color w:val="000000"/>
                <w:sz w:val="20"/>
                <w:lang w:val="en-US"/>
              </w:rPr>
              <w:t>și</w:t>
            </w:r>
            <w:proofErr w:type="spellEnd"/>
            <w:r w:rsidRPr="009201C8">
              <w:rPr>
                <w:rFonts w:asciiTheme="minorHAnsi" w:hAnsiTheme="minorHAnsi" w:cstheme="minorHAnsi"/>
                <w:color w:val="000000"/>
                <w:sz w:val="20"/>
                <w:lang w:val="en-US"/>
              </w:rPr>
              <w:t xml:space="preserve"> </w:t>
            </w:r>
            <w:proofErr w:type="spellStart"/>
            <w:r w:rsidRPr="009201C8">
              <w:rPr>
                <w:rFonts w:asciiTheme="minorHAnsi" w:hAnsiTheme="minorHAnsi" w:cstheme="minorHAnsi"/>
                <w:color w:val="000000"/>
                <w:sz w:val="20"/>
                <w:lang w:val="en-US"/>
              </w:rPr>
              <w:t>servicii</w:t>
            </w:r>
            <w:proofErr w:type="spellEnd"/>
          </w:p>
        </w:tc>
        <w:tc>
          <w:tcPr>
            <w:tcW w:w="491" w:type="dxa"/>
            <w:tcBorders>
              <w:top w:val="nil"/>
              <w:left w:val="nil"/>
              <w:bottom w:val="single" w:sz="4" w:space="0" w:color="auto"/>
              <w:right w:val="single" w:sz="4" w:space="0" w:color="auto"/>
            </w:tcBorders>
            <w:vAlign w:val="center"/>
            <w:hideMark/>
          </w:tcPr>
          <w:p w14:paraId="651CCA94"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1C948734"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13 324</w:t>
            </w:r>
          </w:p>
        </w:tc>
        <w:tc>
          <w:tcPr>
            <w:tcW w:w="766" w:type="dxa"/>
            <w:tcBorders>
              <w:top w:val="nil"/>
              <w:left w:val="nil"/>
              <w:bottom w:val="single" w:sz="4" w:space="0" w:color="auto"/>
              <w:right w:val="single" w:sz="4" w:space="0" w:color="auto"/>
            </w:tcBorders>
            <w:noWrap/>
            <w:vAlign w:val="bottom"/>
            <w:hideMark/>
          </w:tcPr>
          <w:p w14:paraId="09139DE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2 204</w:t>
            </w:r>
          </w:p>
        </w:tc>
        <w:tc>
          <w:tcPr>
            <w:tcW w:w="988" w:type="dxa"/>
            <w:tcBorders>
              <w:top w:val="nil"/>
              <w:left w:val="nil"/>
              <w:bottom w:val="single" w:sz="4" w:space="0" w:color="auto"/>
              <w:right w:val="single" w:sz="4" w:space="0" w:color="auto"/>
            </w:tcBorders>
            <w:noWrap/>
            <w:vAlign w:val="bottom"/>
            <w:hideMark/>
          </w:tcPr>
          <w:p w14:paraId="509D496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8 038</w:t>
            </w:r>
          </w:p>
        </w:tc>
        <w:tc>
          <w:tcPr>
            <w:tcW w:w="850" w:type="dxa"/>
            <w:tcBorders>
              <w:top w:val="nil"/>
              <w:left w:val="nil"/>
              <w:bottom w:val="single" w:sz="4" w:space="0" w:color="auto"/>
              <w:right w:val="single" w:sz="4" w:space="0" w:color="auto"/>
            </w:tcBorders>
            <w:noWrap/>
            <w:vAlign w:val="bottom"/>
            <w:hideMark/>
          </w:tcPr>
          <w:p w14:paraId="3D1523B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1 608</w:t>
            </w:r>
          </w:p>
        </w:tc>
        <w:tc>
          <w:tcPr>
            <w:tcW w:w="838" w:type="dxa"/>
            <w:tcBorders>
              <w:top w:val="nil"/>
              <w:left w:val="nil"/>
              <w:bottom w:val="single" w:sz="4" w:space="0" w:color="auto"/>
              <w:right w:val="single" w:sz="4" w:space="0" w:color="auto"/>
            </w:tcBorders>
            <w:noWrap/>
            <w:vAlign w:val="bottom"/>
            <w:hideMark/>
          </w:tcPr>
          <w:p w14:paraId="6F0831F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2 309</w:t>
            </w:r>
          </w:p>
        </w:tc>
        <w:tc>
          <w:tcPr>
            <w:tcW w:w="863" w:type="dxa"/>
            <w:tcBorders>
              <w:top w:val="nil"/>
              <w:left w:val="nil"/>
              <w:bottom w:val="single" w:sz="4" w:space="0" w:color="auto"/>
              <w:right w:val="single" w:sz="4" w:space="0" w:color="auto"/>
            </w:tcBorders>
            <w:noWrap/>
            <w:vAlign w:val="bottom"/>
            <w:hideMark/>
          </w:tcPr>
          <w:p w14:paraId="2872C98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462</w:t>
            </w:r>
          </w:p>
        </w:tc>
        <w:tc>
          <w:tcPr>
            <w:tcW w:w="982" w:type="dxa"/>
            <w:tcBorders>
              <w:top w:val="nil"/>
              <w:left w:val="nil"/>
              <w:bottom w:val="single" w:sz="4" w:space="0" w:color="auto"/>
              <w:right w:val="single" w:sz="4" w:space="0" w:color="auto"/>
            </w:tcBorders>
            <w:noWrap/>
            <w:vAlign w:val="bottom"/>
            <w:hideMark/>
          </w:tcPr>
          <w:p w14:paraId="56AAC57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2 523</w:t>
            </w:r>
          </w:p>
        </w:tc>
        <w:tc>
          <w:tcPr>
            <w:tcW w:w="766" w:type="dxa"/>
            <w:tcBorders>
              <w:top w:val="nil"/>
              <w:left w:val="nil"/>
              <w:bottom w:val="single" w:sz="4" w:space="0" w:color="auto"/>
              <w:right w:val="single" w:sz="4" w:space="0" w:color="auto"/>
            </w:tcBorders>
            <w:noWrap/>
            <w:vAlign w:val="bottom"/>
            <w:hideMark/>
          </w:tcPr>
          <w:p w14:paraId="70665C9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505</w:t>
            </w:r>
          </w:p>
        </w:tc>
        <w:tc>
          <w:tcPr>
            <w:tcW w:w="804" w:type="dxa"/>
            <w:tcBorders>
              <w:top w:val="nil"/>
              <w:left w:val="nil"/>
              <w:bottom w:val="single" w:sz="4" w:space="0" w:color="auto"/>
              <w:right w:val="single" w:sz="4" w:space="0" w:color="auto"/>
            </w:tcBorders>
            <w:noWrap/>
            <w:vAlign w:val="bottom"/>
            <w:hideMark/>
          </w:tcPr>
          <w:p w14:paraId="21FBF2F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454</w:t>
            </w:r>
          </w:p>
        </w:tc>
        <w:tc>
          <w:tcPr>
            <w:tcW w:w="850" w:type="dxa"/>
            <w:tcBorders>
              <w:top w:val="nil"/>
              <w:left w:val="nil"/>
              <w:bottom w:val="single" w:sz="4" w:space="0" w:color="auto"/>
              <w:right w:val="single" w:sz="4" w:space="0" w:color="auto"/>
            </w:tcBorders>
            <w:noWrap/>
            <w:vAlign w:val="bottom"/>
            <w:hideMark/>
          </w:tcPr>
          <w:p w14:paraId="59A3BD6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91</w:t>
            </w:r>
          </w:p>
        </w:tc>
      </w:tr>
      <w:tr w:rsidR="002C206D" w:rsidRPr="009201C8" w14:paraId="6D11E26C"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0E7CCCE0"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64CC614C"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0FBD9C1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13 324</w:t>
            </w:r>
          </w:p>
        </w:tc>
        <w:tc>
          <w:tcPr>
            <w:tcW w:w="766" w:type="dxa"/>
            <w:tcBorders>
              <w:top w:val="nil"/>
              <w:left w:val="nil"/>
              <w:bottom w:val="single" w:sz="4" w:space="0" w:color="auto"/>
              <w:right w:val="single" w:sz="4" w:space="0" w:color="auto"/>
            </w:tcBorders>
            <w:noWrap/>
            <w:vAlign w:val="bottom"/>
            <w:hideMark/>
          </w:tcPr>
          <w:p w14:paraId="781A056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2 204</w:t>
            </w:r>
          </w:p>
        </w:tc>
        <w:tc>
          <w:tcPr>
            <w:tcW w:w="988" w:type="dxa"/>
            <w:tcBorders>
              <w:top w:val="nil"/>
              <w:left w:val="nil"/>
              <w:bottom w:val="single" w:sz="4" w:space="0" w:color="auto"/>
              <w:right w:val="single" w:sz="4" w:space="0" w:color="auto"/>
            </w:tcBorders>
            <w:noWrap/>
            <w:vAlign w:val="bottom"/>
            <w:hideMark/>
          </w:tcPr>
          <w:p w14:paraId="194D5114"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8 038</w:t>
            </w:r>
          </w:p>
        </w:tc>
        <w:tc>
          <w:tcPr>
            <w:tcW w:w="850" w:type="dxa"/>
            <w:tcBorders>
              <w:top w:val="nil"/>
              <w:left w:val="nil"/>
              <w:bottom w:val="single" w:sz="4" w:space="0" w:color="auto"/>
              <w:right w:val="single" w:sz="4" w:space="0" w:color="auto"/>
            </w:tcBorders>
            <w:noWrap/>
            <w:vAlign w:val="bottom"/>
            <w:hideMark/>
          </w:tcPr>
          <w:p w14:paraId="462C230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1 608</w:t>
            </w:r>
          </w:p>
        </w:tc>
        <w:tc>
          <w:tcPr>
            <w:tcW w:w="838" w:type="dxa"/>
            <w:tcBorders>
              <w:top w:val="nil"/>
              <w:left w:val="nil"/>
              <w:bottom w:val="single" w:sz="4" w:space="0" w:color="auto"/>
              <w:right w:val="single" w:sz="4" w:space="0" w:color="auto"/>
            </w:tcBorders>
            <w:noWrap/>
            <w:vAlign w:val="bottom"/>
            <w:hideMark/>
          </w:tcPr>
          <w:p w14:paraId="2649080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2 309</w:t>
            </w:r>
          </w:p>
        </w:tc>
        <w:tc>
          <w:tcPr>
            <w:tcW w:w="863" w:type="dxa"/>
            <w:tcBorders>
              <w:top w:val="nil"/>
              <w:left w:val="nil"/>
              <w:bottom w:val="single" w:sz="4" w:space="0" w:color="auto"/>
              <w:right w:val="single" w:sz="4" w:space="0" w:color="auto"/>
            </w:tcBorders>
            <w:noWrap/>
            <w:vAlign w:val="bottom"/>
            <w:hideMark/>
          </w:tcPr>
          <w:p w14:paraId="5AC4F23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462</w:t>
            </w:r>
          </w:p>
        </w:tc>
        <w:tc>
          <w:tcPr>
            <w:tcW w:w="982" w:type="dxa"/>
            <w:tcBorders>
              <w:top w:val="nil"/>
              <w:left w:val="nil"/>
              <w:bottom w:val="single" w:sz="4" w:space="0" w:color="auto"/>
              <w:right w:val="single" w:sz="4" w:space="0" w:color="auto"/>
            </w:tcBorders>
            <w:noWrap/>
            <w:vAlign w:val="bottom"/>
            <w:hideMark/>
          </w:tcPr>
          <w:p w14:paraId="508E133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2 523</w:t>
            </w:r>
          </w:p>
        </w:tc>
        <w:tc>
          <w:tcPr>
            <w:tcW w:w="766" w:type="dxa"/>
            <w:tcBorders>
              <w:top w:val="nil"/>
              <w:left w:val="nil"/>
              <w:bottom w:val="single" w:sz="4" w:space="0" w:color="auto"/>
              <w:right w:val="single" w:sz="4" w:space="0" w:color="auto"/>
            </w:tcBorders>
            <w:noWrap/>
            <w:vAlign w:val="bottom"/>
            <w:hideMark/>
          </w:tcPr>
          <w:p w14:paraId="7584AF0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505</w:t>
            </w:r>
          </w:p>
        </w:tc>
        <w:tc>
          <w:tcPr>
            <w:tcW w:w="804" w:type="dxa"/>
            <w:tcBorders>
              <w:top w:val="nil"/>
              <w:left w:val="nil"/>
              <w:bottom w:val="single" w:sz="4" w:space="0" w:color="auto"/>
              <w:right w:val="single" w:sz="4" w:space="0" w:color="auto"/>
            </w:tcBorders>
            <w:noWrap/>
            <w:vAlign w:val="bottom"/>
            <w:hideMark/>
          </w:tcPr>
          <w:p w14:paraId="7E3C5FC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454</w:t>
            </w:r>
          </w:p>
        </w:tc>
        <w:tc>
          <w:tcPr>
            <w:tcW w:w="850" w:type="dxa"/>
            <w:tcBorders>
              <w:top w:val="nil"/>
              <w:left w:val="nil"/>
              <w:bottom w:val="single" w:sz="4" w:space="0" w:color="auto"/>
              <w:right w:val="single" w:sz="4" w:space="0" w:color="auto"/>
            </w:tcBorders>
            <w:noWrap/>
            <w:vAlign w:val="bottom"/>
            <w:hideMark/>
          </w:tcPr>
          <w:p w14:paraId="6D3388B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91</w:t>
            </w:r>
          </w:p>
        </w:tc>
      </w:tr>
      <w:tr w:rsidR="002C206D" w:rsidRPr="009201C8" w14:paraId="3FCE3810"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62283DBF"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roofErr w:type="spellStart"/>
            <w:r w:rsidRPr="009201C8">
              <w:rPr>
                <w:rFonts w:asciiTheme="minorHAnsi" w:hAnsiTheme="minorHAnsi" w:cstheme="minorHAnsi"/>
                <w:color w:val="000000"/>
                <w:sz w:val="20"/>
                <w:lang w:val="en-US"/>
              </w:rPr>
              <w:t>Transferuri</w:t>
            </w:r>
            <w:proofErr w:type="spellEnd"/>
          </w:p>
        </w:tc>
        <w:tc>
          <w:tcPr>
            <w:tcW w:w="491" w:type="dxa"/>
            <w:tcBorders>
              <w:top w:val="nil"/>
              <w:left w:val="nil"/>
              <w:bottom w:val="single" w:sz="4" w:space="0" w:color="auto"/>
              <w:right w:val="single" w:sz="4" w:space="0" w:color="auto"/>
            </w:tcBorders>
            <w:vAlign w:val="center"/>
            <w:hideMark/>
          </w:tcPr>
          <w:p w14:paraId="3CD5B39C"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6D583EB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w:t>
            </w:r>
          </w:p>
        </w:tc>
        <w:tc>
          <w:tcPr>
            <w:tcW w:w="766" w:type="dxa"/>
            <w:tcBorders>
              <w:top w:val="nil"/>
              <w:left w:val="nil"/>
              <w:bottom w:val="single" w:sz="4" w:space="0" w:color="auto"/>
              <w:right w:val="single" w:sz="4" w:space="0" w:color="auto"/>
            </w:tcBorders>
            <w:noWrap/>
            <w:vAlign w:val="bottom"/>
            <w:hideMark/>
          </w:tcPr>
          <w:p w14:paraId="6D6BB50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w:t>
            </w:r>
          </w:p>
        </w:tc>
        <w:tc>
          <w:tcPr>
            <w:tcW w:w="988" w:type="dxa"/>
            <w:tcBorders>
              <w:top w:val="nil"/>
              <w:left w:val="nil"/>
              <w:bottom w:val="single" w:sz="4" w:space="0" w:color="auto"/>
              <w:right w:val="single" w:sz="4" w:space="0" w:color="auto"/>
            </w:tcBorders>
            <w:noWrap/>
            <w:vAlign w:val="bottom"/>
            <w:hideMark/>
          </w:tcPr>
          <w:p w14:paraId="580D65D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1509239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38" w:type="dxa"/>
            <w:tcBorders>
              <w:top w:val="nil"/>
              <w:left w:val="nil"/>
              <w:bottom w:val="single" w:sz="4" w:space="0" w:color="auto"/>
              <w:right w:val="single" w:sz="4" w:space="0" w:color="auto"/>
            </w:tcBorders>
            <w:noWrap/>
            <w:vAlign w:val="bottom"/>
            <w:hideMark/>
          </w:tcPr>
          <w:p w14:paraId="1AA7A8C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2D01DDD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3BA83FE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w:t>
            </w:r>
          </w:p>
        </w:tc>
        <w:tc>
          <w:tcPr>
            <w:tcW w:w="766" w:type="dxa"/>
            <w:tcBorders>
              <w:top w:val="nil"/>
              <w:left w:val="nil"/>
              <w:bottom w:val="single" w:sz="4" w:space="0" w:color="auto"/>
              <w:right w:val="single" w:sz="4" w:space="0" w:color="auto"/>
            </w:tcBorders>
            <w:noWrap/>
            <w:vAlign w:val="bottom"/>
            <w:hideMark/>
          </w:tcPr>
          <w:p w14:paraId="40A8164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w:t>
            </w:r>
          </w:p>
        </w:tc>
        <w:tc>
          <w:tcPr>
            <w:tcW w:w="804" w:type="dxa"/>
            <w:tcBorders>
              <w:top w:val="nil"/>
              <w:left w:val="nil"/>
              <w:bottom w:val="single" w:sz="4" w:space="0" w:color="auto"/>
              <w:right w:val="single" w:sz="4" w:space="0" w:color="auto"/>
            </w:tcBorders>
            <w:noWrap/>
            <w:vAlign w:val="bottom"/>
            <w:hideMark/>
          </w:tcPr>
          <w:p w14:paraId="0B6B4C5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2E5CF92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3FF3CEF9"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654985D1"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509F921E"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14B5780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w:t>
            </w:r>
          </w:p>
        </w:tc>
        <w:tc>
          <w:tcPr>
            <w:tcW w:w="766" w:type="dxa"/>
            <w:tcBorders>
              <w:top w:val="nil"/>
              <w:left w:val="nil"/>
              <w:bottom w:val="single" w:sz="4" w:space="0" w:color="auto"/>
              <w:right w:val="single" w:sz="4" w:space="0" w:color="auto"/>
            </w:tcBorders>
            <w:noWrap/>
            <w:vAlign w:val="bottom"/>
            <w:hideMark/>
          </w:tcPr>
          <w:p w14:paraId="10CA199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w:t>
            </w:r>
          </w:p>
        </w:tc>
        <w:tc>
          <w:tcPr>
            <w:tcW w:w="988" w:type="dxa"/>
            <w:tcBorders>
              <w:top w:val="nil"/>
              <w:left w:val="nil"/>
              <w:bottom w:val="single" w:sz="4" w:space="0" w:color="auto"/>
              <w:right w:val="single" w:sz="4" w:space="0" w:color="auto"/>
            </w:tcBorders>
            <w:noWrap/>
            <w:vAlign w:val="bottom"/>
            <w:hideMark/>
          </w:tcPr>
          <w:p w14:paraId="3445153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594BCAE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38" w:type="dxa"/>
            <w:tcBorders>
              <w:top w:val="nil"/>
              <w:left w:val="nil"/>
              <w:bottom w:val="single" w:sz="4" w:space="0" w:color="auto"/>
              <w:right w:val="single" w:sz="4" w:space="0" w:color="auto"/>
            </w:tcBorders>
            <w:noWrap/>
            <w:vAlign w:val="bottom"/>
            <w:hideMark/>
          </w:tcPr>
          <w:p w14:paraId="4BB2E2C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28B3636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04F9689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w:t>
            </w:r>
          </w:p>
        </w:tc>
        <w:tc>
          <w:tcPr>
            <w:tcW w:w="766" w:type="dxa"/>
            <w:tcBorders>
              <w:top w:val="nil"/>
              <w:left w:val="nil"/>
              <w:bottom w:val="single" w:sz="4" w:space="0" w:color="auto"/>
              <w:right w:val="single" w:sz="4" w:space="0" w:color="auto"/>
            </w:tcBorders>
            <w:noWrap/>
            <w:vAlign w:val="bottom"/>
            <w:hideMark/>
          </w:tcPr>
          <w:p w14:paraId="6F2D701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w:t>
            </w:r>
          </w:p>
        </w:tc>
        <w:tc>
          <w:tcPr>
            <w:tcW w:w="804" w:type="dxa"/>
            <w:tcBorders>
              <w:top w:val="nil"/>
              <w:left w:val="nil"/>
              <w:bottom w:val="single" w:sz="4" w:space="0" w:color="auto"/>
              <w:right w:val="single" w:sz="4" w:space="0" w:color="auto"/>
            </w:tcBorders>
            <w:noWrap/>
            <w:vAlign w:val="bottom"/>
            <w:hideMark/>
          </w:tcPr>
          <w:p w14:paraId="3D3143D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26059A0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38D43990"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0757EFAA" w14:textId="77777777" w:rsidR="002C206D" w:rsidRPr="009201C8" w:rsidRDefault="002C206D" w:rsidP="009201C8">
            <w:pPr>
              <w:spacing w:line="256" w:lineRule="auto"/>
              <w:ind w:left="-117" w:right="-45"/>
              <w:rPr>
                <w:rFonts w:asciiTheme="minorHAnsi" w:hAnsiTheme="minorHAnsi" w:cstheme="minorHAnsi"/>
                <w:color w:val="000000"/>
                <w:sz w:val="20"/>
                <w:lang w:val="en-US"/>
              </w:rPr>
            </w:pPr>
            <w:r w:rsidRPr="009201C8">
              <w:rPr>
                <w:rFonts w:asciiTheme="minorHAnsi" w:hAnsiTheme="minorHAnsi" w:cstheme="minorHAnsi"/>
                <w:color w:val="000000"/>
                <w:sz w:val="20"/>
                <w:lang w:val="en-US"/>
              </w:rPr>
              <w:t xml:space="preserve">Alte </w:t>
            </w:r>
            <w:proofErr w:type="spellStart"/>
            <w:r w:rsidRPr="009201C8">
              <w:rPr>
                <w:rFonts w:asciiTheme="minorHAnsi" w:hAnsiTheme="minorHAnsi" w:cstheme="minorHAnsi"/>
                <w:color w:val="000000"/>
                <w:sz w:val="20"/>
                <w:lang w:val="en-US"/>
              </w:rPr>
              <w:t>transferuri</w:t>
            </w:r>
            <w:proofErr w:type="spellEnd"/>
          </w:p>
        </w:tc>
        <w:tc>
          <w:tcPr>
            <w:tcW w:w="491" w:type="dxa"/>
            <w:tcBorders>
              <w:top w:val="nil"/>
              <w:left w:val="nil"/>
              <w:bottom w:val="single" w:sz="4" w:space="0" w:color="auto"/>
              <w:right w:val="single" w:sz="4" w:space="0" w:color="auto"/>
            </w:tcBorders>
            <w:vAlign w:val="center"/>
            <w:hideMark/>
          </w:tcPr>
          <w:p w14:paraId="539211FE"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25C910D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52</w:t>
            </w:r>
          </w:p>
        </w:tc>
        <w:tc>
          <w:tcPr>
            <w:tcW w:w="766" w:type="dxa"/>
            <w:tcBorders>
              <w:top w:val="nil"/>
              <w:left w:val="nil"/>
              <w:bottom w:val="single" w:sz="4" w:space="0" w:color="auto"/>
              <w:right w:val="single" w:sz="4" w:space="0" w:color="auto"/>
            </w:tcBorders>
            <w:noWrap/>
            <w:vAlign w:val="bottom"/>
            <w:hideMark/>
          </w:tcPr>
          <w:p w14:paraId="2D97101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10</w:t>
            </w:r>
          </w:p>
        </w:tc>
        <w:tc>
          <w:tcPr>
            <w:tcW w:w="988" w:type="dxa"/>
            <w:tcBorders>
              <w:top w:val="nil"/>
              <w:left w:val="nil"/>
              <w:bottom w:val="single" w:sz="4" w:space="0" w:color="auto"/>
              <w:right w:val="single" w:sz="4" w:space="0" w:color="auto"/>
            </w:tcBorders>
            <w:noWrap/>
            <w:vAlign w:val="bottom"/>
            <w:hideMark/>
          </w:tcPr>
          <w:p w14:paraId="17505CD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850" w:type="dxa"/>
            <w:tcBorders>
              <w:top w:val="nil"/>
              <w:left w:val="nil"/>
              <w:bottom w:val="single" w:sz="4" w:space="0" w:color="auto"/>
              <w:right w:val="single" w:sz="4" w:space="0" w:color="auto"/>
            </w:tcBorders>
            <w:noWrap/>
            <w:vAlign w:val="bottom"/>
            <w:hideMark/>
          </w:tcPr>
          <w:p w14:paraId="0106062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w:t>
            </w:r>
          </w:p>
        </w:tc>
        <w:tc>
          <w:tcPr>
            <w:tcW w:w="838" w:type="dxa"/>
            <w:tcBorders>
              <w:top w:val="nil"/>
              <w:left w:val="nil"/>
              <w:bottom w:val="single" w:sz="4" w:space="0" w:color="auto"/>
              <w:right w:val="single" w:sz="4" w:space="0" w:color="auto"/>
            </w:tcBorders>
            <w:noWrap/>
            <w:vAlign w:val="bottom"/>
            <w:hideMark/>
          </w:tcPr>
          <w:p w14:paraId="5F262D6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56A7B2B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7A7FD89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766" w:type="dxa"/>
            <w:tcBorders>
              <w:top w:val="nil"/>
              <w:left w:val="nil"/>
              <w:bottom w:val="single" w:sz="4" w:space="0" w:color="auto"/>
              <w:right w:val="single" w:sz="4" w:space="0" w:color="auto"/>
            </w:tcBorders>
            <w:noWrap/>
            <w:vAlign w:val="bottom"/>
            <w:hideMark/>
          </w:tcPr>
          <w:p w14:paraId="15A4147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w:t>
            </w:r>
          </w:p>
        </w:tc>
        <w:tc>
          <w:tcPr>
            <w:tcW w:w="804" w:type="dxa"/>
            <w:tcBorders>
              <w:top w:val="nil"/>
              <w:left w:val="nil"/>
              <w:bottom w:val="single" w:sz="4" w:space="0" w:color="auto"/>
              <w:right w:val="single" w:sz="4" w:space="0" w:color="auto"/>
            </w:tcBorders>
            <w:noWrap/>
            <w:vAlign w:val="bottom"/>
            <w:hideMark/>
          </w:tcPr>
          <w:p w14:paraId="52B1A7F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04868CC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55AB6647"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40B11FC8"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661D06A8"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0295546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52</w:t>
            </w:r>
          </w:p>
        </w:tc>
        <w:tc>
          <w:tcPr>
            <w:tcW w:w="766" w:type="dxa"/>
            <w:tcBorders>
              <w:top w:val="nil"/>
              <w:left w:val="nil"/>
              <w:bottom w:val="single" w:sz="4" w:space="0" w:color="auto"/>
              <w:right w:val="single" w:sz="4" w:space="0" w:color="auto"/>
            </w:tcBorders>
            <w:noWrap/>
            <w:vAlign w:val="bottom"/>
            <w:hideMark/>
          </w:tcPr>
          <w:p w14:paraId="35D44A3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10</w:t>
            </w:r>
          </w:p>
        </w:tc>
        <w:tc>
          <w:tcPr>
            <w:tcW w:w="988" w:type="dxa"/>
            <w:tcBorders>
              <w:top w:val="nil"/>
              <w:left w:val="nil"/>
              <w:bottom w:val="single" w:sz="4" w:space="0" w:color="auto"/>
              <w:right w:val="single" w:sz="4" w:space="0" w:color="auto"/>
            </w:tcBorders>
            <w:noWrap/>
            <w:vAlign w:val="bottom"/>
            <w:hideMark/>
          </w:tcPr>
          <w:p w14:paraId="2C30D6F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850" w:type="dxa"/>
            <w:tcBorders>
              <w:top w:val="nil"/>
              <w:left w:val="nil"/>
              <w:bottom w:val="single" w:sz="4" w:space="0" w:color="auto"/>
              <w:right w:val="single" w:sz="4" w:space="0" w:color="auto"/>
            </w:tcBorders>
            <w:noWrap/>
            <w:vAlign w:val="bottom"/>
            <w:hideMark/>
          </w:tcPr>
          <w:p w14:paraId="68B2785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w:t>
            </w:r>
          </w:p>
        </w:tc>
        <w:tc>
          <w:tcPr>
            <w:tcW w:w="838" w:type="dxa"/>
            <w:tcBorders>
              <w:top w:val="nil"/>
              <w:left w:val="nil"/>
              <w:bottom w:val="single" w:sz="4" w:space="0" w:color="auto"/>
              <w:right w:val="single" w:sz="4" w:space="0" w:color="auto"/>
            </w:tcBorders>
            <w:noWrap/>
            <w:vAlign w:val="bottom"/>
            <w:hideMark/>
          </w:tcPr>
          <w:p w14:paraId="21BED86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3180AF8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30D9914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766" w:type="dxa"/>
            <w:tcBorders>
              <w:top w:val="nil"/>
              <w:left w:val="nil"/>
              <w:bottom w:val="single" w:sz="4" w:space="0" w:color="auto"/>
              <w:right w:val="single" w:sz="4" w:space="0" w:color="auto"/>
            </w:tcBorders>
            <w:noWrap/>
            <w:vAlign w:val="bottom"/>
            <w:hideMark/>
          </w:tcPr>
          <w:p w14:paraId="25A7FB9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w:t>
            </w:r>
          </w:p>
        </w:tc>
        <w:tc>
          <w:tcPr>
            <w:tcW w:w="804" w:type="dxa"/>
            <w:tcBorders>
              <w:top w:val="nil"/>
              <w:left w:val="nil"/>
              <w:bottom w:val="single" w:sz="4" w:space="0" w:color="auto"/>
              <w:right w:val="single" w:sz="4" w:space="0" w:color="auto"/>
            </w:tcBorders>
            <w:noWrap/>
            <w:vAlign w:val="bottom"/>
            <w:hideMark/>
          </w:tcPr>
          <w:p w14:paraId="386C51D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2E8C412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24984AC3"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2B7FA316" w14:textId="77777777" w:rsidR="002C206D" w:rsidRPr="00261D6B" w:rsidRDefault="002C206D" w:rsidP="009201C8">
            <w:pPr>
              <w:spacing w:line="256" w:lineRule="auto"/>
              <w:ind w:left="-117" w:right="-45"/>
              <w:rPr>
                <w:rFonts w:asciiTheme="minorHAnsi" w:hAnsiTheme="minorHAnsi" w:cstheme="minorHAnsi"/>
                <w:color w:val="000000"/>
                <w:sz w:val="20"/>
                <w:lang w:val="fr-FR"/>
              </w:rPr>
            </w:pPr>
            <w:proofErr w:type="spellStart"/>
            <w:r w:rsidRPr="00261D6B">
              <w:rPr>
                <w:rFonts w:asciiTheme="minorHAnsi" w:hAnsiTheme="minorHAnsi" w:cstheme="minorHAnsi"/>
                <w:color w:val="000000"/>
                <w:sz w:val="20"/>
                <w:lang w:val="fr-FR"/>
              </w:rPr>
              <w:t>Proiecte</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cu</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finanțare</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din</w:t>
            </w:r>
            <w:proofErr w:type="spellEnd"/>
            <w:r w:rsidRPr="00261D6B">
              <w:rPr>
                <w:rFonts w:asciiTheme="minorHAnsi" w:hAnsiTheme="minorHAnsi" w:cstheme="minorHAnsi"/>
                <w:color w:val="000000"/>
                <w:sz w:val="20"/>
                <w:lang w:val="fr-FR"/>
              </w:rPr>
              <w:t xml:space="preserve"> FEN </w:t>
            </w:r>
            <w:proofErr w:type="spellStart"/>
            <w:r w:rsidRPr="00261D6B">
              <w:rPr>
                <w:rFonts w:asciiTheme="minorHAnsi" w:hAnsiTheme="minorHAnsi" w:cstheme="minorHAnsi"/>
                <w:color w:val="000000"/>
                <w:sz w:val="20"/>
                <w:lang w:val="fr-FR"/>
              </w:rPr>
              <w:t>postaderare</w:t>
            </w:r>
            <w:proofErr w:type="spellEnd"/>
          </w:p>
        </w:tc>
        <w:tc>
          <w:tcPr>
            <w:tcW w:w="491" w:type="dxa"/>
            <w:tcBorders>
              <w:top w:val="nil"/>
              <w:left w:val="nil"/>
              <w:bottom w:val="single" w:sz="4" w:space="0" w:color="auto"/>
              <w:right w:val="single" w:sz="4" w:space="0" w:color="auto"/>
            </w:tcBorders>
            <w:vAlign w:val="center"/>
            <w:hideMark/>
          </w:tcPr>
          <w:p w14:paraId="5AA04F0B"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530540D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noWrap/>
            <w:vAlign w:val="bottom"/>
            <w:hideMark/>
          </w:tcPr>
          <w:p w14:paraId="0B95953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8" w:type="dxa"/>
            <w:tcBorders>
              <w:top w:val="nil"/>
              <w:left w:val="nil"/>
              <w:bottom w:val="single" w:sz="4" w:space="0" w:color="auto"/>
              <w:right w:val="single" w:sz="4" w:space="0" w:color="auto"/>
            </w:tcBorders>
            <w:noWrap/>
            <w:vAlign w:val="bottom"/>
            <w:hideMark/>
          </w:tcPr>
          <w:p w14:paraId="048ACE7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5C1EFFB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38" w:type="dxa"/>
            <w:tcBorders>
              <w:top w:val="nil"/>
              <w:left w:val="nil"/>
              <w:bottom w:val="single" w:sz="4" w:space="0" w:color="auto"/>
              <w:right w:val="single" w:sz="4" w:space="0" w:color="auto"/>
            </w:tcBorders>
            <w:noWrap/>
            <w:vAlign w:val="bottom"/>
            <w:hideMark/>
          </w:tcPr>
          <w:p w14:paraId="2C443B6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50A80CA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59F93C0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noWrap/>
            <w:vAlign w:val="bottom"/>
            <w:hideMark/>
          </w:tcPr>
          <w:p w14:paraId="4980B39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04" w:type="dxa"/>
            <w:tcBorders>
              <w:top w:val="nil"/>
              <w:left w:val="nil"/>
              <w:bottom w:val="single" w:sz="4" w:space="0" w:color="auto"/>
              <w:right w:val="single" w:sz="4" w:space="0" w:color="auto"/>
            </w:tcBorders>
            <w:noWrap/>
            <w:vAlign w:val="bottom"/>
            <w:hideMark/>
          </w:tcPr>
          <w:p w14:paraId="69762934"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7517941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09FF1BBD"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0178D49D"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1381403D"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608A164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noWrap/>
            <w:vAlign w:val="bottom"/>
            <w:hideMark/>
          </w:tcPr>
          <w:p w14:paraId="2C85E7B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8" w:type="dxa"/>
            <w:tcBorders>
              <w:top w:val="nil"/>
              <w:left w:val="nil"/>
              <w:bottom w:val="single" w:sz="4" w:space="0" w:color="auto"/>
              <w:right w:val="single" w:sz="4" w:space="0" w:color="auto"/>
            </w:tcBorders>
            <w:noWrap/>
            <w:vAlign w:val="bottom"/>
            <w:hideMark/>
          </w:tcPr>
          <w:p w14:paraId="28173CE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1E89746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38" w:type="dxa"/>
            <w:tcBorders>
              <w:top w:val="nil"/>
              <w:left w:val="nil"/>
              <w:bottom w:val="single" w:sz="4" w:space="0" w:color="auto"/>
              <w:right w:val="single" w:sz="4" w:space="0" w:color="auto"/>
            </w:tcBorders>
            <w:noWrap/>
            <w:vAlign w:val="bottom"/>
            <w:hideMark/>
          </w:tcPr>
          <w:p w14:paraId="1A43ED5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3AF3D1A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36BDF6D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noWrap/>
            <w:vAlign w:val="bottom"/>
            <w:hideMark/>
          </w:tcPr>
          <w:p w14:paraId="30B3586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04" w:type="dxa"/>
            <w:tcBorders>
              <w:top w:val="nil"/>
              <w:left w:val="nil"/>
              <w:bottom w:val="single" w:sz="4" w:space="0" w:color="auto"/>
              <w:right w:val="single" w:sz="4" w:space="0" w:color="auto"/>
            </w:tcBorders>
            <w:noWrap/>
            <w:vAlign w:val="bottom"/>
            <w:hideMark/>
          </w:tcPr>
          <w:p w14:paraId="6B53D13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098D3A3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48627239"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1AD7C747" w14:textId="77777777" w:rsidR="002C206D" w:rsidRPr="00261D6B" w:rsidRDefault="002C206D" w:rsidP="009201C8">
            <w:pPr>
              <w:spacing w:line="256" w:lineRule="auto"/>
              <w:ind w:left="-117" w:right="-45"/>
              <w:rPr>
                <w:rFonts w:asciiTheme="minorHAnsi" w:hAnsiTheme="minorHAnsi" w:cstheme="minorHAnsi"/>
                <w:color w:val="000000"/>
                <w:sz w:val="20"/>
                <w:lang w:val="fr-FR"/>
              </w:rPr>
            </w:pPr>
            <w:proofErr w:type="spellStart"/>
            <w:r w:rsidRPr="00261D6B">
              <w:rPr>
                <w:rFonts w:asciiTheme="minorHAnsi" w:hAnsiTheme="minorHAnsi" w:cstheme="minorHAnsi"/>
                <w:color w:val="000000"/>
                <w:sz w:val="20"/>
                <w:lang w:val="fr-FR"/>
              </w:rPr>
              <w:t>Proiecte</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cu</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finanțare</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din</w:t>
            </w:r>
            <w:proofErr w:type="spellEnd"/>
            <w:r w:rsidRPr="00261D6B">
              <w:rPr>
                <w:rFonts w:asciiTheme="minorHAnsi" w:hAnsiTheme="minorHAnsi" w:cstheme="minorHAnsi"/>
                <w:color w:val="000000"/>
                <w:sz w:val="20"/>
                <w:lang w:val="fr-FR"/>
              </w:rPr>
              <w:t xml:space="preserve"> FEN </w:t>
            </w:r>
            <w:proofErr w:type="spellStart"/>
            <w:r w:rsidRPr="00261D6B">
              <w:rPr>
                <w:rFonts w:asciiTheme="minorHAnsi" w:hAnsiTheme="minorHAnsi" w:cstheme="minorHAnsi"/>
                <w:color w:val="000000"/>
                <w:sz w:val="20"/>
                <w:lang w:val="fr-FR"/>
              </w:rPr>
              <w:t>aferente</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cadrului</w:t>
            </w:r>
            <w:proofErr w:type="spellEnd"/>
            <w:r w:rsidRPr="00261D6B">
              <w:rPr>
                <w:rFonts w:asciiTheme="minorHAnsi" w:hAnsiTheme="minorHAnsi" w:cstheme="minorHAnsi"/>
                <w:color w:val="000000"/>
                <w:sz w:val="20"/>
                <w:lang w:val="fr-FR"/>
              </w:rPr>
              <w:t xml:space="preserve"> </w:t>
            </w:r>
            <w:proofErr w:type="spellStart"/>
            <w:r w:rsidRPr="00261D6B">
              <w:rPr>
                <w:rFonts w:asciiTheme="minorHAnsi" w:hAnsiTheme="minorHAnsi" w:cstheme="minorHAnsi"/>
                <w:color w:val="000000"/>
                <w:sz w:val="20"/>
                <w:lang w:val="fr-FR"/>
              </w:rPr>
              <w:t>financiar</w:t>
            </w:r>
            <w:proofErr w:type="spellEnd"/>
            <w:r w:rsidRPr="00261D6B">
              <w:rPr>
                <w:rFonts w:asciiTheme="minorHAnsi" w:hAnsiTheme="minorHAnsi" w:cstheme="minorHAnsi"/>
                <w:color w:val="000000"/>
                <w:sz w:val="20"/>
                <w:lang w:val="fr-FR"/>
              </w:rPr>
              <w:t xml:space="preserve"> 2014-2020</w:t>
            </w:r>
          </w:p>
        </w:tc>
        <w:tc>
          <w:tcPr>
            <w:tcW w:w="491" w:type="dxa"/>
            <w:tcBorders>
              <w:top w:val="nil"/>
              <w:left w:val="nil"/>
              <w:bottom w:val="single" w:sz="4" w:space="0" w:color="auto"/>
              <w:right w:val="single" w:sz="4" w:space="0" w:color="auto"/>
            </w:tcBorders>
            <w:vAlign w:val="center"/>
            <w:hideMark/>
          </w:tcPr>
          <w:p w14:paraId="6304A94F"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44E0369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43 260</w:t>
            </w:r>
          </w:p>
        </w:tc>
        <w:tc>
          <w:tcPr>
            <w:tcW w:w="766" w:type="dxa"/>
            <w:tcBorders>
              <w:top w:val="nil"/>
              <w:left w:val="nil"/>
              <w:bottom w:val="single" w:sz="4" w:space="0" w:color="auto"/>
              <w:right w:val="single" w:sz="4" w:space="0" w:color="auto"/>
            </w:tcBorders>
            <w:noWrap/>
            <w:vAlign w:val="bottom"/>
            <w:hideMark/>
          </w:tcPr>
          <w:p w14:paraId="689AC7C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8 612</w:t>
            </w:r>
          </w:p>
        </w:tc>
        <w:tc>
          <w:tcPr>
            <w:tcW w:w="988" w:type="dxa"/>
            <w:tcBorders>
              <w:top w:val="nil"/>
              <w:left w:val="nil"/>
              <w:bottom w:val="single" w:sz="4" w:space="0" w:color="auto"/>
              <w:right w:val="single" w:sz="4" w:space="0" w:color="auto"/>
            </w:tcBorders>
            <w:noWrap/>
            <w:vAlign w:val="bottom"/>
            <w:hideMark/>
          </w:tcPr>
          <w:p w14:paraId="14EEC20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40 276</w:t>
            </w:r>
          </w:p>
        </w:tc>
        <w:tc>
          <w:tcPr>
            <w:tcW w:w="850" w:type="dxa"/>
            <w:tcBorders>
              <w:top w:val="nil"/>
              <w:left w:val="nil"/>
              <w:bottom w:val="single" w:sz="4" w:space="0" w:color="auto"/>
              <w:right w:val="single" w:sz="4" w:space="0" w:color="auto"/>
            </w:tcBorders>
            <w:noWrap/>
            <w:vAlign w:val="bottom"/>
            <w:hideMark/>
          </w:tcPr>
          <w:p w14:paraId="2695A0B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8 055</w:t>
            </w:r>
          </w:p>
        </w:tc>
        <w:tc>
          <w:tcPr>
            <w:tcW w:w="838" w:type="dxa"/>
            <w:tcBorders>
              <w:top w:val="nil"/>
              <w:left w:val="nil"/>
              <w:bottom w:val="single" w:sz="4" w:space="0" w:color="auto"/>
              <w:right w:val="single" w:sz="4" w:space="0" w:color="auto"/>
            </w:tcBorders>
            <w:noWrap/>
            <w:vAlign w:val="bottom"/>
            <w:hideMark/>
          </w:tcPr>
          <w:p w14:paraId="55436C1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196</w:t>
            </w:r>
          </w:p>
        </w:tc>
        <w:tc>
          <w:tcPr>
            <w:tcW w:w="863" w:type="dxa"/>
            <w:tcBorders>
              <w:top w:val="nil"/>
              <w:left w:val="nil"/>
              <w:bottom w:val="single" w:sz="4" w:space="0" w:color="auto"/>
              <w:right w:val="single" w:sz="4" w:space="0" w:color="auto"/>
            </w:tcBorders>
            <w:noWrap/>
            <w:vAlign w:val="bottom"/>
            <w:hideMark/>
          </w:tcPr>
          <w:p w14:paraId="16967F8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w:t>
            </w:r>
          </w:p>
        </w:tc>
        <w:tc>
          <w:tcPr>
            <w:tcW w:w="982" w:type="dxa"/>
            <w:tcBorders>
              <w:top w:val="nil"/>
              <w:left w:val="nil"/>
              <w:bottom w:val="single" w:sz="4" w:space="0" w:color="auto"/>
              <w:right w:val="single" w:sz="4" w:space="0" w:color="auto"/>
            </w:tcBorders>
            <w:noWrap/>
            <w:vAlign w:val="bottom"/>
            <w:hideMark/>
          </w:tcPr>
          <w:p w14:paraId="26A646D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1 997</w:t>
            </w:r>
          </w:p>
        </w:tc>
        <w:tc>
          <w:tcPr>
            <w:tcW w:w="766" w:type="dxa"/>
            <w:tcBorders>
              <w:top w:val="nil"/>
              <w:left w:val="nil"/>
              <w:bottom w:val="single" w:sz="4" w:space="0" w:color="auto"/>
              <w:right w:val="single" w:sz="4" w:space="0" w:color="auto"/>
            </w:tcBorders>
            <w:noWrap/>
            <w:vAlign w:val="bottom"/>
            <w:hideMark/>
          </w:tcPr>
          <w:p w14:paraId="53F86AD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399</w:t>
            </w:r>
          </w:p>
        </w:tc>
        <w:tc>
          <w:tcPr>
            <w:tcW w:w="804" w:type="dxa"/>
            <w:tcBorders>
              <w:top w:val="nil"/>
              <w:left w:val="nil"/>
              <w:bottom w:val="single" w:sz="4" w:space="0" w:color="auto"/>
              <w:right w:val="single" w:sz="4" w:space="0" w:color="auto"/>
            </w:tcBorders>
            <w:noWrap/>
            <w:vAlign w:val="bottom"/>
            <w:hideMark/>
          </w:tcPr>
          <w:p w14:paraId="7C269D0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791</w:t>
            </w:r>
          </w:p>
        </w:tc>
        <w:tc>
          <w:tcPr>
            <w:tcW w:w="850" w:type="dxa"/>
            <w:tcBorders>
              <w:top w:val="nil"/>
              <w:left w:val="nil"/>
              <w:bottom w:val="single" w:sz="4" w:space="0" w:color="auto"/>
              <w:right w:val="single" w:sz="4" w:space="0" w:color="auto"/>
            </w:tcBorders>
            <w:noWrap/>
            <w:vAlign w:val="bottom"/>
            <w:hideMark/>
          </w:tcPr>
          <w:p w14:paraId="706406B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158</w:t>
            </w:r>
          </w:p>
        </w:tc>
      </w:tr>
      <w:tr w:rsidR="002C206D" w:rsidRPr="009201C8" w14:paraId="1DB06060"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03C4C329"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2E7FB631"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747D356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66 883</w:t>
            </w:r>
          </w:p>
        </w:tc>
        <w:tc>
          <w:tcPr>
            <w:tcW w:w="766" w:type="dxa"/>
            <w:tcBorders>
              <w:top w:val="nil"/>
              <w:left w:val="nil"/>
              <w:bottom w:val="single" w:sz="4" w:space="0" w:color="auto"/>
              <w:right w:val="single" w:sz="4" w:space="0" w:color="auto"/>
            </w:tcBorders>
            <w:noWrap/>
            <w:vAlign w:val="bottom"/>
            <w:hideMark/>
          </w:tcPr>
          <w:p w14:paraId="02770585" w14:textId="77777777" w:rsidR="002C206D" w:rsidRPr="009201C8" w:rsidRDefault="002C206D" w:rsidP="009201C8">
            <w:pPr>
              <w:spacing w:line="256" w:lineRule="auto"/>
              <w:ind w:left="-51"/>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13 337</w:t>
            </w:r>
          </w:p>
        </w:tc>
        <w:tc>
          <w:tcPr>
            <w:tcW w:w="988" w:type="dxa"/>
            <w:tcBorders>
              <w:top w:val="nil"/>
              <w:left w:val="nil"/>
              <w:bottom w:val="single" w:sz="4" w:space="0" w:color="auto"/>
              <w:right w:val="single" w:sz="4" w:space="0" w:color="auto"/>
            </w:tcBorders>
            <w:noWrap/>
            <w:vAlign w:val="bottom"/>
            <w:hideMark/>
          </w:tcPr>
          <w:p w14:paraId="2B1B62E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60 167</w:t>
            </w:r>
          </w:p>
        </w:tc>
        <w:tc>
          <w:tcPr>
            <w:tcW w:w="850" w:type="dxa"/>
            <w:tcBorders>
              <w:top w:val="nil"/>
              <w:left w:val="nil"/>
              <w:bottom w:val="single" w:sz="4" w:space="0" w:color="auto"/>
              <w:right w:val="single" w:sz="4" w:space="0" w:color="auto"/>
            </w:tcBorders>
            <w:noWrap/>
            <w:vAlign w:val="bottom"/>
            <w:hideMark/>
          </w:tcPr>
          <w:p w14:paraId="54AE42D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12 033</w:t>
            </w:r>
          </w:p>
        </w:tc>
        <w:tc>
          <w:tcPr>
            <w:tcW w:w="838" w:type="dxa"/>
            <w:tcBorders>
              <w:top w:val="nil"/>
              <w:left w:val="nil"/>
              <w:bottom w:val="single" w:sz="4" w:space="0" w:color="auto"/>
              <w:right w:val="single" w:sz="4" w:space="0" w:color="auto"/>
            </w:tcBorders>
            <w:noWrap/>
            <w:vAlign w:val="bottom"/>
            <w:hideMark/>
          </w:tcPr>
          <w:p w14:paraId="3C46F37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196</w:t>
            </w:r>
          </w:p>
        </w:tc>
        <w:tc>
          <w:tcPr>
            <w:tcW w:w="863" w:type="dxa"/>
            <w:tcBorders>
              <w:top w:val="nil"/>
              <w:left w:val="nil"/>
              <w:bottom w:val="single" w:sz="4" w:space="0" w:color="auto"/>
              <w:right w:val="single" w:sz="4" w:space="0" w:color="auto"/>
            </w:tcBorders>
            <w:noWrap/>
            <w:vAlign w:val="bottom"/>
            <w:hideMark/>
          </w:tcPr>
          <w:p w14:paraId="08F61EE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w:t>
            </w:r>
          </w:p>
        </w:tc>
        <w:tc>
          <w:tcPr>
            <w:tcW w:w="982" w:type="dxa"/>
            <w:tcBorders>
              <w:top w:val="nil"/>
              <w:left w:val="nil"/>
              <w:bottom w:val="single" w:sz="4" w:space="0" w:color="auto"/>
              <w:right w:val="single" w:sz="4" w:space="0" w:color="auto"/>
            </w:tcBorders>
            <w:noWrap/>
            <w:vAlign w:val="bottom"/>
            <w:hideMark/>
          </w:tcPr>
          <w:p w14:paraId="650B55A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4 036</w:t>
            </w:r>
          </w:p>
        </w:tc>
        <w:tc>
          <w:tcPr>
            <w:tcW w:w="766" w:type="dxa"/>
            <w:tcBorders>
              <w:top w:val="nil"/>
              <w:left w:val="nil"/>
              <w:bottom w:val="single" w:sz="4" w:space="0" w:color="auto"/>
              <w:right w:val="single" w:sz="4" w:space="0" w:color="auto"/>
            </w:tcBorders>
            <w:noWrap/>
            <w:vAlign w:val="bottom"/>
            <w:hideMark/>
          </w:tcPr>
          <w:p w14:paraId="7EE1150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807</w:t>
            </w:r>
          </w:p>
        </w:tc>
        <w:tc>
          <w:tcPr>
            <w:tcW w:w="804" w:type="dxa"/>
            <w:tcBorders>
              <w:top w:val="nil"/>
              <w:left w:val="nil"/>
              <w:bottom w:val="single" w:sz="4" w:space="0" w:color="auto"/>
              <w:right w:val="single" w:sz="4" w:space="0" w:color="auto"/>
            </w:tcBorders>
            <w:noWrap/>
            <w:vAlign w:val="bottom"/>
            <w:hideMark/>
          </w:tcPr>
          <w:p w14:paraId="1BF0539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2 484</w:t>
            </w:r>
          </w:p>
        </w:tc>
        <w:tc>
          <w:tcPr>
            <w:tcW w:w="850" w:type="dxa"/>
            <w:tcBorders>
              <w:top w:val="nil"/>
              <w:left w:val="nil"/>
              <w:bottom w:val="single" w:sz="4" w:space="0" w:color="auto"/>
              <w:right w:val="single" w:sz="4" w:space="0" w:color="auto"/>
            </w:tcBorders>
            <w:noWrap/>
            <w:vAlign w:val="bottom"/>
            <w:hideMark/>
          </w:tcPr>
          <w:p w14:paraId="6DC445A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497</w:t>
            </w:r>
          </w:p>
        </w:tc>
      </w:tr>
      <w:tr w:rsidR="002C206D" w:rsidRPr="009201C8" w14:paraId="52F43104"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126DF48E" w14:textId="77777777" w:rsidR="002C206D" w:rsidRPr="009201C8" w:rsidRDefault="002C206D" w:rsidP="009201C8">
            <w:pPr>
              <w:spacing w:line="256" w:lineRule="auto"/>
              <w:ind w:left="-117" w:right="-45"/>
              <w:rPr>
                <w:rFonts w:asciiTheme="minorHAnsi" w:hAnsiTheme="minorHAnsi" w:cstheme="minorHAnsi"/>
                <w:color w:val="000000"/>
                <w:sz w:val="20"/>
                <w:lang w:val="en-US"/>
              </w:rPr>
            </w:pPr>
            <w:r w:rsidRPr="009201C8">
              <w:rPr>
                <w:rFonts w:asciiTheme="minorHAnsi" w:hAnsiTheme="minorHAnsi" w:cstheme="minorHAnsi"/>
                <w:color w:val="000000"/>
                <w:sz w:val="20"/>
                <w:lang w:val="en-US"/>
              </w:rPr>
              <w:t xml:space="preserve">Alte </w:t>
            </w:r>
            <w:proofErr w:type="spellStart"/>
            <w:r w:rsidRPr="009201C8">
              <w:rPr>
                <w:rFonts w:asciiTheme="minorHAnsi" w:hAnsiTheme="minorHAnsi" w:cstheme="minorHAnsi"/>
                <w:color w:val="000000"/>
                <w:sz w:val="20"/>
                <w:lang w:val="en-US"/>
              </w:rPr>
              <w:t>cheltuieli</w:t>
            </w:r>
            <w:proofErr w:type="spellEnd"/>
          </w:p>
        </w:tc>
        <w:tc>
          <w:tcPr>
            <w:tcW w:w="491" w:type="dxa"/>
            <w:tcBorders>
              <w:top w:val="nil"/>
              <w:left w:val="nil"/>
              <w:bottom w:val="single" w:sz="4" w:space="0" w:color="auto"/>
              <w:right w:val="single" w:sz="4" w:space="0" w:color="auto"/>
            </w:tcBorders>
            <w:vAlign w:val="center"/>
            <w:hideMark/>
          </w:tcPr>
          <w:p w14:paraId="1F4BAF79"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35977E2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41 593</w:t>
            </w:r>
          </w:p>
        </w:tc>
        <w:tc>
          <w:tcPr>
            <w:tcW w:w="766" w:type="dxa"/>
            <w:tcBorders>
              <w:top w:val="nil"/>
              <w:left w:val="nil"/>
              <w:bottom w:val="single" w:sz="4" w:space="0" w:color="auto"/>
              <w:right w:val="single" w:sz="4" w:space="0" w:color="auto"/>
            </w:tcBorders>
            <w:noWrap/>
            <w:vAlign w:val="bottom"/>
            <w:hideMark/>
          </w:tcPr>
          <w:p w14:paraId="0FCFD67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8 293</w:t>
            </w:r>
          </w:p>
        </w:tc>
        <w:tc>
          <w:tcPr>
            <w:tcW w:w="988" w:type="dxa"/>
            <w:tcBorders>
              <w:top w:val="nil"/>
              <w:left w:val="nil"/>
              <w:bottom w:val="single" w:sz="4" w:space="0" w:color="auto"/>
              <w:right w:val="single" w:sz="4" w:space="0" w:color="auto"/>
            </w:tcBorders>
            <w:noWrap/>
            <w:vAlign w:val="bottom"/>
            <w:hideMark/>
          </w:tcPr>
          <w:p w14:paraId="3364735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1 903</w:t>
            </w:r>
          </w:p>
        </w:tc>
        <w:tc>
          <w:tcPr>
            <w:tcW w:w="850" w:type="dxa"/>
            <w:tcBorders>
              <w:top w:val="nil"/>
              <w:left w:val="nil"/>
              <w:bottom w:val="single" w:sz="4" w:space="0" w:color="auto"/>
              <w:right w:val="single" w:sz="4" w:space="0" w:color="auto"/>
            </w:tcBorders>
            <w:noWrap/>
            <w:vAlign w:val="bottom"/>
            <w:hideMark/>
          </w:tcPr>
          <w:p w14:paraId="2FA8D89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381</w:t>
            </w:r>
          </w:p>
        </w:tc>
        <w:tc>
          <w:tcPr>
            <w:tcW w:w="838" w:type="dxa"/>
            <w:tcBorders>
              <w:top w:val="nil"/>
              <w:left w:val="nil"/>
              <w:bottom w:val="single" w:sz="4" w:space="0" w:color="auto"/>
              <w:right w:val="single" w:sz="4" w:space="0" w:color="auto"/>
            </w:tcBorders>
            <w:noWrap/>
            <w:vAlign w:val="bottom"/>
            <w:hideMark/>
          </w:tcPr>
          <w:p w14:paraId="7B89335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130</w:t>
            </w:r>
          </w:p>
        </w:tc>
        <w:tc>
          <w:tcPr>
            <w:tcW w:w="863" w:type="dxa"/>
            <w:tcBorders>
              <w:top w:val="nil"/>
              <w:left w:val="nil"/>
              <w:bottom w:val="single" w:sz="4" w:space="0" w:color="auto"/>
              <w:right w:val="single" w:sz="4" w:space="0" w:color="auto"/>
            </w:tcBorders>
            <w:noWrap/>
            <w:vAlign w:val="bottom"/>
            <w:hideMark/>
          </w:tcPr>
          <w:p w14:paraId="5982F2A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982" w:type="dxa"/>
            <w:tcBorders>
              <w:top w:val="nil"/>
              <w:left w:val="nil"/>
              <w:bottom w:val="single" w:sz="4" w:space="0" w:color="auto"/>
              <w:right w:val="single" w:sz="4" w:space="0" w:color="auto"/>
            </w:tcBorders>
            <w:noWrap/>
            <w:vAlign w:val="bottom"/>
            <w:hideMark/>
          </w:tcPr>
          <w:p w14:paraId="0FA317E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38 285</w:t>
            </w:r>
          </w:p>
        </w:tc>
        <w:tc>
          <w:tcPr>
            <w:tcW w:w="766" w:type="dxa"/>
            <w:tcBorders>
              <w:top w:val="nil"/>
              <w:left w:val="nil"/>
              <w:bottom w:val="single" w:sz="4" w:space="0" w:color="auto"/>
              <w:right w:val="single" w:sz="4" w:space="0" w:color="auto"/>
            </w:tcBorders>
            <w:noWrap/>
            <w:vAlign w:val="bottom"/>
            <w:hideMark/>
          </w:tcPr>
          <w:p w14:paraId="7ED7E335"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7 657</w:t>
            </w:r>
          </w:p>
        </w:tc>
        <w:tc>
          <w:tcPr>
            <w:tcW w:w="804" w:type="dxa"/>
            <w:tcBorders>
              <w:top w:val="nil"/>
              <w:left w:val="nil"/>
              <w:bottom w:val="single" w:sz="4" w:space="0" w:color="auto"/>
              <w:right w:val="single" w:sz="4" w:space="0" w:color="auto"/>
            </w:tcBorders>
            <w:noWrap/>
            <w:vAlign w:val="bottom"/>
            <w:hideMark/>
          </w:tcPr>
          <w:p w14:paraId="3B346B9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1 275</w:t>
            </w:r>
          </w:p>
        </w:tc>
        <w:tc>
          <w:tcPr>
            <w:tcW w:w="850" w:type="dxa"/>
            <w:tcBorders>
              <w:top w:val="nil"/>
              <w:left w:val="nil"/>
              <w:bottom w:val="single" w:sz="4" w:space="0" w:color="auto"/>
              <w:right w:val="single" w:sz="4" w:space="0" w:color="auto"/>
            </w:tcBorders>
            <w:noWrap/>
            <w:vAlign w:val="bottom"/>
            <w:hideMark/>
          </w:tcPr>
          <w:p w14:paraId="6510DCD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255</w:t>
            </w:r>
          </w:p>
        </w:tc>
      </w:tr>
      <w:tr w:rsidR="002C206D" w:rsidRPr="009201C8" w14:paraId="055A6728"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7D09404A"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66F44EEA"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458466E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41 593</w:t>
            </w:r>
          </w:p>
        </w:tc>
        <w:tc>
          <w:tcPr>
            <w:tcW w:w="766" w:type="dxa"/>
            <w:tcBorders>
              <w:top w:val="nil"/>
              <w:left w:val="nil"/>
              <w:bottom w:val="single" w:sz="4" w:space="0" w:color="auto"/>
              <w:right w:val="single" w:sz="4" w:space="0" w:color="auto"/>
            </w:tcBorders>
            <w:noWrap/>
            <w:vAlign w:val="bottom"/>
            <w:hideMark/>
          </w:tcPr>
          <w:p w14:paraId="036CD4C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8 293</w:t>
            </w:r>
          </w:p>
        </w:tc>
        <w:tc>
          <w:tcPr>
            <w:tcW w:w="988" w:type="dxa"/>
            <w:tcBorders>
              <w:top w:val="nil"/>
              <w:left w:val="nil"/>
              <w:bottom w:val="single" w:sz="4" w:space="0" w:color="auto"/>
              <w:right w:val="single" w:sz="4" w:space="0" w:color="auto"/>
            </w:tcBorders>
            <w:noWrap/>
            <w:vAlign w:val="bottom"/>
            <w:hideMark/>
          </w:tcPr>
          <w:p w14:paraId="012CCCB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1 903</w:t>
            </w:r>
          </w:p>
        </w:tc>
        <w:tc>
          <w:tcPr>
            <w:tcW w:w="850" w:type="dxa"/>
            <w:tcBorders>
              <w:top w:val="nil"/>
              <w:left w:val="nil"/>
              <w:bottom w:val="single" w:sz="4" w:space="0" w:color="auto"/>
              <w:right w:val="single" w:sz="4" w:space="0" w:color="auto"/>
            </w:tcBorders>
            <w:noWrap/>
            <w:vAlign w:val="bottom"/>
            <w:hideMark/>
          </w:tcPr>
          <w:p w14:paraId="2EB62ED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381</w:t>
            </w:r>
          </w:p>
        </w:tc>
        <w:tc>
          <w:tcPr>
            <w:tcW w:w="838" w:type="dxa"/>
            <w:tcBorders>
              <w:top w:val="nil"/>
              <w:left w:val="nil"/>
              <w:bottom w:val="single" w:sz="4" w:space="0" w:color="auto"/>
              <w:right w:val="single" w:sz="4" w:space="0" w:color="auto"/>
            </w:tcBorders>
            <w:noWrap/>
            <w:vAlign w:val="bottom"/>
            <w:hideMark/>
          </w:tcPr>
          <w:p w14:paraId="1E2FEE5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130</w:t>
            </w:r>
          </w:p>
        </w:tc>
        <w:tc>
          <w:tcPr>
            <w:tcW w:w="863" w:type="dxa"/>
            <w:tcBorders>
              <w:top w:val="nil"/>
              <w:left w:val="nil"/>
              <w:bottom w:val="single" w:sz="4" w:space="0" w:color="auto"/>
              <w:right w:val="single" w:sz="4" w:space="0" w:color="auto"/>
            </w:tcBorders>
            <w:noWrap/>
            <w:vAlign w:val="bottom"/>
            <w:hideMark/>
          </w:tcPr>
          <w:p w14:paraId="2FD629E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982" w:type="dxa"/>
            <w:tcBorders>
              <w:top w:val="nil"/>
              <w:left w:val="nil"/>
              <w:bottom w:val="single" w:sz="4" w:space="0" w:color="auto"/>
              <w:right w:val="single" w:sz="4" w:space="0" w:color="auto"/>
            </w:tcBorders>
            <w:noWrap/>
            <w:vAlign w:val="bottom"/>
            <w:hideMark/>
          </w:tcPr>
          <w:p w14:paraId="4611380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38 285</w:t>
            </w:r>
          </w:p>
        </w:tc>
        <w:tc>
          <w:tcPr>
            <w:tcW w:w="766" w:type="dxa"/>
            <w:tcBorders>
              <w:top w:val="nil"/>
              <w:left w:val="nil"/>
              <w:bottom w:val="single" w:sz="4" w:space="0" w:color="auto"/>
              <w:right w:val="single" w:sz="4" w:space="0" w:color="auto"/>
            </w:tcBorders>
            <w:noWrap/>
            <w:vAlign w:val="bottom"/>
            <w:hideMark/>
          </w:tcPr>
          <w:p w14:paraId="1DA0195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7 657</w:t>
            </w:r>
          </w:p>
        </w:tc>
        <w:tc>
          <w:tcPr>
            <w:tcW w:w="804" w:type="dxa"/>
            <w:tcBorders>
              <w:top w:val="nil"/>
              <w:left w:val="nil"/>
              <w:bottom w:val="single" w:sz="4" w:space="0" w:color="auto"/>
              <w:right w:val="single" w:sz="4" w:space="0" w:color="auto"/>
            </w:tcBorders>
            <w:noWrap/>
            <w:vAlign w:val="bottom"/>
            <w:hideMark/>
          </w:tcPr>
          <w:p w14:paraId="21F9BD4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1 275</w:t>
            </w:r>
          </w:p>
        </w:tc>
        <w:tc>
          <w:tcPr>
            <w:tcW w:w="850" w:type="dxa"/>
            <w:tcBorders>
              <w:top w:val="nil"/>
              <w:left w:val="nil"/>
              <w:bottom w:val="single" w:sz="4" w:space="0" w:color="auto"/>
              <w:right w:val="single" w:sz="4" w:space="0" w:color="auto"/>
            </w:tcBorders>
            <w:noWrap/>
            <w:vAlign w:val="bottom"/>
            <w:hideMark/>
          </w:tcPr>
          <w:p w14:paraId="04DF4B5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255</w:t>
            </w:r>
          </w:p>
        </w:tc>
      </w:tr>
      <w:tr w:rsidR="002C206D" w:rsidRPr="009201C8" w14:paraId="4DBA67AB" w14:textId="77777777" w:rsidTr="002C206D">
        <w:trPr>
          <w:trHeight w:val="289"/>
        </w:trPr>
        <w:tc>
          <w:tcPr>
            <w:tcW w:w="1197" w:type="dxa"/>
            <w:vMerge w:val="restart"/>
            <w:tcBorders>
              <w:top w:val="nil"/>
              <w:left w:val="single" w:sz="4" w:space="0" w:color="auto"/>
              <w:bottom w:val="single" w:sz="4" w:space="0" w:color="000000"/>
              <w:right w:val="single" w:sz="4" w:space="0" w:color="auto"/>
            </w:tcBorders>
            <w:vAlign w:val="center"/>
            <w:hideMark/>
          </w:tcPr>
          <w:p w14:paraId="78342A7E"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roofErr w:type="spellStart"/>
            <w:r w:rsidRPr="009201C8">
              <w:rPr>
                <w:rFonts w:asciiTheme="minorHAnsi" w:hAnsiTheme="minorHAnsi" w:cstheme="minorHAnsi"/>
                <w:color w:val="000000"/>
                <w:sz w:val="20"/>
                <w:lang w:val="en-US"/>
              </w:rPr>
              <w:t>Proiecte</w:t>
            </w:r>
            <w:proofErr w:type="spellEnd"/>
            <w:r w:rsidRPr="009201C8">
              <w:rPr>
                <w:rFonts w:asciiTheme="minorHAnsi" w:hAnsiTheme="minorHAnsi" w:cstheme="minorHAnsi"/>
                <w:color w:val="000000"/>
                <w:sz w:val="20"/>
                <w:lang w:val="en-US"/>
              </w:rPr>
              <w:t xml:space="preserve"> cu </w:t>
            </w:r>
            <w:proofErr w:type="spellStart"/>
            <w:r w:rsidRPr="009201C8">
              <w:rPr>
                <w:rFonts w:asciiTheme="minorHAnsi" w:hAnsiTheme="minorHAnsi" w:cstheme="minorHAnsi"/>
                <w:color w:val="000000"/>
                <w:sz w:val="20"/>
                <w:lang w:val="en-US"/>
              </w:rPr>
              <w:t>finanțate</w:t>
            </w:r>
            <w:proofErr w:type="spellEnd"/>
            <w:r w:rsidRPr="009201C8">
              <w:rPr>
                <w:rFonts w:asciiTheme="minorHAnsi" w:hAnsiTheme="minorHAnsi" w:cstheme="minorHAnsi"/>
                <w:color w:val="000000"/>
                <w:sz w:val="20"/>
                <w:lang w:val="en-US"/>
              </w:rPr>
              <w:t xml:space="preserve"> din </w:t>
            </w:r>
            <w:proofErr w:type="spellStart"/>
            <w:r w:rsidRPr="009201C8">
              <w:rPr>
                <w:rFonts w:asciiTheme="minorHAnsi" w:hAnsiTheme="minorHAnsi" w:cstheme="minorHAnsi"/>
                <w:color w:val="000000"/>
                <w:sz w:val="20"/>
                <w:lang w:val="en-US"/>
              </w:rPr>
              <w:t>sumele</w:t>
            </w:r>
            <w:proofErr w:type="spellEnd"/>
            <w:r w:rsidRPr="009201C8">
              <w:rPr>
                <w:rFonts w:asciiTheme="minorHAnsi" w:hAnsiTheme="minorHAnsi" w:cstheme="minorHAnsi"/>
                <w:color w:val="000000"/>
                <w:sz w:val="20"/>
                <w:lang w:val="en-US"/>
              </w:rPr>
              <w:t xml:space="preserve"> </w:t>
            </w:r>
            <w:proofErr w:type="spellStart"/>
            <w:r w:rsidRPr="009201C8">
              <w:rPr>
                <w:rFonts w:asciiTheme="minorHAnsi" w:hAnsiTheme="minorHAnsi" w:cstheme="minorHAnsi"/>
                <w:color w:val="000000"/>
                <w:sz w:val="20"/>
                <w:lang w:val="en-US"/>
              </w:rPr>
              <w:t>reprezentând</w:t>
            </w:r>
            <w:proofErr w:type="spellEnd"/>
            <w:r w:rsidRPr="009201C8">
              <w:rPr>
                <w:rFonts w:asciiTheme="minorHAnsi" w:hAnsiTheme="minorHAnsi" w:cstheme="minorHAnsi"/>
                <w:color w:val="000000"/>
                <w:sz w:val="20"/>
                <w:lang w:val="en-US"/>
              </w:rPr>
              <w:t xml:space="preserve"> </w:t>
            </w:r>
            <w:proofErr w:type="spellStart"/>
            <w:r w:rsidRPr="009201C8">
              <w:rPr>
                <w:rFonts w:asciiTheme="minorHAnsi" w:hAnsiTheme="minorHAnsi" w:cstheme="minorHAnsi"/>
                <w:color w:val="000000"/>
                <w:sz w:val="20"/>
                <w:lang w:val="en-US"/>
              </w:rPr>
              <w:t>asistență</w:t>
            </w:r>
            <w:proofErr w:type="spellEnd"/>
            <w:r w:rsidRPr="009201C8">
              <w:rPr>
                <w:rFonts w:asciiTheme="minorHAnsi" w:hAnsiTheme="minorHAnsi" w:cstheme="minorHAnsi"/>
                <w:color w:val="000000"/>
                <w:sz w:val="20"/>
                <w:lang w:val="en-US"/>
              </w:rPr>
              <w:t xml:space="preserve"> </w:t>
            </w:r>
            <w:proofErr w:type="spellStart"/>
            <w:r w:rsidRPr="009201C8">
              <w:rPr>
                <w:rFonts w:asciiTheme="minorHAnsi" w:hAnsiTheme="minorHAnsi" w:cstheme="minorHAnsi"/>
                <w:color w:val="000000"/>
                <w:sz w:val="20"/>
                <w:lang w:val="en-US"/>
              </w:rPr>
              <w:t>financiară</w:t>
            </w:r>
            <w:proofErr w:type="spellEnd"/>
            <w:r w:rsidRPr="009201C8">
              <w:rPr>
                <w:rFonts w:asciiTheme="minorHAnsi" w:hAnsiTheme="minorHAnsi" w:cstheme="minorHAnsi"/>
                <w:color w:val="000000"/>
                <w:sz w:val="20"/>
                <w:lang w:val="en-US"/>
              </w:rPr>
              <w:t xml:space="preserve"> </w:t>
            </w:r>
          </w:p>
        </w:tc>
        <w:tc>
          <w:tcPr>
            <w:tcW w:w="491" w:type="dxa"/>
            <w:tcBorders>
              <w:top w:val="nil"/>
              <w:left w:val="nil"/>
              <w:bottom w:val="single" w:sz="4" w:space="0" w:color="auto"/>
              <w:right w:val="single" w:sz="4" w:space="0" w:color="auto"/>
            </w:tcBorders>
            <w:vAlign w:val="center"/>
            <w:hideMark/>
          </w:tcPr>
          <w:p w14:paraId="044F1020"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682A41E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3 927</w:t>
            </w:r>
          </w:p>
        </w:tc>
        <w:tc>
          <w:tcPr>
            <w:tcW w:w="766" w:type="dxa"/>
            <w:tcBorders>
              <w:top w:val="nil"/>
              <w:left w:val="nil"/>
              <w:bottom w:val="single" w:sz="4" w:space="0" w:color="auto"/>
              <w:right w:val="single" w:sz="4" w:space="0" w:color="auto"/>
            </w:tcBorders>
            <w:noWrap/>
            <w:vAlign w:val="bottom"/>
            <w:hideMark/>
          </w:tcPr>
          <w:p w14:paraId="382F80E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785</w:t>
            </w:r>
          </w:p>
        </w:tc>
        <w:tc>
          <w:tcPr>
            <w:tcW w:w="988" w:type="dxa"/>
            <w:tcBorders>
              <w:top w:val="nil"/>
              <w:left w:val="nil"/>
              <w:bottom w:val="single" w:sz="4" w:space="0" w:color="auto"/>
              <w:right w:val="single" w:sz="4" w:space="0" w:color="auto"/>
            </w:tcBorders>
            <w:noWrap/>
            <w:vAlign w:val="bottom"/>
            <w:hideMark/>
          </w:tcPr>
          <w:p w14:paraId="11700D8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3 927</w:t>
            </w:r>
          </w:p>
        </w:tc>
        <w:tc>
          <w:tcPr>
            <w:tcW w:w="850" w:type="dxa"/>
            <w:tcBorders>
              <w:top w:val="nil"/>
              <w:left w:val="nil"/>
              <w:bottom w:val="single" w:sz="4" w:space="0" w:color="auto"/>
              <w:right w:val="single" w:sz="4" w:space="0" w:color="auto"/>
            </w:tcBorders>
            <w:noWrap/>
            <w:vAlign w:val="bottom"/>
            <w:hideMark/>
          </w:tcPr>
          <w:p w14:paraId="12C3F36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785</w:t>
            </w:r>
          </w:p>
        </w:tc>
        <w:tc>
          <w:tcPr>
            <w:tcW w:w="838" w:type="dxa"/>
            <w:tcBorders>
              <w:top w:val="nil"/>
              <w:left w:val="nil"/>
              <w:bottom w:val="single" w:sz="4" w:space="0" w:color="auto"/>
              <w:right w:val="single" w:sz="4" w:space="0" w:color="auto"/>
            </w:tcBorders>
            <w:noWrap/>
            <w:vAlign w:val="bottom"/>
            <w:hideMark/>
          </w:tcPr>
          <w:p w14:paraId="025E47F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75FC488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6A77C69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noWrap/>
            <w:vAlign w:val="bottom"/>
            <w:hideMark/>
          </w:tcPr>
          <w:p w14:paraId="100AE514"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04" w:type="dxa"/>
            <w:tcBorders>
              <w:top w:val="nil"/>
              <w:left w:val="nil"/>
              <w:bottom w:val="single" w:sz="4" w:space="0" w:color="auto"/>
              <w:right w:val="single" w:sz="4" w:space="0" w:color="auto"/>
            </w:tcBorders>
            <w:noWrap/>
            <w:vAlign w:val="bottom"/>
            <w:hideMark/>
          </w:tcPr>
          <w:p w14:paraId="0D02EFA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44B0CD22"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711F1D61"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0327EE8E"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vAlign w:val="center"/>
            <w:hideMark/>
          </w:tcPr>
          <w:p w14:paraId="2DF7727D"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08EFE20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1 949</w:t>
            </w:r>
          </w:p>
        </w:tc>
        <w:tc>
          <w:tcPr>
            <w:tcW w:w="766" w:type="dxa"/>
            <w:tcBorders>
              <w:top w:val="nil"/>
              <w:left w:val="nil"/>
              <w:bottom w:val="single" w:sz="4" w:space="0" w:color="auto"/>
              <w:right w:val="single" w:sz="4" w:space="0" w:color="auto"/>
            </w:tcBorders>
            <w:noWrap/>
            <w:vAlign w:val="bottom"/>
            <w:hideMark/>
          </w:tcPr>
          <w:p w14:paraId="75BF155C"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390</w:t>
            </w:r>
          </w:p>
        </w:tc>
        <w:tc>
          <w:tcPr>
            <w:tcW w:w="988" w:type="dxa"/>
            <w:tcBorders>
              <w:top w:val="nil"/>
              <w:left w:val="nil"/>
              <w:bottom w:val="single" w:sz="4" w:space="0" w:color="auto"/>
              <w:right w:val="single" w:sz="4" w:space="0" w:color="auto"/>
            </w:tcBorders>
            <w:noWrap/>
            <w:vAlign w:val="bottom"/>
            <w:hideMark/>
          </w:tcPr>
          <w:p w14:paraId="3EA35D1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1 949</w:t>
            </w:r>
          </w:p>
        </w:tc>
        <w:tc>
          <w:tcPr>
            <w:tcW w:w="850" w:type="dxa"/>
            <w:tcBorders>
              <w:top w:val="nil"/>
              <w:left w:val="nil"/>
              <w:bottom w:val="single" w:sz="4" w:space="0" w:color="auto"/>
              <w:right w:val="single" w:sz="4" w:space="0" w:color="auto"/>
            </w:tcBorders>
            <w:noWrap/>
            <w:vAlign w:val="bottom"/>
            <w:hideMark/>
          </w:tcPr>
          <w:p w14:paraId="1C36055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390</w:t>
            </w:r>
          </w:p>
        </w:tc>
        <w:tc>
          <w:tcPr>
            <w:tcW w:w="838" w:type="dxa"/>
            <w:tcBorders>
              <w:top w:val="nil"/>
              <w:left w:val="nil"/>
              <w:bottom w:val="single" w:sz="4" w:space="0" w:color="auto"/>
              <w:right w:val="single" w:sz="4" w:space="0" w:color="auto"/>
            </w:tcBorders>
            <w:noWrap/>
            <w:vAlign w:val="bottom"/>
            <w:hideMark/>
          </w:tcPr>
          <w:p w14:paraId="5F784607"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63" w:type="dxa"/>
            <w:tcBorders>
              <w:top w:val="nil"/>
              <w:left w:val="nil"/>
              <w:bottom w:val="single" w:sz="4" w:space="0" w:color="auto"/>
              <w:right w:val="single" w:sz="4" w:space="0" w:color="auto"/>
            </w:tcBorders>
            <w:noWrap/>
            <w:vAlign w:val="bottom"/>
            <w:hideMark/>
          </w:tcPr>
          <w:p w14:paraId="24236FCF"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982" w:type="dxa"/>
            <w:tcBorders>
              <w:top w:val="nil"/>
              <w:left w:val="nil"/>
              <w:bottom w:val="single" w:sz="4" w:space="0" w:color="auto"/>
              <w:right w:val="single" w:sz="4" w:space="0" w:color="auto"/>
            </w:tcBorders>
            <w:noWrap/>
            <w:vAlign w:val="bottom"/>
            <w:hideMark/>
          </w:tcPr>
          <w:p w14:paraId="7E8515F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noWrap/>
            <w:vAlign w:val="bottom"/>
            <w:hideMark/>
          </w:tcPr>
          <w:p w14:paraId="52A78BC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04" w:type="dxa"/>
            <w:tcBorders>
              <w:top w:val="nil"/>
              <w:left w:val="nil"/>
              <w:bottom w:val="single" w:sz="4" w:space="0" w:color="auto"/>
              <w:right w:val="single" w:sz="4" w:space="0" w:color="auto"/>
            </w:tcBorders>
            <w:noWrap/>
            <w:vAlign w:val="bottom"/>
            <w:hideMark/>
          </w:tcPr>
          <w:p w14:paraId="00AB1BC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noWrap/>
            <w:vAlign w:val="bottom"/>
            <w:hideMark/>
          </w:tcPr>
          <w:p w14:paraId="3F5669A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0</w:t>
            </w:r>
          </w:p>
        </w:tc>
      </w:tr>
      <w:tr w:rsidR="002C206D" w:rsidRPr="009201C8" w14:paraId="1836F907" w14:textId="77777777" w:rsidTr="002C206D">
        <w:trPr>
          <w:trHeight w:val="300"/>
        </w:trPr>
        <w:tc>
          <w:tcPr>
            <w:tcW w:w="1197" w:type="dxa"/>
            <w:vMerge w:val="restart"/>
            <w:tcBorders>
              <w:top w:val="nil"/>
              <w:left w:val="single" w:sz="4" w:space="0" w:color="auto"/>
              <w:bottom w:val="single" w:sz="4" w:space="0" w:color="000000"/>
              <w:right w:val="single" w:sz="4" w:space="0" w:color="auto"/>
            </w:tcBorders>
            <w:vAlign w:val="center"/>
            <w:hideMark/>
          </w:tcPr>
          <w:p w14:paraId="51B6FA03" w14:textId="77777777" w:rsidR="002C206D" w:rsidRPr="009201C8" w:rsidRDefault="002C206D" w:rsidP="009201C8">
            <w:pPr>
              <w:spacing w:line="256" w:lineRule="auto"/>
              <w:ind w:left="-117" w:right="-45"/>
              <w:rPr>
                <w:rFonts w:asciiTheme="minorHAnsi" w:hAnsiTheme="minorHAnsi" w:cstheme="minorHAnsi"/>
                <w:color w:val="000000"/>
                <w:sz w:val="20"/>
                <w:lang w:val="en-US"/>
              </w:rPr>
            </w:pPr>
            <w:proofErr w:type="spellStart"/>
            <w:r w:rsidRPr="009201C8">
              <w:rPr>
                <w:rFonts w:asciiTheme="minorHAnsi" w:hAnsiTheme="minorHAnsi" w:cstheme="minorHAnsi"/>
                <w:color w:val="000000"/>
                <w:sz w:val="20"/>
                <w:lang w:val="en-US"/>
              </w:rPr>
              <w:t>Cheltuieli</w:t>
            </w:r>
            <w:proofErr w:type="spellEnd"/>
            <w:r w:rsidRPr="009201C8">
              <w:rPr>
                <w:rFonts w:asciiTheme="minorHAnsi" w:hAnsiTheme="minorHAnsi" w:cstheme="minorHAnsi"/>
                <w:color w:val="000000"/>
                <w:sz w:val="20"/>
                <w:lang w:val="en-US"/>
              </w:rPr>
              <w:t xml:space="preserve"> de capital</w:t>
            </w:r>
          </w:p>
        </w:tc>
        <w:tc>
          <w:tcPr>
            <w:tcW w:w="491" w:type="dxa"/>
            <w:tcBorders>
              <w:top w:val="nil"/>
              <w:left w:val="nil"/>
              <w:bottom w:val="single" w:sz="4" w:space="0" w:color="auto"/>
              <w:right w:val="single" w:sz="4" w:space="0" w:color="auto"/>
            </w:tcBorders>
            <w:vAlign w:val="center"/>
            <w:hideMark/>
          </w:tcPr>
          <w:p w14:paraId="73A234F4"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CA</w:t>
            </w:r>
          </w:p>
        </w:tc>
        <w:tc>
          <w:tcPr>
            <w:tcW w:w="948" w:type="dxa"/>
            <w:tcBorders>
              <w:top w:val="nil"/>
              <w:left w:val="nil"/>
              <w:bottom w:val="single" w:sz="4" w:space="0" w:color="auto"/>
              <w:right w:val="single" w:sz="4" w:space="0" w:color="auto"/>
            </w:tcBorders>
            <w:noWrap/>
            <w:vAlign w:val="bottom"/>
            <w:hideMark/>
          </w:tcPr>
          <w:p w14:paraId="30D67C1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529</w:t>
            </w:r>
          </w:p>
        </w:tc>
        <w:tc>
          <w:tcPr>
            <w:tcW w:w="766" w:type="dxa"/>
            <w:tcBorders>
              <w:top w:val="nil"/>
              <w:left w:val="nil"/>
              <w:bottom w:val="single" w:sz="4" w:space="0" w:color="auto"/>
              <w:right w:val="single" w:sz="4" w:space="0" w:color="auto"/>
            </w:tcBorders>
            <w:noWrap/>
            <w:vAlign w:val="bottom"/>
            <w:hideMark/>
          </w:tcPr>
          <w:p w14:paraId="2F64279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w:t>
            </w:r>
          </w:p>
        </w:tc>
        <w:tc>
          <w:tcPr>
            <w:tcW w:w="988" w:type="dxa"/>
            <w:tcBorders>
              <w:top w:val="nil"/>
              <w:left w:val="nil"/>
              <w:bottom w:val="single" w:sz="4" w:space="0" w:color="auto"/>
              <w:right w:val="single" w:sz="4" w:space="0" w:color="auto"/>
            </w:tcBorders>
            <w:noWrap/>
            <w:vAlign w:val="bottom"/>
            <w:hideMark/>
          </w:tcPr>
          <w:p w14:paraId="304FE1D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130</w:t>
            </w:r>
          </w:p>
        </w:tc>
        <w:tc>
          <w:tcPr>
            <w:tcW w:w="850" w:type="dxa"/>
            <w:tcBorders>
              <w:top w:val="nil"/>
              <w:left w:val="nil"/>
              <w:bottom w:val="single" w:sz="4" w:space="0" w:color="auto"/>
              <w:right w:val="single" w:sz="4" w:space="0" w:color="auto"/>
            </w:tcBorders>
            <w:noWrap/>
            <w:vAlign w:val="bottom"/>
            <w:hideMark/>
          </w:tcPr>
          <w:p w14:paraId="0398A77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838" w:type="dxa"/>
            <w:tcBorders>
              <w:top w:val="nil"/>
              <w:left w:val="nil"/>
              <w:bottom w:val="single" w:sz="4" w:space="0" w:color="auto"/>
              <w:right w:val="single" w:sz="4" w:space="0" w:color="auto"/>
            </w:tcBorders>
            <w:noWrap/>
            <w:vAlign w:val="bottom"/>
            <w:hideMark/>
          </w:tcPr>
          <w:p w14:paraId="125E35D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335</w:t>
            </w:r>
          </w:p>
        </w:tc>
        <w:tc>
          <w:tcPr>
            <w:tcW w:w="863" w:type="dxa"/>
            <w:tcBorders>
              <w:top w:val="nil"/>
              <w:left w:val="nil"/>
              <w:bottom w:val="single" w:sz="4" w:space="0" w:color="auto"/>
              <w:right w:val="single" w:sz="4" w:space="0" w:color="auto"/>
            </w:tcBorders>
            <w:noWrap/>
            <w:vAlign w:val="bottom"/>
            <w:hideMark/>
          </w:tcPr>
          <w:p w14:paraId="43441AE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67</w:t>
            </w:r>
          </w:p>
        </w:tc>
        <w:tc>
          <w:tcPr>
            <w:tcW w:w="982" w:type="dxa"/>
            <w:tcBorders>
              <w:top w:val="nil"/>
              <w:left w:val="nil"/>
              <w:bottom w:val="single" w:sz="4" w:space="0" w:color="auto"/>
              <w:right w:val="single" w:sz="4" w:space="0" w:color="auto"/>
            </w:tcBorders>
            <w:noWrap/>
            <w:vAlign w:val="bottom"/>
            <w:hideMark/>
          </w:tcPr>
          <w:p w14:paraId="26C8C05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19</w:t>
            </w:r>
          </w:p>
        </w:tc>
        <w:tc>
          <w:tcPr>
            <w:tcW w:w="766" w:type="dxa"/>
            <w:tcBorders>
              <w:top w:val="nil"/>
              <w:left w:val="nil"/>
              <w:bottom w:val="single" w:sz="4" w:space="0" w:color="auto"/>
              <w:right w:val="single" w:sz="4" w:space="0" w:color="auto"/>
            </w:tcBorders>
            <w:noWrap/>
            <w:vAlign w:val="bottom"/>
            <w:hideMark/>
          </w:tcPr>
          <w:p w14:paraId="7E86F0AA"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w:t>
            </w:r>
          </w:p>
        </w:tc>
        <w:tc>
          <w:tcPr>
            <w:tcW w:w="804" w:type="dxa"/>
            <w:tcBorders>
              <w:top w:val="nil"/>
              <w:left w:val="nil"/>
              <w:bottom w:val="single" w:sz="4" w:space="0" w:color="auto"/>
              <w:right w:val="single" w:sz="4" w:space="0" w:color="auto"/>
            </w:tcBorders>
            <w:noWrap/>
            <w:vAlign w:val="bottom"/>
            <w:hideMark/>
          </w:tcPr>
          <w:p w14:paraId="19CB92A9"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45</w:t>
            </w:r>
          </w:p>
        </w:tc>
        <w:tc>
          <w:tcPr>
            <w:tcW w:w="850" w:type="dxa"/>
            <w:tcBorders>
              <w:top w:val="nil"/>
              <w:left w:val="nil"/>
              <w:bottom w:val="single" w:sz="4" w:space="0" w:color="auto"/>
              <w:right w:val="single" w:sz="4" w:space="0" w:color="auto"/>
            </w:tcBorders>
            <w:noWrap/>
            <w:vAlign w:val="bottom"/>
            <w:hideMark/>
          </w:tcPr>
          <w:p w14:paraId="31C61C43"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9</w:t>
            </w:r>
          </w:p>
        </w:tc>
      </w:tr>
      <w:tr w:rsidR="002C206D" w:rsidRPr="009201C8" w14:paraId="7233D870" w14:textId="77777777" w:rsidTr="002C206D">
        <w:trPr>
          <w:trHeight w:val="300"/>
        </w:trPr>
        <w:tc>
          <w:tcPr>
            <w:tcW w:w="1197" w:type="dxa"/>
            <w:vMerge/>
            <w:tcBorders>
              <w:top w:val="nil"/>
              <w:left w:val="single" w:sz="4" w:space="0" w:color="auto"/>
              <w:bottom w:val="single" w:sz="4" w:space="0" w:color="000000"/>
              <w:right w:val="single" w:sz="4" w:space="0" w:color="auto"/>
            </w:tcBorders>
            <w:vAlign w:val="center"/>
            <w:hideMark/>
          </w:tcPr>
          <w:p w14:paraId="0FFC4E59" w14:textId="77777777" w:rsidR="002C206D" w:rsidRPr="009201C8" w:rsidRDefault="002C206D">
            <w:pPr>
              <w:spacing w:line="256" w:lineRule="auto"/>
              <w:rPr>
                <w:rFonts w:asciiTheme="minorHAnsi" w:hAnsiTheme="minorHAnsi" w:cstheme="minorHAnsi"/>
                <w:color w:val="000000"/>
                <w:sz w:val="20"/>
                <w:lang w:val="en-US"/>
              </w:rPr>
            </w:pPr>
          </w:p>
        </w:tc>
        <w:tc>
          <w:tcPr>
            <w:tcW w:w="491" w:type="dxa"/>
            <w:tcBorders>
              <w:top w:val="nil"/>
              <w:left w:val="nil"/>
              <w:bottom w:val="single" w:sz="4" w:space="0" w:color="auto"/>
              <w:right w:val="single" w:sz="4" w:space="0" w:color="auto"/>
            </w:tcBorders>
            <w:noWrap/>
            <w:vAlign w:val="bottom"/>
            <w:hideMark/>
          </w:tcPr>
          <w:p w14:paraId="5D5666C6" w14:textId="77777777" w:rsidR="002C206D" w:rsidRPr="009201C8" w:rsidRDefault="002C206D">
            <w:pPr>
              <w:spacing w:line="256" w:lineRule="auto"/>
              <w:rPr>
                <w:rFonts w:asciiTheme="minorHAnsi" w:hAnsiTheme="minorHAnsi" w:cstheme="minorHAnsi"/>
                <w:color w:val="000000"/>
                <w:sz w:val="20"/>
                <w:lang w:val="en-US"/>
              </w:rPr>
            </w:pPr>
            <w:r w:rsidRPr="009201C8">
              <w:rPr>
                <w:rFonts w:asciiTheme="minorHAnsi" w:hAnsiTheme="minorHAnsi" w:cstheme="minorHAnsi"/>
                <w:color w:val="000000"/>
                <w:sz w:val="20"/>
                <w:lang w:val="en-US"/>
              </w:rPr>
              <w:t>CB</w:t>
            </w:r>
          </w:p>
        </w:tc>
        <w:tc>
          <w:tcPr>
            <w:tcW w:w="948" w:type="dxa"/>
            <w:tcBorders>
              <w:top w:val="nil"/>
              <w:left w:val="nil"/>
              <w:bottom w:val="single" w:sz="4" w:space="0" w:color="auto"/>
              <w:right w:val="single" w:sz="4" w:space="0" w:color="auto"/>
            </w:tcBorders>
            <w:noWrap/>
            <w:vAlign w:val="bottom"/>
            <w:hideMark/>
          </w:tcPr>
          <w:p w14:paraId="56B1ADD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529</w:t>
            </w:r>
          </w:p>
        </w:tc>
        <w:tc>
          <w:tcPr>
            <w:tcW w:w="766" w:type="dxa"/>
            <w:tcBorders>
              <w:top w:val="nil"/>
              <w:left w:val="nil"/>
              <w:bottom w:val="single" w:sz="4" w:space="0" w:color="auto"/>
              <w:right w:val="single" w:sz="4" w:space="0" w:color="auto"/>
            </w:tcBorders>
            <w:noWrap/>
            <w:vAlign w:val="bottom"/>
            <w:hideMark/>
          </w:tcPr>
          <w:p w14:paraId="7967113B"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39</w:t>
            </w:r>
          </w:p>
        </w:tc>
        <w:tc>
          <w:tcPr>
            <w:tcW w:w="988" w:type="dxa"/>
            <w:tcBorders>
              <w:top w:val="nil"/>
              <w:left w:val="nil"/>
              <w:bottom w:val="single" w:sz="4" w:space="0" w:color="auto"/>
              <w:right w:val="single" w:sz="4" w:space="0" w:color="auto"/>
            </w:tcBorders>
            <w:noWrap/>
            <w:vAlign w:val="bottom"/>
            <w:hideMark/>
          </w:tcPr>
          <w:p w14:paraId="020CF58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130</w:t>
            </w:r>
          </w:p>
        </w:tc>
        <w:tc>
          <w:tcPr>
            <w:tcW w:w="850" w:type="dxa"/>
            <w:tcBorders>
              <w:top w:val="nil"/>
              <w:left w:val="nil"/>
              <w:bottom w:val="single" w:sz="4" w:space="0" w:color="auto"/>
              <w:right w:val="single" w:sz="4" w:space="0" w:color="auto"/>
            </w:tcBorders>
            <w:noWrap/>
            <w:vAlign w:val="bottom"/>
            <w:hideMark/>
          </w:tcPr>
          <w:p w14:paraId="46330D16"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26</w:t>
            </w:r>
          </w:p>
        </w:tc>
        <w:tc>
          <w:tcPr>
            <w:tcW w:w="838" w:type="dxa"/>
            <w:tcBorders>
              <w:top w:val="nil"/>
              <w:left w:val="nil"/>
              <w:bottom w:val="single" w:sz="4" w:space="0" w:color="auto"/>
              <w:right w:val="single" w:sz="4" w:space="0" w:color="auto"/>
            </w:tcBorders>
            <w:noWrap/>
            <w:vAlign w:val="bottom"/>
            <w:hideMark/>
          </w:tcPr>
          <w:p w14:paraId="2F89D9D1"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335</w:t>
            </w:r>
          </w:p>
        </w:tc>
        <w:tc>
          <w:tcPr>
            <w:tcW w:w="863" w:type="dxa"/>
            <w:tcBorders>
              <w:top w:val="nil"/>
              <w:left w:val="nil"/>
              <w:bottom w:val="single" w:sz="4" w:space="0" w:color="auto"/>
              <w:right w:val="single" w:sz="4" w:space="0" w:color="auto"/>
            </w:tcBorders>
            <w:noWrap/>
            <w:vAlign w:val="bottom"/>
            <w:hideMark/>
          </w:tcPr>
          <w:p w14:paraId="5675E2B8"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67</w:t>
            </w:r>
          </w:p>
        </w:tc>
        <w:tc>
          <w:tcPr>
            <w:tcW w:w="982" w:type="dxa"/>
            <w:tcBorders>
              <w:top w:val="nil"/>
              <w:left w:val="nil"/>
              <w:bottom w:val="single" w:sz="4" w:space="0" w:color="auto"/>
              <w:right w:val="single" w:sz="4" w:space="0" w:color="auto"/>
            </w:tcBorders>
            <w:noWrap/>
            <w:vAlign w:val="bottom"/>
            <w:hideMark/>
          </w:tcPr>
          <w:p w14:paraId="038784B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19</w:t>
            </w:r>
          </w:p>
        </w:tc>
        <w:tc>
          <w:tcPr>
            <w:tcW w:w="766" w:type="dxa"/>
            <w:tcBorders>
              <w:top w:val="nil"/>
              <w:left w:val="nil"/>
              <w:bottom w:val="single" w:sz="4" w:space="0" w:color="auto"/>
              <w:right w:val="single" w:sz="4" w:space="0" w:color="auto"/>
            </w:tcBorders>
            <w:noWrap/>
            <w:vAlign w:val="bottom"/>
            <w:hideMark/>
          </w:tcPr>
          <w:p w14:paraId="00FBFC9D"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w:t>
            </w:r>
          </w:p>
        </w:tc>
        <w:tc>
          <w:tcPr>
            <w:tcW w:w="804" w:type="dxa"/>
            <w:tcBorders>
              <w:top w:val="nil"/>
              <w:left w:val="nil"/>
              <w:bottom w:val="single" w:sz="4" w:space="0" w:color="auto"/>
              <w:right w:val="single" w:sz="4" w:space="0" w:color="auto"/>
            </w:tcBorders>
            <w:noWrap/>
            <w:vAlign w:val="bottom"/>
            <w:hideMark/>
          </w:tcPr>
          <w:p w14:paraId="5E16BE1E"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45</w:t>
            </w:r>
          </w:p>
        </w:tc>
        <w:tc>
          <w:tcPr>
            <w:tcW w:w="850" w:type="dxa"/>
            <w:tcBorders>
              <w:top w:val="nil"/>
              <w:left w:val="nil"/>
              <w:bottom w:val="single" w:sz="4" w:space="0" w:color="auto"/>
              <w:right w:val="single" w:sz="4" w:space="0" w:color="auto"/>
            </w:tcBorders>
            <w:noWrap/>
            <w:vAlign w:val="bottom"/>
            <w:hideMark/>
          </w:tcPr>
          <w:p w14:paraId="29886FC0" w14:textId="77777777" w:rsidR="002C206D" w:rsidRPr="009201C8" w:rsidRDefault="002C206D">
            <w:pPr>
              <w:spacing w:line="256" w:lineRule="auto"/>
              <w:jc w:val="right"/>
              <w:rPr>
                <w:rFonts w:asciiTheme="minorHAnsi" w:hAnsiTheme="minorHAnsi" w:cstheme="minorHAnsi"/>
                <w:color w:val="000000"/>
                <w:sz w:val="20"/>
                <w:lang w:val="en-US"/>
              </w:rPr>
            </w:pPr>
            <w:r w:rsidRPr="009201C8">
              <w:rPr>
                <w:rFonts w:asciiTheme="minorHAnsi" w:hAnsiTheme="minorHAnsi" w:cstheme="minorHAnsi"/>
                <w:color w:val="000000"/>
                <w:sz w:val="20"/>
                <w:lang w:val="en-US"/>
              </w:rPr>
              <w:t>9</w:t>
            </w:r>
          </w:p>
        </w:tc>
      </w:tr>
    </w:tbl>
    <w:p w14:paraId="4A0329A9" w14:textId="77777777" w:rsidR="002C206D" w:rsidRDefault="002C206D" w:rsidP="002C206D">
      <w:pPr>
        <w:keepNext/>
        <w:ind w:right="-2"/>
        <w:jc w:val="right"/>
        <w:rPr>
          <w:rFonts w:asciiTheme="minorHAnsi" w:hAnsiTheme="minorHAnsi" w:cstheme="minorHAnsi"/>
          <w:b/>
          <w:sz w:val="26"/>
          <w:szCs w:val="26"/>
        </w:rPr>
      </w:pPr>
    </w:p>
    <w:p w14:paraId="766224AA" w14:textId="77777777" w:rsidR="002C206D" w:rsidRDefault="002C206D" w:rsidP="002C206D">
      <w:pPr>
        <w:ind w:right="-2" w:firstLine="708"/>
        <w:jc w:val="right"/>
        <w:rPr>
          <w:rFonts w:asciiTheme="minorHAnsi" w:hAnsiTheme="minorHAnsi" w:cstheme="minorHAnsi"/>
          <w:b/>
          <w:sz w:val="26"/>
          <w:szCs w:val="26"/>
        </w:rPr>
      </w:pPr>
      <w:r>
        <w:rPr>
          <w:rFonts w:asciiTheme="minorHAnsi" w:hAnsiTheme="minorHAnsi" w:cstheme="minorHAnsi"/>
          <w:b/>
          <w:sz w:val="26"/>
          <w:szCs w:val="26"/>
        </w:rPr>
        <w:t>mii lei/euro</w:t>
      </w:r>
    </w:p>
    <w:tbl>
      <w:tblPr>
        <w:tblW w:w="5067" w:type="pct"/>
        <w:tblLook w:val="04A0" w:firstRow="1" w:lastRow="0" w:firstColumn="1" w:lastColumn="0" w:noHBand="0" w:noVBand="1"/>
      </w:tblPr>
      <w:tblGrid>
        <w:gridCol w:w="1475"/>
        <w:gridCol w:w="436"/>
        <w:gridCol w:w="871"/>
        <w:gridCol w:w="769"/>
        <w:gridCol w:w="1101"/>
        <w:gridCol w:w="940"/>
        <w:gridCol w:w="1052"/>
        <w:gridCol w:w="891"/>
        <w:gridCol w:w="769"/>
        <w:gridCol w:w="769"/>
        <w:gridCol w:w="769"/>
        <w:gridCol w:w="679"/>
      </w:tblGrid>
      <w:tr w:rsidR="002C206D" w14:paraId="327D5D2A" w14:textId="77777777" w:rsidTr="002C206D">
        <w:trPr>
          <w:trHeight w:val="690"/>
        </w:trPr>
        <w:tc>
          <w:tcPr>
            <w:tcW w:w="689" w:type="pct"/>
            <w:tcBorders>
              <w:top w:val="single" w:sz="4" w:space="0" w:color="auto"/>
              <w:left w:val="single" w:sz="4" w:space="0" w:color="auto"/>
              <w:bottom w:val="single" w:sz="4" w:space="0" w:color="auto"/>
              <w:right w:val="single" w:sz="4" w:space="0" w:color="auto"/>
            </w:tcBorders>
            <w:shd w:val="clear" w:color="auto" w:fill="DBDBDB"/>
            <w:vAlign w:val="center"/>
            <w:hideMark/>
          </w:tcPr>
          <w:p w14:paraId="2E2579A8" w14:textId="77777777" w:rsidR="002C206D" w:rsidRDefault="002C206D">
            <w:pPr>
              <w:spacing w:line="256" w:lineRule="auto"/>
              <w:rPr>
                <w:rFonts w:ascii="Calibri Light" w:hAnsi="Calibri Light" w:cs="Calibri Light"/>
                <w:b/>
                <w:bCs/>
                <w:color w:val="000000"/>
                <w:sz w:val="20"/>
                <w:lang w:val="en-US"/>
              </w:rPr>
            </w:pPr>
            <w:r>
              <w:rPr>
                <w:rFonts w:ascii="Calibri Light" w:hAnsi="Calibri Light" w:cs="Calibri Light"/>
                <w:b/>
                <w:bCs/>
                <w:color w:val="000000"/>
                <w:sz w:val="20"/>
                <w:lang w:val="en-US"/>
              </w:rPr>
              <w:t>ANUL 2024</w:t>
            </w:r>
          </w:p>
        </w:tc>
        <w:tc>
          <w:tcPr>
            <w:tcW w:w="207" w:type="pct"/>
            <w:tcBorders>
              <w:top w:val="single" w:sz="4" w:space="0" w:color="auto"/>
              <w:left w:val="nil"/>
              <w:bottom w:val="single" w:sz="4" w:space="0" w:color="auto"/>
              <w:right w:val="single" w:sz="4" w:space="0" w:color="auto"/>
            </w:tcBorders>
            <w:shd w:val="clear" w:color="auto" w:fill="D9D9D9"/>
            <w:vAlign w:val="center"/>
            <w:hideMark/>
          </w:tcPr>
          <w:p w14:paraId="6EB8EB15" w14:textId="77777777" w:rsidR="002C206D" w:rsidRDefault="002C206D">
            <w:pPr>
              <w:spacing w:line="256" w:lineRule="auto"/>
              <w:rPr>
                <w:rFonts w:ascii="Calibri Light" w:hAnsi="Calibri Light" w:cs="Calibri Light"/>
                <w:b/>
                <w:bCs/>
                <w:color w:val="000000"/>
                <w:sz w:val="20"/>
                <w:lang w:val="en-US"/>
              </w:rPr>
            </w:pPr>
            <w:r>
              <w:rPr>
                <w:rFonts w:ascii="Calibri Light" w:hAnsi="Calibri Light" w:cs="Calibri Light"/>
                <w:b/>
                <w:bCs/>
                <w:color w:val="000000"/>
                <w:sz w:val="20"/>
                <w:lang w:val="en-US"/>
              </w:rPr>
              <w:t> </w:t>
            </w:r>
          </w:p>
        </w:tc>
        <w:tc>
          <w:tcPr>
            <w:tcW w:w="836" w:type="pct"/>
            <w:gridSpan w:val="2"/>
            <w:tcBorders>
              <w:top w:val="single" w:sz="4" w:space="0" w:color="auto"/>
              <w:left w:val="nil"/>
              <w:bottom w:val="single" w:sz="4" w:space="0" w:color="auto"/>
              <w:right w:val="single" w:sz="4" w:space="0" w:color="auto"/>
            </w:tcBorders>
            <w:shd w:val="clear" w:color="auto" w:fill="D9D9D9"/>
            <w:noWrap/>
            <w:vAlign w:val="bottom"/>
            <w:hideMark/>
          </w:tcPr>
          <w:p w14:paraId="471F88A7"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TOTAL</w:t>
            </w:r>
          </w:p>
        </w:tc>
        <w:tc>
          <w:tcPr>
            <w:tcW w:w="955" w:type="pct"/>
            <w:gridSpan w:val="2"/>
            <w:tcBorders>
              <w:top w:val="single" w:sz="4" w:space="0" w:color="auto"/>
              <w:left w:val="nil"/>
              <w:bottom w:val="single" w:sz="4" w:space="0" w:color="auto"/>
              <w:right w:val="single" w:sz="4" w:space="0" w:color="auto"/>
            </w:tcBorders>
            <w:shd w:val="clear" w:color="auto" w:fill="D9D9D9"/>
            <w:noWrap/>
            <w:vAlign w:val="bottom"/>
            <w:hideMark/>
          </w:tcPr>
          <w:p w14:paraId="1FCA4A9B"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CSM APARAT PROPRIU</w:t>
            </w:r>
          </w:p>
        </w:tc>
        <w:tc>
          <w:tcPr>
            <w:tcW w:w="910" w:type="pct"/>
            <w:gridSpan w:val="2"/>
            <w:tcBorders>
              <w:top w:val="single" w:sz="4" w:space="0" w:color="auto"/>
              <w:left w:val="nil"/>
              <w:bottom w:val="single" w:sz="4" w:space="0" w:color="auto"/>
              <w:right w:val="single" w:sz="4" w:space="0" w:color="000000"/>
            </w:tcBorders>
            <w:shd w:val="clear" w:color="auto" w:fill="D9D9D9"/>
            <w:noWrap/>
            <w:vAlign w:val="bottom"/>
            <w:hideMark/>
          </w:tcPr>
          <w:p w14:paraId="2E9CF147"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INSPECTIA JUDICIARA</w:t>
            </w:r>
          </w:p>
        </w:tc>
        <w:tc>
          <w:tcPr>
            <w:tcW w:w="722" w:type="pct"/>
            <w:gridSpan w:val="2"/>
            <w:tcBorders>
              <w:top w:val="single" w:sz="4" w:space="0" w:color="auto"/>
              <w:left w:val="nil"/>
              <w:bottom w:val="single" w:sz="4" w:space="0" w:color="auto"/>
              <w:right w:val="single" w:sz="4" w:space="0" w:color="auto"/>
            </w:tcBorders>
            <w:shd w:val="clear" w:color="auto" w:fill="D9D9D9"/>
            <w:noWrap/>
            <w:vAlign w:val="bottom"/>
            <w:hideMark/>
          </w:tcPr>
          <w:p w14:paraId="55E109E2"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INM</w:t>
            </w:r>
          </w:p>
        </w:tc>
        <w:tc>
          <w:tcPr>
            <w:tcW w:w="680" w:type="pct"/>
            <w:gridSpan w:val="2"/>
            <w:tcBorders>
              <w:top w:val="single" w:sz="4" w:space="0" w:color="auto"/>
              <w:left w:val="nil"/>
              <w:bottom w:val="single" w:sz="4" w:space="0" w:color="auto"/>
              <w:right w:val="single" w:sz="4" w:space="0" w:color="auto"/>
            </w:tcBorders>
            <w:shd w:val="clear" w:color="auto" w:fill="D9D9D9"/>
            <w:noWrap/>
            <w:vAlign w:val="bottom"/>
            <w:hideMark/>
          </w:tcPr>
          <w:p w14:paraId="3544FBD1"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SNG</w:t>
            </w:r>
          </w:p>
        </w:tc>
      </w:tr>
      <w:tr w:rsidR="002C206D" w14:paraId="05FC30E2" w14:textId="77777777" w:rsidTr="002C206D">
        <w:trPr>
          <w:trHeight w:val="690"/>
        </w:trPr>
        <w:tc>
          <w:tcPr>
            <w:tcW w:w="689" w:type="pct"/>
            <w:tcBorders>
              <w:top w:val="nil"/>
              <w:left w:val="single" w:sz="4" w:space="0" w:color="auto"/>
              <w:bottom w:val="single" w:sz="4" w:space="0" w:color="auto"/>
              <w:right w:val="single" w:sz="4" w:space="0" w:color="auto"/>
            </w:tcBorders>
            <w:shd w:val="clear" w:color="auto" w:fill="D9D9D9"/>
            <w:vAlign w:val="center"/>
            <w:hideMark/>
          </w:tcPr>
          <w:p w14:paraId="0E6BDEBD" w14:textId="77777777" w:rsidR="002C206D" w:rsidRDefault="002C206D">
            <w:pPr>
              <w:spacing w:line="256" w:lineRule="auto"/>
              <w:rPr>
                <w:rFonts w:ascii="Calibri Light" w:hAnsi="Calibri Light" w:cs="Calibri Light"/>
                <w:b/>
                <w:bCs/>
                <w:color w:val="000000"/>
                <w:sz w:val="20"/>
                <w:lang w:val="en-US"/>
              </w:rPr>
            </w:pPr>
            <w:proofErr w:type="gramStart"/>
            <w:r>
              <w:rPr>
                <w:rFonts w:ascii="Calibri Light" w:hAnsi="Calibri Light" w:cs="Calibri Light"/>
                <w:b/>
                <w:bCs/>
                <w:color w:val="000000"/>
                <w:sz w:val="20"/>
                <w:lang w:val="en-US"/>
              </w:rPr>
              <w:t>BUGET  CSM</w:t>
            </w:r>
            <w:proofErr w:type="gramEnd"/>
          </w:p>
        </w:tc>
        <w:tc>
          <w:tcPr>
            <w:tcW w:w="207" w:type="pct"/>
            <w:tcBorders>
              <w:top w:val="nil"/>
              <w:left w:val="nil"/>
              <w:bottom w:val="single" w:sz="4" w:space="0" w:color="auto"/>
              <w:right w:val="single" w:sz="4" w:space="0" w:color="auto"/>
            </w:tcBorders>
            <w:shd w:val="clear" w:color="auto" w:fill="D9D9D9"/>
            <w:vAlign w:val="bottom"/>
            <w:hideMark/>
          </w:tcPr>
          <w:p w14:paraId="5B4CC144"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 </w:t>
            </w:r>
          </w:p>
        </w:tc>
        <w:tc>
          <w:tcPr>
            <w:tcW w:w="474" w:type="pct"/>
            <w:tcBorders>
              <w:top w:val="nil"/>
              <w:left w:val="nil"/>
              <w:bottom w:val="single" w:sz="4" w:space="0" w:color="auto"/>
              <w:right w:val="single" w:sz="4" w:space="0" w:color="auto"/>
            </w:tcBorders>
            <w:shd w:val="clear" w:color="auto" w:fill="D9D9D9"/>
            <w:noWrap/>
            <w:vAlign w:val="bottom"/>
            <w:hideMark/>
          </w:tcPr>
          <w:p w14:paraId="2A9F27EB"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LEI</w:t>
            </w:r>
          </w:p>
        </w:tc>
        <w:tc>
          <w:tcPr>
            <w:tcW w:w="361" w:type="pct"/>
            <w:tcBorders>
              <w:top w:val="nil"/>
              <w:left w:val="nil"/>
              <w:bottom w:val="single" w:sz="4" w:space="0" w:color="auto"/>
              <w:right w:val="single" w:sz="4" w:space="0" w:color="auto"/>
            </w:tcBorders>
            <w:shd w:val="clear" w:color="auto" w:fill="D9D9D9"/>
            <w:noWrap/>
            <w:vAlign w:val="bottom"/>
            <w:hideMark/>
          </w:tcPr>
          <w:p w14:paraId="36CB3086"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EURO</w:t>
            </w:r>
          </w:p>
        </w:tc>
        <w:tc>
          <w:tcPr>
            <w:tcW w:w="515" w:type="pct"/>
            <w:tcBorders>
              <w:top w:val="nil"/>
              <w:left w:val="nil"/>
              <w:bottom w:val="single" w:sz="4" w:space="0" w:color="auto"/>
              <w:right w:val="single" w:sz="4" w:space="0" w:color="auto"/>
            </w:tcBorders>
            <w:shd w:val="clear" w:color="auto" w:fill="D9D9D9"/>
            <w:noWrap/>
            <w:vAlign w:val="bottom"/>
            <w:hideMark/>
          </w:tcPr>
          <w:p w14:paraId="2C114977"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LEI</w:t>
            </w:r>
          </w:p>
        </w:tc>
        <w:tc>
          <w:tcPr>
            <w:tcW w:w="440" w:type="pct"/>
            <w:tcBorders>
              <w:top w:val="nil"/>
              <w:left w:val="nil"/>
              <w:bottom w:val="single" w:sz="4" w:space="0" w:color="auto"/>
              <w:right w:val="single" w:sz="4" w:space="0" w:color="auto"/>
            </w:tcBorders>
            <w:shd w:val="clear" w:color="auto" w:fill="D9D9D9"/>
            <w:noWrap/>
            <w:vAlign w:val="bottom"/>
            <w:hideMark/>
          </w:tcPr>
          <w:p w14:paraId="2E3C2A55"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EURO</w:t>
            </w:r>
          </w:p>
        </w:tc>
        <w:tc>
          <w:tcPr>
            <w:tcW w:w="493" w:type="pct"/>
            <w:tcBorders>
              <w:top w:val="nil"/>
              <w:left w:val="nil"/>
              <w:bottom w:val="single" w:sz="4" w:space="0" w:color="auto"/>
              <w:right w:val="single" w:sz="4" w:space="0" w:color="auto"/>
            </w:tcBorders>
            <w:shd w:val="clear" w:color="auto" w:fill="D9D9D9"/>
            <w:noWrap/>
            <w:vAlign w:val="bottom"/>
            <w:hideMark/>
          </w:tcPr>
          <w:p w14:paraId="5530B906"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LEI</w:t>
            </w:r>
          </w:p>
        </w:tc>
        <w:tc>
          <w:tcPr>
            <w:tcW w:w="418" w:type="pct"/>
            <w:tcBorders>
              <w:top w:val="nil"/>
              <w:left w:val="nil"/>
              <w:bottom w:val="single" w:sz="4" w:space="0" w:color="auto"/>
              <w:right w:val="single" w:sz="4" w:space="0" w:color="auto"/>
            </w:tcBorders>
            <w:shd w:val="clear" w:color="auto" w:fill="D9D9D9"/>
            <w:noWrap/>
            <w:vAlign w:val="bottom"/>
            <w:hideMark/>
          </w:tcPr>
          <w:p w14:paraId="4936F338"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EURO</w:t>
            </w:r>
          </w:p>
        </w:tc>
        <w:tc>
          <w:tcPr>
            <w:tcW w:w="361" w:type="pct"/>
            <w:tcBorders>
              <w:top w:val="nil"/>
              <w:left w:val="nil"/>
              <w:bottom w:val="single" w:sz="4" w:space="0" w:color="auto"/>
              <w:right w:val="single" w:sz="4" w:space="0" w:color="auto"/>
            </w:tcBorders>
            <w:shd w:val="clear" w:color="auto" w:fill="D9D9D9"/>
            <w:noWrap/>
            <w:vAlign w:val="bottom"/>
            <w:hideMark/>
          </w:tcPr>
          <w:p w14:paraId="5C1D9597"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LEI</w:t>
            </w:r>
          </w:p>
        </w:tc>
        <w:tc>
          <w:tcPr>
            <w:tcW w:w="361" w:type="pct"/>
            <w:tcBorders>
              <w:top w:val="nil"/>
              <w:left w:val="nil"/>
              <w:bottom w:val="single" w:sz="4" w:space="0" w:color="auto"/>
              <w:right w:val="single" w:sz="4" w:space="0" w:color="auto"/>
            </w:tcBorders>
            <w:shd w:val="clear" w:color="auto" w:fill="D9D9D9"/>
            <w:noWrap/>
            <w:vAlign w:val="bottom"/>
            <w:hideMark/>
          </w:tcPr>
          <w:p w14:paraId="7600B16C"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EURO</w:t>
            </w:r>
          </w:p>
        </w:tc>
        <w:tc>
          <w:tcPr>
            <w:tcW w:w="361" w:type="pct"/>
            <w:tcBorders>
              <w:top w:val="nil"/>
              <w:left w:val="nil"/>
              <w:bottom w:val="single" w:sz="4" w:space="0" w:color="auto"/>
              <w:right w:val="single" w:sz="4" w:space="0" w:color="auto"/>
            </w:tcBorders>
            <w:shd w:val="clear" w:color="auto" w:fill="D9D9D9"/>
            <w:noWrap/>
            <w:vAlign w:val="bottom"/>
            <w:hideMark/>
          </w:tcPr>
          <w:p w14:paraId="13A367D6"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LEI</w:t>
            </w:r>
          </w:p>
        </w:tc>
        <w:tc>
          <w:tcPr>
            <w:tcW w:w="319" w:type="pct"/>
            <w:tcBorders>
              <w:top w:val="nil"/>
              <w:left w:val="nil"/>
              <w:bottom w:val="single" w:sz="4" w:space="0" w:color="auto"/>
              <w:right w:val="single" w:sz="4" w:space="0" w:color="auto"/>
            </w:tcBorders>
            <w:shd w:val="clear" w:color="auto" w:fill="D9D9D9"/>
            <w:noWrap/>
            <w:vAlign w:val="bottom"/>
            <w:hideMark/>
          </w:tcPr>
          <w:p w14:paraId="7ED329EC" w14:textId="77777777" w:rsidR="002C206D" w:rsidRDefault="002C206D">
            <w:pPr>
              <w:spacing w:line="256" w:lineRule="auto"/>
              <w:jc w:val="center"/>
              <w:rPr>
                <w:rFonts w:ascii="Calibri Light" w:hAnsi="Calibri Light" w:cs="Calibri Light"/>
                <w:b/>
                <w:bCs/>
                <w:color w:val="000000"/>
                <w:sz w:val="20"/>
                <w:lang w:val="en-US"/>
              </w:rPr>
            </w:pPr>
            <w:r>
              <w:rPr>
                <w:rFonts w:ascii="Calibri Light" w:hAnsi="Calibri Light" w:cs="Calibri Light"/>
                <w:b/>
                <w:bCs/>
                <w:color w:val="000000"/>
                <w:sz w:val="20"/>
                <w:lang w:val="en-US"/>
              </w:rPr>
              <w:t>EURO</w:t>
            </w:r>
          </w:p>
        </w:tc>
      </w:tr>
      <w:tr w:rsidR="002C206D" w14:paraId="4DEDD99A"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36EC022D" w14:textId="77777777" w:rsidR="002C206D" w:rsidRDefault="002C206D">
            <w:pPr>
              <w:spacing w:line="256" w:lineRule="auto"/>
              <w:jc w:val="center"/>
              <w:rPr>
                <w:rFonts w:ascii="Calibri Light" w:hAnsi="Calibri Light" w:cs="Calibri Light"/>
                <w:b/>
                <w:bCs/>
                <w:color w:val="000000"/>
                <w:sz w:val="20"/>
                <w:lang w:val="en-US"/>
              </w:rPr>
            </w:pPr>
            <w:proofErr w:type="gramStart"/>
            <w:r>
              <w:rPr>
                <w:rFonts w:ascii="Calibri Light" w:hAnsi="Calibri Light" w:cs="Calibri Light"/>
                <w:b/>
                <w:bCs/>
                <w:color w:val="000000"/>
                <w:sz w:val="20"/>
                <w:lang w:val="en-US"/>
              </w:rPr>
              <w:t>TOTAL  din</w:t>
            </w:r>
            <w:proofErr w:type="gramEnd"/>
            <w:r>
              <w:rPr>
                <w:rFonts w:ascii="Calibri Light" w:hAnsi="Calibri Light" w:cs="Calibri Light"/>
                <w:b/>
                <w:bCs/>
                <w:color w:val="000000"/>
                <w:sz w:val="20"/>
                <w:lang w:val="en-US"/>
              </w:rPr>
              <w:t xml:space="preserve"> care:</w:t>
            </w:r>
          </w:p>
        </w:tc>
        <w:tc>
          <w:tcPr>
            <w:tcW w:w="207" w:type="pct"/>
            <w:tcBorders>
              <w:top w:val="nil"/>
              <w:left w:val="nil"/>
              <w:bottom w:val="single" w:sz="4" w:space="0" w:color="auto"/>
              <w:right w:val="single" w:sz="4" w:space="0" w:color="auto"/>
            </w:tcBorders>
            <w:vAlign w:val="center"/>
            <w:hideMark/>
          </w:tcPr>
          <w:p w14:paraId="171C5B68" w14:textId="77777777" w:rsidR="002C206D" w:rsidRDefault="002C206D">
            <w:pPr>
              <w:spacing w:line="256" w:lineRule="auto"/>
              <w:rPr>
                <w:rFonts w:ascii="Calibri Light" w:hAnsi="Calibri Light" w:cs="Calibri Light"/>
                <w:b/>
                <w:bCs/>
                <w:color w:val="000000"/>
                <w:sz w:val="20"/>
                <w:lang w:val="en-US"/>
              </w:rPr>
            </w:pPr>
            <w:r>
              <w:rPr>
                <w:rFonts w:ascii="Calibri Light" w:hAnsi="Calibri Light" w:cs="Calibri Light"/>
                <w:b/>
                <w:bCs/>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35EB5D34"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244 331</w:t>
            </w:r>
          </w:p>
        </w:tc>
        <w:tc>
          <w:tcPr>
            <w:tcW w:w="361" w:type="pct"/>
            <w:tcBorders>
              <w:top w:val="nil"/>
              <w:left w:val="nil"/>
              <w:bottom w:val="single" w:sz="4" w:space="0" w:color="auto"/>
              <w:right w:val="single" w:sz="4" w:space="0" w:color="auto"/>
            </w:tcBorders>
            <w:noWrap/>
            <w:vAlign w:val="bottom"/>
            <w:hideMark/>
          </w:tcPr>
          <w:p w14:paraId="2163651D"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41 766</w:t>
            </w:r>
          </w:p>
        </w:tc>
        <w:tc>
          <w:tcPr>
            <w:tcW w:w="515" w:type="pct"/>
            <w:tcBorders>
              <w:top w:val="nil"/>
              <w:left w:val="nil"/>
              <w:bottom w:val="single" w:sz="4" w:space="0" w:color="auto"/>
              <w:right w:val="single" w:sz="4" w:space="0" w:color="auto"/>
            </w:tcBorders>
            <w:noWrap/>
            <w:vAlign w:val="bottom"/>
            <w:hideMark/>
          </w:tcPr>
          <w:p w14:paraId="7D2ADF79"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122 935</w:t>
            </w:r>
          </w:p>
        </w:tc>
        <w:tc>
          <w:tcPr>
            <w:tcW w:w="440" w:type="pct"/>
            <w:tcBorders>
              <w:top w:val="nil"/>
              <w:left w:val="nil"/>
              <w:bottom w:val="single" w:sz="4" w:space="0" w:color="auto"/>
              <w:right w:val="single" w:sz="4" w:space="0" w:color="auto"/>
            </w:tcBorders>
            <w:noWrap/>
            <w:vAlign w:val="bottom"/>
            <w:hideMark/>
          </w:tcPr>
          <w:p w14:paraId="70CC3245"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24 586</w:t>
            </w:r>
          </w:p>
        </w:tc>
        <w:tc>
          <w:tcPr>
            <w:tcW w:w="493" w:type="pct"/>
            <w:tcBorders>
              <w:top w:val="nil"/>
              <w:left w:val="nil"/>
              <w:bottom w:val="single" w:sz="4" w:space="0" w:color="auto"/>
              <w:right w:val="single" w:sz="4" w:space="0" w:color="auto"/>
            </w:tcBorders>
            <w:noWrap/>
            <w:vAlign w:val="bottom"/>
            <w:hideMark/>
          </w:tcPr>
          <w:p w14:paraId="64B17115"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35 502</w:t>
            </w:r>
          </w:p>
        </w:tc>
        <w:tc>
          <w:tcPr>
            <w:tcW w:w="418" w:type="pct"/>
            <w:tcBorders>
              <w:top w:val="nil"/>
              <w:left w:val="nil"/>
              <w:bottom w:val="single" w:sz="4" w:space="0" w:color="auto"/>
              <w:right w:val="single" w:sz="4" w:space="0" w:color="auto"/>
            </w:tcBorders>
            <w:noWrap/>
            <w:vAlign w:val="bottom"/>
            <w:hideMark/>
          </w:tcPr>
          <w:p w14:paraId="064C21C0"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7 100</w:t>
            </w:r>
          </w:p>
        </w:tc>
        <w:tc>
          <w:tcPr>
            <w:tcW w:w="361" w:type="pct"/>
            <w:tcBorders>
              <w:top w:val="nil"/>
              <w:left w:val="nil"/>
              <w:bottom w:val="single" w:sz="4" w:space="0" w:color="auto"/>
              <w:right w:val="single" w:sz="4" w:space="0" w:color="auto"/>
            </w:tcBorders>
            <w:noWrap/>
            <w:vAlign w:val="bottom"/>
            <w:hideMark/>
          </w:tcPr>
          <w:p w14:paraId="31B7848A"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70 588</w:t>
            </w:r>
          </w:p>
        </w:tc>
        <w:tc>
          <w:tcPr>
            <w:tcW w:w="361" w:type="pct"/>
            <w:tcBorders>
              <w:top w:val="nil"/>
              <w:left w:val="nil"/>
              <w:bottom w:val="single" w:sz="4" w:space="0" w:color="auto"/>
              <w:right w:val="single" w:sz="4" w:space="0" w:color="auto"/>
            </w:tcBorders>
            <w:noWrap/>
            <w:vAlign w:val="bottom"/>
            <w:hideMark/>
          </w:tcPr>
          <w:p w14:paraId="6864680A"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14 118</w:t>
            </w:r>
          </w:p>
        </w:tc>
        <w:tc>
          <w:tcPr>
            <w:tcW w:w="361" w:type="pct"/>
            <w:tcBorders>
              <w:top w:val="nil"/>
              <w:left w:val="nil"/>
              <w:bottom w:val="single" w:sz="4" w:space="0" w:color="auto"/>
              <w:right w:val="single" w:sz="4" w:space="0" w:color="auto"/>
            </w:tcBorders>
            <w:noWrap/>
            <w:vAlign w:val="bottom"/>
            <w:hideMark/>
          </w:tcPr>
          <w:p w14:paraId="6EF83387"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15 306</w:t>
            </w:r>
          </w:p>
        </w:tc>
        <w:tc>
          <w:tcPr>
            <w:tcW w:w="319" w:type="pct"/>
            <w:tcBorders>
              <w:top w:val="nil"/>
              <w:left w:val="nil"/>
              <w:bottom w:val="single" w:sz="4" w:space="0" w:color="auto"/>
              <w:right w:val="single" w:sz="4" w:space="0" w:color="auto"/>
            </w:tcBorders>
            <w:noWrap/>
            <w:vAlign w:val="bottom"/>
            <w:hideMark/>
          </w:tcPr>
          <w:p w14:paraId="42DDB176"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3 062</w:t>
            </w:r>
          </w:p>
        </w:tc>
      </w:tr>
      <w:tr w:rsidR="002C206D" w14:paraId="0241D999"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38C1CBB4" w14:textId="77777777" w:rsidR="002C206D" w:rsidRDefault="002C206D">
            <w:pPr>
              <w:spacing w:line="256" w:lineRule="auto"/>
              <w:rPr>
                <w:rFonts w:ascii="Calibri Light" w:hAnsi="Calibri Light" w:cs="Calibri Light"/>
                <w:b/>
                <w:bCs/>
                <w:color w:val="000000"/>
                <w:sz w:val="20"/>
                <w:lang w:val="en-US"/>
              </w:rPr>
            </w:pPr>
          </w:p>
        </w:tc>
        <w:tc>
          <w:tcPr>
            <w:tcW w:w="207" w:type="pct"/>
            <w:tcBorders>
              <w:top w:val="nil"/>
              <w:left w:val="nil"/>
              <w:bottom w:val="single" w:sz="4" w:space="0" w:color="auto"/>
              <w:right w:val="single" w:sz="4" w:space="0" w:color="auto"/>
            </w:tcBorders>
            <w:vAlign w:val="center"/>
            <w:hideMark/>
          </w:tcPr>
          <w:p w14:paraId="7DB07B4C" w14:textId="77777777" w:rsidR="002C206D" w:rsidRDefault="002C206D">
            <w:pPr>
              <w:spacing w:line="256" w:lineRule="auto"/>
              <w:rPr>
                <w:rFonts w:ascii="Calibri Light" w:hAnsi="Calibri Light" w:cs="Calibri Light"/>
                <w:b/>
                <w:bCs/>
                <w:color w:val="000000"/>
                <w:sz w:val="20"/>
                <w:lang w:val="en-US"/>
              </w:rPr>
            </w:pPr>
            <w:r>
              <w:rPr>
                <w:rFonts w:ascii="Calibri Light" w:hAnsi="Calibri Light" w:cs="Calibri Light"/>
                <w:b/>
                <w:bCs/>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76771AAD"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243 390</w:t>
            </w:r>
          </w:p>
        </w:tc>
        <w:tc>
          <w:tcPr>
            <w:tcW w:w="361" w:type="pct"/>
            <w:tcBorders>
              <w:top w:val="nil"/>
              <w:left w:val="nil"/>
              <w:bottom w:val="single" w:sz="4" w:space="0" w:color="auto"/>
              <w:right w:val="single" w:sz="4" w:space="0" w:color="auto"/>
            </w:tcBorders>
            <w:noWrap/>
            <w:vAlign w:val="bottom"/>
            <w:hideMark/>
          </w:tcPr>
          <w:p w14:paraId="524759A8"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41 578</w:t>
            </w:r>
          </w:p>
        </w:tc>
        <w:tc>
          <w:tcPr>
            <w:tcW w:w="515" w:type="pct"/>
            <w:tcBorders>
              <w:top w:val="nil"/>
              <w:left w:val="nil"/>
              <w:bottom w:val="single" w:sz="4" w:space="0" w:color="auto"/>
              <w:right w:val="single" w:sz="4" w:space="0" w:color="auto"/>
            </w:tcBorders>
            <w:noWrap/>
            <w:vAlign w:val="bottom"/>
            <w:hideMark/>
          </w:tcPr>
          <w:p w14:paraId="164750C9"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122 210</w:t>
            </w:r>
          </w:p>
        </w:tc>
        <w:tc>
          <w:tcPr>
            <w:tcW w:w="440" w:type="pct"/>
            <w:tcBorders>
              <w:top w:val="nil"/>
              <w:left w:val="nil"/>
              <w:bottom w:val="single" w:sz="4" w:space="0" w:color="auto"/>
              <w:right w:val="single" w:sz="4" w:space="0" w:color="auto"/>
            </w:tcBorders>
            <w:noWrap/>
            <w:vAlign w:val="bottom"/>
            <w:hideMark/>
          </w:tcPr>
          <w:p w14:paraId="48F2DED3"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24 441</w:t>
            </w:r>
          </w:p>
        </w:tc>
        <w:tc>
          <w:tcPr>
            <w:tcW w:w="493" w:type="pct"/>
            <w:tcBorders>
              <w:top w:val="nil"/>
              <w:left w:val="nil"/>
              <w:bottom w:val="single" w:sz="4" w:space="0" w:color="auto"/>
              <w:right w:val="single" w:sz="4" w:space="0" w:color="auto"/>
            </w:tcBorders>
            <w:noWrap/>
            <w:vAlign w:val="bottom"/>
            <w:hideMark/>
          </w:tcPr>
          <w:p w14:paraId="285B1A26"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35 502</w:t>
            </w:r>
          </w:p>
        </w:tc>
        <w:tc>
          <w:tcPr>
            <w:tcW w:w="418" w:type="pct"/>
            <w:tcBorders>
              <w:top w:val="nil"/>
              <w:left w:val="nil"/>
              <w:bottom w:val="single" w:sz="4" w:space="0" w:color="auto"/>
              <w:right w:val="single" w:sz="4" w:space="0" w:color="auto"/>
            </w:tcBorders>
            <w:noWrap/>
            <w:vAlign w:val="bottom"/>
            <w:hideMark/>
          </w:tcPr>
          <w:p w14:paraId="4A06E0F2"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7 100</w:t>
            </w:r>
          </w:p>
        </w:tc>
        <w:tc>
          <w:tcPr>
            <w:tcW w:w="361" w:type="pct"/>
            <w:tcBorders>
              <w:top w:val="nil"/>
              <w:left w:val="nil"/>
              <w:bottom w:val="single" w:sz="4" w:space="0" w:color="auto"/>
              <w:right w:val="single" w:sz="4" w:space="0" w:color="auto"/>
            </w:tcBorders>
            <w:noWrap/>
            <w:vAlign w:val="bottom"/>
            <w:hideMark/>
          </w:tcPr>
          <w:p w14:paraId="04F08626"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70 372</w:t>
            </w:r>
          </w:p>
        </w:tc>
        <w:tc>
          <w:tcPr>
            <w:tcW w:w="361" w:type="pct"/>
            <w:tcBorders>
              <w:top w:val="nil"/>
              <w:left w:val="nil"/>
              <w:bottom w:val="single" w:sz="4" w:space="0" w:color="auto"/>
              <w:right w:val="single" w:sz="4" w:space="0" w:color="auto"/>
            </w:tcBorders>
            <w:noWrap/>
            <w:vAlign w:val="bottom"/>
            <w:hideMark/>
          </w:tcPr>
          <w:p w14:paraId="1A57184E"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14 075</w:t>
            </w:r>
          </w:p>
        </w:tc>
        <w:tc>
          <w:tcPr>
            <w:tcW w:w="361" w:type="pct"/>
            <w:tcBorders>
              <w:top w:val="nil"/>
              <w:left w:val="nil"/>
              <w:bottom w:val="single" w:sz="4" w:space="0" w:color="auto"/>
              <w:right w:val="single" w:sz="4" w:space="0" w:color="auto"/>
            </w:tcBorders>
            <w:noWrap/>
            <w:vAlign w:val="bottom"/>
            <w:hideMark/>
          </w:tcPr>
          <w:p w14:paraId="1A4C1A2A"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15 306</w:t>
            </w:r>
          </w:p>
        </w:tc>
        <w:tc>
          <w:tcPr>
            <w:tcW w:w="319" w:type="pct"/>
            <w:tcBorders>
              <w:top w:val="nil"/>
              <w:left w:val="nil"/>
              <w:bottom w:val="single" w:sz="4" w:space="0" w:color="auto"/>
              <w:right w:val="single" w:sz="4" w:space="0" w:color="auto"/>
            </w:tcBorders>
            <w:noWrap/>
            <w:vAlign w:val="bottom"/>
            <w:hideMark/>
          </w:tcPr>
          <w:p w14:paraId="74948F14" w14:textId="77777777" w:rsidR="002C206D" w:rsidRDefault="002C206D">
            <w:pPr>
              <w:spacing w:line="256" w:lineRule="auto"/>
              <w:jc w:val="right"/>
              <w:rPr>
                <w:rFonts w:ascii="Calibri Light" w:hAnsi="Calibri Light" w:cs="Calibri Light"/>
                <w:b/>
                <w:bCs/>
                <w:color w:val="000000"/>
                <w:sz w:val="20"/>
                <w:lang w:val="en-US"/>
              </w:rPr>
            </w:pPr>
            <w:r>
              <w:rPr>
                <w:rFonts w:ascii="Calibri Light" w:hAnsi="Calibri Light" w:cs="Calibri Light"/>
                <w:b/>
                <w:bCs/>
                <w:color w:val="000000"/>
                <w:sz w:val="20"/>
                <w:lang w:val="en-US"/>
              </w:rPr>
              <w:t>3 062</w:t>
            </w:r>
          </w:p>
        </w:tc>
      </w:tr>
      <w:tr w:rsidR="002C206D" w14:paraId="584757EC"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33456247" w14:textId="77777777" w:rsidR="002C206D" w:rsidRDefault="002C206D">
            <w:pPr>
              <w:spacing w:line="256" w:lineRule="auto"/>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personal</w:t>
            </w:r>
          </w:p>
        </w:tc>
        <w:tc>
          <w:tcPr>
            <w:tcW w:w="207" w:type="pct"/>
            <w:tcBorders>
              <w:top w:val="nil"/>
              <w:left w:val="nil"/>
              <w:bottom w:val="single" w:sz="4" w:space="0" w:color="auto"/>
              <w:right w:val="single" w:sz="4" w:space="0" w:color="auto"/>
            </w:tcBorders>
            <w:vAlign w:val="center"/>
            <w:hideMark/>
          </w:tcPr>
          <w:p w14:paraId="07D81145"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071B358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170 200</w:t>
            </w:r>
          </w:p>
        </w:tc>
        <w:tc>
          <w:tcPr>
            <w:tcW w:w="361" w:type="pct"/>
            <w:tcBorders>
              <w:top w:val="nil"/>
              <w:left w:val="nil"/>
              <w:bottom w:val="single" w:sz="4" w:space="0" w:color="auto"/>
              <w:right w:val="single" w:sz="4" w:space="0" w:color="auto"/>
            </w:tcBorders>
            <w:noWrap/>
            <w:vAlign w:val="bottom"/>
            <w:hideMark/>
          </w:tcPr>
          <w:p w14:paraId="39E104A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27 680</w:t>
            </w:r>
          </w:p>
        </w:tc>
        <w:tc>
          <w:tcPr>
            <w:tcW w:w="515" w:type="pct"/>
            <w:tcBorders>
              <w:top w:val="nil"/>
              <w:left w:val="nil"/>
              <w:bottom w:val="single" w:sz="4" w:space="0" w:color="auto"/>
              <w:right w:val="single" w:sz="4" w:space="0" w:color="auto"/>
            </w:tcBorders>
            <w:noWrap/>
            <w:vAlign w:val="bottom"/>
            <w:hideMark/>
          </w:tcPr>
          <w:p w14:paraId="087C9CF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102 572</w:t>
            </w:r>
          </w:p>
        </w:tc>
        <w:tc>
          <w:tcPr>
            <w:tcW w:w="440" w:type="pct"/>
            <w:tcBorders>
              <w:top w:val="nil"/>
              <w:left w:val="nil"/>
              <w:bottom w:val="single" w:sz="4" w:space="0" w:color="auto"/>
              <w:right w:val="single" w:sz="4" w:space="0" w:color="auto"/>
            </w:tcBorders>
            <w:noWrap/>
            <w:vAlign w:val="bottom"/>
            <w:hideMark/>
          </w:tcPr>
          <w:p w14:paraId="2F9E73D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20 514</w:t>
            </w:r>
          </w:p>
        </w:tc>
        <w:tc>
          <w:tcPr>
            <w:tcW w:w="493" w:type="pct"/>
            <w:tcBorders>
              <w:top w:val="nil"/>
              <w:left w:val="nil"/>
              <w:bottom w:val="single" w:sz="4" w:space="0" w:color="auto"/>
              <w:right w:val="single" w:sz="4" w:space="0" w:color="auto"/>
            </w:tcBorders>
            <w:noWrap/>
            <w:vAlign w:val="bottom"/>
            <w:hideMark/>
          </w:tcPr>
          <w:p w14:paraId="6CCEDD3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31 800</w:t>
            </w:r>
          </w:p>
        </w:tc>
        <w:tc>
          <w:tcPr>
            <w:tcW w:w="418" w:type="pct"/>
            <w:tcBorders>
              <w:top w:val="nil"/>
              <w:left w:val="nil"/>
              <w:bottom w:val="single" w:sz="4" w:space="0" w:color="auto"/>
              <w:right w:val="single" w:sz="4" w:space="0" w:color="auto"/>
            </w:tcBorders>
            <w:noWrap/>
            <w:vAlign w:val="bottom"/>
            <w:hideMark/>
          </w:tcPr>
          <w:p w14:paraId="5709663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6 360</w:t>
            </w:r>
          </w:p>
        </w:tc>
        <w:tc>
          <w:tcPr>
            <w:tcW w:w="361" w:type="pct"/>
            <w:tcBorders>
              <w:top w:val="nil"/>
              <w:left w:val="nil"/>
              <w:bottom w:val="single" w:sz="4" w:space="0" w:color="auto"/>
              <w:right w:val="single" w:sz="4" w:space="0" w:color="auto"/>
            </w:tcBorders>
            <w:noWrap/>
            <w:vAlign w:val="bottom"/>
            <w:hideMark/>
          </w:tcPr>
          <w:p w14:paraId="1EA320B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25 540</w:t>
            </w:r>
          </w:p>
        </w:tc>
        <w:tc>
          <w:tcPr>
            <w:tcW w:w="361" w:type="pct"/>
            <w:tcBorders>
              <w:top w:val="nil"/>
              <w:left w:val="nil"/>
              <w:bottom w:val="single" w:sz="4" w:space="0" w:color="auto"/>
              <w:right w:val="single" w:sz="4" w:space="0" w:color="auto"/>
            </w:tcBorders>
            <w:noWrap/>
            <w:vAlign w:val="bottom"/>
            <w:hideMark/>
          </w:tcPr>
          <w:p w14:paraId="732B43C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5 108</w:t>
            </w:r>
          </w:p>
        </w:tc>
        <w:tc>
          <w:tcPr>
            <w:tcW w:w="361" w:type="pct"/>
            <w:tcBorders>
              <w:top w:val="nil"/>
              <w:left w:val="nil"/>
              <w:bottom w:val="single" w:sz="4" w:space="0" w:color="auto"/>
              <w:right w:val="single" w:sz="4" w:space="0" w:color="auto"/>
            </w:tcBorders>
            <w:noWrap/>
            <w:vAlign w:val="bottom"/>
            <w:hideMark/>
          </w:tcPr>
          <w:p w14:paraId="5DD3283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10 288</w:t>
            </w:r>
          </w:p>
        </w:tc>
        <w:tc>
          <w:tcPr>
            <w:tcW w:w="319" w:type="pct"/>
            <w:tcBorders>
              <w:top w:val="nil"/>
              <w:left w:val="nil"/>
              <w:bottom w:val="single" w:sz="4" w:space="0" w:color="auto"/>
              <w:right w:val="single" w:sz="4" w:space="0" w:color="auto"/>
            </w:tcBorders>
            <w:noWrap/>
            <w:vAlign w:val="bottom"/>
            <w:hideMark/>
          </w:tcPr>
          <w:p w14:paraId="08B9BAF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2 058</w:t>
            </w:r>
          </w:p>
        </w:tc>
      </w:tr>
      <w:tr w:rsidR="002C206D" w14:paraId="054160D2"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4404D4AC"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085F9F75"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5774FE3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170 200</w:t>
            </w:r>
          </w:p>
        </w:tc>
        <w:tc>
          <w:tcPr>
            <w:tcW w:w="361" w:type="pct"/>
            <w:tcBorders>
              <w:top w:val="nil"/>
              <w:left w:val="nil"/>
              <w:bottom w:val="single" w:sz="4" w:space="0" w:color="auto"/>
              <w:right w:val="single" w:sz="4" w:space="0" w:color="auto"/>
            </w:tcBorders>
            <w:noWrap/>
            <w:vAlign w:val="bottom"/>
            <w:hideMark/>
          </w:tcPr>
          <w:p w14:paraId="3E49F62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27 680</w:t>
            </w:r>
          </w:p>
        </w:tc>
        <w:tc>
          <w:tcPr>
            <w:tcW w:w="515" w:type="pct"/>
            <w:tcBorders>
              <w:top w:val="nil"/>
              <w:left w:val="nil"/>
              <w:bottom w:val="single" w:sz="4" w:space="0" w:color="auto"/>
              <w:right w:val="single" w:sz="4" w:space="0" w:color="auto"/>
            </w:tcBorders>
            <w:noWrap/>
            <w:vAlign w:val="bottom"/>
            <w:hideMark/>
          </w:tcPr>
          <w:p w14:paraId="3674EC0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102 572</w:t>
            </w:r>
          </w:p>
        </w:tc>
        <w:tc>
          <w:tcPr>
            <w:tcW w:w="440" w:type="pct"/>
            <w:tcBorders>
              <w:top w:val="nil"/>
              <w:left w:val="nil"/>
              <w:bottom w:val="single" w:sz="4" w:space="0" w:color="auto"/>
              <w:right w:val="single" w:sz="4" w:space="0" w:color="auto"/>
            </w:tcBorders>
            <w:noWrap/>
            <w:vAlign w:val="bottom"/>
            <w:hideMark/>
          </w:tcPr>
          <w:p w14:paraId="3E902C7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20 514</w:t>
            </w:r>
          </w:p>
        </w:tc>
        <w:tc>
          <w:tcPr>
            <w:tcW w:w="493" w:type="pct"/>
            <w:tcBorders>
              <w:top w:val="nil"/>
              <w:left w:val="nil"/>
              <w:bottom w:val="single" w:sz="4" w:space="0" w:color="auto"/>
              <w:right w:val="single" w:sz="4" w:space="0" w:color="auto"/>
            </w:tcBorders>
            <w:noWrap/>
            <w:vAlign w:val="bottom"/>
            <w:hideMark/>
          </w:tcPr>
          <w:p w14:paraId="3C070CE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31 800</w:t>
            </w:r>
          </w:p>
        </w:tc>
        <w:tc>
          <w:tcPr>
            <w:tcW w:w="418" w:type="pct"/>
            <w:tcBorders>
              <w:top w:val="nil"/>
              <w:left w:val="nil"/>
              <w:bottom w:val="single" w:sz="4" w:space="0" w:color="auto"/>
              <w:right w:val="single" w:sz="4" w:space="0" w:color="auto"/>
            </w:tcBorders>
            <w:noWrap/>
            <w:vAlign w:val="bottom"/>
            <w:hideMark/>
          </w:tcPr>
          <w:p w14:paraId="7587BA4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6 360</w:t>
            </w:r>
          </w:p>
        </w:tc>
        <w:tc>
          <w:tcPr>
            <w:tcW w:w="361" w:type="pct"/>
            <w:tcBorders>
              <w:top w:val="nil"/>
              <w:left w:val="nil"/>
              <w:bottom w:val="single" w:sz="4" w:space="0" w:color="auto"/>
              <w:right w:val="single" w:sz="4" w:space="0" w:color="auto"/>
            </w:tcBorders>
            <w:noWrap/>
            <w:vAlign w:val="bottom"/>
            <w:hideMark/>
          </w:tcPr>
          <w:p w14:paraId="73035D3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25 540</w:t>
            </w:r>
          </w:p>
        </w:tc>
        <w:tc>
          <w:tcPr>
            <w:tcW w:w="361" w:type="pct"/>
            <w:tcBorders>
              <w:top w:val="nil"/>
              <w:left w:val="nil"/>
              <w:bottom w:val="single" w:sz="4" w:space="0" w:color="auto"/>
              <w:right w:val="single" w:sz="4" w:space="0" w:color="auto"/>
            </w:tcBorders>
            <w:noWrap/>
            <w:vAlign w:val="bottom"/>
            <w:hideMark/>
          </w:tcPr>
          <w:p w14:paraId="631BCBD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5 108</w:t>
            </w:r>
          </w:p>
        </w:tc>
        <w:tc>
          <w:tcPr>
            <w:tcW w:w="361" w:type="pct"/>
            <w:tcBorders>
              <w:top w:val="nil"/>
              <w:left w:val="nil"/>
              <w:bottom w:val="single" w:sz="4" w:space="0" w:color="auto"/>
              <w:right w:val="single" w:sz="4" w:space="0" w:color="auto"/>
            </w:tcBorders>
            <w:noWrap/>
            <w:vAlign w:val="bottom"/>
            <w:hideMark/>
          </w:tcPr>
          <w:p w14:paraId="3C67CE3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10 288</w:t>
            </w:r>
          </w:p>
        </w:tc>
        <w:tc>
          <w:tcPr>
            <w:tcW w:w="319" w:type="pct"/>
            <w:tcBorders>
              <w:top w:val="nil"/>
              <w:left w:val="nil"/>
              <w:bottom w:val="single" w:sz="4" w:space="0" w:color="auto"/>
              <w:right w:val="single" w:sz="4" w:space="0" w:color="auto"/>
            </w:tcBorders>
            <w:noWrap/>
            <w:vAlign w:val="bottom"/>
            <w:hideMark/>
          </w:tcPr>
          <w:p w14:paraId="75602A3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2 058</w:t>
            </w:r>
          </w:p>
        </w:tc>
      </w:tr>
      <w:tr w:rsidR="002C206D" w14:paraId="57FAFD41"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382C191A" w14:textId="77777777" w:rsidR="002C206D" w:rsidRDefault="002C206D">
            <w:pPr>
              <w:spacing w:line="256" w:lineRule="auto"/>
              <w:rPr>
                <w:rFonts w:ascii="Calibri Light" w:hAnsi="Calibri Light" w:cs="Calibri Light"/>
                <w:color w:val="000000"/>
                <w:sz w:val="20"/>
                <w:lang w:val="en-US"/>
              </w:rPr>
            </w:pPr>
            <w:proofErr w:type="spellStart"/>
            <w:r>
              <w:rPr>
                <w:rFonts w:ascii="Calibri Light" w:hAnsi="Calibri Light" w:cs="Calibri Light"/>
                <w:color w:val="000000"/>
                <w:sz w:val="20"/>
                <w:lang w:val="en-US"/>
              </w:rPr>
              <w:t>Bunuri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și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servicii</w:t>
            </w:r>
            <w:proofErr w:type="spellEnd"/>
          </w:p>
        </w:tc>
        <w:tc>
          <w:tcPr>
            <w:tcW w:w="207" w:type="pct"/>
            <w:tcBorders>
              <w:top w:val="nil"/>
              <w:left w:val="nil"/>
              <w:bottom w:val="single" w:sz="4" w:space="0" w:color="auto"/>
              <w:right w:val="single" w:sz="4" w:space="0" w:color="auto"/>
            </w:tcBorders>
            <w:vAlign w:val="center"/>
            <w:hideMark/>
          </w:tcPr>
          <w:p w14:paraId="0ECBD8DC"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3D4B1E4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29 000</w:t>
            </w:r>
          </w:p>
        </w:tc>
        <w:tc>
          <w:tcPr>
            <w:tcW w:w="361" w:type="pct"/>
            <w:tcBorders>
              <w:top w:val="nil"/>
              <w:left w:val="nil"/>
              <w:bottom w:val="single" w:sz="4" w:space="0" w:color="auto"/>
              <w:right w:val="single" w:sz="4" w:space="0" w:color="auto"/>
            </w:tcBorders>
            <w:noWrap/>
            <w:vAlign w:val="bottom"/>
            <w:hideMark/>
          </w:tcPr>
          <w:p w14:paraId="05D65A8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5 118</w:t>
            </w:r>
          </w:p>
        </w:tc>
        <w:tc>
          <w:tcPr>
            <w:tcW w:w="515" w:type="pct"/>
            <w:tcBorders>
              <w:top w:val="nil"/>
              <w:left w:val="nil"/>
              <w:bottom w:val="single" w:sz="4" w:space="0" w:color="auto"/>
              <w:right w:val="single" w:sz="4" w:space="0" w:color="auto"/>
            </w:tcBorders>
            <w:noWrap/>
            <w:vAlign w:val="bottom"/>
            <w:hideMark/>
          </w:tcPr>
          <w:p w14:paraId="0B5B856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13 976</w:t>
            </w:r>
          </w:p>
        </w:tc>
        <w:tc>
          <w:tcPr>
            <w:tcW w:w="440" w:type="pct"/>
            <w:tcBorders>
              <w:top w:val="nil"/>
              <w:left w:val="nil"/>
              <w:bottom w:val="single" w:sz="4" w:space="0" w:color="auto"/>
              <w:right w:val="single" w:sz="4" w:space="0" w:color="auto"/>
            </w:tcBorders>
            <w:noWrap/>
            <w:vAlign w:val="bottom"/>
            <w:hideMark/>
          </w:tcPr>
          <w:p w14:paraId="51194EC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2 795</w:t>
            </w:r>
          </w:p>
        </w:tc>
        <w:tc>
          <w:tcPr>
            <w:tcW w:w="493" w:type="pct"/>
            <w:tcBorders>
              <w:top w:val="nil"/>
              <w:left w:val="nil"/>
              <w:bottom w:val="single" w:sz="4" w:space="0" w:color="auto"/>
              <w:right w:val="single" w:sz="4" w:space="0" w:color="auto"/>
            </w:tcBorders>
            <w:noWrap/>
            <w:vAlign w:val="bottom"/>
            <w:hideMark/>
          </w:tcPr>
          <w:p w14:paraId="52F109E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3 412</w:t>
            </w:r>
          </w:p>
        </w:tc>
        <w:tc>
          <w:tcPr>
            <w:tcW w:w="418" w:type="pct"/>
            <w:tcBorders>
              <w:top w:val="nil"/>
              <w:left w:val="nil"/>
              <w:bottom w:val="single" w:sz="4" w:space="0" w:color="auto"/>
              <w:right w:val="single" w:sz="4" w:space="0" w:color="auto"/>
            </w:tcBorders>
            <w:noWrap/>
            <w:vAlign w:val="bottom"/>
            <w:hideMark/>
          </w:tcPr>
          <w:p w14:paraId="0414DCC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682</w:t>
            </w:r>
          </w:p>
        </w:tc>
        <w:tc>
          <w:tcPr>
            <w:tcW w:w="361" w:type="pct"/>
            <w:tcBorders>
              <w:top w:val="nil"/>
              <w:left w:val="nil"/>
              <w:bottom w:val="single" w:sz="4" w:space="0" w:color="auto"/>
              <w:right w:val="single" w:sz="4" w:space="0" w:color="auto"/>
            </w:tcBorders>
            <w:noWrap/>
            <w:vAlign w:val="bottom"/>
            <w:hideMark/>
          </w:tcPr>
          <w:p w14:paraId="2F6752B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7 744</w:t>
            </w:r>
          </w:p>
        </w:tc>
        <w:tc>
          <w:tcPr>
            <w:tcW w:w="361" w:type="pct"/>
            <w:tcBorders>
              <w:top w:val="nil"/>
              <w:left w:val="nil"/>
              <w:bottom w:val="single" w:sz="4" w:space="0" w:color="auto"/>
              <w:right w:val="single" w:sz="4" w:space="0" w:color="auto"/>
            </w:tcBorders>
            <w:noWrap/>
            <w:vAlign w:val="bottom"/>
            <w:hideMark/>
          </w:tcPr>
          <w:p w14:paraId="29DCA00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1 549</w:t>
            </w:r>
          </w:p>
        </w:tc>
        <w:tc>
          <w:tcPr>
            <w:tcW w:w="361" w:type="pct"/>
            <w:tcBorders>
              <w:top w:val="nil"/>
              <w:left w:val="nil"/>
              <w:bottom w:val="single" w:sz="4" w:space="0" w:color="auto"/>
              <w:right w:val="single" w:sz="4" w:space="0" w:color="auto"/>
            </w:tcBorders>
            <w:noWrap/>
            <w:vAlign w:val="bottom"/>
            <w:hideMark/>
          </w:tcPr>
          <w:p w14:paraId="0FF30D5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3 868</w:t>
            </w:r>
          </w:p>
        </w:tc>
        <w:tc>
          <w:tcPr>
            <w:tcW w:w="319" w:type="pct"/>
            <w:tcBorders>
              <w:top w:val="nil"/>
              <w:left w:val="nil"/>
              <w:bottom w:val="single" w:sz="4" w:space="0" w:color="auto"/>
              <w:right w:val="single" w:sz="4" w:space="0" w:color="auto"/>
            </w:tcBorders>
            <w:noWrap/>
            <w:vAlign w:val="bottom"/>
            <w:hideMark/>
          </w:tcPr>
          <w:p w14:paraId="7A52DD2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774</w:t>
            </w:r>
          </w:p>
        </w:tc>
      </w:tr>
      <w:tr w:rsidR="002C206D" w14:paraId="396D1F3A"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52D28998"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71F56408"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6E0B829C"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29 000</w:t>
            </w:r>
          </w:p>
        </w:tc>
        <w:tc>
          <w:tcPr>
            <w:tcW w:w="361" w:type="pct"/>
            <w:tcBorders>
              <w:top w:val="nil"/>
              <w:left w:val="nil"/>
              <w:bottom w:val="single" w:sz="4" w:space="0" w:color="auto"/>
              <w:right w:val="single" w:sz="4" w:space="0" w:color="auto"/>
            </w:tcBorders>
            <w:noWrap/>
            <w:vAlign w:val="bottom"/>
            <w:hideMark/>
          </w:tcPr>
          <w:p w14:paraId="4A9E96A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5 118</w:t>
            </w:r>
          </w:p>
        </w:tc>
        <w:tc>
          <w:tcPr>
            <w:tcW w:w="515" w:type="pct"/>
            <w:tcBorders>
              <w:top w:val="nil"/>
              <w:left w:val="nil"/>
              <w:bottom w:val="single" w:sz="4" w:space="0" w:color="auto"/>
              <w:right w:val="single" w:sz="4" w:space="0" w:color="auto"/>
            </w:tcBorders>
            <w:noWrap/>
            <w:vAlign w:val="bottom"/>
            <w:hideMark/>
          </w:tcPr>
          <w:p w14:paraId="41075C5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13 976</w:t>
            </w:r>
          </w:p>
        </w:tc>
        <w:tc>
          <w:tcPr>
            <w:tcW w:w="440" w:type="pct"/>
            <w:tcBorders>
              <w:top w:val="nil"/>
              <w:left w:val="nil"/>
              <w:bottom w:val="single" w:sz="4" w:space="0" w:color="auto"/>
              <w:right w:val="single" w:sz="4" w:space="0" w:color="auto"/>
            </w:tcBorders>
            <w:noWrap/>
            <w:vAlign w:val="bottom"/>
            <w:hideMark/>
          </w:tcPr>
          <w:p w14:paraId="526F3CB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2 795</w:t>
            </w:r>
          </w:p>
        </w:tc>
        <w:tc>
          <w:tcPr>
            <w:tcW w:w="493" w:type="pct"/>
            <w:tcBorders>
              <w:top w:val="nil"/>
              <w:left w:val="nil"/>
              <w:bottom w:val="single" w:sz="4" w:space="0" w:color="auto"/>
              <w:right w:val="single" w:sz="4" w:space="0" w:color="auto"/>
            </w:tcBorders>
            <w:noWrap/>
            <w:vAlign w:val="bottom"/>
            <w:hideMark/>
          </w:tcPr>
          <w:p w14:paraId="107A208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3 412</w:t>
            </w:r>
          </w:p>
        </w:tc>
        <w:tc>
          <w:tcPr>
            <w:tcW w:w="418" w:type="pct"/>
            <w:tcBorders>
              <w:top w:val="nil"/>
              <w:left w:val="nil"/>
              <w:bottom w:val="single" w:sz="4" w:space="0" w:color="auto"/>
              <w:right w:val="single" w:sz="4" w:space="0" w:color="auto"/>
            </w:tcBorders>
            <w:noWrap/>
            <w:vAlign w:val="bottom"/>
            <w:hideMark/>
          </w:tcPr>
          <w:p w14:paraId="383E131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682</w:t>
            </w:r>
          </w:p>
        </w:tc>
        <w:tc>
          <w:tcPr>
            <w:tcW w:w="361" w:type="pct"/>
            <w:tcBorders>
              <w:top w:val="nil"/>
              <w:left w:val="nil"/>
              <w:bottom w:val="single" w:sz="4" w:space="0" w:color="auto"/>
              <w:right w:val="single" w:sz="4" w:space="0" w:color="auto"/>
            </w:tcBorders>
            <w:noWrap/>
            <w:vAlign w:val="bottom"/>
            <w:hideMark/>
          </w:tcPr>
          <w:p w14:paraId="40700AF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7 744</w:t>
            </w:r>
          </w:p>
        </w:tc>
        <w:tc>
          <w:tcPr>
            <w:tcW w:w="361" w:type="pct"/>
            <w:tcBorders>
              <w:top w:val="nil"/>
              <w:left w:val="nil"/>
              <w:bottom w:val="single" w:sz="4" w:space="0" w:color="auto"/>
              <w:right w:val="single" w:sz="4" w:space="0" w:color="auto"/>
            </w:tcBorders>
            <w:noWrap/>
            <w:vAlign w:val="bottom"/>
            <w:hideMark/>
          </w:tcPr>
          <w:p w14:paraId="2562626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1 549</w:t>
            </w:r>
          </w:p>
        </w:tc>
        <w:tc>
          <w:tcPr>
            <w:tcW w:w="361" w:type="pct"/>
            <w:tcBorders>
              <w:top w:val="nil"/>
              <w:left w:val="nil"/>
              <w:bottom w:val="single" w:sz="4" w:space="0" w:color="auto"/>
              <w:right w:val="single" w:sz="4" w:space="0" w:color="auto"/>
            </w:tcBorders>
            <w:noWrap/>
            <w:vAlign w:val="bottom"/>
            <w:hideMark/>
          </w:tcPr>
          <w:p w14:paraId="4A64EE3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3 868</w:t>
            </w:r>
          </w:p>
        </w:tc>
        <w:tc>
          <w:tcPr>
            <w:tcW w:w="319" w:type="pct"/>
            <w:tcBorders>
              <w:top w:val="nil"/>
              <w:left w:val="nil"/>
              <w:bottom w:val="single" w:sz="4" w:space="0" w:color="auto"/>
              <w:right w:val="single" w:sz="4" w:space="0" w:color="auto"/>
            </w:tcBorders>
            <w:noWrap/>
            <w:vAlign w:val="bottom"/>
            <w:hideMark/>
          </w:tcPr>
          <w:p w14:paraId="1D14938C"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774</w:t>
            </w:r>
          </w:p>
        </w:tc>
      </w:tr>
      <w:tr w:rsidR="002C206D" w14:paraId="228DEF62"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2A53C4D8" w14:textId="77777777" w:rsidR="002C206D" w:rsidRDefault="002C206D">
            <w:pPr>
              <w:spacing w:line="256" w:lineRule="auto"/>
              <w:rPr>
                <w:rFonts w:ascii="Calibri Light" w:hAnsi="Calibri Light" w:cs="Calibri Light"/>
                <w:color w:val="000000"/>
                <w:sz w:val="20"/>
                <w:lang w:val="en-US"/>
              </w:rPr>
            </w:pPr>
            <w:proofErr w:type="spellStart"/>
            <w:r>
              <w:rPr>
                <w:rFonts w:ascii="Calibri Light" w:hAnsi="Calibri Light" w:cs="Calibri Light"/>
                <w:color w:val="000000"/>
                <w:sz w:val="20"/>
                <w:lang w:val="en-US"/>
              </w:rPr>
              <w:t>Transferuri</w:t>
            </w:r>
            <w:proofErr w:type="spellEnd"/>
          </w:p>
        </w:tc>
        <w:tc>
          <w:tcPr>
            <w:tcW w:w="207" w:type="pct"/>
            <w:tcBorders>
              <w:top w:val="nil"/>
              <w:left w:val="nil"/>
              <w:bottom w:val="single" w:sz="4" w:space="0" w:color="auto"/>
              <w:right w:val="single" w:sz="4" w:space="0" w:color="auto"/>
            </w:tcBorders>
            <w:vAlign w:val="center"/>
            <w:hideMark/>
          </w:tcPr>
          <w:p w14:paraId="6AB364F6"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7F35310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36A7609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515" w:type="pct"/>
            <w:tcBorders>
              <w:top w:val="nil"/>
              <w:left w:val="nil"/>
              <w:bottom w:val="single" w:sz="4" w:space="0" w:color="auto"/>
              <w:right w:val="single" w:sz="4" w:space="0" w:color="auto"/>
            </w:tcBorders>
            <w:noWrap/>
            <w:vAlign w:val="bottom"/>
            <w:hideMark/>
          </w:tcPr>
          <w:p w14:paraId="4E325D5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40" w:type="pct"/>
            <w:tcBorders>
              <w:top w:val="nil"/>
              <w:left w:val="nil"/>
              <w:bottom w:val="single" w:sz="4" w:space="0" w:color="auto"/>
              <w:right w:val="single" w:sz="4" w:space="0" w:color="auto"/>
            </w:tcBorders>
            <w:noWrap/>
            <w:vAlign w:val="bottom"/>
            <w:hideMark/>
          </w:tcPr>
          <w:p w14:paraId="7D33F1E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93" w:type="pct"/>
            <w:tcBorders>
              <w:top w:val="nil"/>
              <w:left w:val="nil"/>
              <w:bottom w:val="single" w:sz="4" w:space="0" w:color="auto"/>
              <w:right w:val="single" w:sz="4" w:space="0" w:color="auto"/>
            </w:tcBorders>
            <w:noWrap/>
            <w:vAlign w:val="bottom"/>
            <w:hideMark/>
          </w:tcPr>
          <w:p w14:paraId="4CD40B3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7DBE8D1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1237F5A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07D83EB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361" w:type="pct"/>
            <w:tcBorders>
              <w:top w:val="nil"/>
              <w:left w:val="nil"/>
              <w:bottom w:val="single" w:sz="4" w:space="0" w:color="auto"/>
              <w:right w:val="single" w:sz="4" w:space="0" w:color="auto"/>
            </w:tcBorders>
            <w:noWrap/>
            <w:vAlign w:val="bottom"/>
            <w:hideMark/>
          </w:tcPr>
          <w:p w14:paraId="0DEAE90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07FA25E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6E8C5A71"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3A2546DD"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431C51F8"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30816E1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7069176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515" w:type="pct"/>
            <w:tcBorders>
              <w:top w:val="nil"/>
              <w:left w:val="nil"/>
              <w:bottom w:val="single" w:sz="4" w:space="0" w:color="auto"/>
              <w:right w:val="single" w:sz="4" w:space="0" w:color="auto"/>
            </w:tcBorders>
            <w:noWrap/>
            <w:vAlign w:val="bottom"/>
            <w:hideMark/>
          </w:tcPr>
          <w:p w14:paraId="0AB3F3A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40" w:type="pct"/>
            <w:tcBorders>
              <w:top w:val="nil"/>
              <w:left w:val="nil"/>
              <w:bottom w:val="single" w:sz="4" w:space="0" w:color="auto"/>
              <w:right w:val="single" w:sz="4" w:space="0" w:color="auto"/>
            </w:tcBorders>
            <w:noWrap/>
            <w:vAlign w:val="bottom"/>
            <w:hideMark/>
          </w:tcPr>
          <w:p w14:paraId="349840A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93" w:type="pct"/>
            <w:tcBorders>
              <w:top w:val="nil"/>
              <w:left w:val="nil"/>
              <w:bottom w:val="single" w:sz="4" w:space="0" w:color="auto"/>
              <w:right w:val="single" w:sz="4" w:space="0" w:color="auto"/>
            </w:tcBorders>
            <w:noWrap/>
            <w:vAlign w:val="bottom"/>
            <w:hideMark/>
          </w:tcPr>
          <w:p w14:paraId="4FF492A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74AB81B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729C09E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67355E4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361" w:type="pct"/>
            <w:tcBorders>
              <w:top w:val="nil"/>
              <w:left w:val="nil"/>
              <w:bottom w:val="single" w:sz="4" w:space="0" w:color="auto"/>
              <w:right w:val="single" w:sz="4" w:space="0" w:color="auto"/>
            </w:tcBorders>
            <w:noWrap/>
            <w:vAlign w:val="bottom"/>
            <w:hideMark/>
          </w:tcPr>
          <w:p w14:paraId="056F996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255CA75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3546D98F"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197696D7"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transferuri</w:t>
            </w:r>
            <w:proofErr w:type="spellEnd"/>
          </w:p>
        </w:tc>
        <w:tc>
          <w:tcPr>
            <w:tcW w:w="207" w:type="pct"/>
            <w:tcBorders>
              <w:top w:val="nil"/>
              <w:left w:val="nil"/>
              <w:bottom w:val="single" w:sz="4" w:space="0" w:color="auto"/>
              <w:right w:val="single" w:sz="4" w:space="0" w:color="auto"/>
            </w:tcBorders>
            <w:vAlign w:val="center"/>
            <w:hideMark/>
          </w:tcPr>
          <w:p w14:paraId="75857E42"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1D49A71C"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60</w:t>
            </w:r>
          </w:p>
        </w:tc>
        <w:tc>
          <w:tcPr>
            <w:tcW w:w="361" w:type="pct"/>
            <w:tcBorders>
              <w:top w:val="nil"/>
              <w:left w:val="nil"/>
              <w:bottom w:val="single" w:sz="4" w:space="0" w:color="auto"/>
              <w:right w:val="single" w:sz="4" w:space="0" w:color="auto"/>
            </w:tcBorders>
            <w:noWrap/>
            <w:vAlign w:val="bottom"/>
            <w:hideMark/>
          </w:tcPr>
          <w:p w14:paraId="2D9C9DD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12</w:t>
            </w:r>
          </w:p>
        </w:tc>
        <w:tc>
          <w:tcPr>
            <w:tcW w:w="515" w:type="pct"/>
            <w:tcBorders>
              <w:top w:val="nil"/>
              <w:left w:val="nil"/>
              <w:bottom w:val="single" w:sz="4" w:space="0" w:color="auto"/>
              <w:right w:val="single" w:sz="4" w:space="0" w:color="auto"/>
            </w:tcBorders>
            <w:noWrap/>
            <w:vAlign w:val="bottom"/>
            <w:hideMark/>
          </w:tcPr>
          <w:p w14:paraId="6C5FEB3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32</w:t>
            </w:r>
          </w:p>
        </w:tc>
        <w:tc>
          <w:tcPr>
            <w:tcW w:w="440" w:type="pct"/>
            <w:tcBorders>
              <w:top w:val="nil"/>
              <w:left w:val="nil"/>
              <w:bottom w:val="single" w:sz="4" w:space="0" w:color="auto"/>
              <w:right w:val="single" w:sz="4" w:space="0" w:color="auto"/>
            </w:tcBorders>
            <w:noWrap/>
            <w:vAlign w:val="bottom"/>
            <w:hideMark/>
          </w:tcPr>
          <w:p w14:paraId="36CF79F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493" w:type="pct"/>
            <w:tcBorders>
              <w:top w:val="nil"/>
              <w:left w:val="nil"/>
              <w:bottom w:val="single" w:sz="4" w:space="0" w:color="auto"/>
              <w:right w:val="single" w:sz="4" w:space="0" w:color="auto"/>
            </w:tcBorders>
            <w:noWrap/>
            <w:vAlign w:val="bottom"/>
            <w:hideMark/>
          </w:tcPr>
          <w:p w14:paraId="5086E29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61B0210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3CF0301C"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28</w:t>
            </w:r>
          </w:p>
        </w:tc>
        <w:tc>
          <w:tcPr>
            <w:tcW w:w="361" w:type="pct"/>
            <w:tcBorders>
              <w:top w:val="nil"/>
              <w:left w:val="nil"/>
              <w:bottom w:val="single" w:sz="4" w:space="0" w:color="auto"/>
              <w:right w:val="single" w:sz="4" w:space="0" w:color="auto"/>
            </w:tcBorders>
            <w:noWrap/>
            <w:vAlign w:val="bottom"/>
            <w:hideMark/>
          </w:tcPr>
          <w:p w14:paraId="657273D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361" w:type="pct"/>
            <w:tcBorders>
              <w:top w:val="nil"/>
              <w:left w:val="nil"/>
              <w:bottom w:val="single" w:sz="4" w:space="0" w:color="auto"/>
              <w:right w:val="single" w:sz="4" w:space="0" w:color="auto"/>
            </w:tcBorders>
            <w:noWrap/>
            <w:vAlign w:val="bottom"/>
            <w:hideMark/>
          </w:tcPr>
          <w:p w14:paraId="72D2FED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23880C2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5E6ABB96"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7A150EEC"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14EA7AFC"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027CC3C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60</w:t>
            </w:r>
          </w:p>
        </w:tc>
        <w:tc>
          <w:tcPr>
            <w:tcW w:w="361" w:type="pct"/>
            <w:tcBorders>
              <w:top w:val="nil"/>
              <w:left w:val="nil"/>
              <w:bottom w:val="single" w:sz="4" w:space="0" w:color="auto"/>
              <w:right w:val="single" w:sz="4" w:space="0" w:color="auto"/>
            </w:tcBorders>
            <w:noWrap/>
            <w:vAlign w:val="bottom"/>
            <w:hideMark/>
          </w:tcPr>
          <w:p w14:paraId="076F85E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12</w:t>
            </w:r>
          </w:p>
        </w:tc>
        <w:tc>
          <w:tcPr>
            <w:tcW w:w="515" w:type="pct"/>
            <w:tcBorders>
              <w:top w:val="nil"/>
              <w:left w:val="nil"/>
              <w:bottom w:val="single" w:sz="4" w:space="0" w:color="auto"/>
              <w:right w:val="single" w:sz="4" w:space="0" w:color="auto"/>
            </w:tcBorders>
            <w:noWrap/>
            <w:vAlign w:val="bottom"/>
            <w:hideMark/>
          </w:tcPr>
          <w:p w14:paraId="5C70DC3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32</w:t>
            </w:r>
          </w:p>
        </w:tc>
        <w:tc>
          <w:tcPr>
            <w:tcW w:w="440" w:type="pct"/>
            <w:tcBorders>
              <w:top w:val="nil"/>
              <w:left w:val="nil"/>
              <w:bottom w:val="single" w:sz="4" w:space="0" w:color="auto"/>
              <w:right w:val="single" w:sz="4" w:space="0" w:color="auto"/>
            </w:tcBorders>
            <w:noWrap/>
            <w:vAlign w:val="bottom"/>
            <w:hideMark/>
          </w:tcPr>
          <w:p w14:paraId="70BE018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493" w:type="pct"/>
            <w:tcBorders>
              <w:top w:val="nil"/>
              <w:left w:val="nil"/>
              <w:bottom w:val="single" w:sz="4" w:space="0" w:color="auto"/>
              <w:right w:val="single" w:sz="4" w:space="0" w:color="auto"/>
            </w:tcBorders>
            <w:noWrap/>
            <w:vAlign w:val="bottom"/>
            <w:hideMark/>
          </w:tcPr>
          <w:p w14:paraId="444D0F0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5B47475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58893B8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28</w:t>
            </w:r>
          </w:p>
        </w:tc>
        <w:tc>
          <w:tcPr>
            <w:tcW w:w="361" w:type="pct"/>
            <w:tcBorders>
              <w:top w:val="nil"/>
              <w:left w:val="nil"/>
              <w:bottom w:val="single" w:sz="4" w:space="0" w:color="auto"/>
              <w:right w:val="single" w:sz="4" w:space="0" w:color="auto"/>
            </w:tcBorders>
            <w:noWrap/>
            <w:vAlign w:val="bottom"/>
            <w:hideMark/>
          </w:tcPr>
          <w:p w14:paraId="23BDC99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361" w:type="pct"/>
            <w:tcBorders>
              <w:top w:val="nil"/>
              <w:left w:val="nil"/>
              <w:bottom w:val="single" w:sz="4" w:space="0" w:color="auto"/>
              <w:right w:val="single" w:sz="4" w:space="0" w:color="auto"/>
            </w:tcBorders>
            <w:noWrap/>
            <w:vAlign w:val="bottom"/>
            <w:hideMark/>
          </w:tcPr>
          <w:p w14:paraId="42EA8E8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3B69A1A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6367B913"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3FAB4D5F" w14:textId="77777777" w:rsidR="002C206D" w:rsidRPr="00261D6B" w:rsidRDefault="002C206D">
            <w:pPr>
              <w:spacing w:line="256" w:lineRule="auto"/>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postaderare</w:t>
            </w:r>
            <w:proofErr w:type="spellEnd"/>
          </w:p>
        </w:tc>
        <w:tc>
          <w:tcPr>
            <w:tcW w:w="207" w:type="pct"/>
            <w:tcBorders>
              <w:top w:val="nil"/>
              <w:left w:val="nil"/>
              <w:bottom w:val="single" w:sz="4" w:space="0" w:color="auto"/>
              <w:right w:val="single" w:sz="4" w:space="0" w:color="auto"/>
            </w:tcBorders>
            <w:vAlign w:val="center"/>
            <w:hideMark/>
          </w:tcPr>
          <w:p w14:paraId="29C41439"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624898F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500</w:t>
            </w:r>
          </w:p>
        </w:tc>
        <w:tc>
          <w:tcPr>
            <w:tcW w:w="361" w:type="pct"/>
            <w:tcBorders>
              <w:top w:val="nil"/>
              <w:left w:val="nil"/>
              <w:bottom w:val="single" w:sz="4" w:space="0" w:color="auto"/>
              <w:right w:val="single" w:sz="4" w:space="0" w:color="auto"/>
            </w:tcBorders>
            <w:noWrap/>
            <w:vAlign w:val="bottom"/>
            <w:hideMark/>
          </w:tcPr>
          <w:p w14:paraId="1620EF6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100</w:t>
            </w:r>
          </w:p>
        </w:tc>
        <w:tc>
          <w:tcPr>
            <w:tcW w:w="515" w:type="pct"/>
            <w:tcBorders>
              <w:top w:val="nil"/>
              <w:left w:val="nil"/>
              <w:bottom w:val="single" w:sz="4" w:space="0" w:color="auto"/>
              <w:right w:val="single" w:sz="4" w:space="0" w:color="auto"/>
            </w:tcBorders>
            <w:noWrap/>
            <w:vAlign w:val="bottom"/>
            <w:hideMark/>
          </w:tcPr>
          <w:p w14:paraId="088E358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500</w:t>
            </w:r>
          </w:p>
        </w:tc>
        <w:tc>
          <w:tcPr>
            <w:tcW w:w="440" w:type="pct"/>
            <w:tcBorders>
              <w:top w:val="nil"/>
              <w:left w:val="nil"/>
              <w:bottom w:val="single" w:sz="4" w:space="0" w:color="auto"/>
              <w:right w:val="single" w:sz="4" w:space="0" w:color="auto"/>
            </w:tcBorders>
            <w:noWrap/>
            <w:vAlign w:val="bottom"/>
            <w:hideMark/>
          </w:tcPr>
          <w:p w14:paraId="52A8BC2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100</w:t>
            </w:r>
          </w:p>
        </w:tc>
        <w:tc>
          <w:tcPr>
            <w:tcW w:w="493" w:type="pct"/>
            <w:tcBorders>
              <w:top w:val="nil"/>
              <w:left w:val="nil"/>
              <w:bottom w:val="single" w:sz="4" w:space="0" w:color="auto"/>
              <w:right w:val="single" w:sz="4" w:space="0" w:color="auto"/>
            </w:tcBorders>
            <w:noWrap/>
            <w:vAlign w:val="bottom"/>
            <w:hideMark/>
          </w:tcPr>
          <w:p w14:paraId="2E47403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7E78721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6DBD1DC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0B2CB4F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4D270E7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6E62E7E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18EF3A0B" w14:textId="77777777" w:rsidTr="002C206D">
        <w:trPr>
          <w:trHeight w:val="390"/>
        </w:trPr>
        <w:tc>
          <w:tcPr>
            <w:tcW w:w="0" w:type="auto"/>
            <w:vMerge/>
            <w:tcBorders>
              <w:top w:val="nil"/>
              <w:left w:val="single" w:sz="4" w:space="0" w:color="auto"/>
              <w:bottom w:val="single" w:sz="4" w:space="0" w:color="000000"/>
              <w:right w:val="single" w:sz="4" w:space="0" w:color="auto"/>
            </w:tcBorders>
            <w:vAlign w:val="center"/>
            <w:hideMark/>
          </w:tcPr>
          <w:p w14:paraId="1D33E93E"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6B87B31B"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4FEF0CD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500</w:t>
            </w:r>
          </w:p>
        </w:tc>
        <w:tc>
          <w:tcPr>
            <w:tcW w:w="361" w:type="pct"/>
            <w:tcBorders>
              <w:top w:val="nil"/>
              <w:left w:val="nil"/>
              <w:bottom w:val="single" w:sz="4" w:space="0" w:color="auto"/>
              <w:right w:val="single" w:sz="4" w:space="0" w:color="auto"/>
            </w:tcBorders>
            <w:noWrap/>
            <w:vAlign w:val="bottom"/>
            <w:hideMark/>
          </w:tcPr>
          <w:p w14:paraId="20CD767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100</w:t>
            </w:r>
          </w:p>
        </w:tc>
        <w:tc>
          <w:tcPr>
            <w:tcW w:w="515" w:type="pct"/>
            <w:tcBorders>
              <w:top w:val="nil"/>
              <w:left w:val="nil"/>
              <w:bottom w:val="single" w:sz="4" w:space="0" w:color="auto"/>
              <w:right w:val="single" w:sz="4" w:space="0" w:color="auto"/>
            </w:tcBorders>
            <w:noWrap/>
            <w:vAlign w:val="bottom"/>
            <w:hideMark/>
          </w:tcPr>
          <w:p w14:paraId="0545A61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500</w:t>
            </w:r>
          </w:p>
        </w:tc>
        <w:tc>
          <w:tcPr>
            <w:tcW w:w="440" w:type="pct"/>
            <w:tcBorders>
              <w:top w:val="nil"/>
              <w:left w:val="nil"/>
              <w:bottom w:val="single" w:sz="4" w:space="0" w:color="auto"/>
              <w:right w:val="single" w:sz="4" w:space="0" w:color="auto"/>
            </w:tcBorders>
            <w:noWrap/>
            <w:vAlign w:val="bottom"/>
            <w:hideMark/>
          </w:tcPr>
          <w:p w14:paraId="5C00ABEC"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100</w:t>
            </w:r>
          </w:p>
        </w:tc>
        <w:tc>
          <w:tcPr>
            <w:tcW w:w="493" w:type="pct"/>
            <w:tcBorders>
              <w:top w:val="nil"/>
              <w:left w:val="nil"/>
              <w:bottom w:val="single" w:sz="4" w:space="0" w:color="auto"/>
              <w:right w:val="single" w:sz="4" w:space="0" w:color="auto"/>
            </w:tcBorders>
            <w:noWrap/>
            <w:vAlign w:val="bottom"/>
            <w:hideMark/>
          </w:tcPr>
          <w:p w14:paraId="20D05D1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74902BD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59EE09C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1BFA061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61C952C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037ACBF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7AC98AC2" w14:textId="77777777" w:rsidTr="002C206D">
        <w:trPr>
          <w:trHeight w:val="480"/>
        </w:trPr>
        <w:tc>
          <w:tcPr>
            <w:tcW w:w="689" w:type="pct"/>
            <w:vMerge w:val="restart"/>
            <w:tcBorders>
              <w:top w:val="nil"/>
              <w:left w:val="single" w:sz="4" w:space="0" w:color="auto"/>
              <w:bottom w:val="single" w:sz="4" w:space="0" w:color="000000"/>
              <w:right w:val="single" w:sz="4" w:space="0" w:color="auto"/>
            </w:tcBorders>
            <w:vAlign w:val="center"/>
            <w:hideMark/>
          </w:tcPr>
          <w:p w14:paraId="2C9268C7" w14:textId="77777777" w:rsidR="002C206D" w:rsidRPr="00261D6B" w:rsidRDefault="002C206D">
            <w:pPr>
              <w:spacing w:line="256" w:lineRule="auto"/>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aferente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cadrului</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financiar</w:t>
            </w:r>
            <w:proofErr w:type="spellEnd"/>
            <w:r w:rsidRPr="00261D6B">
              <w:rPr>
                <w:rFonts w:ascii="Calibri Light" w:hAnsi="Calibri Light" w:cs="Calibri Light"/>
                <w:color w:val="000000"/>
                <w:sz w:val="20"/>
                <w:lang w:val="fr-FR"/>
              </w:rPr>
              <w:t xml:space="preserve"> 2014-2020</w:t>
            </w:r>
          </w:p>
        </w:tc>
        <w:tc>
          <w:tcPr>
            <w:tcW w:w="207" w:type="pct"/>
            <w:tcBorders>
              <w:top w:val="nil"/>
              <w:left w:val="nil"/>
              <w:bottom w:val="single" w:sz="4" w:space="0" w:color="auto"/>
              <w:right w:val="single" w:sz="4" w:space="0" w:color="auto"/>
            </w:tcBorders>
            <w:vAlign w:val="center"/>
            <w:hideMark/>
          </w:tcPr>
          <w:p w14:paraId="07CA574A"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78835FD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941</w:t>
            </w:r>
          </w:p>
        </w:tc>
        <w:tc>
          <w:tcPr>
            <w:tcW w:w="361" w:type="pct"/>
            <w:tcBorders>
              <w:top w:val="nil"/>
              <w:left w:val="nil"/>
              <w:bottom w:val="single" w:sz="4" w:space="0" w:color="auto"/>
              <w:right w:val="single" w:sz="4" w:space="0" w:color="auto"/>
            </w:tcBorders>
            <w:noWrap/>
            <w:vAlign w:val="bottom"/>
            <w:hideMark/>
          </w:tcPr>
          <w:p w14:paraId="62FF95A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188</w:t>
            </w:r>
          </w:p>
        </w:tc>
        <w:tc>
          <w:tcPr>
            <w:tcW w:w="515" w:type="pct"/>
            <w:tcBorders>
              <w:top w:val="nil"/>
              <w:left w:val="nil"/>
              <w:bottom w:val="single" w:sz="4" w:space="0" w:color="auto"/>
              <w:right w:val="single" w:sz="4" w:space="0" w:color="auto"/>
            </w:tcBorders>
            <w:noWrap/>
            <w:vAlign w:val="bottom"/>
            <w:hideMark/>
          </w:tcPr>
          <w:p w14:paraId="021D723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725</w:t>
            </w:r>
          </w:p>
        </w:tc>
        <w:tc>
          <w:tcPr>
            <w:tcW w:w="440" w:type="pct"/>
            <w:tcBorders>
              <w:top w:val="nil"/>
              <w:left w:val="nil"/>
              <w:bottom w:val="single" w:sz="4" w:space="0" w:color="auto"/>
              <w:right w:val="single" w:sz="4" w:space="0" w:color="auto"/>
            </w:tcBorders>
            <w:noWrap/>
            <w:vAlign w:val="bottom"/>
            <w:hideMark/>
          </w:tcPr>
          <w:p w14:paraId="3EB2E76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145</w:t>
            </w:r>
          </w:p>
        </w:tc>
        <w:tc>
          <w:tcPr>
            <w:tcW w:w="493" w:type="pct"/>
            <w:tcBorders>
              <w:top w:val="nil"/>
              <w:left w:val="nil"/>
              <w:bottom w:val="single" w:sz="4" w:space="0" w:color="auto"/>
              <w:right w:val="single" w:sz="4" w:space="0" w:color="auto"/>
            </w:tcBorders>
            <w:noWrap/>
            <w:vAlign w:val="bottom"/>
            <w:hideMark/>
          </w:tcPr>
          <w:p w14:paraId="7063D18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40691B1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shd w:val="clear" w:color="auto" w:fill="FFFFFF"/>
            <w:noWrap/>
            <w:vAlign w:val="bottom"/>
            <w:hideMark/>
          </w:tcPr>
          <w:p w14:paraId="1B419B2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216</w:t>
            </w:r>
          </w:p>
        </w:tc>
        <w:tc>
          <w:tcPr>
            <w:tcW w:w="361" w:type="pct"/>
            <w:tcBorders>
              <w:top w:val="nil"/>
              <w:left w:val="nil"/>
              <w:bottom w:val="single" w:sz="4" w:space="0" w:color="auto"/>
              <w:right w:val="single" w:sz="4" w:space="0" w:color="auto"/>
            </w:tcBorders>
            <w:noWrap/>
            <w:vAlign w:val="bottom"/>
            <w:hideMark/>
          </w:tcPr>
          <w:p w14:paraId="3EEAC1F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43</w:t>
            </w:r>
          </w:p>
        </w:tc>
        <w:tc>
          <w:tcPr>
            <w:tcW w:w="361" w:type="pct"/>
            <w:tcBorders>
              <w:top w:val="nil"/>
              <w:left w:val="nil"/>
              <w:bottom w:val="single" w:sz="4" w:space="0" w:color="auto"/>
              <w:right w:val="single" w:sz="4" w:space="0" w:color="auto"/>
            </w:tcBorders>
            <w:noWrap/>
            <w:vAlign w:val="bottom"/>
            <w:hideMark/>
          </w:tcPr>
          <w:p w14:paraId="4F1F4E6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7F0EEDE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716C5C30" w14:textId="77777777" w:rsidTr="002C206D">
        <w:trPr>
          <w:trHeight w:val="510"/>
        </w:trPr>
        <w:tc>
          <w:tcPr>
            <w:tcW w:w="0" w:type="auto"/>
            <w:vMerge/>
            <w:tcBorders>
              <w:top w:val="nil"/>
              <w:left w:val="single" w:sz="4" w:space="0" w:color="auto"/>
              <w:bottom w:val="single" w:sz="4" w:space="0" w:color="000000"/>
              <w:right w:val="single" w:sz="4" w:space="0" w:color="auto"/>
            </w:tcBorders>
            <w:vAlign w:val="center"/>
            <w:hideMark/>
          </w:tcPr>
          <w:p w14:paraId="20DD3E92"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62B637E3"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038AD8E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00B0F7A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515" w:type="pct"/>
            <w:tcBorders>
              <w:top w:val="nil"/>
              <w:left w:val="nil"/>
              <w:bottom w:val="single" w:sz="4" w:space="0" w:color="auto"/>
              <w:right w:val="single" w:sz="4" w:space="0" w:color="auto"/>
            </w:tcBorders>
            <w:noWrap/>
            <w:vAlign w:val="bottom"/>
            <w:hideMark/>
          </w:tcPr>
          <w:p w14:paraId="2019AFA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40" w:type="pct"/>
            <w:tcBorders>
              <w:top w:val="nil"/>
              <w:left w:val="nil"/>
              <w:bottom w:val="single" w:sz="4" w:space="0" w:color="auto"/>
              <w:right w:val="single" w:sz="4" w:space="0" w:color="auto"/>
            </w:tcBorders>
            <w:noWrap/>
            <w:vAlign w:val="bottom"/>
            <w:hideMark/>
          </w:tcPr>
          <w:p w14:paraId="1474D91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93" w:type="pct"/>
            <w:tcBorders>
              <w:top w:val="nil"/>
              <w:left w:val="nil"/>
              <w:bottom w:val="single" w:sz="4" w:space="0" w:color="auto"/>
              <w:right w:val="single" w:sz="4" w:space="0" w:color="auto"/>
            </w:tcBorders>
            <w:noWrap/>
            <w:vAlign w:val="bottom"/>
            <w:hideMark/>
          </w:tcPr>
          <w:p w14:paraId="61B9F00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353A57D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shd w:val="clear" w:color="auto" w:fill="FFFFFF"/>
            <w:noWrap/>
            <w:vAlign w:val="bottom"/>
            <w:hideMark/>
          </w:tcPr>
          <w:p w14:paraId="1A485E5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6558393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0499199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007707A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226B86A7"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6519A030"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cheltuieli</w:t>
            </w:r>
            <w:proofErr w:type="spellEnd"/>
          </w:p>
        </w:tc>
        <w:tc>
          <w:tcPr>
            <w:tcW w:w="207" w:type="pct"/>
            <w:tcBorders>
              <w:top w:val="nil"/>
              <w:left w:val="nil"/>
              <w:bottom w:val="single" w:sz="4" w:space="0" w:color="auto"/>
              <w:right w:val="single" w:sz="4" w:space="0" w:color="auto"/>
            </w:tcBorders>
            <w:vAlign w:val="center"/>
            <w:hideMark/>
          </w:tcPr>
          <w:p w14:paraId="23233578"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18C702E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40 000</w:t>
            </w:r>
          </w:p>
        </w:tc>
        <w:tc>
          <w:tcPr>
            <w:tcW w:w="361" w:type="pct"/>
            <w:tcBorders>
              <w:top w:val="nil"/>
              <w:left w:val="nil"/>
              <w:bottom w:val="single" w:sz="4" w:space="0" w:color="auto"/>
              <w:right w:val="single" w:sz="4" w:space="0" w:color="auto"/>
            </w:tcBorders>
            <w:noWrap/>
            <w:vAlign w:val="bottom"/>
            <w:hideMark/>
          </w:tcPr>
          <w:p w14:paraId="25C633C1"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7 972</w:t>
            </w:r>
          </w:p>
        </w:tc>
        <w:tc>
          <w:tcPr>
            <w:tcW w:w="515" w:type="pct"/>
            <w:tcBorders>
              <w:top w:val="nil"/>
              <w:left w:val="nil"/>
              <w:bottom w:val="single" w:sz="4" w:space="0" w:color="auto"/>
              <w:right w:val="single" w:sz="4" w:space="0" w:color="auto"/>
            </w:tcBorders>
            <w:noWrap/>
            <w:vAlign w:val="bottom"/>
            <w:hideMark/>
          </w:tcPr>
          <w:p w14:paraId="3FBC279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1 760</w:t>
            </w:r>
          </w:p>
        </w:tc>
        <w:tc>
          <w:tcPr>
            <w:tcW w:w="440" w:type="pct"/>
            <w:tcBorders>
              <w:top w:val="nil"/>
              <w:left w:val="nil"/>
              <w:bottom w:val="single" w:sz="4" w:space="0" w:color="auto"/>
              <w:right w:val="single" w:sz="4" w:space="0" w:color="auto"/>
            </w:tcBorders>
            <w:noWrap/>
            <w:vAlign w:val="bottom"/>
            <w:hideMark/>
          </w:tcPr>
          <w:p w14:paraId="30469ED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352</w:t>
            </w:r>
          </w:p>
        </w:tc>
        <w:tc>
          <w:tcPr>
            <w:tcW w:w="493" w:type="pct"/>
            <w:tcBorders>
              <w:top w:val="nil"/>
              <w:left w:val="nil"/>
              <w:bottom w:val="single" w:sz="4" w:space="0" w:color="auto"/>
              <w:right w:val="single" w:sz="4" w:space="0" w:color="auto"/>
            </w:tcBorders>
            <w:noWrap/>
            <w:vAlign w:val="bottom"/>
            <w:hideMark/>
          </w:tcPr>
          <w:p w14:paraId="2048B50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140</w:t>
            </w:r>
          </w:p>
        </w:tc>
        <w:tc>
          <w:tcPr>
            <w:tcW w:w="418" w:type="pct"/>
            <w:tcBorders>
              <w:top w:val="nil"/>
              <w:left w:val="nil"/>
              <w:bottom w:val="single" w:sz="4" w:space="0" w:color="auto"/>
              <w:right w:val="single" w:sz="4" w:space="0" w:color="auto"/>
            </w:tcBorders>
            <w:noWrap/>
            <w:vAlign w:val="bottom"/>
            <w:hideMark/>
          </w:tcPr>
          <w:p w14:paraId="2055073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28</w:t>
            </w:r>
          </w:p>
        </w:tc>
        <w:tc>
          <w:tcPr>
            <w:tcW w:w="361" w:type="pct"/>
            <w:tcBorders>
              <w:top w:val="nil"/>
              <w:left w:val="nil"/>
              <w:bottom w:val="single" w:sz="4" w:space="0" w:color="auto"/>
              <w:right w:val="single" w:sz="4" w:space="0" w:color="auto"/>
            </w:tcBorders>
            <w:noWrap/>
            <w:vAlign w:val="bottom"/>
            <w:hideMark/>
          </w:tcPr>
          <w:p w14:paraId="790180C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37 000</w:t>
            </w:r>
          </w:p>
        </w:tc>
        <w:tc>
          <w:tcPr>
            <w:tcW w:w="361" w:type="pct"/>
            <w:tcBorders>
              <w:top w:val="nil"/>
              <w:left w:val="nil"/>
              <w:bottom w:val="single" w:sz="4" w:space="0" w:color="auto"/>
              <w:right w:val="single" w:sz="4" w:space="0" w:color="auto"/>
            </w:tcBorders>
            <w:noWrap/>
            <w:vAlign w:val="bottom"/>
            <w:hideMark/>
          </w:tcPr>
          <w:p w14:paraId="49B5F89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7 400</w:t>
            </w:r>
          </w:p>
        </w:tc>
        <w:tc>
          <w:tcPr>
            <w:tcW w:w="361" w:type="pct"/>
            <w:tcBorders>
              <w:top w:val="nil"/>
              <w:left w:val="nil"/>
              <w:bottom w:val="single" w:sz="4" w:space="0" w:color="auto"/>
              <w:right w:val="single" w:sz="4" w:space="0" w:color="auto"/>
            </w:tcBorders>
            <w:noWrap/>
            <w:vAlign w:val="bottom"/>
            <w:hideMark/>
          </w:tcPr>
          <w:p w14:paraId="650E3F1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1 100</w:t>
            </w:r>
          </w:p>
        </w:tc>
        <w:tc>
          <w:tcPr>
            <w:tcW w:w="319" w:type="pct"/>
            <w:tcBorders>
              <w:top w:val="nil"/>
              <w:left w:val="nil"/>
              <w:bottom w:val="single" w:sz="4" w:space="0" w:color="auto"/>
              <w:right w:val="single" w:sz="4" w:space="0" w:color="auto"/>
            </w:tcBorders>
            <w:noWrap/>
            <w:vAlign w:val="bottom"/>
            <w:hideMark/>
          </w:tcPr>
          <w:p w14:paraId="6E9698A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220</w:t>
            </w:r>
          </w:p>
        </w:tc>
      </w:tr>
      <w:tr w:rsidR="002C206D" w14:paraId="105081A7"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121986DE"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7857B016"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570B3A1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40 000</w:t>
            </w:r>
          </w:p>
        </w:tc>
        <w:tc>
          <w:tcPr>
            <w:tcW w:w="361" w:type="pct"/>
            <w:tcBorders>
              <w:top w:val="nil"/>
              <w:left w:val="nil"/>
              <w:bottom w:val="single" w:sz="4" w:space="0" w:color="auto"/>
              <w:right w:val="single" w:sz="4" w:space="0" w:color="auto"/>
            </w:tcBorders>
            <w:noWrap/>
            <w:vAlign w:val="bottom"/>
            <w:hideMark/>
          </w:tcPr>
          <w:p w14:paraId="64C09F8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7 972</w:t>
            </w:r>
          </w:p>
        </w:tc>
        <w:tc>
          <w:tcPr>
            <w:tcW w:w="515" w:type="pct"/>
            <w:tcBorders>
              <w:top w:val="nil"/>
              <w:left w:val="nil"/>
              <w:bottom w:val="single" w:sz="4" w:space="0" w:color="auto"/>
              <w:right w:val="single" w:sz="4" w:space="0" w:color="auto"/>
            </w:tcBorders>
            <w:noWrap/>
            <w:vAlign w:val="bottom"/>
            <w:hideMark/>
          </w:tcPr>
          <w:p w14:paraId="4CB5051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1 760</w:t>
            </w:r>
          </w:p>
        </w:tc>
        <w:tc>
          <w:tcPr>
            <w:tcW w:w="440" w:type="pct"/>
            <w:tcBorders>
              <w:top w:val="nil"/>
              <w:left w:val="nil"/>
              <w:bottom w:val="single" w:sz="4" w:space="0" w:color="auto"/>
              <w:right w:val="single" w:sz="4" w:space="0" w:color="auto"/>
            </w:tcBorders>
            <w:noWrap/>
            <w:vAlign w:val="bottom"/>
            <w:hideMark/>
          </w:tcPr>
          <w:p w14:paraId="57901CC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352</w:t>
            </w:r>
          </w:p>
        </w:tc>
        <w:tc>
          <w:tcPr>
            <w:tcW w:w="493" w:type="pct"/>
            <w:tcBorders>
              <w:top w:val="nil"/>
              <w:left w:val="nil"/>
              <w:bottom w:val="single" w:sz="4" w:space="0" w:color="auto"/>
              <w:right w:val="single" w:sz="4" w:space="0" w:color="auto"/>
            </w:tcBorders>
            <w:noWrap/>
            <w:vAlign w:val="bottom"/>
            <w:hideMark/>
          </w:tcPr>
          <w:p w14:paraId="4EAD536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140</w:t>
            </w:r>
          </w:p>
        </w:tc>
        <w:tc>
          <w:tcPr>
            <w:tcW w:w="418" w:type="pct"/>
            <w:tcBorders>
              <w:top w:val="nil"/>
              <w:left w:val="nil"/>
              <w:bottom w:val="single" w:sz="4" w:space="0" w:color="auto"/>
              <w:right w:val="single" w:sz="4" w:space="0" w:color="auto"/>
            </w:tcBorders>
            <w:noWrap/>
            <w:vAlign w:val="bottom"/>
            <w:hideMark/>
          </w:tcPr>
          <w:p w14:paraId="6A64ED4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28</w:t>
            </w:r>
          </w:p>
        </w:tc>
        <w:tc>
          <w:tcPr>
            <w:tcW w:w="361" w:type="pct"/>
            <w:tcBorders>
              <w:top w:val="nil"/>
              <w:left w:val="nil"/>
              <w:bottom w:val="single" w:sz="4" w:space="0" w:color="auto"/>
              <w:right w:val="single" w:sz="4" w:space="0" w:color="auto"/>
            </w:tcBorders>
            <w:noWrap/>
            <w:vAlign w:val="bottom"/>
            <w:hideMark/>
          </w:tcPr>
          <w:p w14:paraId="3CEFC7B6"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37 000</w:t>
            </w:r>
          </w:p>
        </w:tc>
        <w:tc>
          <w:tcPr>
            <w:tcW w:w="361" w:type="pct"/>
            <w:tcBorders>
              <w:top w:val="nil"/>
              <w:left w:val="nil"/>
              <w:bottom w:val="single" w:sz="4" w:space="0" w:color="auto"/>
              <w:right w:val="single" w:sz="4" w:space="0" w:color="auto"/>
            </w:tcBorders>
            <w:noWrap/>
            <w:vAlign w:val="bottom"/>
            <w:hideMark/>
          </w:tcPr>
          <w:p w14:paraId="55CD61D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7 400</w:t>
            </w:r>
          </w:p>
        </w:tc>
        <w:tc>
          <w:tcPr>
            <w:tcW w:w="361" w:type="pct"/>
            <w:tcBorders>
              <w:top w:val="nil"/>
              <w:left w:val="nil"/>
              <w:bottom w:val="single" w:sz="4" w:space="0" w:color="auto"/>
              <w:right w:val="single" w:sz="4" w:space="0" w:color="auto"/>
            </w:tcBorders>
            <w:noWrap/>
            <w:vAlign w:val="bottom"/>
            <w:hideMark/>
          </w:tcPr>
          <w:p w14:paraId="432E5A7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1 100</w:t>
            </w:r>
          </w:p>
        </w:tc>
        <w:tc>
          <w:tcPr>
            <w:tcW w:w="319" w:type="pct"/>
            <w:tcBorders>
              <w:top w:val="nil"/>
              <w:left w:val="nil"/>
              <w:bottom w:val="single" w:sz="4" w:space="0" w:color="auto"/>
              <w:right w:val="single" w:sz="4" w:space="0" w:color="auto"/>
            </w:tcBorders>
            <w:noWrap/>
            <w:vAlign w:val="bottom"/>
            <w:hideMark/>
          </w:tcPr>
          <w:p w14:paraId="6450F19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220</w:t>
            </w:r>
          </w:p>
        </w:tc>
      </w:tr>
      <w:tr w:rsidR="002C206D" w14:paraId="39931B96" w14:textId="77777777" w:rsidTr="002C206D">
        <w:trPr>
          <w:trHeight w:val="390"/>
        </w:trPr>
        <w:tc>
          <w:tcPr>
            <w:tcW w:w="689" w:type="pct"/>
            <w:vMerge w:val="restart"/>
            <w:tcBorders>
              <w:top w:val="nil"/>
              <w:left w:val="single" w:sz="4" w:space="0" w:color="auto"/>
              <w:bottom w:val="single" w:sz="4" w:space="0" w:color="000000"/>
              <w:right w:val="single" w:sz="4" w:space="0" w:color="auto"/>
            </w:tcBorders>
            <w:vAlign w:val="center"/>
            <w:hideMark/>
          </w:tcPr>
          <w:p w14:paraId="7B8A90B2" w14:textId="77777777" w:rsidR="002C206D" w:rsidRDefault="002C206D">
            <w:pPr>
              <w:spacing w:line="256" w:lineRule="auto"/>
              <w:rPr>
                <w:rFonts w:ascii="Calibri Light" w:hAnsi="Calibri Light" w:cs="Calibri Light"/>
                <w:color w:val="000000"/>
                <w:sz w:val="20"/>
                <w:lang w:val="en-US"/>
              </w:rPr>
            </w:pPr>
            <w:proofErr w:type="spellStart"/>
            <w:r>
              <w:rPr>
                <w:rFonts w:ascii="Calibri Light" w:hAnsi="Calibri Light" w:cs="Calibri Light"/>
                <w:color w:val="000000"/>
                <w:sz w:val="20"/>
                <w:lang w:val="en-US"/>
              </w:rPr>
              <w:t>Proiecte</w:t>
            </w:r>
            <w:proofErr w:type="spellEnd"/>
            <w:r>
              <w:rPr>
                <w:rFonts w:ascii="Calibri Light" w:hAnsi="Calibri Light" w:cs="Calibri Light"/>
                <w:color w:val="000000"/>
                <w:sz w:val="20"/>
                <w:lang w:val="en-US"/>
              </w:rPr>
              <w:t xml:space="preserve"> cu </w:t>
            </w:r>
            <w:proofErr w:type="spellStart"/>
            <w:r>
              <w:rPr>
                <w:rFonts w:ascii="Calibri Light" w:hAnsi="Calibri Light" w:cs="Calibri Light"/>
                <w:color w:val="000000"/>
                <w:sz w:val="20"/>
                <w:lang w:val="en-US"/>
              </w:rPr>
              <w:t>finanțare</w:t>
            </w:r>
            <w:proofErr w:type="spellEnd"/>
            <w:r>
              <w:rPr>
                <w:rFonts w:ascii="Calibri Light" w:hAnsi="Calibri Light" w:cs="Calibri Light"/>
                <w:color w:val="000000"/>
                <w:sz w:val="20"/>
                <w:lang w:val="en-US"/>
              </w:rPr>
              <w:t xml:space="preserve"> din </w:t>
            </w:r>
            <w:proofErr w:type="spellStart"/>
            <w:r>
              <w:rPr>
                <w:rFonts w:ascii="Calibri Light" w:hAnsi="Calibri Light" w:cs="Calibri Light"/>
                <w:color w:val="000000"/>
                <w:sz w:val="20"/>
                <w:lang w:val="en-US"/>
              </w:rPr>
              <w:t>sumele</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reprezentând</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asistență</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financiară</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nerambursabilă</w:t>
            </w:r>
            <w:proofErr w:type="spellEnd"/>
            <w:r>
              <w:rPr>
                <w:rFonts w:ascii="Calibri Light" w:hAnsi="Calibri Light" w:cs="Calibri Light"/>
                <w:color w:val="000000"/>
                <w:sz w:val="20"/>
                <w:lang w:val="en-US"/>
              </w:rPr>
              <w:t xml:space="preserve"> PNRR</w:t>
            </w:r>
          </w:p>
        </w:tc>
        <w:tc>
          <w:tcPr>
            <w:tcW w:w="207" w:type="pct"/>
            <w:tcBorders>
              <w:top w:val="nil"/>
              <w:left w:val="nil"/>
              <w:bottom w:val="single" w:sz="4" w:space="0" w:color="auto"/>
              <w:right w:val="single" w:sz="4" w:space="0" w:color="auto"/>
            </w:tcBorders>
            <w:vAlign w:val="center"/>
            <w:hideMark/>
          </w:tcPr>
          <w:p w14:paraId="0DDE033D"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192EF75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2 000</w:t>
            </w:r>
          </w:p>
        </w:tc>
        <w:tc>
          <w:tcPr>
            <w:tcW w:w="361" w:type="pct"/>
            <w:tcBorders>
              <w:top w:val="nil"/>
              <w:left w:val="nil"/>
              <w:bottom w:val="single" w:sz="4" w:space="0" w:color="auto"/>
              <w:right w:val="single" w:sz="4" w:space="0" w:color="auto"/>
            </w:tcBorders>
            <w:noWrap/>
            <w:vAlign w:val="bottom"/>
            <w:hideMark/>
          </w:tcPr>
          <w:p w14:paraId="39D325E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400</w:t>
            </w:r>
          </w:p>
        </w:tc>
        <w:tc>
          <w:tcPr>
            <w:tcW w:w="515" w:type="pct"/>
            <w:tcBorders>
              <w:top w:val="nil"/>
              <w:left w:val="nil"/>
              <w:bottom w:val="single" w:sz="4" w:space="0" w:color="auto"/>
              <w:right w:val="single" w:sz="4" w:space="0" w:color="auto"/>
            </w:tcBorders>
            <w:shd w:val="clear" w:color="auto" w:fill="FFFFFF"/>
            <w:noWrap/>
            <w:vAlign w:val="bottom"/>
            <w:hideMark/>
          </w:tcPr>
          <w:p w14:paraId="74613D2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2 000</w:t>
            </w:r>
          </w:p>
        </w:tc>
        <w:tc>
          <w:tcPr>
            <w:tcW w:w="440" w:type="pct"/>
            <w:tcBorders>
              <w:top w:val="nil"/>
              <w:left w:val="nil"/>
              <w:bottom w:val="single" w:sz="4" w:space="0" w:color="auto"/>
              <w:right w:val="single" w:sz="4" w:space="0" w:color="auto"/>
            </w:tcBorders>
            <w:shd w:val="clear" w:color="auto" w:fill="FFFFFF"/>
            <w:noWrap/>
            <w:vAlign w:val="bottom"/>
            <w:hideMark/>
          </w:tcPr>
          <w:p w14:paraId="5174944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400</w:t>
            </w:r>
          </w:p>
        </w:tc>
        <w:tc>
          <w:tcPr>
            <w:tcW w:w="493" w:type="pct"/>
            <w:tcBorders>
              <w:top w:val="nil"/>
              <w:left w:val="nil"/>
              <w:bottom w:val="single" w:sz="4" w:space="0" w:color="auto"/>
              <w:right w:val="single" w:sz="4" w:space="0" w:color="auto"/>
            </w:tcBorders>
            <w:shd w:val="clear" w:color="auto" w:fill="FFFFFF"/>
            <w:noWrap/>
            <w:vAlign w:val="bottom"/>
            <w:hideMark/>
          </w:tcPr>
          <w:p w14:paraId="006A4D9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092EE70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6762D81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5608745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1D64BD99"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3CCA57B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4C225645" w14:textId="77777777" w:rsidTr="002C206D">
        <w:trPr>
          <w:trHeight w:val="480"/>
        </w:trPr>
        <w:tc>
          <w:tcPr>
            <w:tcW w:w="0" w:type="auto"/>
            <w:vMerge/>
            <w:tcBorders>
              <w:top w:val="nil"/>
              <w:left w:val="single" w:sz="4" w:space="0" w:color="auto"/>
              <w:bottom w:val="single" w:sz="4" w:space="0" w:color="000000"/>
              <w:right w:val="single" w:sz="4" w:space="0" w:color="auto"/>
            </w:tcBorders>
            <w:vAlign w:val="center"/>
            <w:hideMark/>
          </w:tcPr>
          <w:p w14:paraId="5B960DC0"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vAlign w:val="center"/>
            <w:hideMark/>
          </w:tcPr>
          <w:p w14:paraId="269A6ACC"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0CFFEB1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2 000</w:t>
            </w:r>
          </w:p>
        </w:tc>
        <w:tc>
          <w:tcPr>
            <w:tcW w:w="361" w:type="pct"/>
            <w:tcBorders>
              <w:top w:val="nil"/>
              <w:left w:val="nil"/>
              <w:bottom w:val="single" w:sz="4" w:space="0" w:color="auto"/>
              <w:right w:val="single" w:sz="4" w:space="0" w:color="auto"/>
            </w:tcBorders>
            <w:noWrap/>
            <w:vAlign w:val="bottom"/>
            <w:hideMark/>
          </w:tcPr>
          <w:p w14:paraId="50EB19D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400</w:t>
            </w:r>
          </w:p>
        </w:tc>
        <w:tc>
          <w:tcPr>
            <w:tcW w:w="515" w:type="pct"/>
            <w:tcBorders>
              <w:top w:val="nil"/>
              <w:left w:val="nil"/>
              <w:bottom w:val="single" w:sz="4" w:space="0" w:color="auto"/>
              <w:right w:val="single" w:sz="4" w:space="0" w:color="auto"/>
            </w:tcBorders>
            <w:shd w:val="clear" w:color="auto" w:fill="FFFFFF"/>
            <w:noWrap/>
            <w:vAlign w:val="bottom"/>
            <w:hideMark/>
          </w:tcPr>
          <w:p w14:paraId="664C0FD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2 000</w:t>
            </w:r>
          </w:p>
        </w:tc>
        <w:tc>
          <w:tcPr>
            <w:tcW w:w="440" w:type="pct"/>
            <w:tcBorders>
              <w:top w:val="nil"/>
              <w:left w:val="nil"/>
              <w:bottom w:val="single" w:sz="4" w:space="0" w:color="auto"/>
              <w:right w:val="single" w:sz="4" w:space="0" w:color="auto"/>
            </w:tcBorders>
            <w:shd w:val="clear" w:color="auto" w:fill="FFFFFF"/>
            <w:noWrap/>
            <w:vAlign w:val="bottom"/>
            <w:hideMark/>
          </w:tcPr>
          <w:p w14:paraId="0F07D1A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400</w:t>
            </w:r>
          </w:p>
        </w:tc>
        <w:tc>
          <w:tcPr>
            <w:tcW w:w="493" w:type="pct"/>
            <w:tcBorders>
              <w:top w:val="nil"/>
              <w:left w:val="nil"/>
              <w:bottom w:val="single" w:sz="4" w:space="0" w:color="auto"/>
              <w:right w:val="single" w:sz="4" w:space="0" w:color="auto"/>
            </w:tcBorders>
            <w:shd w:val="clear" w:color="auto" w:fill="FFFFFF"/>
            <w:noWrap/>
            <w:vAlign w:val="bottom"/>
            <w:hideMark/>
          </w:tcPr>
          <w:p w14:paraId="3A025F10"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418" w:type="pct"/>
            <w:tcBorders>
              <w:top w:val="nil"/>
              <w:left w:val="nil"/>
              <w:bottom w:val="single" w:sz="4" w:space="0" w:color="auto"/>
              <w:right w:val="single" w:sz="4" w:space="0" w:color="auto"/>
            </w:tcBorders>
            <w:noWrap/>
            <w:vAlign w:val="bottom"/>
            <w:hideMark/>
          </w:tcPr>
          <w:p w14:paraId="0805C48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60512F1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2589044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61" w:type="pct"/>
            <w:tcBorders>
              <w:top w:val="nil"/>
              <w:left w:val="nil"/>
              <w:bottom w:val="single" w:sz="4" w:space="0" w:color="auto"/>
              <w:right w:val="single" w:sz="4" w:space="0" w:color="auto"/>
            </w:tcBorders>
            <w:noWrap/>
            <w:vAlign w:val="bottom"/>
            <w:hideMark/>
          </w:tcPr>
          <w:p w14:paraId="147555E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c>
          <w:tcPr>
            <w:tcW w:w="319" w:type="pct"/>
            <w:tcBorders>
              <w:top w:val="nil"/>
              <w:left w:val="nil"/>
              <w:bottom w:val="single" w:sz="4" w:space="0" w:color="auto"/>
              <w:right w:val="single" w:sz="4" w:space="0" w:color="auto"/>
            </w:tcBorders>
            <w:noWrap/>
            <w:vAlign w:val="bottom"/>
            <w:hideMark/>
          </w:tcPr>
          <w:p w14:paraId="746E724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0</w:t>
            </w:r>
          </w:p>
        </w:tc>
      </w:tr>
      <w:tr w:rsidR="002C206D" w14:paraId="53BEB637" w14:textId="77777777" w:rsidTr="002C206D">
        <w:trPr>
          <w:trHeight w:val="300"/>
        </w:trPr>
        <w:tc>
          <w:tcPr>
            <w:tcW w:w="689" w:type="pct"/>
            <w:vMerge w:val="restart"/>
            <w:tcBorders>
              <w:top w:val="nil"/>
              <w:left w:val="single" w:sz="4" w:space="0" w:color="auto"/>
              <w:bottom w:val="single" w:sz="4" w:space="0" w:color="000000"/>
              <w:right w:val="single" w:sz="4" w:space="0" w:color="auto"/>
            </w:tcBorders>
            <w:vAlign w:val="center"/>
            <w:hideMark/>
          </w:tcPr>
          <w:p w14:paraId="5C547E7D" w14:textId="77777777" w:rsidR="002C206D" w:rsidRDefault="002C206D">
            <w:pPr>
              <w:spacing w:line="256" w:lineRule="auto"/>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capital</w:t>
            </w:r>
          </w:p>
        </w:tc>
        <w:tc>
          <w:tcPr>
            <w:tcW w:w="207" w:type="pct"/>
            <w:tcBorders>
              <w:top w:val="nil"/>
              <w:left w:val="nil"/>
              <w:bottom w:val="single" w:sz="4" w:space="0" w:color="auto"/>
              <w:right w:val="single" w:sz="4" w:space="0" w:color="auto"/>
            </w:tcBorders>
            <w:vAlign w:val="center"/>
            <w:hideMark/>
          </w:tcPr>
          <w:p w14:paraId="3085710E"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CA</w:t>
            </w:r>
          </w:p>
        </w:tc>
        <w:tc>
          <w:tcPr>
            <w:tcW w:w="474" w:type="pct"/>
            <w:tcBorders>
              <w:top w:val="nil"/>
              <w:left w:val="nil"/>
              <w:bottom w:val="single" w:sz="4" w:space="0" w:color="auto"/>
              <w:right w:val="single" w:sz="4" w:space="0" w:color="auto"/>
            </w:tcBorders>
            <w:noWrap/>
            <w:vAlign w:val="bottom"/>
            <w:hideMark/>
          </w:tcPr>
          <w:p w14:paraId="0A4EF24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1 600</w:t>
            </w:r>
          </w:p>
        </w:tc>
        <w:tc>
          <w:tcPr>
            <w:tcW w:w="361" w:type="pct"/>
            <w:tcBorders>
              <w:top w:val="nil"/>
              <w:left w:val="nil"/>
              <w:bottom w:val="single" w:sz="4" w:space="0" w:color="auto"/>
              <w:right w:val="single" w:sz="4" w:space="0" w:color="auto"/>
            </w:tcBorders>
            <w:noWrap/>
            <w:vAlign w:val="bottom"/>
            <w:hideMark/>
          </w:tcPr>
          <w:p w14:paraId="11B1D04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290</w:t>
            </w:r>
          </w:p>
        </w:tc>
        <w:tc>
          <w:tcPr>
            <w:tcW w:w="515" w:type="pct"/>
            <w:tcBorders>
              <w:top w:val="nil"/>
              <w:left w:val="nil"/>
              <w:bottom w:val="single" w:sz="4" w:space="0" w:color="auto"/>
              <w:right w:val="single" w:sz="4" w:space="0" w:color="auto"/>
            </w:tcBorders>
            <w:noWrap/>
            <w:vAlign w:val="bottom"/>
            <w:hideMark/>
          </w:tcPr>
          <w:p w14:paraId="6D912EDA"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1 370</w:t>
            </w:r>
          </w:p>
        </w:tc>
        <w:tc>
          <w:tcPr>
            <w:tcW w:w="440" w:type="pct"/>
            <w:tcBorders>
              <w:top w:val="nil"/>
              <w:left w:val="nil"/>
              <w:bottom w:val="single" w:sz="4" w:space="0" w:color="auto"/>
              <w:right w:val="single" w:sz="4" w:space="0" w:color="auto"/>
            </w:tcBorders>
            <w:noWrap/>
            <w:vAlign w:val="bottom"/>
            <w:hideMark/>
          </w:tcPr>
          <w:p w14:paraId="75BF5E5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274</w:t>
            </w:r>
          </w:p>
        </w:tc>
        <w:tc>
          <w:tcPr>
            <w:tcW w:w="493" w:type="pct"/>
            <w:tcBorders>
              <w:top w:val="nil"/>
              <w:left w:val="nil"/>
              <w:bottom w:val="single" w:sz="4" w:space="0" w:color="auto"/>
              <w:right w:val="single" w:sz="4" w:space="0" w:color="auto"/>
            </w:tcBorders>
            <w:noWrap/>
            <w:vAlign w:val="bottom"/>
            <w:hideMark/>
          </w:tcPr>
          <w:p w14:paraId="49927D2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150</w:t>
            </w:r>
          </w:p>
        </w:tc>
        <w:tc>
          <w:tcPr>
            <w:tcW w:w="418" w:type="pct"/>
            <w:tcBorders>
              <w:top w:val="nil"/>
              <w:left w:val="nil"/>
              <w:bottom w:val="single" w:sz="4" w:space="0" w:color="auto"/>
              <w:right w:val="single" w:sz="4" w:space="0" w:color="auto"/>
            </w:tcBorders>
            <w:noWrap/>
            <w:vAlign w:val="bottom"/>
            <w:hideMark/>
          </w:tcPr>
          <w:p w14:paraId="13D91E4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0B6AADE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169F692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361" w:type="pct"/>
            <w:tcBorders>
              <w:top w:val="nil"/>
              <w:left w:val="nil"/>
              <w:bottom w:val="single" w:sz="4" w:space="0" w:color="auto"/>
              <w:right w:val="single" w:sz="4" w:space="0" w:color="auto"/>
            </w:tcBorders>
            <w:noWrap/>
            <w:vAlign w:val="bottom"/>
            <w:hideMark/>
          </w:tcPr>
          <w:p w14:paraId="7C915035"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50</w:t>
            </w:r>
          </w:p>
        </w:tc>
        <w:tc>
          <w:tcPr>
            <w:tcW w:w="319" w:type="pct"/>
            <w:tcBorders>
              <w:top w:val="nil"/>
              <w:left w:val="nil"/>
              <w:bottom w:val="single" w:sz="4" w:space="0" w:color="auto"/>
              <w:right w:val="single" w:sz="4" w:space="0" w:color="auto"/>
            </w:tcBorders>
            <w:noWrap/>
            <w:vAlign w:val="bottom"/>
            <w:hideMark/>
          </w:tcPr>
          <w:p w14:paraId="6DBF020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w:t>
            </w:r>
          </w:p>
        </w:tc>
      </w:tr>
      <w:tr w:rsidR="002C206D" w14:paraId="72F05FE1" w14:textId="77777777" w:rsidTr="002C206D">
        <w:trPr>
          <w:trHeight w:val="345"/>
        </w:trPr>
        <w:tc>
          <w:tcPr>
            <w:tcW w:w="0" w:type="auto"/>
            <w:vMerge/>
            <w:tcBorders>
              <w:top w:val="nil"/>
              <w:left w:val="single" w:sz="4" w:space="0" w:color="auto"/>
              <w:bottom w:val="single" w:sz="4" w:space="0" w:color="000000"/>
              <w:right w:val="single" w:sz="4" w:space="0" w:color="auto"/>
            </w:tcBorders>
            <w:vAlign w:val="center"/>
            <w:hideMark/>
          </w:tcPr>
          <w:p w14:paraId="566141CF" w14:textId="77777777" w:rsidR="002C206D" w:rsidRDefault="002C206D">
            <w:pPr>
              <w:spacing w:line="256" w:lineRule="auto"/>
              <w:rPr>
                <w:rFonts w:ascii="Calibri Light" w:hAnsi="Calibri Light" w:cs="Calibri Light"/>
                <w:color w:val="000000"/>
                <w:sz w:val="20"/>
                <w:lang w:val="en-US"/>
              </w:rPr>
            </w:pPr>
          </w:p>
        </w:tc>
        <w:tc>
          <w:tcPr>
            <w:tcW w:w="207" w:type="pct"/>
            <w:tcBorders>
              <w:top w:val="nil"/>
              <w:left w:val="nil"/>
              <w:bottom w:val="single" w:sz="4" w:space="0" w:color="auto"/>
              <w:right w:val="single" w:sz="4" w:space="0" w:color="auto"/>
            </w:tcBorders>
            <w:noWrap/>
            <w:vAlign w:val="bottom"/>
            <w:hideMark/>
          </w:tcPr>
          <w:p w14:paraId="6C267644" w14:textId="77777777" w:rsidR="002C206D" w:rsidRDefault="002C206D">
            <w:pPr>
              <w:spacing w:line="256" w:lineRule="auto"/>
              <w:rPr>
                <w:rFonts w:ascii="Calibri Light" w:hAnsi="Calibri Light" w:cs="Calibri Light"/>
                <w:color w:val="000000"/>
                <w:sz w:val="20"/>
                <w:lang w:val="en-US"/>
              </w:rPr>
            </w:pPr>
            <w:r>
              <w:rPr>
                <w:rFonts w:ascii="Calibri Light" w:hAnsi="Calibri Light" w:cs="Calibri Light"/>
                <w:color w:val="000000"/>
                <w:sz w:val="20"/>
                <w:lang w:val="en-US"/>
              </w:rPr>
              <w:t>CB</w:t>
            </w:r>
          </w:p>
        </w:tc>
        <w:tc>
          <w:tcPr>
            <w:tcW w:w="474" w:type="pct"/>
            <w:tcBorders>
              <w:top w:val="nil"/>
              <w:left w:val="nil"/>
              <w:bottom w:val="single" w:sz="4" w:space="0" w:color="auto"/>
              <w:right w:val="single" w:sz="4" w:space="0" w:color="auto"/>
            </w:tcBorders>
            <w:noWrap/>
            <w:vAlign w:val="bottom"/>
            <w:hideMark/>
          </w:tcPr>
          <w:p w14:paraId="1A940744"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1 600</w:t>
            </w:r>
          </w:p>
        </w:tc>
        <w:tc>
          <w:tcPr>
            <w:tcW w:w="361" w:type="pct"/>
            <w:tcBorders>
              <w:top w:val="nil"/>
              <w:left w:val="nil"/>
              <w:bottom w:val="single" w:sz="4" w:space="0" w:color="auto"/>
              <w:right w:val="single" w:sz="4" w:space="0" w:color="auto"/>
            </w:tcBorders>
            <w:noWrap/>
            <w:vAlign w:val="bottom"/>
            <w:hideMark/>
          </w:tcPr>
          <w:p w14:paraId="3BE77938"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290</w:t>
            </w:r>
          </w:p>
        </w:tc>
        <w:tc>
          <w:tcPr>
            <w:tcW w:w="515" w:type="pct"/>
            <w:tcBorders>
              <w:top w:val="nil"/>
              <w:left w:val="nil"/>
              <w:bottom w:val="single" w:sz="4" w:space="0" w:color="auto"/>
              <w:right w:val="single" w:sz="4" w:space="0" w:color="auto"/>
            </w:tcBorders>
            <w:noWrap/>
            <w:vAlign w:val="bottom"/>
            <w:hideMark/>
          </w:tcPr>
          <w:p w14:paraId="3A22380E"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1 370</w:t>
            </w:r>
          </w:p>
        </w:tc>
        <w:tc>
          <w:tcPr>
            <w:tcW w:w="440" w:type="pct"/>
            <w:tcBorders>
              <w:top w:val="nil"/>
              <w:left w:val="nil"/>
              <w:bottom w:val="single" w:sz="4" w:space="0" w:color="auto"/>
              <w:right w:val="single" w:sz="4" w:space="0" w:color="auto"/>
            </w:tcBorders>
            <w:noWrap/>
            <w:vAlign w:val="bottom"/>
            <w:hideMark/>
          </w:tcPr>
          <w:p w14:paraId="4DCD3B57"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274</w:t>
            </w:r>
          </w:p>
        </w:tc>
        <w:tc>
          <w:tcPr>
            <w:tcW w:w="493" w:type="pct"/>
            <w:tcBorders>
              <w:top w:val="nil"/>
              <w:left w:val="nil"/>
              <w:bottom w:val="single" w:sz="4" w:space="0" w:color="auto"/>
              <w:right w:val="single" w:sz="4" w:space="0" w:color="auto"/>
            </w:tcBorders>
            <w:noWrap/>
            <w:vAlign w:val="bottom"/>
            <w:hideMark/>
          </w:tcPr>
          <w:p w14:paraId="556A52AB"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150</w:t>
            </w:r>
          </w:p>
        </w:tc>
        <w:tc>
          <w:tcPr>
            <w:tcW w:w="418" w:type="pct"/>
            <w:tcBorders>
              <w:top w:val="nil"/>
              <w:left w:val="nil"/>
              <w:bottom w:val="single" w:sz="4" w:space="0" w:color="auto"/>
              <w:right w:val="single" w:sz="4" w:space="0" w:color="auto"/>
            </w:tcBorders>
            <w:noWrap/>
            <w:vAlign w:val="bottom"/>
            <w:hideMark/>
          </w:tcPr>
          <w:p w14:paraId="6AF250B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6D0EB00D"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30</w:t>
            </w:r>
          </w:p>
        </w:tc>
        <w:tc>
          <w:tcPr>
            <w:tcW w:w="361" w:type="pct"/>
            <w:tcBorders>
              <w:top w:val="nil"/>
              <w:left w:val="nil"/>
              <w:bottom w:val="single" w:sz="4" w:space="0" w:color="auto"/>
              <w:right w:val="single" w:sz="4" w:space="0" w:color="auto"/>
            </w:tcBorders>
            <w:noWrap/>
            <w:vAlign w:val="bottom"/>
            <w:hideMark/>
          </w:tcPr>
          <w:p w14:paraId="6784D86F"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6</w:t>
            </w:r>
          </w:p>
        </w:tc>
        <w:tc>
          <w:tcPr>
            <w:tcW w:w="361" w:type="pct"/>
            <w:tcBorders>
              <w:top w:val="nil"/>
              <w:left w:val="nil"/>
              <w:bottom w:val="single" w:sz="4" w:space="0" w:color="auto"/>
              <w:right w:val="single" w:sz="4" w:space="0" w:color="auto"/>
            </w:tcBorders>
            <w:noWrap/>
            <w:vAlign w:val="bottom"/>
            <w:hideMark/>
          </w:tcPr>
          <w:p w14:paraId="6E7001F3"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50</w:t>
            </w:r>
          </w:p>
        </w:tc>
        <w:tc>
          <w:tcPr>
            <w:tcW w:w="319" w:type="pct"/>
            <w:tcBorders>
              <w:top w:val="nil"/>
              <w:left w:val="nil"/>
              <w:bottom w:val="single" w:sz="4" w:space="0" w:color="auto"/>
              <w:right w:val="single" w:sz="4" w:space="0" w:color="auto"/>
            </w:tcBorders>
            <w:noWrap/>
            <w:vAlign w:val="bottom"/>
            <w:hideMark/>
          </w:tcPr>
          <w:p w14:paraId="5A07A922" w14:textId="77777777" w:rsidR="002C206D" w:rsidRDefault="002C206D">
            <w:pPr>
              <w:spacing w:line="256" w:lineRule="auto"/>
              <w:jc w:val="right"/>
              <w:rPr>
                <w:rFonts w:ascii="Calibri Light" w:hAnsi="Calibri Light" w:cs="Calibri Light"/>
                <w:color w:val="000000"/>
                <w:sz w:val="20"/>
                <w:lang w:val="en-US"/>
              </w:rPr>
            </w:pPr>
            <w:r>
              <w:rPr>
                <w:rFonts w:ascii="Calibri Light" w:hAnsi="Calibri Light" w:cs="Calibri Light"/>
                <w:color w:val="000000"/>
                <w:sz w:val="20"/>
                <w:lang w:val="en-US"/>
              </w:rPr>
              <w:t>10</w:t>
            </w:r>
          </w:p>
        </w:tc>
      </w:tr>
    </w:tbl>
    <w:p w14:paraId="0A9B3579" w14:textId="77777777" w:rsidR="002C206D" w:rsidRDefault="002C206D" w:rsidP="002C206D">
      <w:pPr>
        <w:ind w:right="-181" w:firstLine="709"/>
        <w:jc w:val="both"/>
        <w:rPr>
          <w:rFonts w:asciiTheme="minorHAnsi" w:hAnsiTheme="minorHAnsi" w:cstheme="minorHAnsi"/>
          <w:sz w:val="26"/>
          <w:szCs w:val="26"/>
        </w:rPr>
      </w:pPr>
      <w:r>
        <w:rPr>
          <w:rFonts w:asciiTheme="minorHAnsi" w:hAnsiTheme="minorHAnsi" w:cstheme="minorHAnsi"/>
          <w:sz w:val="26"/>
          <w:szCs w:val="26"/>
        </w:rPr>
        <w:t>Prin Legea nr.305/2022 Privind Consiliul Superior al Magistraturii, Inspecția Judiciară intră in coordonarea Consiliului Superior al Magistraturii. Prezentarea grafică, precum şi dinamica bugetelor pe perioada 2022-2024 este ilustrată, astfel:</w:t>
      </w:r>
    </w:p>
    <w:p w14:paraId="7F5F2ACF" w14:textId="77777777" w:rsidR="002C206D" w:rsidRDefault="002C206D" w:rsidP="002C206D">
      <w:pPr>
        <w:ind w:right="-181" w:firstLine="709"/>
        <w:jc w:val="both"/>
        <w:rPr>
          <w:rFonts w:asciiTheme="minorHAnsi" w:hAnsiTheme="minorHAnsi" w:cstheme="minorHAnsi"/>
          <w:sz w:val="26"/>
          <w:szCs w:val="26"/>
        </w:rPr>
      </w:pPr>
    </w:p>
    <w:p w14:paraId="00FA4ED3" w14:textId="77777777" w:rsidR="002C206D" w:rsidRDefault="002C206D" w:rsidP="002C206D">
      <w:pPr>
        <w:keepNext/>
        <w:ind w:right="-181" w:firstLine="386"/>
        <w:jc w:val="center"/>
        <w:rPr>
          <w:rFonts w:asciiTheme="minorHAnsi" w:hAnsiTheme="minorHAnsi" w:cstheme="minorHAnsi"/>
          <w:b/>
          <w:sz w:val="26"/>
          <w:szCs w:val="26"/>
        </w:rPr>
      </w:pPr>
      <w:r>
        <w:rPr>
          <w:rFonts w:asciiTheme="minorHAnsi" w:hAnsiTheme="minorHAnsi" w:cstheme="minorHAnsi"/>
          <w:b/>
          <w:sz w:val="26"/>
          <w:szCs w:val="26"/>
        </w:rPr>
        <w:t xml:space="preserve">CONSILIUL SUPERIOR AL MAGISTRATURII </w:t>
      </w:r>
    </w:p>
    <w:p w14:paraId="1DAE9F70" w14:textId="77777777" w:rsidR="002C206D" w:rsidRDefault="002C206D" w:rsidP="002C206D">
      <w:pPr>
        <w:keepNext/>
        <w:ind w:right="-181" w:firstLine="386"/>
        <w:jc w:val="center"/>
        <w:rPr>
          <w:rFonts w:asciiTheme="minorHAnsi" w:hAnsiTheme="minorHAnsi" w:cstheme="minorHAnsi"/>
          <w:b/>
          <w:sz w:val="26"/>
          <w:szCs w:val="26"/>
        </w:rPr>
      </w:pPr>
      <w:r>
        <w:rPr>
          <w:rFonts w:asciiTheme="minorHAnsi" w:hAnsiTheme="minorHAnsi" w:cstheme="minorHAnsi"/>
          <w:b/>
          <w:sz w:val="26"/>
          <w:szCs w:val="26"/>
        </w:rPr>
        <w:t>APARAT PROPRIU</w:t>
      </w:r>
    </w:p>
    <w:p w14:paraId="4F275AAA" w14:textId="45B385DD" w:rsidR="002C206D" w:rsidRDefault="002C206D" w:rsidP="002C206D">
      <w:pPr>
        <w:keepNext/>
        <w:jc w:val="center"/>
        <w:rPr>
          <w:rFonts w:asciiTheme="minorHAnsi" w:hAnsiTheme="minorHAnsi" w:cstheme="minorHAnsi"/>
          <w:b/>
          <w:noProof/>
          <w:sz w:val="26"/>
          <w:szCs w:val="26"/>
          <w:lang w:val="en-GB" w:eastAsia="en-GB"/>
        </w:rPr>
      </w:pPr>
      <w:r>
        <w:rPr>
          <w:noProof/>
        </w:rPr>
        <w:drawing>
          <wp:inline distT="0" distB="0" distL="0" distR="0" wp14:anchorId="1EBD12FD" wp14:editId="7320A053">
            <wp:extent cx="5429250" cy="4124325"/>
            <wp:effectExtent l="0" t="0" r="0" b="9525"/>
            <wp:docPr id="655485769" name="Chart 9">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3CDFBF8" w14:textId="77777777" w:rsidR="002C206D" w:rsidRDefault="002C206D" w:rsidP="002C206D">
      <w:pPr>
        <w:ind w:left="8496" w:firstLine="708"/>
        <w:jc w:val="both"/>
        <w:rPr>
          <w:rFonts w:asciiTheme="minorHAnsi" w:hAnsiTheme="minorHAnsi" w:cstheme="minorHAnsi"/>
          <w:b/>
          <w:sz w:val="26"/>
          <w:szCs w:val="26"/>
        </w:rPr>
      </w:pPr>
      <w:r>
        <w:rPr>
          <w:rFonts w:asciiTheme="minorHAnsi" w:hAnsiTheme="minorHAnsi" w:cstheme="minorHAnsi"/>
          <w:b/>
          <w:sz w:val="26"/>
          <w:szCs w:val="26"/>
        </w:rPr>
        <w:t>mii lei</w:t>
      </w:r>
    </w:p>
    <w:tbl>
      <w:tblPr>
        <w:tblW w:w="5162" w:type="pct"/>
        <w:jc w:val="center"/>
        <w:tblLook w:val="04A0" w:firstRow="1" w:lastRow="0" w:firstColumn="1" w:lastColumn="0" w:noHBand="0" w:noVBand="1"/>
      </w:tblPr>
      <w:tblGrid>
        <w:gridCol w:w="622"/>
        <w:gridCol w:w="683"/>
        <w:gridCol w:w="870"/>
        <w:gridCol w:w="971"/>
        <w:gridCol w:w="769"/>
        <w:gridCol w:w="719"/>
        <w:gridCol w:w="688"/>
        <w:gridCol w:w="1196"/>
        <w:gridCol w:w="950"/>
        <w:gridCol w:w="949"/>
        <w:gridCol w:w="1305"/>
        <w:gridCol w:w="971"/>
      </w:tblGrid>
      <w:tr w:rsidR="009201C8" w:rsidRPr="009201C8" w14:paraId="507139DF" w14:textId="77777777" w:rsidTr="009201C8">
        <w:trPr>
          <w:trHeight w:val="2661"/>
          <w:jc w:val="center"/>
        </w:trPr>
        <w:tc>
          <w:tcPr>
            <w:tcW w:w="296" w:type="pc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004830EA" w14:textId="77777777" w:rsidR="002C206D" w:rsidRPr="009201C8" w:rsidRDefault="002C206D">
            <w:pPr>
              <w:spacing w:line="256" w:lineRule="auto"/>
              <w:jc w:val="center"/>
              <w:rPr>
                <w:rFonts w:ascii="Calibri Light" w:hAnsi="Calibri Light" w:cs="Calibri Light"/>
                <w:color w:val="000000"/>
                <w:sz w:val="20"/>
                <w:lang w:val="en-US"/>
              </w:rPr>
            </w:pPr>
            <w:r w:rsidRPr="009201C8">
              <w:rPr>
                <w:rFonts w:ascii="Calibri Light" w:hAnsi="Calibri Light" w:cs="Calibri Light"/>
                <w:color w:val="000000"/>
                <w:sz w:val="20"/>
                <w:lang w:val="en-US"/>
              </w:rPr>
              <w:t>An</w:t>
            </w:r>
          </w:p>
        </w:tc>
        <w:tc>
          <w:tcPr>
            <w:tcW w:w="325"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C892FFC" w14:textId="77777777" w:rsidR="002C206D" w:rsidRPr="009201C8" w:rsidRDefault="002C206D">
            <w:pPr>
              <w:spacing w:line="256" w:lineRule="auto"/>
              <w:jc w:val="center"/>
              <w:rPr>
                <w:rFonts w:ascii="Calibri Light" w:hAnsi="Calibri Light" w:cs="Calibri Light"/>
                <w:color w:val="000000"/>
                <w:sz w:val="20"/>
                <w:lang w:val="en-US"/>
              </w:rPr>
            </w:pPr>
            <w:r w:rsidRPr="009201C8">
              <w:rPr>
                <w:rFonts w:ascii="Calibri Light" w:hAnsi="Calibri Light" w:cs="Calibri Light"/>
                <w:color w:val="000000"/>
                <w:sz w:val="20"/>
                <w:lang w:val="en-US"/>
              </w:rPr>
              <w:t>Tip</w:t>
            </w:r>
            <w:r w:rsidRPr="009201C8">
              <w:rPr>
                <w:rFonts w:ascii="Calibri Light" w:hAnsi="Calibri Light" w:cs="Calibri Light"/>
                <w:color w:val="000000"/>
                <w:sz w:val="20"/>
                <w:lang w:val="en-US"/>
              </w:rPr>
              <w:br/>
              <w:t>credit</w:t>
            </w:r>
          </w:p>
        </w:tc>
        <w:tc>
          <w:tcPr>
            <w:tcW w:w="414"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602D27A" w14:textId="77777777" w:rsidR="002C206D" w:rsidRPr="009201C8" w:rsidRDefault="002C206D">
            <w:pPr>
              <w:spacing w:line="256" w:lineRule="auto"/>
              <w:jc w:val="center"/>
              <w:rPr>
                <w:rFonts w:ascii="Calibri Light" w:hAnsi="Calibri Light" w:cs="Calibri Light"/>
                <w:color w:val="000000"/>
                <w:sz w:val="20"/>
                <w:lang w:val="en-US"/>
              </w:rPr>
            </w:pPr>
            <w:r w:rsidRPr="009201C8">
              <w:rPr>
                <w:rFonts w:ascii="Calibri Light" w:hAnsi="Calibri Light" w:cs="Calibri Light"/>
                <w:color w:val="000000"/>
                <w:sz w:val="20"/>
                <w:lang w:val="en-US"/>
              </w:rPr>
              <w:t>Total</w:t>
            </w:r>
          </w:p>
        </w:tc>
        <w:tc>
          <w:tcPr>
            <w:tcW w:w="377"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5518B2F" w14:textId="77777777" w:rsidR="002C206D" w:rsidRPr="009201C8" w:rsidRDefault="002C206D">
            <w:pPr>
              <w:spacing w:line="256" w:lineRule="auto"/>
              <w:jc w:val="center"/>
              <w:rPr>
                <w:rFonts w:ascii="Calibri Light" w:hAnsi="Calibri Light" w:cs="Calibri Light"/>
                <w:color w:val="000000"/>
                <w:sz w:val="20"/>
                <w:lang w:val="en-US"/>
              </w:rPr>
            </w:pPr>
            <w:proofErr w:type="spellStart"/>
            <w:r w:rsidRPr="009201C8">
              <w:rPr>
                <w:rFonts w:ascii="Calibri Light" w:hAnsi="Calibri Light" w:cs="Calibri Light"/>
                <w:color w:val="000000"/>
                <w:sz w:val="20"/>
                <w:lang w:val="en-US"/>
              </w:rPr>
              <w:t>Cheltuieli</w:t>
            </w:r>
            <w:proofErr w:type="spellEnd"/>
            <w:r w:rsidRPr="009201C8">
              <w:rPr>
                <w:rFonts w:ascii="Calibri Light" w:hAnsi="Calibri Light" w:cs="Calibri Light"/>
                <w:color w:val="000000"/>
                <w:sz w:val="20"/>
                <w:lang w:val="en-US"/>
              </w:rPr>
              <w:t xml:space="preserve"> de personal</w:t>
            </w:r>
          </w:p>
        </w:tc>
        <w:tc>
          <w:tcPr>
            <w:tcW w:w="366"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4553D06" w14:textId="77777777" w:rsidR="002C206D" w:rsidRPr="009201C8" w:rsidRDefault="002C206D">
            <w:pPr>
              <w:spacing w:line="256" w:lineRule="auto"/>
              <w:jc w:val="center"/>
              <w:rPr>
                <w:rFonts w:ascii="Calibri Light" w:hAnsi="Calibri Light" w:cs="Calibri Light"/>
                <w:color w:val="000000"/>
                <w:sz w:val="20"/>
                <w:lang w:val="en-US"/>
              </w:rPr>
            </w:pPr>
            <w:proofErr w:type="spellStart"/>
            <w:r w:rsidRPr="009201C8">
              <w:rPr>
                <w:rFonts w:ascii="Calibri Light" w:hAnsi="Calibri Light" w:cs="Calibri Light"/>
                <w:color w:val="000000"/>
                <w:sz w:val="20"/>
                <w:lang w:val="en-US"/>
              </w:rPr>
              <w:t>Bunuri</w:t>
            </w:r>
            <w:proofErr w:type="spellEnd"/>
            <w:r w:rsidRPr="009201C8">
              <w:rPr>
                <w:rFonts w:ascii="Calibri Light" w:hAnsi="Calibri Light" w:cs="Calibri Light"/>
                <w:color w:val="000000"/>
                <w:sz w:val="20"/>
                <w:lang w:val="en-US"/>
              </w:rPr>
              <w:t xml:space="preserve"> </w:t>
            </w:r>
            <w:proofErr w:type="spellStart"/>
            <w:r w:rsidRPr="009201C8">
              <w:rPr>
                <w:rFonts w:ascii="Calibri Light" w:hAnsi="Calibri Light" w:cs="Calibri Light"/>
                <w:color w:val="000000"/>
                <w:sz w:val="20"/>
                <w:lang w:val="en-US"/>
              </w:rPr>
              <w:t>și</w:t>
            </w:r>
            <w:proofErr w:type="spellEnd"/>
            <w:r w:rsidRPr="009201C8">
              <w:rPr>
                <w:rFonts w:ascii="Calibri Light" w:hAnsi="Calibri Light" w:cs="Calibri Light"/>
                <w:color w:val="000000"/>
                <w:sz w:val="20"/>
                <w:lang w:val="en-US"/>
              </w:rPr>
              <w:t xml:space="preserve"> </w:t>
            </w:r>
            <w:proofErr w:type="spellStart"/>
            <w:r w:rsidRPr="009201C8">
              <w:rPr>
                <w:rFonts w:ascii="Calibri Light" w:hAnsi="Calibri Light" w:cs="Calibri Light"/>
                <w:color w:val="000000"/>
                <w:sz w:val="20"/>
                <w:lang w:val="en-US"/>
              </w:rPr>
              <w:t>servicii</w:t>
            </w:r>
            <w:proofErr w:type="spellEnd"/>
          </w:p>
        </w:tc>
        <w:tc>
          <w:tcPr>
            <w:tcW w:w="342"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512FCCE" w14:textId="77777777" w:rsidR="002C206D" w:rsidRPr="009201C8" w:rsidRDefault="002C206D">
            <w:pPr>
              <w:spacing w:line="256" w:lineRule="auto"/>
              <w:jc w:val="center"/>
              <w:rPr>
                <w:rFonts w:ascii="Calibri Light" w:hAnsi="Calibri Light" w:cs="Calibri Light"/>
                <w:color w:val="000000"/>
                <w:sz w:val="20"/>
                <w:lang w:val="en-US"/>
              </w:rPr>
            </w:pPr>
            <w:r w:rsidRPr="009201C8">
              <w:rPr>
                <w:rFonts w:ascii="Calibri Light" w:hAnsi="Calibri Light" w:cs="Calibri Light"/>
                <w:color w:val="000000"/>
                <w:sz w:val="20"/>
                <w:lang w:val="en-US"/>
              </w:rPr>
              <w:t>Trans-</w:t>
            </w:r>
            <w:proofErr w:type="spellStart"/>
            <w:r w:rsidRPr="009201C8">
              <w:rPr>
                <w:rFonts w:ascii="Calibri Light" w:hAnsi="Calibri Light" w:cs="Calibri Light"/>
                <w:color w:val="000000"/>
                <w:sz w:val="20"/>
                <w:lang w:val="en-US"/>
              </w:rPr>
              <w:t>feruri</w:t>
            </w:r>
            <w:proofErr w:type="spellEnd"/>
          </w:p>
        </w:tc>
        <w:tc>
          <w:tcPr>
            <w:tcW w:w="327"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479146C" w14:textId="77777777" w:rsidR="002C206D" w:rsidRPr="009201C8" w:rsidRDefault="002C206D">
            <w:pPr>
              <w:spacing w:line="256" w:lineRule="auto"/>
              <w:jc w:val="center"/>
              <w:rPr>
                <w:rFonts w:ascii="Calibri Light" w:hAnsi="Calibri Light" w:cs="Calibri Light"/>
                <w:color w:val="000000"/>
                <w:sz w:val="20"/>
                <w:lang w:val="en-US"/>
              </w:rPr>
            </w:pPr>
            <w:r w:rsidRPr="009201C8">
              <w:rPr>
                <w:rFonts w:ascii="Calibri Light" w:hAnsi="Calibri Light" w:cs="Calibri Light"/>
                <w:color w:val="000000"/>
                <w:sz w:val="20"/>
                <w:lang w:val="en-US"/>
              </w:rPr>
              <w:t>Alte trans-</w:t>
            </w:r>
            <w:proofErr w:type="spellStart"/>
            <w:r w:rsidRPr="009201C8">
              <w:rPr>
                <w:rFonts w:ascii="Calibri Light" w:hAnsi="Calibri Light" w:cs="Calibri Light"/>
                <w:color w:val="000000"/>
                <w:sz w:val="20"/>
                <w:lang w:val="en-US"/>
              </w:rPr>
              <w:t>feruri</w:t>
            </w:r>
            <w:proofErr w:type="spellEnd"/>
          </w:p>
        </w:tc>
        <w:tc>
          <w:tcPr>
            <w:tcW w:w="569"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41145CD" w14:textId="77777777" w:rsidR="002C206D" w:rsidRPr="00261D6B" w:rsidRDefault="002C206D">
            <w:pPr>
              <w:spacing w:line="256" w:lineRule="auto"/>
              <w:jc w:val="center"/>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r w:rsidRPr="00261D6B">
              <w:rPr>
                <w:rFonts w:ascii="Calibri Light" w:hAnsi="Calibri Light" w:cs="Calibri Light"/>
                <w:color w:val="000000"/>
                <w:sz w:val="20"/>
                <w:lang w:val="fr-FR"/>
              </w:rPr>
              <w:br/>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postaderare</w:t>
            </w:r>
            <w:proofErr w:type="spellEnd"/>
          </w:p>
        </w:tc>
        <w:tc>
          <w:tcPr>
            <w:tcW w:w="452"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5AFD01E" w14:textId="77777777" w:rsidR="002C206D" w:rsidRPr="00261D6B" w:rsidRDefault="002C206D">
            <w:pPr>
              <w:spacing w:line="256" w:lineRule="auto"/>
              <w:jc w:val="center"/>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aferente</w:t>
            </w:r>
            <w:proofErr w:type="spellEnd"/>
            <w:r w:rsidRPr="00261D6B">
              <w:rPr>
                <w:rFonts w:ascii="Calibri Light" w:hAnsi="Calibri Light" w:cs="Calibri Light"/>
                <w:color w:val="000000"/>
                <w:sz w:val="20"/>
                <w:lang w:val="fr-FR"/>
              </w:rPr>
              <w:br/>
              <w:t xml:space="preserve"> </w:t>
            </w:r>
            <w:proofErr w:type="spellStart"/>
            <w:r w:rsidRPr="00261D6B">
              <w:rPr>
                <w:rFonts w:ascii="Calibri Light" w:hAnsi="Calibri Light" w:cs="Calibri Light"/>
                <w:color w:val="000000"/>
                <w:sz w:val="20"/>
                <w:lang w:val="fr-FR"/>
              </w:rPr>
              <w:t>cadrului</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financiar</w:t>
            </w:r>
            <w:proofErr w:type="spellEnd"/>
            <w:r w:rsidRPr="00261D6B">
              <w:rPr>
                <w:rFonts w:ascii="Calibri Light" w:hAnsi="Calibri Light" w:cs="Calibri Light"/>
                <w:color w:val="000000"/>
                <w:sz w:val="20"/>
                <w:lang w:val="fr-FR"/>
              </w:rPr>
              <w:t xml:space="preserve"> 2014-2020</w:t>
            </w:r>
          </w:p>
        </w:tc>
        <w:tc>
          <w:tcPr>
            <w:tcW w:w="451"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4CFF879" w14:textId="77777777" w:rsidR="002C206D" w:rsidRPr="009201C8" w:rsidRDefault="002C206D">
            <w:pPr>
              <w:spacing w:line="256" w:lineRule="auto"/>
              <w:jc w:val="center"/>
              <w:rPr>
                <w:rFonts w:ascii="Calibri Light" w:hAnsi="Calibri Light" w:cs="Calibri Light"/>
                <w:color w:val="000000"/>
                <w:sz w:val="20"/>
                <w:lang w:val="en-US"/>
              </w:rPr>
            </w:pPr>
            <w:r w:rsidRPr="009201C8">
              <w:rPr>
                <w:rFonts w:ascii="Calibri Light" w:hAnsi="Calibri Light" w:cs="Calibri Light"/>
                <w:color w:val="000000"/>
                <w:sz w:val="20"/>
                <w:lang w:val="en-US"/>
              </w:rPr>
              <w:t xml:space="preserve">Alte </w:t>
            </w:r>
            <w:proofErr w:type="spellStart"/>
            <w:r w:rsidRPr="009201C8">
              <w:rPr>
                <w:rFonts w:ascii="Calibri Light" w:hAnsi="Calibri Light" w:cs="Calibri Light"/>
                <w:color w:val="000000"/>
                <w:sz w:val="20"/>
                <w:lang w:val="en-US"/>
              </w:rPr>
              <w:t>cheltuieli</w:t>
            </w:r>
            <w:proofErr w:type="spellEnd"/>
          </w:p>
        </w:tc>
        <w:tc>
          <w:tcPr>
            <w:tcW w:w="621"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97C112C" w14:textId="77777777" w:rsidR="002C206D" w:rsidRPr="009201C8" w:rsidRDefault="002C206D">
            <w:pPr>
              <w:spacing w:line="256" w:lineRule="auto"/>
              <w:jc w:val="center"/>
              <w:rPr>
                <w:rFonts w:ascii="Calibri Light" w:hAnsi="Calibri Light" w:cs="Calibri Light"/>
                <w:color w:val="000000"/>
                <w:sz w:val="20"/>
                <w:lang w:val="en-US"/>
              </w:rPr>
            </w:pPr>
            <w:proofErr w:type="spellStart"/>
            <w:r w:rsidRPr="009201C8">
              <w:rPr>
                <w:rFonts w:ascii="Calibri Light" w:hAnsi="Calibri Light" w:cs="Calibri Light"/>
                <w:color w:val="000000"/>
                <w:sz w:val="20"/>
                <w:lang w:val="en-US"/>
              </w:rPr>
              <w:t>Proiecte</w:t>
            </w:r>
            <w:proofErr w:type="spellEnd"/>
            <w:r w:rsidRPr="009201C8">
              <w:rPr>
                <w:rFonts w:ascii="Calibri Light" w:hAnsi="Calibri Light" w:cs="Calibri Light"/>
                <w:color w:val="000000"/>
                <w:sz w:val="20"/>
                <w:lang w:val="en-US"/>
              </w:rPr>
              <w:t xml:space="preserve"> cu </w:t>
            </w:r>
            <w:proofErr w:type="spellStart"/>
            <w:r w:rsidRPr="009201C8">
              <w:rPr>
                <w:rFonts w:ascii="Calibri Light" w:hAnsi="Calibri Light" w:cs="Calibri Light"/>
                <w:color w:val="000000"/>
                <w:sz w:val="20"/>
                <w:lang w:val="en-US"/>
              </w:rPr>
              <w:t>finanțate</w:t>
            </w:r>
            <w:proofErr w:type="spellEnd"/>
            <w:r w:rsidRPr="009201C8">
              <w:rPr>
                <w:rFonts w:ascii="Calibri Light" w:hAnsi="Calibri Light" w:cs="Calibri Light"/>
                <w:color w:val="000000"/>
                <w:sz w:val="20"/>
                <w:lang w:val="en-US"/>
              </w:rPr>
              <w:t xml:space="preserve"> din </w:t>
            </w:r>
            <w:proofErr w:type="spellStart"/>
            <w:r w:rsidRPr="009201C8">
              <w:rPr>
                <w:rFonts w:ascii="Calibri Light" w:hAnsi="Calibri Light" w:cs="Calibri Light"/>
                <w:color w:val="000000"/>
                <w:sz w:val="20"/>
                <w:lang w:val="en-US"/>
              </w:rPr>
              <w:t>sumele</w:t>
            </w:r>
            <w:proofErr w:type="spellEnd"/>
            <w:r w:rsidRPr="009201C8">
              <w:rPr>
                <w:rFonts w:ascii="Calibri Light" w:hAnsi="Calibri Light" w:cs="Calibri Light"/>
                <w:color w:val="000000"/>
                <w:sz w:val="20"/>
                <w:lang w:val="en-US"/>
              </w:rPr>
              <w:t xml:space="preserve"> </w:t>
            </w:r>
            <w:proofErr w:type="spellStart"/>
            <w:r w:rsidRPr="009201C8">
              <w:rPr>
                <w:rFonts w:ascii="Calibri Light" w:hAnsi="Calibri Light" w:cs="Calibri Light"/>
                <w:color w:val="000000"/>
                <w:sz w:val="20"/>
                <w:lang w:val="en-US"/>
              </w:rPr>
              <w:t>reprezentând</w:t>
            </w:r>
            <w:proofErr w:type="spellEnd"/>
            <w:r w:rsidRPr="009201C8">
              <w:rPr>
                <w:rFonts w:ascii="Calibri Light" w:hAnsi="Calibri Light" w:cs="Calibri Light"/>
                <w:color w:val="000000"/>
                <w:sz w:val="20"/>
                <w:lang w:val="en-US"/>
              </w:rPr>
              <w:t xml:space="preserve"> </w:t>
            </w:r>
            <w:proofErr w:type="spellStart"/>
            <w:r w:rsidRPr="009201C8">
              <w:rPr>
                <w:rFonts w:ascii="Calibri Light" w:hAnsi="Calibri Light" w:cs="Calibri Light"/>
                <w:color w:val="000000"/>
                <w:sz w:val="20"/>
                <w:lang w:val="en-US"/>
              </w:rPr>
              <w:t>asistență</w:t>
            </w:r>
            <w:proofErr w:type="spellEnd"/>
            <w:r w:rsidRPr="009201C8">
              <w:rPr>
                <w:rFonts w:ascii="Calibri Light" w:hAnsi="Calibri Light" w:cs="Calibri Light"/>
                <w:color w:val="000000"/>
                <w:sz w:val="20"/>
                <w:lang w:val="en-US"/>
              </w:rPr>
              <w:t xml:space="preserve"> </w:t>
            </w:r>
            <w:proofErr w:type="spellStart"/>
            <w:r w:rsidRPr="009201C8">
              <w:rPr>
                <w:rFonts w:ascii="Calibri Light" w:hAnsi="Calibri Light" w:cs="Calibri Light"/>
                <w:color w:val="000000"/>
                <w:sz w:val="20"/>
                <w:lang w:val="en-US"/>
              </w:rPr>
              <w:t>financiară</w:t>
            </w:r>
            <w:proofErr w:type="spellEnd"/>
            <w:r w:rsidRPr="009201C8">
              <w:rPr>
                <w:rFonts w:ascii="Calibri Light" w:hAnsi="Calibri Light" w:cs="Calibri Light"/>
                <w:color w:val="000000"/>
                <w:sz w:val="20"/>
                <w:lang w:val="en-US"/>
              </w:rPr>
              <w:t xml:space="preserve"> </w:t>
            </w:r>
          </w:p>
        </w:tc>
        <w:tc>
          <w:tcPr>
            <w:tcW w:w="462" w:type="pct"/>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37ABAF4F" w14:textId="77777777" w:rsidR="002C206D" w:rsidRPr="009201C8" w:rsidRDefault="002C206D">
            <w:pPr>
              <w:spacing w:line="256" w:lineRule="auto"/>
              <w:jc w:val="center"/>
              <w:rPr>
                <w:rFonts w:ascii="Calibri Light" w:hAnsi="Calibri Light" w:cs="Calibri Light"/>
                <w:color w:val="000000"/>
                <w:sz w:val="20"/>
                <w:lang w:val="en-US"/>
              </w:rPr>
            </w:pPr>
            <w:proofErr w:type="spellStart"/>
            <w:r w:rsidRPr="009201C8">
              <w:rPr>
                <w:rFonts w:ascii="Calibri Light" w:hAnsi="Calibri Light" w:cs="Calibri Light"/>
                <w:color w:val="000000"/>
                <w:sz w:val="20"/>
                <w:lang w:val="en-US"/>
              </w:rPr>
              <w:t>Cheltuieli</w:t>
            </w:r>
            <w:proofErr w:type="spellEnd"/>
            <w:r w:rsidRPr="009201C8">
              <w:rPr>
                <w:rFonts w:ascii="Calibri Light" w:hAnsi="Calibri Light" w:cs="Calibri Light"/>
                <w:color w:val="000000"/>
                <w:sz w:val="20"/>
                <w:lang w:val="en-US"/>
              </w:rPr>
              <w:t xml:space="preserve"> de capital</w:t>
            </w:r>
          </w:p>
        </w:tc>
      </w:tr>
      <w:tr w:rsidR="009201C8" w:rsidRPr="009201C8" w14:paraId="635FC696" w14:textId="77777777" w:rsidTr="009201C8">
        <w:trPr>
          <w:trHeight w:val="300"/>
          <w:jc w:val="center"/>
        </w:trPr>
        <w:tc>
          <w:tcPr>
            <w:tcW w:w="296" w:type="pct"/>
            <w:tcBorders>
              <w:top w:val="nil"/>
              <w:left w:val="single" w:sz="8" w:space="0" w:color="auto"/>
              <w:bottom w:val="single" w:sz="4" w:space="0" w:color="auto"/>
              <w:right w:val="single" w:sz="4" w:space="0" w:color="auto"/>
            </w:tcBorders>
            <w:noWrap/>
            <w:vAlign w:val="bottom"/>
            <w:hideMark/>
          </w:tcPr>
          <w:p w14:paraId="22C6077D"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2022</w:t>
            </w:r>
          </w:p>
        </w:tc>
        <w:tc>
          <w:tcPr>
            <w:tcW w:w="325" w:type="pct"/>
            <w:tcBorders>
              <w:top w:val="nil"/>
              <w:left w:val="nil"/>
              <w:bottom w:val="single" w:sz="4" w:space="0" w:color="auto"/>
              <w:right w:val="single" w:sz="4" w:space="0" w:color="auto"/>
            </w:tcBorders>
            <w:noWrap/>
            <w:vAlign w:val="bottom"/>
            <w:hideMark/>
          </w:tcPr>
          <w:p w14:paraId="221A1A55"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lang w:val="en-US"/>
              </w:rPr>
              <w:t>CA</w:t>
            </w:r>
          </w:p>
        </w:tc>
        <w:tc>
          <w:tcPr>
            <w:tcW w:w="414" w:type="pct"/>
            <w:tcBorders>
              <w:top w:val="nil"/>
              <w:left w:val="nil"/>
              <w:bottom w:val="single" w:sz="4" w:space="0" w:color="auto"/>
              <w:right w:val="single" w:sz="4" w:space="0" w:color="auto"/>
            </w:tcBorders>
            <w:noWrap/>
            <w:vAlign w:val="bottom"/>
            <w:hideMark/>
          </w:tcPr>
          <w:p w14:paraId="5E70F32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159 474</w:t>
            </w:r>
          </w:p>
        </w:tc>
        <w:tc>
          <w:tcPr>
            <w:tcW w:w="377" w:type="pct"/>
            <w:tcBorders>
              <w:top w:val="nil"/>
              <w:left w:val="nil"/>
              <w:bottom w:val="single" w:sz="4" w:space="0" w:color="auto"/>
              <w:right w:val="single" w:sz="4" w:space="0" w:color="auto"/>
            </w:tcBorders>
            <w:noWrap/>
            <w:vAlign w:val="bottom"/>
            <w:hideMark/>
          </w:tcPr>
          <w:p w14:paraId="2E2C71C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74 803</w:t>
            </w:r>
          </w:p>
        </w:tc>
        <w:tc>
          <w:tcPr>
            <w:tcW w:w="366" w:type="pct"/>
            <w:tcBorders>
              <w:top w:val="nil"/>
              <w:left w:val="nil"/>
              <w:bottom w:val="single" w:sz="4" w:space="0" w:color="auto"/>
              <w:right w:val="single" w:sz="4" w:space="0" w:color="auto"/>
            </w:tcBorders>
            <w:noWrap/>
            <w:vAlign w:val="bottom"/>
            <w:hideMark/>
          </w:tcPr>
          <w:p w14:paraId="7A151CD4"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8 033</w:t>
            </w:r>
          </w:p>
        </w:tc>
        <w:tc>
          <w:tcPr>
            <w:tcW w:w="342" w:type="pct"/>
            <w:tcBorders>
              <w:top w:val="nil"/>
              <w:left w:val="nil"/>
              <w:bottom w:val="single" w:sz="4" w:space="0" w:color="auto"/>
              <w:right w:val="single" w:sz="4" w:space="0" w:color="auto"/>
            </w:tcBorders>
            <w:noWrap/>
            <w:vAlign w:val="bottom"/>
            <w:hideMark/>
          </w:tcPr>
          <w:p w14:paraId="16FFECCD"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327" w:type="pct"/>
            <w:tcBorders>
              <w:top w:val="nil"/>
              <w:left w:val="nil"/>
              <w:bottom w:val="single" w:sz="4" w:space="0" w:color="auto"/>
              <w:right w:val="single" w:sz="4" w:space="0" w:color="auto"/>
            </w:tcBorders>
            <w:noWrap/>
            <w:vAlign w:val="bottom"/>
            <w:hideMark/>
          </w:tcPr>
          <w:p w14:paraId="732C2AA5"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25</w:t>
            </w:r>
          </w:p>
        </w:tc>
        <w:tc>
          <w:tcPr>
            <w:tcW w:w="569" w:type="pct"/>
            <w:tcBorders>
              <w:top w:val="nil"/>
              <w:left w:val="nil"/>
              <w:bottom w:val="single" w:sz="4" w:space="0" w:color="auto"/>
              <w:right w:val="single" w:sz="4" w:space="0" w:color="auto"/>
            </w:tcBorders>
            <w:noWrap/>
            <w:vAlign w:val="bottom"/>
            <w:hideMark/>
          </w:tcPr>
          <w:p w14:paraId="006CE24C"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452" w:type="pct"/>
            <w:tcBorders>
              <w:top w:val="nil"/>
              <w:left w:val="nil"/>
              <w:bottom w:val="single" w:sz="4" w:space="0" w:color="auto"/>
              <w:right w:val="single" w:sz="4" w:space="0" w:color="auto"/>
            </w:tcBorders>
            <w:noWrap/>
            <w:vAlign w:val="bottom"/>
            <w:hideMark/>
          </w:tcPr>
          <w:p w14:paraId="6C3235E1"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75 491</w:t>
            </w:r>
          </w:p>
        </w:tc>
        <w:tc>
          <w:tcPr>
            <w:tcW w:w="451" w:type="pct"/>
            <w:tcBorders>
              <w:top w:val="nil"/>
              <w:left w:val="nil"/>
              <w:bottom w:val="single" w:sz="4" w:space="0" w:color="auto"/>
              <w:right w:val="single" w:sz="4" w:space="0" w:color="auto"/>
            </w:tcBorders>
            <w:noWrap/>
            <w:vAlign w:val="bottom"/>
            <w:hideMark/>
          </w:tcPr>
          <w:p w14:paraId="5D49E26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777</w:t>
            </w:r>
          </w:p>
        </w:tc>
        <w:tc>
          <w:tcPr>
            <w:tcW w:w="621" w:type="pct"/>
            <w:tcBorders>
              <w:top w:val="nil"/>
              <w:left w:val="nil"/>
              <w:bottom w:val="single" w:sz="4" w:space="0" w:color="auto"/>
              <w:right w:val="single" w:sz="4" w:space="0" w:color="auto"/>
            </w:tcBorders>
            <w:noWrap/>
            <w:vAlign w:val="bottom"/>
            <w:hideMark/>
          </w:tcPr>
          <w:p w14:paraId="767ED9B0"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lang w:val="en-US"/>
              </w:rPr>
              <w:t> </w:t>
            </w:r>
          </w:p>
        </w:tc>
        <w:tc>
          <w:tcPr>
            <w:tcW w:w="462" w:type="pct"/>
            <w:tcBorders>
              <w:top w:val="nil"/>
              <w:left w:val="nil"/>
              <w:bottom w:val="single" w:sz="4" w:space="0" w:color="auto"/>
              <w:right w:val="single" w:sz="8" w:space="0" w:color="auto"/>
            </w:tcBorders>
            <w:noWrap/>
            <w:vAlign w:val="bottom"/>
            <w:hideMark/>
          </w:tcPr>
          <w:p w14:paraId="7B721A1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345</w:t>
            </w:r>
          </w:p>
        </w:tc>
      </w:tr>
      <w:tr w:rsidR="009201C8" w:rsidRPr="009201C8" w14:paraId="05A097FD" w14:textId="77777777" w:rsidTr="009201C8">
        <w:trPr>
          <w:trHeight w:val="300"/>
          <w:jc w:val="center"/>
        </w:trPr>
        <w:tc>
          <w:tcPr>
            <w:tcW w:w="296" w:type="pct"/>
            <w:tcBorders>
              <w:top w:val="nil"/>
              <w:left w:val="single" w:sz="8" w:space="0" w:color="auto"/>
              <w:bottom w:val="single" w:sz="4" w:space="0" w:color="auto"/>
              <w:right w:val="single" w:sz="4" w:space="0" w:color="auto"/>
            </w:tcBorders>
            <w:noWrap/>
            <w:vAlign w:val="bottom"/>
            <w:hideMark/>
          </w:tcPr>
          <w:p w14:paraId="6C52476D"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2022</w:t>
            </w:r>
          </w:p>
        </w:tc>
        <w:tc>
          <w:tcPr>
            <w:tcW w:w="325" w:type="pct"/>
            <w:tcBorders>
              <w:top w:val="nil"/>
              <w:left w:val="nil"/>
              <w:bottom w:val="single" w:sz="4" w:space="0" w:color="auto"/>
              <w:right w:val="single" w:sz="4" w:space="0" w:color="auto"/>
            </w:tcBorders>
            <w:noWrap/>
            <w:vAlign w:val="bottom"/>
            <w:hideMark/>
          </w:tcPr>
          <w:p w14:paraId="2B8AFFC2"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lang w:val="en-US"/>
              </w:rPr>
              <w:t>CB</w:t>
            </w:r>
          </w:p>
        </w:tc>
        <w:tc>
          <w:tcPr>
            <w:tcW w:w="414" w:type="pct"/>
            <w:tcBorders>
              <w:top w:val="nil"/>
              <w:left w:val="nil"/>
              <w:bottom w:val="single" w:sz="4" w:space="0" w:color="auto"/>
              <w:right w:val="single" w:sz="4" w:space="0" w:color="auto"/>
            </w:tcBorders>
            <w:noWrap/>
            <w:vAlign w:val="bottom"/>
            <w:hideMark/>
          </w:tcPr>
          <w:p w14:paraId="0E828355"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124 171</w:t>
            </w:r>
          </w:p>
        </w:tc>
        <w:tc>
          <w:tcPr>
            <w:tcW w:w="377" w:type="pct"/>
            <w:tcBorders>
              <w:top w:val="nil"/>
              <w:left w:val="nil"/>
              <w:bottom w:val="single" w:sz="4" w:space="0" w:color="auto"/>
              <w:right w:val="single" w:sz="4" w:space="0" w:color="auto"/>
            </w:tcBorders>
            <w:noWrap/>
            <w:vAlign w:val="bottom"/>
            <w:hideMark/>
          </w:tcPr>
          <w:p w14:paraId="3FF4FCCA"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74 803</w:t>
            </w:r>
          </w:p>
        </w:tc>
        <w:tc>
          <w:tcPr>
            <w:tcW w:w="366" w:type="pct"/>
            <w:tcBorders>
              <w:top w:val="nil"/>
              <w:left w:val="nil"/>
              <w:bottom w:val="single" w:sz="4" w:space="0" w:color="auto"/>
              <w:right w:val="single" w:sz="4" w:space="0" w:color="auto"/>
            </w:tcBorders>
            <w:noWrap/>
            <w:vAlign w:val="bottom"/>
            <w:hideMark/>
          </w:tcPr>
          <w:p w14:paraId="3492B1F7"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8 033</w:t>
            </w:r>
          </w:p>
        </w:tc>
        <w:tc>
          <w:tcPr>
            <w:tcW w:w="342" w:type="pct"/>
            <w:tcBorders>
              <w:top w:val="nil"/>
              <w:left w:val="nil"/>
              <w:bottom w:val="single" w:sz="4" w:space="0" w:color="auto"/>
              <w:right w:val="single" w:sz="4" w:space="0" w:color="auto"/>
            </w:tcBorders>
            <w:noWrap/>
            <w:vAlign w:val="bottom"/>
            <w:hideMark/>
          </w:tcPr>
          <w:p w14:paraId="7AC22FBC"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327" w:type="pct"/>
            <w:tcBorders>
              <w:top w:val="nil"/>
              <w:left w:val="nil"/>
              <w:bottom w:val="single" w:sz="4" w:space="0" w:color="auto"/>
              <w:right w:val="single" w:sz="4" w:space="0" w:color="auto"/>
            </w:tcBorders>
            <w:noWrap/>
            <w:vAlign w:val="bottom"/>
            <w:hideMark/>
          </w:tcPr>
          <w:p w14:paraId="06AE4BCB"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25</w:t>
            </w:r>
          </w:p>
        </w:tc>
        <w:tc>
          <w:tcPr>
            <w:tcW w:w="569" w:type="pct"/>
            <w:tcBorders>
              <w:top w:val="nil"/>
              <w:left w:val="nil"/>
              <w:bottom w:val="single" w:sz="4" w:space="0" w:color="auto"/>
              <w:right w:val="single" w:sz="4" w:space="0" w:color="auto"/>
            </w:tcBorders>
            <w:noWrap/>
            <w:vAlign w:val="bottom"/>
            <w:hideMark/>
          </w:tcPr>
          <w:p w14:paraId="679E4E09"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452" w:type="pct"/>
            <w:tcBorders>
              <w:top w:val="nil"/>
              <w:left w:val="nil"/>
              <w:bottom w:val="single" w:sz="4" w:space="0" w:color="auto"/>
              <w:right w:val="single" w:sz="4" w:space="0" w:color="auto"/>
            </w:tcBorders>
            <w:noWrap/>
            <w:vAlign w:val="bottom"/>
            <w:hideMark/>
          </w:tcPr>
          <w:p w14:paraId="3F249E50"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40 188</w:t>
            </w:r>
          </w:p>
        </w:tc>
        <w:tc>
          <w:tcPr>
            <w:tcW w:w="451" w:type="pct"/>
            <w:tcBorders>
              <w:top w:val="nil"/>
              <w:left w:val="nil"/>
              <w:bottom w:val="single" w:sz="4" w:space="0" w:color="auto"/>
              <w:right w:val="single" w:sz="4" w:space="0" w:color="auto"/>
            </w:tcBorders>
            <w:noWrap/>
            <w:vAlign w:val="bottom"/>
            <w:hideMark/>
          </w:tcPr>
          <w:p w14:paraId="7ADA443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777</w:t>
            </w:r>
          </w:p>
        </w:tc>
        <w:tc>
          <w:tcPr>
            <w:tcW w:w="621" w:type="pct"/>
            <w:tcBorders>
              <w:top w:val="nil"/>
              <w:left w:val="nil"/>
              <w:bottom w:val="single" w:sz="4" w:space="0" w:color="auto"/>
              <w:right w:val="single" w:sz="4" w:space="0" w:color="auto"/>
            </w:tcBorders>
            <w:noWrap/>
            <w:vAlign w:val="bottom"/>
            <w:hideMark/>
          </w:tcPr>
          <w:p w14:paraId="2278EEEB"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lang w:val="en-US"/>
              </w:rPr>
              <w:t> </w:t>
            </w:r>
          </w:p>
        </w:tc>
        <w:tc>
          <w:tcPr>
            <w:tcW w:w="462" w:type="pct"/>
            <w:tcBorders>
              <w:top w:val="nil"/>
              <w:left w:val="nil"/>
              <w:bottom w:val="single" w:sz="4" w:space="0" w:color="auto"/>
              <w:right w:val="single" w:sz="8" w:space="0" w:color="auto"/>
            </w:tcBorders>
            <w:noWrap/>
            <w:vAlign w:val="bottom"/>
            <w:hideMark/>
          </w:tcPr>
          <w:p w14:paraId="14727288"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345</w:t>
            </w:r>
          </w:p>
        </w:tc>
      </w:tr>
      <w:tr w:rsidR="009201C8" w:rsidRPr="009201C8" w14:paraId="2D63D56E" w14:textId="77777777" w:rsidTr="009201C8">
        <w:trPr>
          <w:trHeight w:val="300"/>
          <w:jc w:val="center"/>
        </w:trPr>
        <w:tc>
          <w:tcPr>
            <w:tcW w:w="296" w:type="pct"/>
            <w:tcBorders>
              <w:top w:val="single" w:sz="4" w:space="0" w:color="auto"/>
              <w:left w:val="single" w:sz="8" w:space="0" w:color="auto"/>
              <w:bottom w:val="single" w:sz="4" w:space="0" w:color="auto"/>
              <w:right w:val="single" w:sz="4" w:space="0" w:color="auto"/>
            </w:tcBorders>
            <w:noWrap/>
            <w:vAlign w:val="bottom"/>
            <w:hideMark/>
          </w:tcPr>
          <w:p w14:paraId="7CF36A72"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2023</w:t>
            </w:r>
          </w:p>
        </w:tc>
        <w:tc>
          <w:tcPr>
            <w:tcW w:w="325" w:type="pct"/>
            <w:tcBorders>
              <w:top w:val="single" w:sz="4" w:space="0" w:color="auto"/>
              <w:left w:val="nil"/>
              <w:bottom w:val="single" w:sz="4" w:space="0" w:color="auto"/>
              <w:right w:val="single" w:sz="4" w:space="0" w:color="auto"/>
            </w:tcBorders>
            <w:noWrap/>
            <w:vAlign w:val="bottom"/>
            <w:hideMark/>
          </w:tcPr>
          <w:p w14:paraId="214797B2"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rPr>
              <w:t>CA</w:t>
            </w:r>
          </w:p>
        </w:tc>
        <w:tc>
          <w:tcPr>
            <w:tcW w:w="414" w:type="pct"/>
            <w:tcBorders>
              <w:top w:val="single" w:sz="4" w:space="0" w:color="auto"/>
              <w:left w:val="nil"/>
              <w:bottom w:val="single" w:sz="4" w:space="0" w:color="auto"/>
              <w:right w:val="single" w:sz="4" w:space="0" w:color="auto"/>
            </w:tcBorders>
            <w:noWrap/>
            <w:vAlign w:val="bottom"/>
            <w:hideMark/>
          </w:tcPr>
          <w:p w14:paraId="529339F1"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155 392</w:t>
            </w:r>
          </w:p>
        </w:tc>
        <w:tc>
          <w:tcPr>
            <w:tcW w:w="377" w:type="pct"/>
            <w:tcBorders>
              <w:top w:val="single" w:sz="4" w:space="0" w:color="auto"/>
              <w:left w:val="nil"/>
              <w:bottom w:val="single" w:sz="4" w:space="0" w:color="auto"/>
              <w:right w:val="single" w:sz="4" w:space="0" w:color="auto"/>
            </w:tcBorders>
            <w:noWrap/>
            <w:vAlign w:val="bottom"/>
            <w:hideMark/>
          </w:tcPr>
          <w:p w14:paraId="7522A7D1"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101 092</w:t>
            </w:r>
          </w:p>
        </w:tc>
        <w:tc>
          <w:tcPr>
            <w:tcW w:w="366" w:type="pct"/>
            <w:tcBorders>
              <w:top w:val="single" w:sz="4" w:space="0" w:color="auto"/>
              <w:left w:val="nil"/>
              <w:bottom w:val="single" w:sz="4" w:space="0" w:color="auto"/>
              <w:right w:val="single" w:sz="4" w:space="0" w:color="auto"/>
            </w:tcBorders>
            <w:noWrap/>
            <w:vAlign w:val="bottom"/>
            <w:hideMark/>
          </w:tcPr>
          <w:p w14:paraId="4D8CF1E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8 038</w:t>
            </w:r>
          </w:p>
        </w:tc>
        <w:tc>
          <w:tcPr>
            <w:tcW w:w="342" w:type="pct"/>
            <w:tcBorders>
              <w:top w:val="single" w:sz="4" w:space="0" w:color="auto"/>
              <w:left w:val="nil"/>
              <w:bottom w:val="single" w:sz="4" w:space="0" w:color="auto"/>
              <w:right w:val="single" w:sz="4" w:space="0" w:color="auto"/>
            </w:tcBorders>
            <w:noWrap/>
            <w:vAlign w:val="bottom"/>
            <w:hideMark/>
          </w:tcPr>
          <w:p w14:paraId="3328802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0</w:t>
            </w:r>
          </w:p>
        </w:tc>
        <w:tc>
          <w:tcPr>
            <w:tcW w:w="327" w:type="pct"/>
            <w:tcBorders>
              <w:top w:val="single" w:sz="4" w:space="0" w:color="auto"/>
              <w:left w:val="nil"/>
              <w:bottom w:val="single" w:sz="4" w:space="0" w:color="auto"/>
              <w:right w:val="single" w:sz="4" w:space="0" w:color="auto"/>
            </w:tcBorders>
            <w:noWrap/>
            <w:vAlign w:val="bottom"/>
            <w:hideMark/>
          </w:tcPr>
          <w:p w14:paraId="33C87D0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26</w:t>
            </w:r>
          </w:p>
        </w:tc>
        <w:tc>
          <w:tcPr>
            <w:tcW w:w="569" w:type="pct"/>
            <w:tcBorders>
              <w:top w:val="single" w:sz="4" w:space="0" w:color="auto"/>
              <w:left w:val="nil"/>
              <w:bottom w:val="single" w:sz="4" w:space="0" w:color="auto"/>
              <w:right w:val="single" w:sz="4" w:space="0" w:color="auto"/>
            </w:tcBorders>
            <w:noWrap/>
            <w:vAlign w:val="bottom"/>
            <w:hideMark/>
          </w:tcPr>
          <w:p w14:paraId="2D7260B9"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0</w:t>
            </w:r>
          </w:p>
        </w:tc>
        <w:tc>
          <w:tcPr>
            <w:tcW w:w="452" w:type="pct"/>
            <w:tcBorders>
              <w:top w:val="single" w:sz="4" w:space="0" w:color="auto"/>
              <w:left w:val="nil"/>
              <w:bottom w:val="single" w:sz="4" w:space="0" w:color="auto"/>
              <w:right w:val="single" w:sz="4" w:space="0" w:color="auto"/>
            </w:tcBorders>
            <w:noWrap/>
            <w:vAlign w:val="bottom"/>
            <w:hideMark/>
          </w:tcPr>
          <w:p w14:paraId="17F55C7F"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40 276</w:t>
            </w:r>
          </w:p>
        </w:tc>
        <w:tc>
          <w:tcPr>
            <w:tcW w:w="451" w:type="pct"/>
            <w:tcBorders>
              <w:top w:val="single" w:sz="4" w:space="0" w:color="auto"/>
              <w:left w:val="nil"/>
              <w:bottom w:val="single" w:sz="4" w:space="0" w:color="auto"/>
              <w:right w:val="single" w:sz="4" w:space="0" w:color="auto"/>
            </w:tcBorders>
            <w:noWrap/>
            <w:vAlign w:val="bottom"/>
            <w:hideMark/>
          </w:tcPr>
          <w:p w14:paraId="3AEA2BF5"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1 903</w:t>
            </w:r>
          </w:p>
        </w:tc>
        <w:tc>
          <w:tcPr>
            <w:tcW w:w="621" w:type="pct"/>
            <w:tcBorders>
              <w:top w:val="single" w:sz="4" w:space="0" w:color="auto"/>
              <w:left w:val="nil"/>
              <w:bottom w:val="single" w:sz="4" w:space="0" w:color="auto"/>
              <w:right w:val="single" w:sz="4" w:space="0" w:color="auto"/>
            </w:tcBorders>
            <w:noWrap/>
            <w:vAlign w:val="bottom"/>
            <w:hideMark/>
          </w:tcPr>
          <w:p w14:paraId="44A53C35"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3 927</w:t>
            </w:r>
          </w:p>
        </w:tc>
        <w:tc>
          <w:tcPr>
            <w:tcW w:w="462" w:type="pct"/>
            <w:tcBorders>
              <w:top w:val="single" w:sz="4" w:space="0" w:color="auto"/>
              <w:left w:val="nil"/>
              <w:bottom w:val="single" w:sz="4" w:space="0" w:color="auto"/>
              <w:right w:val="single" w:sz="8" w:space="0" w:color="auto"/>
            </w:tcBorders>
            <w:noWrap/>
            <w:vAlign w:val="bottom"/>
            <w:hideMark/>
          </w:tcPr>
          <w:p w14:paraId="12038DC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130</w:t>
            </w:r>
          </w:p>
        </w:tc>
      </w:tr>
      <w:tr w:rsidR="009201C8" w:rsidRPr="009201C8" w14:paraId="40EF8D99" w14:textId="77777777" w:rsidTr="009201C8">
        <w:trPr>
          <w:trHeight w:val="300"/>
          <w:jc w:val="center"/>
        </w:trPr>
        <w:tc>
          <w:tcPr>
            <w:tcW w:w="296" w:type="pct"/>
            <w:tcBorders>
              <w:top w:val="nil"/>
              <w:left w:val="single" w:sz="8" w:space="0" w:color="auto"/>
              <w:bottom w:val="single" w:sz="4" w:space="0" w:color="auto"/>
              <w:right w:val="single" w:sz="4" w:space="0" w:color="auto"/>
            </w:tcBorders>
            <w:noWrap/>
            <w:vAlign w:val="bottom"/>
            <w:hideMark/>
          </w:tcPr>
          <w:p w14:paraId="69FF9C4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2023</w:t>
            </w:r>
          </w:p>
        </w:tc>
        <w:tc>
          <w:tcPr>
            <w:tcW w:w="325" w:type="pct"/>
            <w:tcBorders>
              <w:top w:val="nil"/>
              <w:left w:val="nil"/>
              <w:bottom w:val="single" w:sz="4" w:space="0" w:color="auto"/>
              <w:right w:val="single" w:sz="4" w:space="0" w:color="auto"/>
            </w:tcBorders>
            <w:noWrap/>
            <w:vAlign w:val="bottom"/>
            <w:hideMark/>
          </w:tcPr>
          <w:p w14:paraId="0E1B15EE"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rPr>
              <w:t>CB</w:t>
            </w:r>
          </w:p>
        </w:tc>
        <w:tc>
          <w:tcPr>
            <w:tcW w:w="414" w:type="pct"/>
            <w:tcBorders>
              <w:top w:val="nil"/>
              <w:left w:val="nil"/>
              <w:bottom w:val="single" w:sz="4" w:space="0" w:color="auto"/>
              <w:right w:val="single" w:sz="4" w:space="0" w:color="auto"/>
            </w:tcBorders>
            <w:noWrap/>
            <w:vAlign w:val="bottom"/>
            <w:hideMark/>
          </w:tcPr>
          <w:p w14:paraId="4024FF89"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173 305</w:t>
            </w:r>
          </w:p>
        </w:tc>
        <w:tc>
          <w:tcPr>
            <w:tcW w:w="377" w:type="pct"/>
            <w:tcBorders>
              <w:top w:val="nil"/>
              <w:left w:val="nil"/>
              <w:bottom w:val="single" w:sz="4" w:space="0" w:color="auto"/>
              <w:right w:val="single" w:sz="4" w:space="0" w:color="auto"/>
            </w:tcBorders>
            <w:noWrap/>
            <w:vAlign w:val="bottom"/>
            <w:hideMark/>
          </w:tcPr>
          <w:p w14:paraId="666C0DD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101 092</w:t>
            </w:r>
          </w:p>
        </w:tc>
        <w:tc>
          <w:tcPr>
            <w:tcW w:w="366" w:type="pct"/>
            <w:tcBorders>
              <w:top w:val="nil"/>
              <w:left w:val="nil"/>
              <w:bottom w:val="single" w:sz="4" w:space="0" w:color="auto"/>
              <w:right w:val="single" w:sz="4" w:space="0" w:color="auto"/>
            </w:tcBorders>
            <w:noWrap/>
            <w:vAlign w:val="bottom"/>
            <w:hideMark/>
          </w:tcPr>
          <w:p w14:paraId="5A5B366F"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8 038</w:t>
            </w:r>
          </w:p>
        </w:tc>
        <w:tc>
          <w:tcPr>
            <w:tcW w:w="342" w:type="pct"/>
            <w:tcBorders>
              <w:top w:val="nil"/>
              <w:left w:val="nil"/>
              <w:bottom w:val="single" w:sz="4" w:space="0" w:color="auto"/>
              <w:right w:val="single" w:sz="4" w:space="0" w:color="auto"/>
            </w:tcBorders>
            <w:noWrap/>
            <w:vAlign w:val="bottom"/>
            <w:hideMark/>
          </w:tcPr>
          <w:p w14:paraId="784437E8"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0</w:t>
            </w:r>
          </w:p>
        </w:tc>
        <w:tc>
          <w:tcPr>
            <w:tcW w:w="327" w:type="pct"/>
            <w:tcBorders>
              <w:top w:val="nil"/>
              <w:left w:val="nil"/>
              <w:bottom w:val="single" w:sz="4" w:space="0" w:color="auto"/>
              <w:right w:val="single" w:sz="4" w:space="0" w:color="auto"/>
            </w:tcBorders>
            <w:noWrap/>
            <w:vAlign w:val="bottom"/>
            <w:hideMark/>
          </w:tcPr>
          <w:p w14:paraId="6C21BB9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26</w:t>
            </w:r>
          </w:p>
        </w:tc>
        <w:tc>
          <w:tcPr>
            <w:tcW w:w="569" w:type="pct"/>
            <w:tcBorders>
              <w:top w:val="nil"/>
              <w:left w:val="nil"/>
              <w:bottom w:val="single" w:sz="4" w:space="0" w:color="auto"/>
              <w:right w:val="single" w:sz="4" w:space="0" w:color="auto"/>
            </w:tcBorders>
            <w:noWrap/>
            <w:vAlign w:val="bottom"/>
            <w:hideMark/>
          </w:tcPr>
          <w:p w14:paraId="65265084"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0</w:t>
            </w:r>
          </w:p>
        </w:tc>
        <w:tc>
          <w:tcPr>
            <w:tcW w:w="452" w:type="pct"/>
            <w:tcBorders>
              <w:top w:val="nil"/>
              <w:left w:val="nil"/>
              <w:bottom w:val="single" w:sz="4" w:space="0" w:color="auto"/>
              <w:right w:val="single" w:sz="4" w:space="0" w:color="auto"/>
            </w:tcBorders>
            <w:noWrap/>
            <w:vAlign w:val="bottom"/>
            <w:hideMark/>
          </w:tcPr>
          <w:p w14:paraId="09EBCED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60 167</w:t>
            </w:r>
          </w:p>
        </w:tc>
        <w:tc>
          <w:tcPr>
            <w:tcW w:w="451" w:type="pct"/>
            <w:tcBorders>
              <w:top w:val="nil"/>
              <w:left w:val="nil"/>
              <w:bottom w:val="single" w:sz="4" w:space="0" w:color="auto"/>
              <w:right w:val="single" w:sz="4" w:space="0" w:color="auto"/>
            </w:tcBorders>
            <w:noWrap/>
            <w:vAlign w:val="bottom"/>
            <w:hideMark/>
          </w:tcPr>
          <w:p w14:paraId="366BD83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1 903</w:t>
            </w:r>
          </w:p>
        </w:tc>
        <w:tc>
          <w:tcPr>
            <w:tcW w:w="621" w:type="pct"/>
            <w:tcBorders>
              <w:top w:val="nil"/>
              <w:left w:val="nil"/>
              <w:bottom w:val="single" w:sz="4" w:space="0" w:color="auto"/>
              <w:right w:val="single" w:sz="4" w:space="0" w:color="auto"/>
            </w:tcBorders>
            <w:noWrap/>
            <w:vAlign w:val="bottom"/>
            <w:hideMark/>
          </w:tcPr>
          <w:p w14:paraId="625381D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1 949</w:t>
            </w:r>
          </w:p>
        </w:tc>
        <w:tc>
          <w:tcPr>
            <w:tcW w:w="462" w:type="pct"/>
            <w:tcBorders>
              <w:top w:val="nil"/>
              <w:left w:val="nil"/>
              <w:bottom w:val="single" w:sz="4" w:space="0" w:color="auto"/>
              <w:right w:val="single" w:sz="8" w:space="0" w:color="auto"/>
            </w:tcBorders>
            <w:noWrap/>
            <w:vAlign w:val="bottom"/>
            <w:hideMark/>
          </w:tcPr>
          <w:p w14:paraId="38A8DB3D"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rPr>
              <w:t>130</w:t>
            </w:r>
          </w:p>
        </w:tc>
      </w:tr>
      <w:tr w:rsidR="009201C8" w:rsidRPr="009201C8" w14:paraId="437E4640" w14:textId="77777777" w:rsidTr="009201C8">
        <w:trPr>
          <w:trHeight w:val="300"/>
          <w:jc w:val="center"/>
        </w:trPr>
        <w:tc>
          <w:tcPr>
            <w:tcW w:w="296" w:type="pct"/>
            <w:tcBorders>
              <w:top w:val="nil"/>
              <w:left w:val="single" w:sz="8" w:space="0" w:color="auto"/>
              <w:bottom w:val="single" w:sz="4" w:space="0" w:color="auto"/>
              <w:right w:val="single" w:sz="4" w:space="0" w:color="auto"/>
            </w:tcBorders>
            <w:noWrap/>
            <w:vAlign w:val="bottom"/>
            <w:hideMark/>
          </w:tcPr>
          <w:p w14:paraId="411809A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2024</w:t>
            </w:r>
          </w:p>
        </w:tc>
        <w:tc>
          <w:tcPr>
            <w:tcW w:w="325" w:type="pct"/>
            <w:tcBorders>
              <w:top w:val="nil"/>
              <w:left w:val="nil"/>
              <w:bottom w:val="single" w:sz="4" w:space="0" w:color="auto"/>
              <w:right w:val="single" w:sz="4" w:space="0" w:color="auto"/>
            </w:tcBorders>
            <w:noWrap/>
            <w:vAlign w:val="bottom"/>
            <w:hideMark/>
          </w:tcPr>
          <w:p w14:paraId="52369100"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lang w:val="en-US"/>
              </w:rPr>
              <w:t>CA</w:t>
            </w:r>
          </w:p>
        </w:tc>
        <w:tc>
          <w:tcPr>
            <w:tcW w:w="414" w:type="pct"/>
            <w:tcBorders>
              <w:top w:val="nil"/>
              <w:left w:val="nil"/>
              <w:bottom w:val="single" w:sz="4" w:space="0" w:color="auto"/>
              <w:right w:val="single" w:sz="4" w:space="0" w:color="auto"/>
            </w:tcBorders>
            <w:noWrap/>
            <w:vAlign w:val="bottom"/>
            <w:hideMark/>
          </w:tcPr>
          <w:p w14:paraId="12657E3A"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122 935</w:t>
            </w:r>
          </w:p>
        </w:tc>
        <w:tc>
          <w:tcPr>
            <w:tcW w:w="377" w:type="pct"/>
            <w:tcBorders>
              <w:top w:val="nil"/>
              <w:left w:val="nil"/>
              <w:bottom w:val="single" w:sz="4" w:space="0" w:color="auto"/>
              <w:right w:val="single" w:sz="4" w:space="0" w:color="auto"/>
            </w:tcBorders>
            <w:noWrap/>
            <w:vAlign w:val="bottom"/>
            <w:hideMark/>
          </w:tcPr>
          <w:p w14:paraId="5AA826A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102 572</w:t>
            </w:r>
          </w:p>
        </w:tc>
        <w:tc>
          <w:tcPr>
            <w:tcW w:w="366" w:type="pct"/>
            <w:tcBorders>
              <w:top w:val="nil"/>
              <w:left w:val="nil"/>
              <w:bottom w:val="single" w:sz="4" w:space="0" w:color="auto"/>
              <w:right w:val="single" w:sz="4" w:space="0" w:color="auto"/>
            </w:tcBorders>
            <w:noWrap/>
            <w:vAlign w:val="bottom"/>
            <w:hideMark/>
          </w:tcPr>
          <w:p w14:paraId="7FDF9541"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13 976</w:t>
            </w:r>
          </w:p>
        </w:tc>
        <w:tc>
          <w:tcPr>
            <w:tcW w:w="342" w:type="pct"/>
            <w:tcBorders>
              <w:top w:val="nil"/>
              <w:left w:val="nil"/>
              <w:bottom w:val="single" w:sz="4" w:space="0" w:color="auto"/>
              <w:right w:val="single" w:sz="4" w:space="0" w:color="auto"/>
            </w:tcBorders>
            <w:noWrap/>
            <w:vAlign w:val="bottom"/>
            <w:hideMark/>
          </w:tcPr>
          <w:p w14:paraId="3F6DCE7B"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327" w:type="pct"/>
            <w:tcBorders>
              <w:top w:val="nil"/>
              <w:left w:val="nil"/>
              <w:bottom w:val="single" w:sz="4" w:space="0" w:color="auto"/>
              <w:right w:val="single" w:sz="4" w:space="0" w:color="auto"/>
            </w:tcBorders>
            <w:noWrap/>
            <w:vAlign w:val="bottom"/>
            <w:hideMark/>
          </w:tcPr>
          <w:p w14:paraId="729725DD"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32</w:t>
            </w:r>
          </w:p>
        </w:tc>
        <w:tc>
          <w:tcPr>
            <w:tcW w:w="569" w:type="pct"/>
            <w:tcBorders>
              <w:top w:val="nil"/>
              <w:left w:val="nil"/>
              <w:bottom w:val="single" w:sz="4" w:space="0" w:color="auto"/>
              <w:right w:val="single" w:sz="4" w:space="0" w:color="auto"/>
            </w:tcBorders>
            <w:noWrap/>
            <w:vAlign w:val="bottom"/>
            <w:hideMark/>
          </w:tcPr>
          <w:p w14:paraId="2B947FA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500</w:t>
            </w:r>
          </w:p>
        </w:tc>
        <w:tc>
          <w:tcPr>
            <w:tcW w:w="452" w:type="pct"/>
            <w:tcBorders>
              <w:top w:val="nil"/>
              <w:left w:val="nil"/>
              <w:bottom w:val="single" w:sz="4" w:space="0" w:color="auto"/>
              <w:right w:val="single" w:sz="4" w:space="0" w:color="auto"/>
            </w:tcBorders>
            <w:noWrap/>
            <w:vAlign w:val="bottom"/>
            <w:hideMark/>
          </w:tcPr>
          <w:p w14:paraId="7AF2FB5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725</w:t>
            </w:r>
          </w:p>
        </w:tc>
        <w:tc>
          <w:tcPr>
            <w:tcW w:w="451" w:type="pct"/>
            <w:tcBorders>
              <w:top w:val="nil"/>
              <w:left w:val="nil"/>
              <w:bottom w:val="single" w:sz="4" w:space="0" w:color="auto"/>
              <w:right w:val="single" w:sz="4" w:space="0" w:color="auto"/>
            </w:tcBorders>
            <w:noWrap/>
            <w:vAlign w:val="bottom"/>
            <w:hideMark/>
          </w:tcPr>
          <w:p w14:paraId="56A2381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1 760</w:t>
            </w:r>
          </w:p>
        </w:tc>
        <w:tc>
          <w:tcPr>
            <w:tcW w:w="621" w:type="pct"/>
            <w:tcBorders>
              <w:top w:val="nil"/>
              <w:left w:val="nil"/>
              <w:bottom w:val="single" w:sz="4" w:space="0" w:color="auto"/>
              <w:right w:val="single" w:sz="4" w:space="0" w:color="auto"/>
            </w:tcBorders>
            <w:noWrap/>
            <w:vAlign w:val="bottom"/>
            <w:hideMark/>
          </w:tcPr>
          <w:p w14:paraId="284E9669"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2 000</w:t>
            </w:r>
          </w:p>
        </w:tc>
        <w:tc>
          <w:tcPr>
            <w:tcW w:w="462" w:type="pct"/>
            <w:tcBorders>
              <w:top w:val="nil"/>
              <w:left w:val="nil"/>
              <w:bottom w:val="single" w:sz="4" w:space="0" w:color="auto"/>
              <w:right w:val="single" w:sz="8" w:space="0" w:color="auto"/>
            </w:tcBorders>
            <w:noWrap/>
            <w:vAlign w:val="bottom"/>
            <w:hideMark/>
          </w:tcPr>
          <w:p w14:paraId="69ECFBA1"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1 370</w:t>
            </w:r>
          </w:p>
        </w:tc>
      </w:tr>
      <w:tr w:rsidR="009201C8" w:rsidRPr="009201C8" w14:paraId="35CE8649" w14:textId="77777777" w:rsidTr="009201C8">
        <w:trPr>
          <w:trHeight w:val="315"/>
          <w:jc w:val="center"/>
        </w:trPr>
        <w:tc>
          <w:tcPr>
            <w:tcW w:w="296" w:type="pct"/>
            <w:tcBorders>
              <w:top w:val="nil"/>
              <w:left w:val="single" w:sz="8" w:space="0" w:color="auto"/>
              <w:bottom w:val="single" w:sz="8" w:space="0" w:color="auto"/>
              <w:right w:val="single" w:sz="4" w:space="0" w:color="auto"/>
            </w:tcBorders>
            <w:noWrap/>
            <w:vAlign w:val="bottom"/>
            <w:hideMark/>
          </w:tcPr>
          <w:p w14:paraId="5E59DB44"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2024</w:t>
            </w:r>
          </w:p>
        </w:tc>
        <w:tc>
          <w:tcPr>
            <w:tcW w:w="325" w:type="pct"/>
            <w:tcBorders>
              <w:top w:val="nil"/>
              <w:left w:val="nil"/>
              <w:bottom w:val="single" w:sz="8" w:space="0" w:color="auto"/>
              <w:right w:val="single" w:sz="4" w:space="0" w:color="auto"/>
            </w:tcBorders>
            <w:noWrap/>
            <w:vAlign w:val="bottom"/>
            <w:hideMark/>
          </w:tcPr>
          <w:p w14:paraId="383DADA0" w14:textId="77777777" w:rsidR="002C206D" w:rsidRPr="009201C8" w:rsidRDefault="002C206D">
            <w:pPr>
              <w:spacing w:line="256" w:lineRule="auto"/>
              <w:rPr>
                <w:rFonts w:ascii="Calibri Light" w:hAnsi="Calibri Light" w:cs="Calibri Light"/>
                <w:color w:val="000000"/>
                <w:sz w:val="20"/>
                <w:lang w:val="en-US"/>
              </w:rPr>
            </w:pPr>
            <w:r w:rsidRPr="009201C8">
              <w:rPr>
                <w:rFonts w:ascii="Calibri Light" w:hAnsi="Calibri Light" w:cs="Calibri Light"/>
                <w:color w:val="000000"/>
                <w:sz w:val="20"/>
                <w:lang w:val="en-US"/>
              </w:rPr>
              <w:t>CB</w:t>
            </w:r>
          </w:p>
        </w:tc>
        <w:tc>
          <w:tcPr>
            <w:tcW w:w="414" w:type="pct"/>
            <w:tcBorders>
              <w:top w:val="nil"/>
              <w:left w:val="nil"/>
              <w:bottom w:val="single" w:sz="8" w:space="0" w:color="auto"/>
              <w:right w:val="single" w:sz="4" w:space="0" w:color="auto"/>
            </w:tcBorders>
            <w:noWrap/>
            <w:vAlign w:val="bottom"/>
            <w:hideMark/>
          </w:tcPr>
          <w:p w14:paraId="313A9883"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122 210</w:t>
            </w:r>
          </w:p>
        </w:tc>
        <w:tc>
          <w:tcPr>
            <w:tcW w:w="377" w:type="pct"/>
            <w:tcBorders>
              <w:top w:val="nil"/>
              <w:left w:val="nil"/>
              <w:bottom w:val="single" w:sz="4" w:space="0" w:color="auto"/>
              <w:right w:val="single" w:sz="4" w:space="0" w:color="auto"/>
            </w:tcBorders>
            <w:noWrap/>
            <w:vAlign w:val="bottom"/>
            <w:hideMark/>
          </w:tcPr>
          <w:p w14:paraId="2FF994B6"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102 572</w:t>
            </w:r>
          </w:p>
        </w:tc>
        <w:tc>
          <w:tcPr>
            <w:tcW w:w="366" w:type="pct"/>
            <w:tcBorders>
              <w:top w:val="nil"/>
              <w:left w:val="nil"/>
              <w:bottom w:val="single" w:sz="4" w:space="0" w:color="auto"/>
              <w:right w:val="single" w:sz="4" w:space="0" w:color="auto"/>
            </w:tcBorders>
            <w:noWrap/>
            <w:vAlign w:val="bottom"/>
            <w:hideMark/>
          </w:tcPr>
          <w:p w14:paraId="14CAC9A9"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13 976</w:t>
            </w:r>
          </w:p>
        </w:tc>
        <w:tc>
          <w:tcPr>
            <w:tcW w:w="342" w:type="pct"/>
            <w:tcBorders>
              <w:top w:val="nil"/>
              <w:left w:val="nil"/>
              <w:bottom w:val="single" w:sz="8" w:space="0" w:color="auto"/>
              <w:right w:val="single" w:sz="4" w:space="0" w:color="auto"/>
            </w:tcBorders>
            <w:noWrap/>
            <w:vAlign w:val="bottom"/>
            <w:hideMark/>
          </w:tcPr>
          <w:p w14:paraId="42A70D12"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327" w:type="pct"/>
            <w:tcBorders>
              <w:top w:val="nil"/>
              <w:left w:val="nil"/>
              <w:bottom w:val="single" w:sz="4" w:space="0" w:color="auto"/>
              <w:right w:val="single" w:sz="4" w:space="0" w:color="auto"/>
            </w:tcBorders>
            <w:noWrap/>
            <w:vAlign w:val="bottom"/>
            <w:hideMark/>
          </w:tcPr>
          <w:p w14:paraId="1DAD399E"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32</w:t>
            </w:r>
          </w:p>
        </w:tc>
        <w:tc>
          <w:tcPr>
            <w:tcW w:w="569" w:type="pct"/>
            <w:tcBorders>
              <w:top w:val="nil"/>
              <w:left w:val="nil"/>
              <w:bottom w:val="single" w:sz="4" w:space="0" w:color="auto"/>
              <w:right w:val="single" w:sz="4" w:space="0" w:color="auto"/>
            </w:tcBorders>
            <w:noWrap/>
            <w:vAlign w:val="bottom"/>
            <w:hideMark/>
          </w:tcPr>
          <w:p w14:paraId="19882038"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500</w:t>
            </w:r>
          </w:p>
        </w:tc>
        <w:tc>
          <w:tcPr>
            <w:tcW w:w="452" w:type="pct"/>
            <w:tcBorders>
              <w:top w:val="nil"/>
              <w:left w:val="nil"/>
              <w:bottom w:val="single" w:sz="4" w:space="0" w:color="auto"/>
              <w:right w:val="single" w:sz="4" w:space="0" w:color="auto"/>
            </w:tcBorders>
            <w:noWrap/>
            <w:vAlign w:val="bottom"/>
            <w:hideMark/>
          </w:tcPr>
          <w:p w14:paraId="1648B234"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0</w:t>
            </w:r>
          </w:p>
        </w:tc>
        <w:tc>
          <w:tcPr>
            <w:tcW w:w="451" w:type="pct"/>
            <w:tcBorders>
              <w:top w:val="nil"/>
              <w:left w:val="nil"/>
              <w:bottom w:val="single" w:sz="4" w:space="0" w:color="auto"/>
              <w:right w:val="single" w:sz="4" w:space="0" w:color="auto"/>
            </w:tcBorders>
            <w:noWrap/>
            <w:vAlign w:val="bottom"/>
            <w:hideMark/>
          </w:tcPr>
          <w:p w14:paraId="7DE92EA8"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1 760</w:t>
            </w:r>
          </w:p>
        </w:tc>
        <w:tc>
          <w:tcPr>
            <w:tcW w:w="621" w:type="pct"/>
            <w:tcBorders>
              <w:top w:val="nil"/>
              <w:left w:val="nil"/>
              <w:bottom w:val="single" w:sz="4" w:space="0" w:color="auto"/>
              <w:right w:val="single" w:sz="4" w:space="0" w:color="auto"/>
            </w:tcBorders>
            <w:noWrap/>
            <w:vAlign w:val="bottom"/>
            <w:hideMark/>
          </w:tcPr>
          <w:p w14:paraId="75AFE4F4"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2 000</w:t>
            </w:r>
          </w:p>
        </w:tc>
        <w:tc>
          <w:tcPr>
            <w:tcW w:w="462" w:type="pct"/>
            <w:tcBorders>
              <w:top w:val="nil"/>
              <w:left w:val="nil"/>
              <w:bottom w:val="single" w:sz="4" w:space="0" w:color="auto"/>
              <w:right w:val="single" w:sz="8" w:space="0" w:color="auto"/>
            </w:tcBorders>
            <w:noWrap/>
            <w:vAlign w:val="bottom"/>
            <w:hideMark/>
          </w:tcPr>
          <w:p w14:paraId="77EF63A4" w14:textId="77777777" w:rsidR="002C206D" w:rsidRPr="009201C8" w:rsidRDefault="002C206D">
            <w:pPr>
              <w:spacing w:line="256" w:lineRule="auto"/>
              <w:jc w:val="right"/>
              <w:rPr>
                <w:rFonts w:ascii="Calibri Light" w:hAnsi="Calibri Light" w:cs="Calibri Light"/>
                <w:color w:val="000000"/>
                <w:sz w:val="20"/>
                <w:lang w:val="en-US"/>
              </w:rPr>
            </w:pPr>
            <w:r w:rsidRPr="009201C8">
              <w:rPr>
                <w:rFonts w:ascii="Calibri Light" w:hAnsi="Calibri Light" w:cs="Calibri Light"/>
                <w:color w:val="000000"/>
                <w:sz w:val="20"/>
                <w:lang w:val="en-US"/>
              </w:rPr>
              <w:t>1 370</w:t>
            </w:r>
          </w:p>
        </w:tc>
      </w:tr>
    </w:tbl>
    <w:p w14:paraId="2C2F3A56" w14:textId="77777777" w:rsidR="002C206D" w:rsidRDefault="002C206D" w:rsidP="002C206D">
      <w:pPr>
        <w:jc w:val="center"/>
        <w:rPr>
          <w:rFonts w:asciiTheme="minorHAnsi" w:hAnsiTheme="minorHAnsi" w:cstheme="minorHAnsi"/>
          <w:b/>
          <w:noProof/>
          <w:sz w:val="26"/>
          <w:szCs w:val="26"/>
          <w:lang w:val="en-GB" w:eastAsia="en-GB"/>
        </w:rPr>
      </w:pPr>
    </w:p>
    <w:p w14:paraId="5F4C2318" w14:textId="4C845EFB" w:rsidR="002C206D" w:rsidRDefault="002C206D" w:rsidP="009434C0">
      <w:pPr>
        <w:keepNext/>
        <w:jc w:val="center"/>
        <w:rPr>
          <w:rFonts w:asciiTheme="minorHAnsi" w:hAnsiTheme="minorHAnsi" w:cstheme="minorHAnsi"/>
          <w:b/>
          <w:noProof/>
          <w:sz w:val="26"/>
          <w:szCs w:val="26"/>
          <w:lang w:val="en-GB" w:eastAsia="en-GB"/>
        </w:rPr>
      </w:pPr>
      <w:r>
        <w:rPr>
          <w:rFonts w:asciiTheme="minorHAnsi" w:hAnsiTheme="minorHAnsi" w:cstheme="minorHAnsi"/>
          <w:b/>
          <w:noProof/>
          <w:sz w:val="26"/>
          <w:szCs w:val="26"/>
          <w:lang w:val="en-GB" w:eastAsia="en-GB"/>
        </w:rPr>
        <w:lastRenderedPageBreak/>
        <w:t>INSPECȚIA JUDICIARĂ</w:t>
      </w:r>
    </w:p>
    <w:p w14:paraId="06EB38C6" w14:textId="3AE8D9CB" w:rsidR="002C206D" w:rsidRDefault="002C206D" w:rsidP="009434C0">
      <w:pPr>
        <w:keepNext/>
        <w:jc w:val="center"/>
        <w:rPr>
          <w:rFonts w:asciiTheme="minorHAnsi" w:hAnsiTheme="minorHAnsi" w:cstheme="minorHAnsi"/>
          <w:b/>
          <w:noProof/>
          <w:sz w:val="26"/>
          <w:szCs w:val="26"/>
          <w:lang w:val="en-GB" w:eastAsia="en-GB"/>
        </w:rPr>
      </w:pPr>
      <w:r>
        <w:rPr>
          <w:noProof/>
        </w:rPr>
        <w:drawing>
          <wp:inline distT="0" distB="0" distL="0" distR="0" wp14:anchorId="568E353F" wp14:editId="50A73D56">
            <wp:extent cx="4819650" cy="3171825"/>
            <wp:effectExtent l="0" t="0" r="0" b="9525"/>
            <wp:docPr id="1712571366" name="Chart 8">
              <a:extLst xmlns:a="http://schemas.openxmlformats.org/drawingml/2006/main">
                <a:ext uri="{FF2B5EF4-FFF2-40B4-BE49-F238E27FC236}">
                  <a16:creationId xmlns:a16="http://schemas.microsoft.com/office/drawing/2014/main" id="{312D03C7-0F78-7D0A-C794-3FEED9425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EDAA5F" w14:textId="77777777" w:rsidR="002C206D" w:rsidRDefault="002C206D" w:rsidP="002C206D">
      <w:pPr>
        <w:jc w:val="center"/>
        <w:rPr>
          <w:rFonts w:asciiTheme="minorHAnsi" w:hAnsiTheme="minorHAnsi" w:cstheme="minorHAnsi"/>
          <w:b/>
          <w:noProof/>
          <w:sz w:val="26"/>
          <w:szCs w:val="26"/>
          <w:lang w:val="en-GB" w:eastAsia="en-GB"/>
        </w:rPr>
      </w:pPr>
    </w:p>
    <w:p w14:paraId="20ADB8F5" w14:textId="77777777" w:rsidR="002C206D" w:rsidRDefault="002C206D" w:rsidP="002C206D">
      <w:pPr>
        <w:jc w:val="center"/>
        <w:rPr>
          <w:rFonts w:asciiTheme="minorHAnsi" w:hAnsiTheme="minorHAnsi" w:cstheme="minorHAnsi"/>
          <w:b/>
          <w:noProof/>
          <w:sz w:val="26"/>
          <w:szCs w:val="26"/>
          <w:lang w:val="en-GB" w:eastAsia="en-GB"/>
        </w:rPr>
      </w:pPr>
    </w:p>
    <w:p w14:paraId="439D5C8E" w14:textId="77777777" w:rsidR="002C206D" w:rsidRDefault="002C206D" w:rsidP="002C206D">
      <w:pPr>
        <w:jc w:val="center"/>
        <w:rPr>
          <w:rFonts w:asciiTheme="minorHAnsi" w:hAnsiTheme="minorHAnsi" w:cstheme="minorHAnsi"/>
          <w:b/>
          <w:noProof/>
          <w:sz w:val="26"/>
          <w:szCs w:val="26"/>
          <w:lang w:val="en-GB" w:eastAsia="en-GB"/>
        </w:rPr>
      </w:pPr>
    </w:p>
    <w:p w14:paraId="06F48D5B" w14:textId="77777777" w:rsidR="002C206D" w:rsidRDefault="002C206D" w:rsidP="002C206D">
      <w:pPr>
        <w:jc w:val="center"/>
        <w:rPr>
          <w:rFonts w:asciiTheme="minorHAnsi" w:hAnsiTheme="minorHAnsi" w:cstheme="minorHAnsi"/>
          <w:b/>
          <w:noProof/>
          <w:sz w:val="26"/>
          <w:szCs w:val="26"/>
          <w:lang w:val="en-GB" w:eastAsia="en-GB"/>
        </w:rPr>
      </w:pP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r>
      <w:r>
        <w:rPr>
          <w:rFonts w:asciiTheme="minorHAnsi" w:hAnsiTheme="minorHAnsi" w:cstheme="minorHAnsi"/>
          <w:b/>
          <w:noProof/>
          <w:sz w:val="26"/>
          <w:szCs w:val="26"/>
          <w:lang w:val="en-GB" w:eastAsia="en-GB"/>
        </w:rPr>
        <w:tab/>
        <w:t xml:space="preserve">                mii lei</w:t>
      </w:r>
    </w:p>
    <w:tbl>
      <w:tblPr>
        <w:tblW w:w="5000" w:type="pct"/>
        <w:tblLook w:val="04A0" w:firstRow="1" w:lastRow="0" w:firstColumn="1" w:lastColumn="0" w:noHBand="0" w:noVBand="1"/>
      </w:tblPr>
      <w:tblGrid>
        <w:gridCol w:w="673"/>
        <w:gridCol w:w="690"/>
        <w:gridCol w:w="1155"/>
        <w:gridCol w:w="1073"/>
        <w:gridCol w:w="1073"/>
        <w:gridCol w:w="1116"/>
        <w:gridCol w:w="1084"/>
        <w:gridCol w:w="1377"/>
        <w:gridCol w:w="961"/>
        <w:gridCol w:w="982"/>
      </w:tblGrid>
      <w:tr w:rsidR="002C206D" w14:paraId="4567F9CA" w14:textId="77777777" w:rsidTr="002C206D">
        <w:trPr>
          <w:trHeight w:val="1530"/>
        </w:trPr>
        <w:tc>
          <w:tcPr>
            <w:tcW w:w="330" w:type="pct"/>
            <w:tcBorders>
              <w:top w:val="single" w:sz="8" w:space="0" w:color="auto"/>
              <w:left w:val="single" w:sz="8" w:space="0" w:color="auto"/>
              <w:bottom w:val="single" w:sz="4" w:space="0" w:color="auto"/>
              <w:right w:val="single" w:sz="4" w:space="0" w:color="auto"/>
            </w:tcBorders>
            <w:shd w:val="clear" w:color="auto" w:fill="D9D9D9"/>
            <w:noWrap/>
            <w:vAlign w:val="center"/>
            <w:hideMark/>
          </w:tcPr>
          <w:p w14:paraId="6EDF8065" w14:textId="77777777" w:rsidR="002C206D" w:rsidRDefault="002C206D">
            <w:pPr>
              <w:spacing w:line="256" w:lineRule="auto"/>
              <w:jc w:val="center"/>
              <w:rPr>
                <w:rFonts w:ascii="Calibri Light" w:hAnsi="Calibri Light" w:cs="Calibri Light"/>
                <w:color w:val="000000"/>
                <w:sz w:val="22"/>
                <w:szCs w:val="22"/>
                <w:lang w:val="en-US"/>
              </w:rPr>
            </w:pPr>
            <w:r>
              <w:rPr>
                <w:rFonts w:ascii="Calibri Light" w:hAnsi="Calibri Light" w:cs="Calibri Light"/>
                <w:color w:val="000000"/>
                <w:sz w:val="22"/>
                <w:szCs w:val="22"/>
                <w:lang w:val="en-US"/>
              </w:rPr>
              <w:t>An</w:t>
            </w:r>
          </w:p>
        </w:tc>
        <w:tc>
          <w:tcPr>
            <w:tcW w:w="339" w:type="pct"/>
            <w:tcBorders>
              <w:top w:val="single" w:sz="8" w:space="0" w:color="auto"/>
              <w:left w:val="nil"/>
              <w:bottom w:val="single" w:sz="4" w:space="0" w:color="auto"/>
              <w:right w:val="single" w:sz="4" w:space="0" w:color="auto"/>
            </w:tcBorders>
            <w:shd w:val="clear" w:color="auto" w:fill="D9D9D9"/>
            <w:vAlign w:val="center"/>
            <w:hideMark/>
          </w:tcPr>
          <w:p w14:paraId="0F4DA692"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Tip</w:t>
            </w:r>
            <w:r>
              <w:rPr>
                <w:rFonts w:ascii="Calibri Light" w:hAnsi="Calibri Light" w:cs="Calibri Light"/>
                <w:color w:val="000000"/>
                <w:sz w:val="20"/>
                <w:lang w:val="en-US"/>
              </w:rPr>
              <w:br/>
              <w:t>credit</w:t>
            </w:r>
          </w:p>
        </w:tc>
        <w:tc>
          <w:tcPr>
            <w:tcW w:w="567" w:type="pct"/>
            <w:tcBorders>
              <w:top w:val="single" w:sz="8" w:space="0" w:color="auto"/>
              <w:left w:val="nil"/>
              <w:bottom w:val="single" w:sz="4" w:space="0" w:color="auto"/>
              <w:right w:val="single" w:sz="4" w:space="0" w:color="auto"/>
            </w:tcBorders>
            <w:shd w:val="clear" w:color="auto" w:fill="D9D9D9"/>
            <w:vAlign w:val="center"/>
            <w:hideMark/>
          </w:tcPr>
          <w:p w14:paraId="30FBD687"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Total</w:t>
            </w:r>
          </w:p>
        </w:tc>
        <w:tc>
          <w:tcPr>
            <w:tcW w:w="527" w:type="pct"/>
            <w:tcBorders>
              <w:top w:val="single" w:sz="8" w:space="0" w:color="auto"/>
              <w:left w:val="nil"/>
              <w:bottom w:val="single" w:sz="4" w:space="0" w:color="auto"/>
              <w:right w:val="single" w:sz="4" w:space="0" w:color="auto"/>
            </w:tcBorders>
            <w:shd w:val="clear" w:color="auto" w:fill="D9D9D9"/>
            <w:vAlign w:val="center"/>
            <w:hideMark/>
          </w:tcPr>
          <w:p w14:paraId="4861C851"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personal</w:t>
            </w:r>
          </w:p>
        </w:tc>
        <w:tc>
          <w:tcPr>
            <w:tcW w:w="527" w:type="pct"/>
            <w:tcBorders>
              <w:top w:val="single" w:sz="8" w:space="0" w:color="auto"/>
              <w:left w:val="nil"/>
              <w:bottom w:val="single" w:sz="4" w:space="0" w:color="auto"/>
              <w:right w:val="single" w:sz="4" w:space="0" w:color="auto"/>
            </w:tcBorders>
            <w:shd w:val="clear" w:color="auto" w:fill="D9D9D9"/>
            <w:vAlign w:val="center"/>
            <w:hideMark/>
          </w:tcPr>
          <w:p w14:paraId="6A4EAC02"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Bunuri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și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servicii</w:t>
            </w:r>
            <w:proofErr w:type="spellEnd"/>
          </w:p>
        </w:tc>
        <w:tc>
          <w:tcPr>
            <w:tcW w:w="548" w:type="pct"/>
            <w:tcBorders>
              <w:top w:val="single" w:sz="8" w:space="0" w:color="auto"/>
              <w:left w:val="nil"/>
              <w:bottom w:val="single" w:sz="4" w:space="0" w:color="auto"/>
              <w:right w:val="single" w:sz="4" w:space="0" w:color="auto"/>
            </w:tcBorders>
            <w:shd w:val="clear" w:color="auto" w:fill="D9D9D9"/>
            <w:vAlign w:val="center"/>
            <w:hideMark/>
          </w:tcPr>
          <w:p w14:paraId="6729A7BC"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Transferuri</w:t>
            </w:r>
            <w:proofErr w:type="spellEnd"/>
          </w:p>
        </w:tc>
        <w:tc>
          <w:tcPr>
            <w:tcW w:w="532" w:type="pct"/>
            <w:tcBorders>
              <w:top w:val="single" w:sz="8" w:space="0" w:color="auto"/>
              <w:left w:val="nil"/>
              <w:bottom w:val="single" w:sz="4" w:space="0" w:color="auto"/>
              <w:right w:val="single" w:sz="4" w:space="0" w:color="auto"/>
            </w:tcBorders>
            <w:shd w:val="clear" w:color="auto" w:fill="D9D9D9"/>
            <w:vAlign w:val="center"/>
            <w:hideMark/>
          </w:tcPr>
          <w:p w14:paraId="4414BD6D"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transferuri</w:t>
            </w:r>
            <w:proofErr w:type="spellEnd"/>
          </w:p>
        </w:tc>
        <w:tc>
          <w:tcPr>
            <w:tcW w:w="676" w:type="pct"/>
            <w:tcBorders>
              <w:top w:val="single" w:sz="8" w:space="0" w:color="auto"/>
              <w:left w:val="nil"/>
              <w:bottom w:val="single" w:sz="4" w:space="0" w:color="auto"/>
              <w:right w:val="single" w:sz="4" w:space="0" w:color="auto"/>
            </w:tcBorders>
            <w:shd w:val="clear" w:color="auto" w:fill="D9D9D9"/>
            <w:vAlign w:val="center"/>
            <w:hideMark/>
          </w:tcPr>
          <w:p w14:paraId="6AB3C82D" w14:textId="77777777" w:rsidR="002C206D" w:rsidRPr="00261D6B" w:rsidRDefault="002C206D">
            <w:pPr>
              <w:spacing w:line="256" w:lineRule="auto"/>
              <w:jc w:val="center"/>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aferente</w:t>
            </w:r>
            <w:proofErr w:type="spellEnd"/>
            <w:r w:rsidRPr="00261D6B">
              <w:rPr>
                <w:rFonts w:ascii="Calibri Light" w:hAnsi="Calibri Light" w:cs="Calibri Light"/>
                <w:color w:val="000000"/>
                <w:sz w:val="20"/>
                <w:lang w:val="fr-FR"/>
              </w:rPr>
              <w:br/>
              <w:t xml:space="preserve"> </w:t>
            </w:r>
            <w:proofErr w:type="spellStart"/>
            <w:r w:rsidRPr="00261D6B">
              <w:rPr>
                <w:rFonts w:ascii="Calibri Light" w:hAnsi="Calibri Light" w:cs="Calibri Light"/>
                <w:color w:val="000000"/>
                <w:sz w:val="20"/>
                <w:lang w:val="fr-FR"/>
              </w:rPr>
              <w:t>cadrului</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financiar</w:t>
            </w:r>
            <w:proofErr w:type="spellEnd"/>
            <w:r w:rsidRPr="00261D6B">
              <w:rPr>
                <w:rFonts w:ascii="Calibri Light" w:hAnsi="Calibri Light" w:cs="Calibri Light"/>
                <w:color w:val="000000"/>
                <w:sz w:val="20"/>
                <w:lang w:val="fr-FR"/>
              </w:rPr>
              <w:t xml:space="preserve"> 2014-2020</w:t>
            </w:r>
          </w:p>
        </w:tc>
        <w:tc>
          <w:tcPr>
            <w:tcW w:w="472" w:type="pct"/>
            <w:tcBorders>
              <w:top w:val="single" w:sz="8" w:space="0" w:color="auto"/>
              <w:left w:val="nil"/>
              <w:bottom w:val="single" w:sz="4" w:space="0" w:color="auto"/>
              <w:right w:val="single" w:sz="4" w:space="0" w:color="auto"/>
            </w:tcBorders>
            <w:shd w:val="clear" w:color="auto" w:fill="D9D9D9"/>
            <w:vAlign w:val="center"/>
            <w:hideMark/>
          </w:tcPr>
          <w:p w14:paraId="0E134E6D"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cheltuieli</w:t>
            </w:r>
            <w:proofErr w:type="spellEnd"/>
          </w:p>
        </w:tc>
        <w:tc>
          <w:tcPr>
            <w:tcW w:w="482" w:type="pct"/>
            <w:tcBorders>
              <w:top w:val="single" w:sz="8" w:space="0" w:color="auto"/>
              <w:left w:val="nil"/>
              <w:bottom w:val="single" w:sz="4" w:space="0" w:color="auto"/>
              <w:right w:val="single" w:sz="8" w:space="0" w:color="auto"/>
            </w:tcBorders>
            <w:shd w:val="clear" w:color="auto" w:fill="D9D9D9"/>
            <w:vAlign w:val="center"/>
            <w:hideMark/>
          </w:tcPr>
          <w:p w14:paraId="15B46A8A"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capital</w:t>
            </w:r>
          </w:p>
        </w:tc>
      </w:tr>
      <w:tr w:rsidR="002C206D" w14:paraId="10754A0D" w14:textId="77777777" w:rsidTr="002C206D">
        <w:trPr>
          <w:trHeight w:val="300"/>
        </w:trPr>
        <w:tc>
          <w:tcPr>
            <w:tcW w:w="330" w:type="pct"/>
            <w:tcBorders>
              <w:top w:val="single" w:sz="4" w:space="0" w:color="auto"/>
              <w:left w:val="single" w:sz="8" w:space="0" w:color="auto"/>
              <w:bottom w:val="single" w:sz="4" w:space="0" w:color="auto"/>
              <w:right w:val="single" w:sz="4" w:space="0" w:color="auto"/>
            </w:tcBorders>
            <w:noWrap/>
            <w:vAlign w:val="bottom"/>
            <w:hideMark/>
          </w:tcPr>
          <w:p w14:paraId="40E6831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2023</w:t>
            </w:r>
          </w:p>
        </w:tc>
        <w:tc>
          <w:tcPr>
            <w:tcW w:w="339" w:type="pct"/>
            <w:tcBorders>
              <w:top w:val="single" w:sz="4" w:space="0" w:color="auto"/>
              <w:left w:val="nil"/>
              <w:bottom w:val="single" w:sz="4" w:space="0" w:color="auto"/>
              <w:right w:val="single" w:sz="4" w:space="0" w:color="auto"/>
            </w:tcBorders>
            <w:noWrap/>
            <w:vAlign w:val="bottom"/>
            <w:hideMark/>
          </w:tcPr>
          <w:p w14:paraId="663EDDFE"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rPr>
              <w:t>CA</w:t>
            </w:r>
          </w:p>
        </w:tc>
        <w:tc>
          <w:tcPr>
            <w:tcW w:w="567" w:type="pct"/>
            <w:tcBorders>
              <w:top w:val="single" w:sz="4" w:space="0" w:color="auto"/>
              <w:left w:val="nil"/>
              <w:bottom w:val="single" w:sz="4" w:space="0" w:color="auto"/>
              <w:right w:val="single" w:sz="4" w:space="0" w:color="auto"/>
            </w:tcBorders>
            <w:noWrap/>
            <w:vAlign w:val="bottom"/>
            <w:hideMark/>
          </w:tcPr>
          <w:p w14:paraId="14D749A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36 645</w:t>
            </w:r>
          </w:p>
        </w:tc>
        <w:tc>
          <w:tcPr>
            <w:tcW w:w="527" w:type="pct"/>
            <w:tcBorders>
              <w:top w:val="single" w:sz="4" w:space="0" w:color="auto"/>
              <w:left w:val="nil"/>
              <w:bottom w:val="single" w:sz="4" w:space="0" w:color="auto"/>
              <w:right w:val="single" w:sz="4" w:space="0" w:color="auto"/>
            </w:tcBorders>
            <w:noWrap/>
            <w:vAlign w:val="bottom"/>
            <w:hideMark/>
          </w:tcPr>
          <w:p w14:paraId="2231EA48"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33 675</w:t>
            </w:r>
          </w:p>
        </w:tc>
        <w:tc>
          <w:tcPr>
            <w:tcW w:w="527" w:type="pct"/>
            <w:tcBorders>
              <w:top w:val="single" w:sz="4" w:space="0" w:color="auto"/>
              <w:left w:val="nil"/>
              <w:bottom w:val="single" w:sz="4" w:space="0" w:color="auto"/>
              <w:right w:val="single" w:sz="4" w:space="0" w:color="auto"/>
            </w:tcBorders>
            <w:noWrap/>
            <w:vAlign w:val="bottom"/>
            <w:hideMark/>
          </w:tcPr>
          <w:p w14:paraId="6FF598B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2 309</w:t>
            </w:r>
          </w:p>
        </w:tc>
        <w:tc>
          <w:tcPr>
            <w:tcW w:w="548" w:type="pct"/>
            <w:tcBorders>
              <w:top w:val="single" w:sz="4" w:space="0" w:color="auto"/>
              <w:left w:val="nil"/>
              <w:bottom w:val="single" w:sz="4" w:space="0" w:color="auto"/>
              <w:right w:val="single" w:sz="4" w:space="0" w:color="auto"/>
            </w:tcBorders>
            <w:noWrap/>
            <w:vAlign w:val="bottom"/>
            <w:hideMark/>
          </w:tcPr>
          <w:p w14:paraId="3BF13033"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0</w:t>
            </w:r>
          </w:p>
        </w:tc>
        <w:tc>
          <w:tcPr>
            <w:tcW w:w="532" w:type="pct"/>
            <w:tcBorders>
              <w:top w:val="single" w:sz="4" w:space="0" w:color="auto"/>
              <w:left w:val="nil"/>
              <w:bottom w:val="single" w:sz="4" w:space="0" w:color="auto"/>
              <w:right w:val="single" w:sz="4" w:space="0" w:color="auto"/>
            </w:tcBorders>
            <w:noWrap/>
            <w:vAlign w:val="bottom"/>
            <w:hideMark/>
          </w:tcPr>
          <w:p w14:paraId="2ED2EE8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0</w:t>
            </w:r>
          </w:p>
        </w:tc>
        <w:tc>
          <w:tcPr>
            <w:tcW w:w="676" w:type="pct"/>
            <w:tcBorders>
              <w:top w:val="single" w:sz="4" w:space="0" w:color="auto"/>
              <w:left w:val="nil"/>
              <w:bottom w:val="single" w:sz="4" w:space="0" w:color="auto"/>
              <w:right w:val="single" w:sz="4" w:space="0" w:color="auto"/>
            </w:tcBorders>
            <w:noWrap/>
            <w:vAlign w:val="bottom"/>
            <w:hideMark/>
          </w:tcPr>
          <w:p w14:paraId="6D151D8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196</w:t>
            </w:r>
          </w:p>
        </w:tc>
        <w:tc>
          <w:tcPr>
            <w:tcW w:w="472" w:type="pct"/>
            <w:tcBorders>
              <w:top w:val="single" w:sz="4" w:space="0" w:color="auto"/>
              <w:left w:val="nil"/>
              <w:bottom w:val="single" w:sz="4" w:space="0" w:color="auto"/>
              <w:right w:val="single" w:sz="4" w:space="0" w:color="auto"/>
            </w:tcBorders>
            <w:noWrap/>
            <w:vAlign w:val="bottom"/>
            <w:hideMark/>
          </w:tcPr>
          <w:p w14:paraId="5E1BEE7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130</w:t>
            </w:r>
          </w:p>
        </w:tc>
        <w:tc>
          <w:tcPr>
            <w:tcW w:w="482" w:type="pct"/>
            <w:tcBorders>
              <w:top w:val="single" w:sz="4" w:space="0" w:color="auto"/>
              <w:left w:val="nil"/>
              <w:bottom w:val="single" w:sz="4" w:space="0" w:color="auto"/>
              <w:right w:val="single" w:sz="8" w:space="0" w:color="auto"/>
            </w:tcBorders>
            <w:noWrap/>
            <w:vAlign w:val="bottom"/>
            <w:hideMark/>
          </w:tcPr>
          <w:p w14:paraId="7097F3E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335</w:t>
            </w:r>
          </w:p>
        </w:tc>
      </w:tr>
      <w:tr w:rsidR="002C206D" w14:paraId="7FBAEA1B"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7EA699E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2023</w:t>
            </w:r>
          </w:p>
        </w:tc>
        <w:tc>
          <w:tcPr>
            <w:tcW w:w="339" w:type="pct"/>
            <w:tcBorders>
              <w:top w:val="nil"/>
              <w:left w:val="nil"/>
              <w:bottom w:val="single" w:sz="4" w:space="0" w:color="auto"/>
              <w:right w:val="single" w:sz="4" w:space="0" w:color="auto"/>
            </w:tcBorders>
            <w:noWrap/>
            <w:vAlign w:val="bottom"/>
            <w:hideMark/>
          </w:tcPr>
          <w:p w14:paraId="586A3FAD"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rPr>
              <w:t>CB</w:t>
            </w:r>
          </w:p>
        </w:tc>
        <w:tc>
          <w:tcPr>
            <w:tcW w:w="567" w:type="pct"/>
            <w:tcBorders>
              <w:top w:val="nil"/>
              <w:left w:val="nil"/>
              <w:bottom w:val="single" w:sz="4" w:space="0" w:color="auto"/>
              <w:right w:val="single" w:sz="4" w:space="0" w:color="auto"/>
            </w:tcBorders>
            <w:noWrap/>
            <w:vAlign w:val="bottom"/>
            <w:hideMark/>
          </w:tcPr>
          <w:p w14:paraId="7F19C24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36 645</w:t>
            </w:r>
          </w:p>
        </w:tc>
        <w:tc>
          <w:tcPr>
            <w:tcW w:w="527" w:type="pct"/>
            <w:tcBorders>
              <w:top w:val="nil"/>
              <w:left w:val="nil"/>
              <w:bottom w:val="single" w:sz="4" w:space="0" w:color="auto"/>
              <w:right w:val="single" w:sz="4" w:space="0" w:color="auto"/>
            </w:tcBorders>
            <w:noWrap/>
            <w:vAlign w:val="bottom"/>
            <w:hideMark/>
          </w:tcPr>
          <w:p w14:paraId="1A3E6C3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33 675</w:t>
            </w:r>
          </w:p>
        </w:tc>
        <w:tc>
          <w:tcPr>
            <w:tcW w:w="527" w:type="pct"/>
            <w:tcBorders>
              <w:top w:val="nil"/>
              <w:left w:val="nil"/>
              <w:bottom w:val="single" w:sz="4" w:space="0" w:color="auto"/>
              <w:right w:val="single" w:sz="4" w:space="0" w:color="auto"/>
            </w:tcBorders>
            <w:noWrap/>
            <w:vAlign w:val="bottom"/>
            <w:hideMark/>
          </w:tcPr>
          <w:p w14:paraId="67C9645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2 309</w:t>
            </w:r>
          </w:p>
        </w:tc>
        <w:tc>
          <w:tcPr>
            <w:tcW w:w="548" w:type="pct"/>
            <w:tcBorders>
              <w:top w:val="nil"/>
              <w:left w:val="nil"/>
              <w:bottom w:val="single" w:sz="4" w:space="0" w:color="auto"/>
              <w:right w:val="single" w:sz="4" w:space="0" w:color="auto"/>
            </w:tcBorders>
            <w:noWrap/>
            <w:vAlign w:val="bottom"/>
            <w:hideMark/>
          </w:tcPr>
          <w:p w14:paraId="341B8E4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0</w:t>
            </w:r>
          </w:p>
        </w:tc>
        <w:tc>
          <w:tcPr>
            <w:tcW w:w="532" w:type="pct"/>
            <w:tcBorders>
              <w:top w:val="nil"/>
              <w:left w:val="nil"/>
              <w:bottom w:val="single" w:sz="4" w:space="0" w:color="auto"/>
              <w:right w:val="single" w:sz="4" w:space="0" w:color="auto"/>
            </w:tcBorders>
            <w:noWrap/>
            <w:vAlign w:val="bottom"/>
            <w:hideMark/>
          </w:tcPr>
          <w:p w14:paraId="202E6C33"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0</w:t>
            </w:r>
          </w:p>
        </w:tc>
        <w:tc>
          <w:tcPr>
            <w:tcW w:w="676" w:type="pct"/>
            <w:tcBorders>
              <w:top w:val="nil"/>
              <w:left w:val="nil"/>
              <w:bottom w:val="single" w:sz="4" w:space="0" w:color="auto"/>
              <w:right w:val="single" w:sz="4" w:space="0" w:color="auto"/>
            </w:tcBorders>
            <w:noWrap/>
            <w:vAlign w:val="bottom"/>
            <w:hideMark/>
          </w:tcPr>
          <w:p w14:paraId="2FF9A6A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196</w:t>
            </w:r>
          </w:p>
        </w:tc>
        <w:tc>
          <w:tcPr>
            <w:tcW w:w="472" w:type="pct"/>
            <w:tcBorders>
              <w:top w:val="nil"/>
              <w:left w:val="nil"/>
              <w:bottom w:val="single" w:sz="4" w:space="0" w:color="auto"/>
              <w:right w:val="single" w:sz="4" w:space="0" w:color="auto"/>
            </w:tcBorders>
            <w:noWrap/>
            <w:vAlign w:val="bottom"/>
            <w:hideMark/>
          </w:tcPr>
          <w:p w14:paraId="177B7BD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130</w:t>
            </w:r>
          </w:p>
        </w:tc>
        <w:tc>
          <w:tcPr>
            <w:tcW w:w="482" w:type="pct"/>
            <w:tcBorders>
              <w:top w:val="nil"/>
              <w:left w:val="nil"/>
              <w:bottom w:val="single" w:sz="4" w:space="0" w:color="auto"/>
              <w:right w:val="single" w:sz="8" w:space="0" w:color="auto"/>
            </w:tcBorders>
            <w:noWrap/>
            <w:vAlign w:val="bottom"/>
            <w:hideMark/>
          </w:tcPr>
          <w:p w14:paraId="774A7D6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335</w:t>
            </w:r>
          </w:p>
        </w:tc>
      </w:tr>
      <w:tr w:rsidR="002C206D" w14:paraId="3FABE746"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40B40578"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2024</w:t>
            </w:r>
          </w:p>
        </w:tc>
        <w:tc>
          <w:tcPr>
            <w:tcW w:w="339" w:type="pct"/>
            <w:tcBorders>
              <w:top w:val="nil"/>
              <w:left w:val="nil"/>
              <w:bottom w:val="single" w:sz="4" w:space="0" w:color="auto"/>
              <w:right w:val="single" w:sz="4" w:space="0" w:color="auto"/>
            </w:tcBorders>
            <w:noWrap/>
            <w:vAlign w:val="bottom"/>
            <w:hideMark/>
          </w:tcPr>
          <w:p w14:paraId="5542A994"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CA</w:t>
            </w:r>
          </w:p>
        </w:tc>
        <w:tc>
          <w:tcPr>
            <w:tcW w:w="567" w:type="pct"/>
            <w:tcBorders>
              <w:top w:val="nil"/>
              <w:left w:val="nil"/>
              <w:bottom w:val="single" w:sz="4" w:space="0" w:color="auto"/>
              <w:right w:val="single" w:sz="4" w:space="0" w:color="auto"/>
            </w:tcBorders>
            <w:noWrap/>
            <w:vAlign w:val="bottom"/>
            <w:hideMark/>
          </w:tcPr>
          <w:p w14:paraId="79707C9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35 382</w:t>
            </w:r>
          </w:p>
        </w:tc>
        <w:tc>
          <w:tcPr>
            <w:tcW w:w="527" w:type="pct"/>
            <w:tcBorders>
              <w:top w:val="nil"/>
              <w:left w:val="nil"/>
              <w:bottom w:val="single" w:sz="4" w:space="0" w:color="auto"/>
              <w:right w:val="single" w:sz="4" w:space="0" w:color="auto"/>
            </w:tcBorders>
            <w:noWrap/>
            <w:vAlign w:val="bottom"/>
            <w:hideMark/>
          </w:tcPr>
          <w:p w14:paraId="6B678C6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31 800</w:t>
            </w:r>
          </w:p>
        </w:tc>
        <w:tc>
          <w:tcPr>
            <w:tcW w:w="527" w:type="pct"/>
            <w:tcBorders>
              <w:top w:val="nil"/>
              <w:left w:val="nil"/>
              <w:bottom w:val="single" w:sz="4" w:space="0" w:color="auto"/>
              <w:right w:val="single" w:sz="4" w:space="0" w:color="auto"/>
            </w:tcBorders>
            <w:noWrap/>
            <w:vAlign w:val="bottom"/>
            <w:hideMark/>
          </w:tcPr>
          <w:p w14:paraId="7E835C5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3 412</w:t>
            </w:r>
          </w:p>
        </w:tc>
        <w:tc>
          <w:tcPr>
            <w:tcW w:w="548" w:type="pct"/>
            <w:tcBorders>
              <w:top w:val="nil"/>
              <w:left w:val="nil"/>
              <w:bottom w:val="single" w:sz="4" w:space="0" w:color="auto"/>
              <w:right w:val="single" w:sz="4" w:space="0" w:color="auto"/>
            </w:tcBorders>
            <w:noWrap/>
            <w:vAlign w:val="bottom"/>
            <w:hideMark/>
          </w:tcPr>
          <w:p w14:paraId="107B0DC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5BCBD1A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3537998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472" w:type="pct"/>
            <w:tcBorders>
              <w:top w:val="nil"/>
              <w:left w:val="nil"/>
              <w:bottom w:val="single" w:sz="4" w:space="0" w:color="auto"/>
              <w:right w:val="single" w:sz="4" w:space="0" w:color="auto"/>
            </w:tcBorders>
            <w:noWrap/>
            <w:vAlign w:val="bottom"/>
            <w:hideMark/>
          </w:tcPr>
          <w:p w14:paraId="310A05B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140</w:t>
            </w:r>
          </w:p>
        </w:tc>
        <w:tc>
          <w:tcPr>
            <w:tcW w:w="482" w:type="pct"/>
            <w:tcBorders>
              <w:top w:val="nil"/>
              <w:left w:val="nil"/>
              <w:bottom w:val="single" w:sz="4" w:space="0" w:color="auto"/>
              <w:right w:val="single" w:sz="8" w:space="0" w:color="auto"/>
            </w:tcBorders>
            <w:noWrap/>
            <w:vAlign w:val="bottom"/>
            <w:hideMark/>
          </w:tcPr>
          <w:p w14:paraId="688B3638"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30</w:t>
            </w:r>
          </w:p>
        </w:tc>
      </w:tr>
      <w:tr w:rsidR="002C206D" w14:paraId="4202A4FE" w14:textId="77777777" w:rsidTr="002C206D">
        <w:trPr>
          <w:trHeight w:val="315"/>
        </w:trPr>
        <w:tc>
          <w:tcPr>
            <w:tcW w:w="330" w:type="pct"/>
            <w:tcBorders>
              <w:top w:val="nil"/>
              <w:left w:val="single" w:sz="8" w:space="0" w:color="auto"/>
              <w:bottom w:val="single" w:sz="8" w:space="0" w:color="auto"/>
              <w:right w:val="single" w:sz="4" w:space="0" w:color="auto"/>
            </w:tcBorders>
            <w:noWrap/>
            <w:vAlign w:val="bottom"/>
            <w:hideMark/>
          </w:tcPr>
          <w:p w14:paraId="40D4359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2024</w:t>
            </w:r>
          </w:p>
        </w:tc>
        <w:tc>
          <w:tcPr>
            <w:tcW w:w="339" w:type="pct"/>
            <w:tcBorders>
              <w:top w:val="nil"/>
              <w:left w:val="nil"/>
              <w:bottom w:val="single" w:sz="8" w:space="0" w:color="auto"/>
              <w:right w:val="single" w:sz="4" w:space="0" w:color="auto"/>
            </w:tcBorders>
            <w:noWrap/>
            <w:vAlign w:val="bottom"/>
            <w:hideMark/>
          </w:tcPr>
          <w:p w14:paraId="28195899"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CB</w:t>
            </w:r>
          </w:p>
        </w:tc>
        <w:tc>
          <w:tcPr>
            <w:tcW w:w="567" w:type="pct"/>
            <w:tcBorders>
              <w:top w:val="nil"/>
              <w:left w:val="nil"/>
              <w:bottom w:val="single" w:sz="8" w:space="0" w:color="auto"/>
              <w:right w:val="single" w:sz="4" w:space="0" w:color="auto"/>
            </w:tcBorders>
            <w:noWrap/>
            <w:vAlign w:val="bottom"/>
            <w:hideMark/>
          </w:tcPr>
          <w:p w14:paraId="6F689E8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35 382</w:t>
            </w:r>
          </w:p>
        </w:tc>
        <w:tc>
          <w:tcPr>
            <w:tcW w:w="527" w:type="pct"/>
            <w:tcBorders>
              <w:top w:val="nil"/>
              <w:left w:val="nil"/>
              <w:bottom w:val="single" w:sz="4" w:space="0" w:color="auto"/>
              <w:right w:val="single" w:sz="4" w:space="0" w:color="auto"/>
            </w:tcBorders>
            <w:noWrap/>
            <w:vAlign w:val="bottom"/>
            <w:hideMark/>
          </w:tcPr>
          <w:p w14:paraId="1B967CA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31 800</w:t>
            </w:r>
          </w:p>
        </w:tc>
        <w:tc>
          <w:tcPr>
            <w:tcW w:w="527" w:type="pct"/>
            <w:tcBorders>
              <w:top w:val="nil"/>
              <w:left w:val="nil"/>
              <w:bottom w:val="single" w:sz="4" w:space="0" w:color="auto"/>
              <w:right w:val="single" w:sz="4" w:space="0" w:color="auto"/>
            </w:tcBorders>
            <w:noWrap/>
            <w:vAlign w:val="bottom"/>
            <w:hideMark/>
          </w:tcPr>
          <w:p w14:paraId="7739FEB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3 412</w:t>
            </w:r>
          </w:p>
        </w:tc>
        <w:tc>
          <w:tcPr>
            <w:tcW w:w="548" w:type="pct"/>
            <w:tcBorders>
              <w:top w:val="nil"/>
              <w:left w:val="nil"/>
              <w:bottom w:val="single" w:sz="4" w:space="0" w:color="auto"/>
              <w:right w:val="single" w:sz="4" w:space="0" w:color="auto"/>
            </w:tcBorders>
            <w:noWrap/>
            <w:vAlign w:val="bottom"/>
            <w:hideMark/>
          </w:tcPr>
          <w:p w14:paraId="06EEAF9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0DD220E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5145D00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472" w:type="pct"/>
            <w:tcBorders>
              <w:top w:val="nil"/>
              <w:left w:val="nil"/>
              <w:bottom w:val="single" w:sz="4" w:space="0" w:color="auto"/>
              <w:right w:val="single" w:sz="4" w:space="0" w:color="auto"/>
            </w:tcBorders>
            <w:noWrap/>
            <w:vAlign w:val="bottom"/>
            <w:hideMark/>
          </w:tcPr>
          <w:p w14:paraId="7E49A12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140</w:t>
            </w:r>
          </w:p>
        </w:tc>
        <w:tc>
          <w:tcPr>
            <w:tcW w:w="482" w:type="pct"/>
            <w:tcBorders>
              <w:top w:val="nil"/>
              <w:left w:val="nil"/>
              <w:bottom w:val="single" w:sz="4" w:space="0" w:color="auto"/>
              <w:right w:val="single" w:sz="8" w:space="0" w:color="auto"/>
            </w:tcBorders>
            <w:noWrap/>
            <w:vAlign w:val="bottom"/>
            <w:hideMark/>
          </w:tcPr>
          <w:p w14:paraId="69B78F5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30</w:t>
            </w:r>
          </w:p>
        </w:tc>
      </w:tr>
    </w:tbl>
    <w:p w14:paraId="7A807A70" w14:textId="77777777" w:rsidR="002C206D" w:rsidRDefault="002C206D" w:rsidP="002C206D">
      <w:pPr>
        <w:jc w:val="center"/>
        <w:rPr>
          <w:rFonts w:asciiTheme="minorHAnsi" w:hAnsiTheme="minorHAnsi" w:cstheme="minorHAnsi"/>
          <w:b/>
          <w:sz w:val="26"/>
          <w:szCs w:val="26"/>
          <w:lang w:eastAsia="en-GB"/>
        </w:rPr>
      </w:pPr>
    </w:p>
    <w:p w14:paraId="2DE6168C" w14:textId="77777777" w:rsidR="002C206D" w:rsidRDefault="002C206D" w:rsidP="002C206D">
      <w:pPr>
        <w:jc w:val="center"/>
        <w:rPr>
          <w:rFonts w:asciiTheme="minorHAnsi" w:hAnsiTheme="minorHAnsi" w:cstheme="minorHAnsi"/>
          <w:b/>
          <w:sz w:val="26"/>
          <w:szCs w:val="26"/>
          <w:lang w:eastAsia="en-GB"/>
        </w:rPr>
      </w:pPr>
    </w:p>
    <w:p w14:paraId="6EFBB613" w14:textId="77777777" w:rsidR="002C206D" w:rsidRDefault="002C206D" w:rsidP="002C206D">
      <w:pPr>
        <w:jc w:val="center"/>
        <w:rPr>
          <w:rFonts w:asciiTheme="minorHAnsi" w:hAnsiTheme="minorHAnsi" w:cstheme="minorHAnsi"/>
          <w:b/>
          <w:sz w:val="26"/>
          <w:szCs w:val="26"/>
          <w:lang w:eastAsia="en-GB"/>
        </w:rPr>
      </w:pPr>
    </w:p>
    <w:p w14:paraId="4984E01A" w14:textId="77777777" w:rsidR="002C206D" w:rsidRDefault="002C206D" w:rsidP="002C206D">
      <w:pPr>
        <w:jc w:val="center"/>
        <w:rPr>
          <w:rFonts w:asciiTheme="minorHAnsi" w:hAnsiTheme="minorHAnsi" w:cstheme="minorHAnsi"/>
          <w:b/>
          <w:sz w:val="26"/>
          <w:szCs w:val="26"/>
          <w:lang w:eastAsia="en-GB"/>
        </w:rPr>
      </w:pPr>
    </w:p>
    <w:p w14:paraId="09962030" w14:textId="77777777" w:rsidR="002C206D" w:rsidRDefault="002C206D" w:rsidP="002C206D">
      <w:pPr>
        <w:keepNext/>
        <w:jc w:val="center"/>
        <w:rPr>
          <w:rFonts w:asciiTheme="minorHAnsi" w:hAnsiTheme="minorHAnsi" w:cstheme="minorHAnsi"/>
          <w:b/>
          <w:noProof/>
          <w:sz w:val="26"/>
          <w:szCs w:val="26"/>
          <w:lang w:val="en-GB" w:eastAsia="en-GB"/>
        </w:rPr>
      </w:pPr>
      <w:r>
        <w:rPr>
          <w:rFonts w:asciiTheme="minorHAnsi" w:hAnsiTheme="minorHAnsi" w:cstheme="minorHAnsi"/>
          <w:b/>
          <w:noProof/>
          <w:sz w:val="26"/>
          <w:szCs w:val="26"/>
          <w:lang w:val="en-GB" w:eastAsia="en-GB"/>
        </w:rPr>
        <w:lastRenderedPageBreak/>
        <w:t>INSTITUTUL NAȚIONAL AL MAGISTRATURII</w:t>
      </w:r>
    </w:p>
    <w:p w14:paraId="5F5D83A3" w14:textId="52D4E307" w:rsidR="002C206D" w:rsidRDefault="002C206D" w:rsidP="002C206D">
      <w:pPr>
        <w:keepNext/>
        <w:jc w:val="center"/>
        <w:rPr>
          <w:rFonts w:asciiTheme="minorHAnsi" w:hAnsiTheme="minorHAnsi" w:cstheme="minorHAnsi"/>
          <w:noProof/>
          <w:sz w:val="26"/>
          <w:szCs w:val="26"/>
          <w:lang w:val="en-GB" w:eastAsia="en-GB"/>
        </w:rPr>
      </w:pPr>
      <w:r>
        <w:rPr>
          <w:noProof/>
        </w:rPr>
        <w:drawing>
          <wp:inline distT="0" distB="0" distL="0" distR="0" wp14:anchorId="289D9AB7" wp14:editId="6C27EDA6">
            <wp:extent cx="5476875" cy="3886200"/>
            <wp:effectExtent l="0" t="0" r="9525" b="0"/>
            <wp:docPr id="2077748679" name="Chart 7">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8FF8E1" w14:textId="77777777" w:rsidR="002C206D" w:rsidRDefault="002C206D" w:rsidP="002C206D">
      <w:pPr>
        <w:keepNext/>
        <w:jc w:val="center"/>
        <w:rPr>
          <w:rFonts w:asciiTheme="minorHAnsi" w:hAnsiTheme="minorHAnsi" w:cstheme="minorHAnsi"/>
          <w:noProof/>
          <w:sz w:val="26"/>
          <w:szCs w:val="26"/>
          <w:lang w:val="en-GB" w:eastAsia="en-GB"/>
        </w:rPr>
      </w:pPr>
    </w:p>
    <w:p w14:paraId="0736F945" w14:textId="77777777" w:rsidR="009201C8" w:rsidRDefault="009201C8" w:rsidP="002C206D">
      <w:pPr>
        <w:keepNext/>
        <w:jc w:val="center"/>
        <w:rPr>
          <w:rFonts w:asciiTheme="minorHAnsi" w:hAnsiTheme="minorHAnsi" w:cstheme="minorHAnsi"/>
          <w:noProof/>
          <w:sz w:val="26"/>
          <w:szCs w:val="26"/>
          <w:lang w:val="en-GB" w:eastAsia="en-GB"/>
        </w:rPr>
      </w:pPr>
    </w:p>
    <w:p w14:paraId="0FA450BA" w14:textId="77777777" w:rsidR="002C206D" w:rsidRDefault="002C206D" w:rsidP="002C206D">
      <w:pPr>
        <w:keepNext/>
        <w:jc w:val="center"/>
        <w:rPr>
          <w:rFonts w:asciiTheme="minorHAnsi" w:hAnsiTheme="minorHAnsi" w:cstheme="minorHAnsi"/>
          <w:noProof/>
          <w:sz w:val="26"/>
          <w:szCs w:val="26"/>
          <w:lang w:val="en-GB" w:eastAsia="en-GB"/>
        </w:rPr>
      </w:pPr>
    </w:p>
    <w:p w14:paraId="2DB9AA77" w14:textId="77777777" w:rsidR="002C206D" w:rsidRDefault="002C206D" w:rsidP="002C206D">
      <w:pPr>
        <w:jc w:val="right"/>
        <w:rPr>
          <w:rFonts w:asciiTheme="minorHAnsi" w:hAnsiTheme="minorHAnsi" w:cstheme="minorHAnsi"/>
          <w:noProof/>
          <w:sz w:val="26"/>
          <w:szCs w:val="26"/>
        </w:rPr>
      </w:pPr>
      <w:r>
        <w:rPr>
          <w:rFonts w:asciiTheme="minorHAnsi" w:hAnsiTheme="minorHAnsi" w:cstheme="minorHAnsi"/>
          <w:sz w:val="26"/>
          <w:szCs w:val="26"/>
        </w:rPr>
        <w:tab/>
      </w:r>
      <w:r>
        <w:rPr>
          <w:rFonts w:asciiTheme="minorHAnsi" w:hAnsiTheme="minorHAnsi" w:cstheme="minorHAnsi"/>
          <w:sz w:val="26"/>
          <w:szCs w:val="26"/>
        </w:rPr>
        <w:tab/>
        <w:t xml:space="preserve">                               </w:t>
      </w:r>
      <w:r>
        <w:rPr>
          <w:rFonts w:asciiTheme="minorHAnsi" w:hAnsiTheme="minorHAnsi" w:cstheme="minorHAnsi"/>
          <w:sz w:val="26"/>
          <w:szCs w:val="26"/>
        </w:rPr>
        <w:tab/>
      </w:r>
      <w:r>
        <w:rPr>
          <w:rFonts w:asciiTheme="minorHAnsi" w:hAnsiTheme="minorHAnsi" w:cstheme="minorHAnsi"/>
          <w:sz w:val="26"/>
          <w:szCs w:val="26"/>
        </w:rPr>
        <w:tab/>
        <w:t xml:space="preserve"> </w:t>
      </w:r>
      <w:r>
        <w:rPr>
          <w:rFonts w:asciiTheme="minorHAnsi" w:hAnsiTheme="minorHAnsi" w:cstheme="minorHAnsi"/>
          <w:b/>
          <w:sz w:val="26"/>
          <w:szCs w:val="26"/>
        </w:rPr>
        <w:t>mii lei</w:t>
      </w:r>
      <w:r>
        <w:rPr>
          <w:rFonts w:asciiTheme="minorHAnsi" w:hAnsiTheme="minorHAnsi" w:cstheme="minorHAnsi"/>
          <w:noProof/>
          <w:sz w:val="26"/>
          <w:szCs w:val="26"/>
        </w:rPr>
        <w:t xml:space="preserve">  </w:t>
      </w:r>
    </w:p>
    <w:tbl>
      <w:tblPr>
        <w:tblW w:w="5000" w:type="pct"/>
        <w:tblLook w:val="04A0" w:firstRow="1" w:lastRow="0" w:firstColumn="1" w:lastColumn="0" w:noHBand="0" w:noVBand="1"/>
      </w:tblPr>
      <w:tblGrid>
        <w:gridCol w:w="673"/>
        <w:gridCol w:w="690"/>
        <w:gridCol w:w="1155"/>
        <w:gridCol w:w="1073"/>
        <w:gridCol w:w="1073"/>
        <w:gridCol w:w="1116"/>
        <w:gridCol w:w="1084"/>
        <w:gridCol w:w="1377"/>
        <w:gridCol w:w="961"/>
        <w:gridCol w:w="982"/>
      </w:tblGrid>
      <w:tr w:rsidR="002C206D" w14:paraId="4E693ACE" w14:textId="77777777" w:rsidTr="002C206D">
        <w:trPr>
          <w:trHeight w:val="1620"/>
        </w:trPr>
        <w:tc>
          <w:tcPr>
            <w:tcW w:w="330" w:type="pct"/>
            <w:tcBorders>
              <w:top w:val="single" w:sz="8" w:space="0" w:color="auto"/>
              <w:left w:val="single" w:sz="8" w:space="0" w:color="auto"/>
              <w:bottom w:val="single" w:sz="4" w:space="0" w:color="auto"/>
              <w:right w:val="single" w:sz="4" w:space="0" w:color="auto"/>
            </w:tcBorders>
            <w:shd w:val="clear" w:color="auto" w:fill="D9D9D9"/>
            <w:noWrap/>
            <w:vAlign w:val="center"/>
            <w:hideMark/>
          </w:tcPr>
          <w:p w14:paraId="46CD683A" w14:textId="77777777" w:rsidR="002C206D" w:rsidRDefault="002C206D">
            <w:pPr>
              <w:spacing w:line="256" w:lineRule="auto"/>
              <w:jc w:val="center"/>
              <w:rPr>
                <w:rFonts w:ascii="Calibri Light" w:hAnsi="Calibri Light" w:cs="Calibri Light"/>
                <w:color w:val="000000"/>
                <w:sz w:val="22"/>
                <w:szCs w:val="22"/>
                <w:lang w:val="en-US"/>
              </w:rPr>
            </w:pPr>
            <w:r>
              <w:rPr>
                <w:rFonts w:ascii="Calibri Light" w:hAnsi="Calibri Light" w:cs="Calibri Light"/>
                <w:color w:val="000000"/>
                <w:sz w:val="22"/>
                <w:szCs w:val="22"/>
                <w:lang w:val="en-US"/>
              </w:rPr>
              <w:t>An</w:t>
            </w:r>
          </w:p>
        </w:tc>
        <w:tc>
          <w:tcPr>
            <w:tcW w:w="339" w:type="pct"/>
            <w:tcBorders>
              <w:top w:val="single" w:sz="8" w:space="0" w:color="auto"/>
              <w:left w:val="nil"/>
              <w:bottom w:val="single" w:sz="4" w:space="0" w:color="auto"/>
              <w:right w:val="single" w:sz="4" w:space="0" w:color="auto"/>
            </w:tcBorders>
            <w:shd w:val="clear" w:color="auto" w:fill="D9D9D9"/>
            <w:vAlign w:val="center"/>
            <w:hideMark/>
          </w:tcPr>
          <w:p w14:paraId="51246078"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Tip</w:t>
            </w:r>
            <w:r>
              <w:rPr>
                <w:rFonts w:ascii="Calibri Light" w:hAnsi="Calibri Light" w:cs="Calibri Light"/>
                <w:color w:val="000000"/>
                <w:sz w:val="20"/>
                <w:lang w:val="en-US"/>
              </w:rPr>
              <w:br/>
              <w:t>credit</w:t>
            </w:r>
          </w:p>
        </w:tc>
        <w:tc>
          <w:tcPr>
            <w:tcW w:w="567" w:type="pct"/>
            <w:tcBorders>
              <w:top w:val="single" w:sz="8" w:space="0" w:color="auto"/>
              <w:left w:val="nil"/>
              <w:bottom w:val="single" w:sz="4" w:space="0" w:color="auto"/>
              <w:right w:val="single" w:sz="4" w:space="0" w:color="auto"/>
            </w:tcBorders>
            <w:shd w:val="clear" w:color="auto" w:fill="D9D9D9"/>
            <w:vAlign w:val="center"/>
            <w:hideMark/>
          </w:tcPr>
          <w:p w14:paraId="7B95CEE8"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Total</w:t>
            </w:r>
          </w:p>
        </w:tc>
        <w:tc>
          <w:tcPr>
            <w:tcW w:w="527" w:type="pct"/>
            <w:tcBorders>
              <w:top w:val="single" w:sz="8" w:space="0" w:color="auto"/>
              <w:left w:val="nil"/>
              <w:bottom w:val="single" w:sz="4" w:space="0" w:color="auto"/>
              <w:right w:val="single" w:sz="4" w:space="0" w:color="auto"/>
            </w:tcBorders>
            <w:shd w:val="clear" w:color="auto" w:fill="D9D9D9"/>
            <w:vAlign w:val="center"/>
            <w:hideMark/>
          </w:tcPr>
          <w:p w14:paraId="3D2F8907"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personal</w:t>
            </w:r>
          </w:p>
        </w:tc>
        <w:tc>
          <w:tcPr>
            <w:tcW w:w="527" w:type="pct"/>
            <w:tcBorders>
              <w:top w:val="single" w:sz="8" w:space="0" w:color="auto"/>
              <w:left w:val="nil"/>
              <w:bottom w:val="single" w:sz="4" w:space="0" w:color="auto"/>
              <w:right w:val="single" w:sz="4" w:space="0" w:color="auto"/>
            </w:tcBorders>
            <w:shd w:val="clear" w:color="auto" w:fill="D9D9D9"/>
            <w:vAlign w:val="center"/>
            <w:hideMark/>
          </w:tcPr>
          <w:p w14:paraId="63A89700"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Bunuri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și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servicii</w:t>
            </w:r>
            <w:proofErr w:type="spellEnd"/>
          </w:p>
        </w:tc>
        <w:tc>
          <w:tcPr>
            <w:tcW w:w="548" w:type="pct"/>
            <w:tcBorders>
              <w:top w:val="single" w:sz="8" w:space="0" w:color="auto"/>
              <w:left w:val="nil"/>
              <w:bottom w:val="single" w:sz="4" w:space="0" w:color="auto"/>
              <w:right w:val="single" w:sz="4" w:space="0" w:color="auto"/>
            </w:tcBorders>
            <w:shd w:val="clear" w:color="auto" w:fill="D9D9D9"/>
            <w:vAlign w:val="center"/>
            <w:hideMark/>
          </w:tcPr>
          <w:p w14:paraId="55B5C373"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Transferuri</w:t>
            </w:r>
            <w:proofErr w:type="spellEnd"/>
          </w:p>
        </w:tc>
        <w:tc>
          <w:tcPr>
            <w:tcW w:w="532" w:type="pct"/>
            <w:tcBorders>
              <w:top w:val="single" w:sz="8" w:space="0" w:color="auto"/>
              <w:left w:val="nil"/>
              <w:bottom w:val="single" w:sz="4" w:space="0" w:color="auto"/>
              <w:right w:val="single" w:sz="4" w:space="0" w:color="auto"/>
            </w:tcBorders>
            <w:shd w:val="clear" w:color="auto" w:fill="D9D9D9"/>
            <w:vAlign w:val="center"/>
            <w:hideMark/>
          </w:tcPr>
          <w:p w14:paraId="3917F48F"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transferuri</w:t>
            </w:r>
            <w:proofErr w:type="spellEnd"/>
          </w:p>
        </w:tc>
        <w:tc>
          <w:tcPr>
            <w:tcW w:w="676" w:type="pct"/>
            <w:tcBorders>
              <w:top w:val="single" w:sz="8" w:space="0" w:color="auto"/>
              <w:left w:val="nil"/>
              <w:bottom w:val="single" w:sz="4" w:space="0" w:color="auto"/>
              <w:right w:val="single" w:sz="4" w:space="0" w:color="auto"/>
            </w:tcBorders>
            <w:shd w:val="clear" w:color="auto" w:fill="D9D9D9"/>
            <w:vAlign w:val="center"/>
            <w:hideMark/>
          </w:tcPr>
          <w:p w14:paraId="670DED5C" w14:textId="77777777" w:rsidR="002C206D" w:rsidRPr="00261D6B" w:rsidRDefault="002C206D">
            <w:pPr>
              <w:spacing w:line="256" w:lineRule="auto"/>
              <w:jc w:val="center"/>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aferente</w:t>
            </w:r>
            <w:proofErr w:type="spellEnd"/>
            <w:r w:rsidRPr="00261D6B">
              <w:rPr>
                <w:rFonts w:ascii="Calibri Light" w:hAnsi="Calibri Light" w:cs="Calibri Light"/>
                <w:color w:val="000000"/>
                <w:sz w:val="20"/>
                <w:lang w:val="fr-FR"/>
              </w:rPr>
              <w:br/>
              <w:t xml:space="preserve"> </w:t>
            </w:r>
            <w:proofErr w:type="spellStart"/>
            <w:r w:rsidRPr="00261D6B">
              <w:rPr>
                <w:rFonts w:ascii="Calibri Light" w:hAnsi="Calibri Light" w:cs="Calibri Light"/>
                <w:color w:val="000000"/>
                <w:sz w:val="20"/>
                <w:lang w:val="fr-FR"/>
              </w:rPr>
              <w:t>cadrului</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financiar</w:t>
            </w:r>
            <w:proofErr w:type="spellEnd"/>
            <w:r w:rsidRPr="00261D6B">
              <w:rPr>
                <w:rFonts w:ascii="Calibri Light" w:hAnsi="Calibri Light" w:cs="Calibri Light"/>
                <w:color w:val="000000"/>
                <w:sz w:val="20"/>
                <w:lang w:val="fr-FR"/>
              </w:rPr>
              <w:t xml:space="preserve"> 2014-2020</w:t>
            </w:r>
          </w:p>
        </w:tc>
        <w:tc>
          <w:tcPr>
            <w:tcW w:w="472" w:type="pct"/>
            <w:tcBorders>
              <w:top w:val="single" w:sz="8" w:space="0" w:color="auto"/>
              <w:left w:val="nil"/>
              <w:bottom w:val="single" w:sz="4" w:space="0" w:color="auto"/>
              <w:right w:val="single" w:sz="4" w:space="0" w:color="auto"/>
            </w:tcBorders>
            <w:shd w:val="clear" w:color="auto" w:fill="D9D9D9"/>
            <w:vAlign w:val="center"/>
            <w:hideMark/>
          </w:tcPr>
          <w:p w14:paraId="1C57D357"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cheltuieli</w:t>
            </w:r>
            <w:proofErr w:type="spellEnd"/>
          </w:p>
        </w:tc>
        <w:tc>
          <w:tcPr>
            <w:tcW w:w="482" w:type="pct"/>
            <w:tcBorders>
              <w:top w:val="single" w:sz="8" w:space="0" w:color="auto"/>
              <w:left w:val="nil"/>
              <w:bottom w:val="single" w:sz="4" w:space="0" w:color="auto"/>
              <w:right w:val="single" w:sz="8" w:space="0" w:color="auto"/>
            </w:tcBorders>
            <w:shd w:val="clear" w:color="auto" w:fill="D9D9D9"/>
            <w:vAlign w:val="center"/>
            <w:hideMark/>
          </w:tcPr>
          <w:p w14:paraId="7053802D"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capital</w:t>
            </w:r>
          </w:p>
        </w:tc>
      </w:tr>
      <w:tr w:rsidR="002C206D" w14:paraId="1216E00A"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3601BF7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2022</w:t>
            </w:r>
          </w:p>
        </w:tc>
        <w:tc>
          <w:tcPr>
            <w:tcW w:w="339" w:type="pct"/>
            <w:tcBorders>
              <w:top w:val="nil"/>
              <w:left w:val="nil"/>
              <w:bottom w:val="single" w:sz="4" w:space="0" w:color="auto"/>
              <w:right w:val="single" w:sz="4" w:space="0" w:color="auto"/>
            </w:tcBorders>
            <w:noWrap/>
            <w:vAlign w:val="bottom"/>
            <w:hideMark/>
          </w:tcPr>
          <w:p w14:paraId="7C19F3EA"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CA</w:t>
            </w:r>
          </w:p>
        </w:tc>
        <w:tc>
          <w:tcPr>
            <w:tcW w:w="567" w:type="pct"/>
            <w:tcBorders>
              <w:top w:val="nil"/>
              <w:left w:val="nil"/>
              <w:bottom w:val="single" w:sz="4" w:space="0" w:color="auto"/>
              <w:right w:val="single" w:sz="4" w:space="0" w:color="auto"/>
            </w:tcBorders>
            <w:noWrap/>
            <w:vAlign w:val="bottom"/>
            <w:hideMark/>
          </w:tcPr>
          <w:p w14:paraId="0AAF5C1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40 147</w:t>
            </w:r>
          </w:p>
        </w:tc>
        <w:tc>
          <w:tcPr>
            <w:tcW w:w="527" w:type="pct"/>
            <w:tcBorders>
              <w:top w:val="nil"/>
              <w:left w:val="nil"/>
              <w:bottom w:val="single" w:sz="4" w:space="0" w:color="auto"/>
              <w:right w:val="single" w:sz="4" w:space="0" w:color="auto"/>
            </w:tcBorders>
            <w:noWrap/>
            <w:vAlign w:val="bottom"/>
            <w:hideMark/>
          </w:tcPr>
          <w:p w14:paraId="046D5AA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20 680</w:t>
            </w:r>
          </w:p>
        </w:tc>
        <w:tc>
          <w:tcPr>
            <w:tcW w:w="527" w:type="pct"/>
            <w:tcBorders>
              <w:top w:val="nil"/>
              <w:left w:val="nil"/>
              <w:bottom w:val="single" w:sz="4" w:space="0" w:color="auto"/>
              <w:right w:val="single" w:sz="4" w:space="0" w:color="auto"/>
            </w:tcBorders>
            <w:noWrap/>
            <w:vAlign w:val="bottom"/>
            <w:hideMark/>
          </w:tcPr>
          <w:p w14:paraId="723B0F7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2 175</w:t>
            </w:r>
          </w:p>
        </w:tc>
        <w:tc>
          <w:tcPr>
            <w:tcW w:w="548" w:type="pct"/>
            <w:tcBorders>
              <w:top w:val="nil"/>
              <w:left w:val="nil"/>
              <w:bottom w:val="single" w:sz="4" w:space="0" w:color="auto"/>
              <w:right w:val="single" w:sz="4" w:space="0" w:color="auto"/>
            </w:tcBorders>
            <w:noWrap/>
            <w:vAlign w:val="bottom"/>
            <w:hideMark/>
          </w:tcPr>
          <w:p w14:paraId="5ECCD91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6</w:t>
            </w:r>
          </w:p>
        </w:tc>
        <w:tc>
          <w:tcPr>
            <w:tcW w:w="532" w:type="pct"/>
            <w:tcBorders>
              <w:top w:val="nil"/>
              <w:left w:val="nil"/>
              <w:bottom w:val="single" w:sz="4" w:space="0" w:color="auto"/>
              <w:right w:val="single" w:sz="4" w:space="0" w:color="auto"/>
            </w:tcBorders>
            <w:noWrap/>
            <w:vAlign w:val="bottom"/>
            <w:hideMark/>
          </w:tcPr>
          <w:p w14:paraId="73B11C3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26</w:t>
            </w:r>
          </w:p>
        </w:tc>
        <w:tc>
          <w:tcPr>
            <w:tcW w:w="676" w:type="pct"/>
            <w:tcBorders>
              <w:top w:val="nil"/>
              <w:left w:val="nil"/>
              <w:bottom w:val="single" w:sz="4" w:space="0" w:color="auto"/>
              <w:right w:val="single" w:sz="4" w:space="0" w:color="auto"/>
            </w:tcBorders>
            <w:noWrap/>
            <w:vAlign w:val="bottom"/>
            <w:hideMark/>
          </w:tcPr>
          <w:p w14:paraId="6C95955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3 056</w:t>
            </w:r>
          </w:p>
        </w:tc>
        <w:tc>
          <w:tcPr>
            <w:tcW w:w="472" w:type="pct"/>
            <w:tcBorders>
              <w:top w:val="nil"/>
              <w:left w:val="nil"/>
              <w:bottom w:val="single" w:sz="4" w:space="0" w:color="auto"/>
              <w:right w:val="single" w:sz="4" w:space="0" w:color="auto"/>
            </w:tcBorders>
            <w:noWrap/>
            <w:vAlign w:val="bottom"/>
            <w:hideMark/>
          </w:tcPr>
          <w:p w14:paraId="41903A5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14 036</w:t>
            </w:r>
          </w:p>
        </w:tc>
        <w:tc>
          <w:tcPr>
            <w:tcW w:w="482" w:type="pct"/>
            <w:tcBorders>
              <w:top w:val="nil"/>
              <w:left w:val="nil"/>
              <w:bottom w:val="single" w:sz="4" w:space="0" w:color="auto"/>
              <w:right w:val="single" w:sz="8" w:space="0" w:color="auto"/>
            </w:tcBorders>
            <w:noWrap/>
            <w:vAlign w:val="bottom"/>
            <w:hideMark/>
          </w:tcPr>
          <w:p w14:paraId="551B444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168</w:t>
            </w:r>
          </w:p>
        </w:tc>
      </w:tr>
      <w:tr w:rsidR="002C206D" w14:paraId="43138F0A"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129D925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2022</w:t>
            </w:r>
          </w:p>
        </w:tc>
        <w:tc>
          <w:tcPr>
            <w:tcW w:w="339" w:type="pct"/>
            <w:tcBorders>
              <w:top w:val="nil"/>
              <w:left w:val="nil"/>
              <w:bottom w:val="single" w:sz="4" w:space="0" w:color="auto"/>
              <w:right w:val="single" w:sz="4" w:space="0" w:color="auto"/>
            </w:tcBorders>
            <w:noWrap/>
            <w:vAlign w:val="bottom"/>
            <w:hideMark/>
          </w:tcPr>
          <w:p w14:paraId="4204AC23"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CB</w:t>
            </w:r>
          </w:p>
        </w:tc>
        <w:tc>
          <w:tcPr>
            <w:tcW w:w="567" w:type="pct"/>
            <w:tcBorders>
              <w:top w:val="nil"/>
              <w:left w:val="nil"/>
              <w:bottom w:val="single" w:sz="4" w:space="0" w:color="auto"/>
              <w:right w:val="single" w:sz="4" w:space="0" w:color="auto"/>
            </w:tcBorders>
            <w:noWrap/>
            <w:vAlign w:val="bottom"/>
            <w:hideMark/>
          </w:tcPr>
          <w:p w14:paraId="484C96F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41 810</w:t>
            </w:r>
          </w:p>
        </w:tc>
        <w:tc>
          <w:tcPr>
            <w:tcW w:w="527" w:type="pct"/>
            <w:tcBorders>
              <w:top w:val="nil"/>
              <w:left w:val="nil"/>
              <w:bottom w:val="single" w:sz="4" w:space="0" w:color="auto"/>
              <w:right w:val="single" w:sz="4" w:space="0" w:color="auto"/>
            </w:tcBorders>
            <w:noWrap/>
            <w:vAlign w:val="bottom"/>
            <w:hideMark/>
          </w:tcPr>
          <w:p w14:paraId="3D47D91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20 680</w:t>
            </w:r>
          </w:p>
        </w:tc>
        <w:tc>
          <w:tcPr>
            <w:tcW w:w="527" w:type="pct"/>
            <w:tcBorders>
              <w:top w:val="nil"/>
              <w:left w:val="nil"/>
              <w:bottom w:val="single" w:sz="4" w:space="0" w:color="auto"/>
              <w:right w:val="single" w:sz="4" w:space="0" w:color="auto"/>
            </w:tcBorders>
            <w:noWrap/>
            <w:vAlign w:val="bottom"/>
            <w:hideMark/>
          </w:tcPr>
          <w:p w14:paraId="086142D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2 175</w:t>
            </w:r>
          </w:p>
        </w:tc>
        <w:tc>
          <w:tcPr>
            <w:tcW w:w="548" w:type="pct"/>
            <w:tcBorders>
              <w:top w:val="nil"/>
              <w:left w:val="nil"/>
              <w:bottom w:val="single" w:sz="4" w:space="0" w:color="auto"/>
              <w:right w:val="single" w:sz="4" w:space="0" w:color="auto"/>
            </w:tcBorders>
            <w:noWrap/>
            <w:vAlign w:val="bottom"/>
            <w:hideMark/>
          </w:tcPr>
          <w:p w14:paraId="164F18D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6</w:t>
            </w:r>
          </w:p>
        </w:tc>
        <w:tc>
          <w:tcPr>
            <w:tcW w:w="532" w:type="pct"/>
            <w:tcBorders>
              <w:top w:val="nil"/>
              <w:left w:val="nil"/>
              <w:bottom w:val="single" w:sz="4" w:space="0" w:color="auto"/>
              <w:right w:val="single" w:sz="4" w:space="0" w:color="auto"/>
            </w:tcBorders>
            <w:noWrap/>
            <w:vAlign w:val="bottom"/>
            <w:hideMark/>
          </w:tcPr>
          <w:p w14:paraId="7379A46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26</w:t>
            </w:r>
          </w:p>
        </w:tc>
        <w:tc>
          <w:tcPr>
            <w:tcW w:w="676" w:type="pct"/>
            <w:tcBorders>
              <w:top w:val="nil"/>
              <w:left w:val="nil"/>
              <w:bottom w:val="single" w:sz="4" w:space="0" w:color="auto"/>
              <w:right w:val="single" w:sz="4" w:space="0" w:color="auto"/>
            </w:tcBorders>
            <w:noWrap/>
            <w:vAlign w:val="bottom"/>
            <w:hideMark/>
          </w:tcPr>
          <w:p w14:paraId="1CA6217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4 805</w:t>
            </w:r>
          </w:p>
        </w:tc>
        <w:tc>
          <w:tcPr>
            <w:tcW w:w="472" w:type="pct"/>
            <w:tcBorders>
              <w:top w:val="nil"/>
              <w:left w:val="nil"/>
              <w:bottom w:val="single" w:sz="4" w:space="0" w:color="auto"/>
              <w:right w:val="single" w:sz="4" w:space="0" w:color="auto"/>
            </w:tcBorders>
            <w:noWrap/>
            <w:vAlign w:val="bottom"/>
            <w:hideMark/>
          </w:tcPr>
          <w:p w14:paraId="2C5EEF3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13 950</w:t>
            </w:r>
          </w:p>
        </w:tc>
        <w:tc>
          <w:tcPr>
            <w:tcW w:w="482" w:type="pct"/>
            <w:tcBorders>
              <w:top w:val="nil"/>
              <w:left w:val="nil"/>
              <w:bottom w:val="single" w:sz="4" w:space="0" w:color="auto"/>
              <w:right w:val="single" w:sz="8" w:space="0" w:color="auto"/>
            </w:tcBorders>
            <w:noWrap/>
            <w:vAlign w:val="bottom"/>
            <w:hideMark/>
          </w:tcPr>
          <w:p w14:paraId="510B8C5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168</w:t>
            </w:r>
          </w:p>
        </w:tc>
      </w:tr>
      <w:tr w:rsidR="002C206D" w14:paraId="2553C248" w14:textId="77777777" w:rsidTr="002C206D">
        <w:trPr>
          <w:trHeight w:val="300"/>
        </w:trPr>
        <w:tc>
          <w:tcPr>
            <w:tcW w:w="330" w:type="pct"/>
            <w:tcBorders>
              <w:top w:val="single" w:sz="4" w:space="0" w:color="auto"/>
              <w:left w:val="single" w:sz="8" w:space="0" w:color="auto"/>
              <w:bottom w:val="single" w:sz="4" w:space="0" w:color="auto"/>
              <w:right w:val="single" w:sz="4" w:space="0" w:color="auto"/>
            </w:tcBorders>
            <w:noWrap/>
            <w:vAlign w:val="bottom"/>
            <w:hideMark/>
          </w:tcPr>
          <w:p w14:paraId="60635DA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2023</w:t>
            </w:r>
          </w:p>
        </w:tc>
        <w:tc>
          <w:tcPr>
            <w:tcW w:w="339" w:type="pct"/>
            <w:tcBorders>
              <w:top w:val="single" w:sz="4" w:space="0" w:color="auto"/>
              <w:left w:val="nil"/>
              <w:bottom w:val="single" w:sz="4" w:space="0" w:color="auto"/>
              <w:right w:val="single" w:sz="4" w:space="0" w:color="auto"/>
            </w:tcBorders>
            <w:noWrap/>
            <w:vAlign w:val="bottom"/>
            <w:hideMark/>
          </w:tcPr>
          <w:p w14:paraId="5F0BD203"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rPr>
              <w:t>CA</w:t>
            </w:r>
          </w:p>
        </w:tc>
        <w:tc>
          <w:tcPr>
            <w:tcW w:w="567" w:type="pct"/>
            <w:tcBorders>
              <w:top w:val="single" w:sz="4" w:space="0" w:color="auto"/>
              <w:left w:val="nil"/>
              <w:bottom w:val="single" w:sz="4" w:space="0" w:color="auto"/>
              <w:right w:val="single" w:sz="4" w:space="0" w:color="auto"/>
            </w:tcBorders>
            <w:noWrap/>
            <w:vAlign w:val="bottom"/>
            <w:hideMark/>
          </w:tcPr>
          <w:p w14:paraId="6384A5D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72 088</w:t>
            </w:r>
          </w:p>
        </w:tc>
        <w:tc>
          <w:tcPr>
            <w:tcW w:w="527" w:type="pct"/>
            <w:tcBorders>
              <w:top w:val="single" w:sz="4" w:space="0" w:color="auto"/>
              <w:left w:val="nil"/>
              <w:bottom w:val="single" w:sz="4" w:space="0" w:color="auto"/>
              <w:right w:val="single" w:sz="4" w:space="0" w:color="auto"/>
            </w:tcBorders>
            <w:noWrap/>
            <w:vAlign w:val="bottom"/>
            <w:hideMark/>
          </w:tcPr>
          <w:p w14:paraId="72DB006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29 230</w:t>
            </w:r>
          </w:p>
        </w:tc>
        <w:tc>
          <w:tcPr>
            <w:tcW w:w="527" w:type="pct"/>
            <w:tcBorders>
              <w:top w:val="single" w:sz="4" w:space="0" w:color="auto"/>
              <w:left w:val="nil"/>
              <w:bottom w:val="single" w:sz="4" w:space="0" w:color="auto"/>
              <w:right w:val="single" w:sz="4" w:space="0" w:color="auto"/>
            </w:tcBorders>
            <w:noWrap/>
            <w:vAlign w:val="bottom"/>
            <w:hideMark/>
          </w:tcPr>
          <w:p w14:paraId="56AB13F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2 523</w:t>
            </w:r>
          </w:p>
        </w:tc>
        <w:tc>
          <w:tcPr>
            <w:tcW w:w="548" w:type="pct"/>
            <w:tcBorders>
              <w:top w:val="single" w:sz="4" w:space="0" w:color="auto"/>
              <w:left w:val="nil"/>
              <w:bottom w:val="single" w:sz="4" w:space="0" w:color="auto"/>
              <w:right w:val="single" w:sz="4" w:space="0" w:color="auto"/>
            </w:tcBorders>
            <w:noWrap/>
            <w:vAlign w:val="bottom"/>
            <w:hideMark/>
          </w:tcPr>
          <w:p w14:paraId="7C2A769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8</w:t>
            </w:r>
          </w:p>
        </w:tc>
        <w:tc>
          <w:tcPr>
            <w:tcW w:w="532" w:type="pct"/>
            <w:tcBorders>
              <w:top w:val="single" w:sz="4" w:space="0" w:color="auto"/>
              <w:left w:val="nil"/>
              <w:bottom w:val="single" w:sz="4" w:space="0" w:color="auto"/>
              <w:right w:val="single" w:sz="4" w:space="0" w:color="auto"/>
            </w:tcBorders>
            <w:noWrap/>
            <w:vAlign w:val="bottom"/>
            <w:hideMark/>
          </w:tcPr>
          <w:p w14:paraId="0414B37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26</w:t>
            </w:r>
          </w:p>
        </w:tc>
        <w:tc>
          <w:tcPr>
            <w:tcW w:w="676" w:type="pct"/>
            <w:tcBorders>
              <w:top w:val="single" w:sz="4" w:space="0" w:color="auto"/>
              <w:left w:val="nil"/>
              <w:bottom w:val="single" w:sz="4" w:space="0" w:color="auto"/>
              <w:right w:val="single" w:sz="4" w:space="0" w:color="auto"/>
            </w:tcBorders>
            <w:noWrap/>
            <w:vAlign w:val="bottom"/>
            <w:hideMark/>
          </w:tcPr>
          <w:p w14:paraId="293479E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1 997</w:t>
            </w:r>
          </w:p>
        </w:tc>
        <w:tc>
          <w:tcPr>
            <w:tcW w:w="472" w:type="pct"/>
            <w:tcBorders>
              <w:top w:val="single" w:sz="4" w:space="0" w:color="auto"/>
              <w:left w:val="nil"/>
              <w:bottom w:val="single" w:sz="4" w:space="0" w:color="auto"/>
              <w:right w:val="single" w:sz="4" w:space="0" w:color="auto"/>
            </w:tcBorders>
            <w:noWrap/>
            <w:vAlign w:val="bottom"/>
            <w:hideMark/>
          </w:tcPr>
          <w:p w14:paraId="5D3443F7"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38 285</w:t>
            </w:r>
          </w:p>
        </w:tc>
        <w:tc>
          <w:tcPr>
            <w:tcW w:w="482" w:type="pct"/>
            <w:tcBorders>
              <w:top w:val="single" w:sz="4" w:space="0" w:color="auto"/>
              <w:left w:val="nil"/>
              <w:bottom w:val="single" w:sz="4" w:space="0" w:color="auto"/>
              <w:right w:val="single" w:sz="8" w:space="0" w:color="auto"/>
            </w:tcBorders>
            <w:noWrap/>
            <w:vAlign w:val="bottom"/>
            <w:hideMark/>
          </w:tcPr>
          <w:p w14:paraId="3920406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19</w:t>
            </w:r>
          </w:p>
        </w:tc>
      </w:tr>
      <w:tr w:rsidR="002C206D" w14:paraId="2CFEBA89"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1950F83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2023</w:t>
            </w:r>
          </w:p>
        </w:tc>
        <w:tc>
          <w:tcPr>
            <w:tcW w:w="339" w:type="pct"/>
            <w:tcBorders>
              <w:top w:val="nil"/>
              <w:left w:val="nil"/>
              <w:bottom w:val="single" w:sz="4" w:space="0" w:color="auto"/>
              <w:right w:val="single" w:sz="4" w:space="0" w:color="auto"/>
            </w:tcBorders>
            <w:noWrap/>
            <w:vAlign w:val="bottom"/>
            <w:hideMark/>
          </w:tcPr>
          <w:p w14:paraId="524FD27D"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rPr>
              <w:t>CB</w:t>
            </w:r>
          </w:p>
        </w:tc>
        <w:tc>
          <w:tcPr>
            <w:tcW w:w="567" w:type="pct"/>
            <w:tcBorders>
              <w:top w:val="nil"/>
              <w:left w:val="nil"/>
              <w:bottom w:val="single" w:sz="4" w:space="0" w:color="auto"/>
              <w:right w:val="single" w:sz="4" w:space="0" w:color="auto"/>
            </w:tcBorders>
            <w:noWrap/>
            <w:vAlign w:val="bottom"/>
            <w:hideMark/>
          </w:tcPr>
          <w:p w14:paraId="5B4AE43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74 127</w:t>
            </w:r>
          </w:p>
        </w:tc>
        <w:tc>
          <w:tcPr>
            <w:tcW w:w="527" w:type="pct"/>
            <w:tcBorders>
              <w:top w:val="nil"/>
              <w:left w:val="nil"/>
              <w:bottom w:val="single" w:sz="4" w:space="0" w:color="auto"/>
              <w:right w:val="single" w:sz="4" w:space="0" w:color="auto"/>
            </w:tcBorders>
            <w:noWrap/>
            <w:vAlign w:val="bottom"/>
            <w:hideMark/>
          </w:tcPr>
          <w:p w14:paraId="6321236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29 230</w:t>
            </w:r>
          </w:p>
        </w:tc>
        <w:tc>
          <w:tcPr>
            <w:tcW w:w="527" w:type="pct"/>
            <w:tcBorders>
              <w:top w:val="nil"/>
              <w:left w:val="nil"/>
              <w:bottom w:val="single" w:sz="4" w:space="0" w:color="auto"/>
              <w:right w:val="single" w:sz="4" w:space="0" w:color="auto"/>
            </w:tcBorders>
            <w:noWrap/>
            <w:vAlign w:val="bottom"/>
            <w:hideMark/>
          </w:tcPr>
          <w:p w14:paraId="095762E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2 523</w:t>
            </w:r>
          </w:p>
        </w:tc>
        <w:tc>
          <w:tcPr>
            <w:tcW w:w="548" w:type="pct"/>
            <w:tcBorders>
              <w:top w:val="nil"/>
              <w:left w:val="nil"/>
              <w:bottom w:val="single" w:sz="4" w:space="0" w:color="auto"/>
              <w:right w:val="single" w:sz="4" w:space="0" w:color="auto"/>
            </w:tcBorders>
            <w:noWrap/>
            <w:vAlign w:val="bottom"/>
            <w:hideMark/>
          </w:tcPr>
          <w:p w14:paraId="787A453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8</w:t>
            </w:r>
          </w:p>
        </w:tc>
        <w:tc>
          <w:tcPr>
            <w:tcW w:w="532" w:type="pct"/>
            <w:tcBorders>
              <w:top w:val="nil"/>
              <w:left w:val="nil"/>
              <w:bottom w:val="single" w:sz="4" w:space="0" w:color="auto"/>
              <w:right w:val="single" w:sz="4" w:space="0" w:color="auto"/>
            </w:tcBorders>
            <w:noWrap/>
            <w:vAlign w:val="bottom"/>
            <w:hideMark/>
          </w:tcPr>
          <w:p w14:paraId="05BED84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26</w:t>
            </w:r>
          </w:p>
        </w:tc>
        <w:tc>
          <w:tcPr>
            <w:tcW w:w="676" w:type="pct"/>
            <w:tcBorders>
              <w:top w:val="nil"/>
              <w:left w:val="nil"/>
              <w:bottom w:val="single" w:sz="4" w:space="0" w:color="auto"/>
              <w:right w:val="single" w:sz="4" w:space="0" w:color="auto"/>
            </w:tcBorders>
            <w:noWrap/>
            <w:vAlign w:val="bottom"/>
            <w:hideMark/>
          </w:tcPr>
          <w:p w14:paraId="057CE32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4 036</w:t>
            </w:r>
          </w:p>
        </w:tc>
        <w:tc>
          <w:tcPr>
            <w:tcW w:w="472" w:type="pct"/>
            <w:tcBorders>
              <w:top w:val="nil"/>
              <w:left w:val="nil"/>
              <w:bottom w:val="single" w:sz="4" w:space="0" w:color="auto"/>
              <w:right w:val="single" w:sz="4" w:space="0" w:color="auto"/>
            </w:tcBorders>
            <w:noWrap/>
            <w:vAlign w:val="bottom"/>
            <w:hideMark/>
          </w:tcPr>
          <w:p w14:paraId="23233F9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38 285</w:t>
            </w:r>
          </w:p>
        </w:tc>
        <w:tc>
          <w:tcPr>
            <w:tcW w:w="482" w:type="pct"/>
            <w:tcBorders>
              <w:top w:val="nil"/>
              <w:left w:val="nil"/>
              <w:bottom w:val="single" w:sz="4" w:space="0" w:color="auto"/>
              <w:right w:val="single" w:sz="8" w:space="0" w:color="auto"/>
            </w:tcBorders>
            <w:noWrap/>
            <w:vAlign w:val="bottom"/>
            <w:hideMark/>
          </w:tcPr>
          <w:p w14:paraId="1A4A3C7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rPr>
              <w:t>19</w:t>
            </w:r>
          </w:p>
        </w:tc>
      </w:tr>
      <w:tr w:rsidR="002C206D" w14:paraId="7B4B9EAD"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4346E5A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2024</w:t>
            </w:r>
          </w:p>
        </w:tc>
        <w:tc>
          <w:tcPr>
            <w:tcW w:w="339" w:type="pct"/>
            <w:tcBorders>
              <w:top w:val="nil"/>
              <w:left w:val="nil"/>
              <w:bottom w:val="single" w:sz="4" w:space="0" w:color="auto"/>
              <w:right w:val="single" w:sz="4" w:space="0" w:color="auto"/>
            </w:tcBorders>
            <w:noWrap/>
            <w:vAlign w:val="bottom"/>
            <w:hideMark/>
          </w:tcPr>
          <w:p w14:paraId="11E5D167"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CA</w:t>
            </w:r>
          </w:p>
        </w:tc>
        <w:tc>
          <w:tcPr>
            <w:tcW w:w="567" w:type="pct"/>
            <w:tcBorders>
              <w:top w:val="nil"/>
              <w:left w:val="nil"/>
              <w:bottom w:val="single" w:sz="4" w:space="0" w:color="auto"/>
              <w:right w:val="single" w:sz="4" w:space="0" w:color="auto"/>
            </w:tcBorders>
            <w:noWrap/>
            <w:vAlign w:val="bottom"/>
            <w:hideMark/>
          </w:tcPr>
          <w:p w14:paraId="389F0EB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70 588</w:t>
            </w:r>
          </w:p>
        </w:tc>
        <w:tc>
          <w:tcPr>
            <w:tcW w:w="527" w:type="pct"/>
            <w:tcBorders>
              <w:top w:val="nil"/>
              <w:left w:val="nil"/>
              <w:bottom w:val="single" w:sz="4" w:space="0" w:color="auto"/>
              <w:right w:val="single" w:sz="4" w:space="0" w:color="auto"/>
            </w:tcBorders>
            <w:noWrap/>
            <w:vAlign w:val="bottom"/>
            <w:hideMark/>
          </w:tcPr>
          <w:p w14:paraId="490397E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25 540</w:t>
            </w:r>
          </w:p>
        </w:tc>
        <w:tc>
          <w:tcPr>
            <w:tcW w:w="527" w:type="pct"/>
            <w:tcBorders>
              <w:top w:val="nil"/>
              <w:left w:val="nil"/>
              <w:bottom w:val="single" w:sz="4" w:space="0" w:color="auto"/>
              <w:right w:val="single" w:sz="4" w:space="0" w:color="auto"/>
            </w:tcBorders>
            <w:noWrap/>
            <w:vAlign w:val="bottom"/>
            <w:hideMark/>
          </w:tcPr>
          <w:p w14:paraId="29E87A6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7 744</w:t>
            </w:r>
          </w:p>
        </w:tc>
        <w:tc>
          <w:tcPr>
            <w:tcW w:w="548" w:type="pct"/>
            <w:tcBorders>
              <w:top w:val="nil"/>
              <w:left w:val="nil"/>
              <w:bottom w:val="single" w:sz="4" w:space="0" w:color="auto"/>
              <w:right w:val="single" w:sz="4" w:space="0" w:color="auto"/>
            </w:tcBorders>
            <w:noWrap/>
            <w:vAlign w:val="bottom"/>
            <w:hideMark/>
          </w:tcPr>
          <w:p w14:paraId="56AD6FD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30</w:t>
            </w:r>
          </w:p>
        </w:tc>
        <w:tc>
          <w:tcPr>
            <w:tcW w:w="532" w:type="pct"/>
            <w:tcBorders>
              <w:top w:val="nil"/>
              <w:left w:val="nil"/>
              <w:bottom w:val="single" w:sz="4" w:space="0" w:color="auto"/>
              <w:right w:val="single" w:sz="4" w:space="0" w:color="auto"/>
            </w:tcBorders>
            <w:noWrap/>
            <w:vAlign w:val="bottom"/>
            <w:hideMark/>
          </w:tcPr>
          <w:p w14:paraId="56A7F5C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28</w:t>
            </w:r>
          </w:p>
        </w:tc>
        <w:tc>
          <w:tcPr>
            <w:tcW w:w="676" w:type="pct"/>
            <w:tcBorders>
              <w:top w:val="nil"/>
              <w:left w:val="nil"/>
              <w:bottom w:val="single" w:sz="4" w:space="0" w:color="auto"/>
              <w:right w:val="single" w:sz="4" w:space="0" w:color="auto"/>
            </w:tcBorders>
            <w:noWrap/>
            <w:vAlign w:val="bottom"/>
            <w:hideMark/>
          </w:tcPr>
          <w:p w14:paraId="048BA98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216</w:t>
            </w:r>
          </w:p>
        </w:tc>
        <w:tc>
          <w:tcPr>
            <w:tcW w:w="472" w:type="pct"/>
            <w:tcBorders>
              <w:top w:val="nil"/>
              <w:left w:val="nil"/>
              <w:bottom w:val="single" w:sz="4" w:space="0" w:color="auto"/>
              <w:right w:val="single" w:sz="4" w:space="0" w:color="auto"/>
            </w:tcBorders>
            <w:noWrap/>
            <w:vAlign w:val="bottom"/>
            <w:hideMark/>
          </w:tcPr>
          <w:p w14:paraId="7CF2A32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37 000</w:t>
            </w:r>
          </w:p>
        </w:tc>
        <w:tc>
          <w:tcPr>
            <w:tcW w:w="482" w:type="pct"/>
            <w:tcBorders>
              <w:top w:val="nil"/>
              <w:left w:val="nil"/>
              <w:bottom w:val="single" w:sz="4" w:space="0" w:color="auto"/>
              <w:right w:val="single" w:sz="8" w:space="0" w:color="auto"/>
            </w:tcBorders>
            <w:noWrap/>
            <w:vAlign w:val="bottom"/>
            <w:hideMark/>
          </w:tcPr>
          <w:p w14:paraId="0369576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30</w:t>
            </w:r>
          </w:p>
        </w:tc>
      </w:tr>
      <w:tr w:rsidR="002C206D" w14:paraId="0B8B1D9D" w14:textId="77777777" w:rsidTr="002C206D">
        <w:trPr>
          <w:trHeight w:val="315"/>
        </w:trPr>
        <w:tc>
          <w:tcPr>
            <w:tcW w:w="330" w:type="pct"/>
            <w:tcBorders>
              <w:top w:val="nil"/>
              <w:left w:val="single" w:sz="8" w:space="0" w:color="auto"/>
              <w:bottom w:val="single" w:sz="8" w:space="0" w:color="auto"/>
              <w:right w:val="single" w:sz="4" w:space="0" w:color="auto"/>
            </w:tcBorders>
            <w:noWrap/>
            <w:vAlign w:val="bottom"/>
            <w:hideMark/>
          </w:tcPr>
          <w:p w14:paraId="1F1347E3"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2024</w:t>
            </w:r>
          </w:p>
        </w:tc>
        <w:tc>
          <w:tcPr>
            <w:tcW w:w="339" w:type="pct"/>
            <w:tcBorders>
              <w:top w:val="nil"/>
              <w:left w:val="nil"/>
              <w:bottom w:val="single" w:sz="8" w:space="0" w:color="auto"/>
              <w:right w:val="single" w:sz="4" w:space="0" w:color="auto"/>
            </w:tcBorders>
            <w:noWrap/>
            <w:vAlign w:val="bottom"/>
            <w:hideMark/>
          </w:tcPr>
          <w:p w14:paraId="41B99ED0"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CB</w:t>
            </w:r>
          </w:p>
        </w:tc>
        <w:tc>
          <w:tcPr>
            <w:tcW w:w="567" w:type="pct"/>
            <w:tcBorders>
              <w:top w:val="nil"/>
              <w:left w:val="nil"/>
              <w:bottom w:val="single" w:sz="8" w:space="0" w:color="auto"/>
              <w:right w:val="single" w:sz="4" w:space="0" w:color="auto"/>
            </w:tcBorders>
            <w:noWrap/>
            <w:vAlign w:val="bottom"/>
            <w:hideMark/>
          </w:tcPr>
          <w:p w14:paraId="090E791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70 372</w:t>
            </w:r>
          </w:p>
        </w:tc>
        <w:tc>
          <w:tcPr>
            <w:tcW w:w="527" w:type="pct"/>
            <w:tcBorders>
              <w:top w:val="nil"/>
              <w:left w:val="nil"/>
              <w:bottom w:val="single" w:sz="4" w:space="0" w:color="auto"/>
              <w:right w:val="single" w:sz="4" w:space="0" w:color="auto"/>
            </w:tcBorders>
            <w:noWrap/>
            <w:vAlign w:val="bottom"/>
            <w:hideMark/>
          </w:tcPr>
          <w:p w14:paraId="0B49286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25 540</w:t>
            </w:r>
          </w:p>
        </w:tc>
        <w:tc>
          <w:tcPr>
            <w:tcW w:w="527" w:type="pct"/>
            <w:tcBorders>
              <w:top w:val="nil"/>
              <w:left w:val="nil"/>
              <w:bottom w:val="single" w:sz="4" w:space="0" w:color="auto"/>
              <w:right w:val="single" w:sz="4" w:space="0" w:color="auto"/>
            </w:tcBorders>
            <w:noWrap/>
            <w:vAlign w:val="bottom"/>
            <w:hideMark/>
          </w:tcPr>
          <w:p w14:paraId="10A09DB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7 744</w:t>
            </w:r>
          </w:p>
        </w:tc>
        <w:tc>
          <w:tcPr>
            <w:tcW w:w="548" w:type="pct"/>
            <w:tcBorders>
              <w:top w:val="nil"/>
              <w:left w:val="nil"/>
              <w:bottom w:val="single" w:sz="4" w:space="0" w:color="auto"/>
              <w:right w:val="single" w:sz="4" w:space="0" w:color="auto"/>
            </w:tcBorders>
            <w:noWrap/>
            <w:vAlign w:val="bottom"/>
            <w:hideMark/>
          </w:tcPr>
          <w:p w14:paraId="7CD021B7"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30</w:t>
            </w:r>
          </w:p>
        </w:tc>
        <w:tc>
          <w:tcPr>
            <w:tcW w:w="532" w:type="pct"/>
            <w:tcBorders>
              <w:top w:val="nil"/>
              <w:left w:val="nil"/>
              <w:bottom w:val="single" w:sz="4" w:space="0" w:color="auto"/>
              <w:right w:val="single" w:sz="4" w:space="0" w:color="auto"/>
            </w:tcBorders>
            <w:noWrap/>
            <w:vAlign w:val="bottom"/>
            <w:hideMark/>
          </w:tcPr>
          <w:p w14:paraId="57AA635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28</w:t>
            </w:r>
          </w:p>
        </w:tc>
        <w:tc>
          <w:tcPr>
            <w:tcW w:w="676" w:type="pct"/>
            <w:tcBorders>
              <w:top w:val="nil"/>
              <w:left w:val="nil"/>
              <w:bottom w:val="single" w:sz="4" w:space="0" w:color="auto"/>
              <w:right w:val="single" w:sz="4" w:space="0" w:color="auto"/>
            </w:tcBorders>
            <w:noWrap/>
            <w:vAlign w:val="bottom"/>
            <w:hideMark/>
          </w:tcPr>
          <w:p w14:paraId="3EB0DB6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472" w:type="pct"/>
            <w:tcBorders>
              <w:top w:val="nil"/>
              <w:left w:val="nil"/>
              <w:bottom w:val="single" w:sz="4" w:space="0" w:color="auto"/>
              <w:right w:val="single" w:sz="4" w:space="0" w:color="auto"/>
            </w:tcBorders>
            <w:noWrap/>
            <w:vAlign w:val="bottom"/>
            <w:hideMark/>
          </w:tcPr>
          <w:p w14:paraId="21DD515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37 000</w:t>
            </w:r>
          </w:p>
        </w:tc>
        <w:tc>
          <w:tcPr>
            <w:tcW w:w="482" w:type="pct"/>
            <w:tcBorders>
              <w:top w:val="nil"/>
              <w:left w:val="nil"/>
              <w:bottom w:val="single" w:sz="4" w:space="0" w:color="auto"/>
              <w:right w:val="single" w:sz="8" w:space="0" w:color="auto"/>
            </w:tcBorders>
            <w:noWrap/>
            <w:vAlign w:val="bottom"/>
            <w:hideMark/>
          </w:tcPr>
          <w:p w14:paraId="4285369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30</w:t>
            </w:r>
          </w:p>
        </w:tc>
      </w:tr>
    </w:tbl>
    <w:p w14:paraId="72FBC7B4" w14:textId="77777777" w:rsidR="002C206D" w:rsidRDefault="002C206D" w:rsidP="002C206D">
      <w:pPr>
        <w:rPr>
          <w:rFonts w:asciiTheme="minorHAnsi" w:hAnsiTheme="minorHAnsi" w:cstheme="minorHAnsi"/>
          <w:sz w:val="26"/>
          <w:szCs w:val="26"/>
        </w:rPr>
      </w:pPr>
      <w:r>
        <w:rPr>
          <w:rFonts w:asciiTheme="minorHAnsi" w:hAnsiTheme="minorHAnsi" w:cstheme="minorHAnsi"/>
          <w:sz w:val="26"/>
          <w:szCs w:val="26"/>
        </w:rPr>
        <w:t xml:space="preserve">  </w:t>
      </w:r>
    </w:p>
    <w:p w14:paraId="40294305" w14:textId="77777777" w:rsidR="002C206D" w:rsidRDefault="002C206D" w:rsidP="002C206D">
      <w:pPr>
        <w:keepNext/>
        <w:jc w:val="center"/>
        <w:rPr>
          <w:rFonts w:asciiTheme="minorHAnsi" w:hAnsiTheme="minorHAnsi" w:cstheme="minorHAnsi"/>
          <w:b/>
          <w:sz w:val="26"/>
          <w:szCs w:val="26"/>
        </w:rPr>
      </w:pPr>
      <w:bookmarkStart w:id="122" w:name="_Toc430867126"/>
      <w:r>
        <w:rPr>
          <w:rFonts w:asciiTheme="minorHAnsi" w:hAnsiTheme="minorHAnsi" w:cstheme="minorHAnsi"/>
          <w:b/>
          <w:sz w:val="26"/>
          <w:szCs w:val="26"/>
        </w:rPr>
        <w:lastRenderedPageBreak/>
        <w:t>ȘCOALA NAȚIONALĂ DE GREFIERI</w:t>
      </w:r>
    </w:p>
    <w:p w14:paraId="09FCEFC3" w14:textId="7C43EF5F" w:rsidR="002C206D" w:rsidRDefault="002C206D" w:rsidP="002C206D">
      <w:pPr>
        <w:keepNext/>
        <w:jc w:val="center"/>
        <w:rPr>
          <w:rFonts w:asciiTheme="minorHAnsi" w:hAnsiTheme="minorHAnsi" w:cstheme="minorHAnsi"/>
          <w:sz w:val="26"/>
          <w:szCs w:val="26"/>
        </w:rPr>
      </w:pPr>
      <w:r>
        <w:rPr>
          <w:noProof/>
        </w:rPr>
        <w:drawing>
          <wp:inline distT="0" distB="0" distL="0" distR="0" wp14:anchorId="41451661" wp14:editId="4E004AD7">
            <wp:extent cx="5324475" cy="3981450"/>
            <wp:effectExtent l="0" t="0" r="9525" b="0"/>
            <wp:docPr id="461346637" name="Chart 6">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86B041" w14:textId="77777777" w:rsidR="002C206D" w:rsidRDefault="002C206D" w:rsidP="002C206D">
      <w:pPr>
        <w:keepNext/>
        <w:jc w:val="center"/>
        <w:rPr>
          <w:rFonts w:asciiTheme="minorHAnsi" w:hAnsiTheme="minorHAnsi" w:cstheme="minorHAnsi"/>
          <w:sz w:val="26"/>
          <w:szCs w:val="26"/>
        </w:rPr>
      </w:pPr>
    </w:p>
    <w:p w14:paraId="15249218" w14:textId="77777777" w:rsidR="002C206D" w:rsidRDefault="002C206D" w:rsidP="002C206D">
      <w:pPr>
        <w:keepNext/>
        <w:jc w:val="center"/>
        <w:rPr>
          <w:rFonts w:asciiTheme="minorHAnsi" w:hAnsiTheme="minorHAnsi" w:cstheme="minorHAnsi"/>
          <w:sz w:val="26"/>
          <w:szCs w:val="26"/>
        </w:rPr>
      </w:pPr>
    </w:p>
    <w:p w14:paraId="37056C73" w14:textId="77777777" w:rsidR="002C206D" w:rsidRDefault="002C206D" w:rsidP="002C206D">
      <w:pPr>
        <w:jc w:val="right"/>
        <w:rPr>
          <w:rFonts w:asciiTheme="minorHAnsi" w:hAnsiTheme="minorHAnsi" w:cstheme="minorHAnsi"/>
          <w:sz w:val="26"/>
          <w:szCs w:val="26"/>
        </w:rPr>
      </w:pP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t xml:space="preserve">                       </w:t>
      </w:r>
      <w:r>
        <w:rPr>
          <w:rFonts w:asciiTheme="minorHAnsi" w:hAnsiTheme="minorHAnsi" w:cstheme="minorHAnsi"/>
          <w:b/>
          <w:sz w:val="26"/>
          <w:szCs w:val="26"/>
        </w:rPr>
        <w:t>mii lei</w:t>
      </w:r>
    </w:p>
    <w:tbl>
      <w:tblPr>
        <w:tblW w:w="5000" w:type="pct"/>
        <w:tblLook w:val="04A0" w:firstRow="1" w:lastRow="0" w:firstColumn="1" w:lastColumn="0" w:noHBand="0" w:noVBand="1"/>
      </w:tblPr>
      <w:tblGrid>
        <w:gridCol w:w="673"/>
        <w:gridCol w:w="690"/>
        <w:gridCol w:w="1155"/>
        <w:gridCol w:w="1073"/>
        <w:gridCol w:w="1073"/>
        <w:gridCol w:w="1116"/>
        <w:gridCol w:w="1084"/>
        <w:gridCol w:w="1377"/>
        <w:gridCol w:w="961"/>
        <w:gridCol w:w="982"/>
      </w:tblGrid>
      <w:tr w:rsidR="002C206D" w14:paraId="6A1B9014" w14:textId="77777777" w:rsidTr="002C206D">
        <w:trPr>
          <w:trHeight w:val="1590"/>
        </w:trPr>
        <w:tc>
          <w:tcPr>
            <w:tcW w:w="330" w:type="pct"/>
            <w:tcBorders>
              <w:top w:val="single" w:sz="8" w:space="0" w:color="auto"/>
              <w:left w:val="single" w:sz="8" w:space="0" w:color="auto"/>
              <w:bottom w:val="single" w:sz="4" w:space="0" w:color="auto"/>
              <w:right w:val="single" w:sz="4" w:space="0" w:color="auto"/>
            </w:tcBorders>
            <w:shd w:val="clear" w:color="auto" w:fill="D9D9D9"/>
            <w:noWrap/>
            <w:vAlign w:val="center"/>
            <w:hideMark/>
          </w:tcPr>
          <w:p w14:paraId="661E476D" w14:textId="77777777" w:rsidR="002C206D" w:rsidRDefault="002C206D">
            <w:pPr>
              <w:spacing w:line="256" w:lineRule="auto"/>
              <w:jc w:val="center"/>
              <w:rPr>
                <w:rFonts w:ascii="Calibri Light" w:hAnsi="Calibri Light" w:cs="Calibri Light"/>
                <w:color w:val="000000"/>
                <w:sz w:val="22"/>
                <w:szCs w:val="22"/>
                <w:lang w:val="en-US"/>
              </w:rPr>
            </w:pPr>
            <w:r>
              <w:rPr>
                <w:rFonts w:ascii="Calibri Light" w:hAnsi="Calibri Light" w:cs="Calibri Light"/>
                <w:color w:val="000000"/>
                <w:sz w:val="22"/>
                <w:szCs w:val="22"/>
                <w:lang w:val="en-US"/>
              </w:rPr>
              <w:t>An</w:t>
            </w:r>
          </w:p>
        </w:tc>
        <w:tc>
          <w:tcPr>
            <w:tcW w:w="339" w:type="pct"/>
            <w:tcBorders>
              <w:top w:val="single" w:sz="8" w:space="0" w:color="auto"/>
              <w:left w:val="nil"/>
              <w:bottom w:val="single" w:sz="4" w:space="0" w:color="auto"/>
              <w:right w:val="single" w:sz="4" w:space="0" w:color="auto"/>
            </w:tcBorders>
            <w:shd w:val="clear" w:color="auto" w:fill="D9D9D9"/>
            <w:vAlign w:val="center"/>
            <w:hideMark/>
          </w:tcPr>
          <w:p w14:paraId="32A6FDA9"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Tip</w:t>
            </w:r>
            <w:r>
              <w:rPr>
                <w:rFonts w:ascii="Calibri Light" w:hAnsi="Calibri Light" w:cs="Calibri Light"/>
                <w:color w:val="000000"/>
                <w:sz w:val="20"/>
                <w:lang w:val="en-US"/>
              </w:rPr>
              <w:br/>
              <w:t>credit</w:t>
            </w:r>
          </w:p>
        </w:tc>
        <w:tc>
          <w:tcPr>
            <w:tcW w:w="567" w:type="pct"/>
            <w:tcBorders>
              <w:top w:val="single" w:sz="8" w:space="0" w:color="auto"/>
              <w:left w:val="nil"/>
              <w:bottom w:val="single" w:sz="4" w:space="0" w:color="auto"/>
              <w:right w:val="single" w:sz="4" w:space="0" w:color="auto"/>
            </w:tcBorders>
            <w:shd w:val="clear" w:color="auto" w:fill="D9D9D9"/>
            <w:vAlign w:val="center"/>
            <w:hideMark/>
          </w:tcPr>
          <w:p w14:paraId="4B5E06CC"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Total</w:t>
            </w:r>
          </w:p>
        </w:tc>
        <w:tc>
          <w:tcPr>
            <w:tcW w:w="527" w:type="pct"/>
            <w:tcBorders>
              <w:top w:val="single" w:sz="8" w:space="0" w:color="auto"/>
              <w:left w:val="nil"/>
              <w:bottom w:val="single" w:sz="4" w:space="0" w:color="auto"/>
              <w:right w:val="single" w:sz="4" w:space="0" w:color="auto"/>
            </w:tcBorders>
            <w:shd w:val="clear" w:color="auto" w:fill="D9D9D9"/>
            <w:vAlign w:val="center"/>
            <w:hideMark/>
          </w:tcPr>
          <w:p w14:paraId="7137A81B"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personal</w:t>
            </w:r>
          </w:p>
        </w:tc>
        <w:tc>
          <w:tcPr>
            <w:tcW w:w="527" w:type="pct"/>
            <w:tcBorders>
              <w:top w:val="single" w:sz="8" w:space="0" w:color="auto"/>
              <w:left w:val="nil"/>
              <w:bottom w:val="single" w:sz="4" w:space="0" w:color="auto"/>
              <w:right w:val="single" w:sz="4" w:space="0" w:color="auto"/>
            </w:tcBorders>
            <w:shd w:val="clear" w:color="auto" w:fill="D9D9D9"/>
            <w:vAlign w:val="center"/>
            <w:hideMark/>
          </w:tcPr>
          <w:p w14:paraId="7F391881"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Bunuri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și</w:t>
            </w:r>
            <w:proofErr w:type="spellEnd"/>
            <w:r>
              <w:rPr>
                <w:rFonts w:ascii="Calibri Light" w:hAnsi="Calibri Light" w:cs="Calibri Light"/>
                <w:color w:val="000000"/>
                <w:sz w:val="20"/>
                <w:lang w:val="en-US"/>
              </w:rPr>
              <w:t xml:space="preserve"> </w:t>
            </w:r>
            <w:proofErr w:type="spellStart"/>
            <w:r>
              <w:rPr>
                <w:rFonts w:ascii="Calibri Light" w:hAnsi="Calibri Light" w:cs="Calibri Light"/>
                <w:color w:val="000000"/>
                <w:sz w:val="20"/>
                <w:lang w:val="en-US"/>
              </w:rPr>
              <w:t>servicii</w:t>
            </w:r>
            <w:proofErr w:type="spellEnd"/>
          </w:p>
        </w:tc>
        <w:tc>
          <w:tcPr>
            <w:tcW w:w="548" w:type="pct"/>
            <w:tcBorders>
              <w:top w:val="single" w:sz="8" w:space="0" w:color="auto"/>
              <w:left w:val="nil"/>
              <w:bottom w:val="single" w:sz="4" w:space="0" w:color="auto"/>
              <w:right w:val="single" w:sz="4" w:space="0" w:color="auto"/>
            </w:tcBorders>
            <w:shd w:val="clear" w:color="auto" w:fill="D9D9D9"/>
            <w:vAlign w:val="center"/>
            <w:hideMark/>
          </w:tcPr>
          <w:p w14:paraId="4C6E0114"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Transferuri</w:t>
            </w:r>
            <w:proofErr w:type="spellEnd"/>
          </w:p>
        </w:tc>
        <w:tc>
          <w:tcPr>
            <w:tcW w:w="532" w:type="pct"/>
            <w:tcBorders>
              <w:top w:val="single" w:sz="8" w:space="0" w:color="auto"/>
              <w:left w:val="nil"/>
              <w:bottom w:val="single" w:sz="4" w:space="0" w:color="auto"/>
              <w:right w:val="single" w:sz="4" w:space="0" w:color="auto"/>
            </w:tcBorders>
            <w:shd w:val="clear" w:color="auto" w:fill="D9D9D9"/>
            <w:vAlign w:val="center"/>
            <w:hideMark/>
          </w:tcPr>
          <w:p w14:paraId="332C2B9E"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transferuri</w:t>
            </w:r>
            <w:proofErr w:type="spellEnd"/>
          </w:p>
        </w:tc>
        <w:tc>
          <w:tcPr>
            <w:tcW w:w="676" w:type="pct"/>
            <w:tcBorders>
              <w:top w:val="single" w:sz="8" w:space="0" w:color="auto"/>
              <w:left w:val="nil"/>
              <w:bottom w:val="single" w:sz="4" w:space="0" w:color="auto"/>
              <w:right w:val="single" w:sz="4" w:space="0" w:color="auto"/>
            </w:tcBorders>
            <w:shd w:val="clear" w:color="auto" w:fill="D9D9D9"/>
            <w:vAlign w:val="center"/>
            <w:hideMark/>
          </w:tcPr>
          <w:p w14:paraId="40920D96" w14:textId="77777777" w:rsidR="002C206D" w:rsidRPr="00261D6B" w:rsidRDefault="002C206D">
            <w:pPr>
              <w:spacing w:line="256" w:lineRule="auto"/>
              <w:jc w:val="center"/>
              <w:rPr>
                <w:rFonts w:ascii="Calibri Light" w:hAnsi="Calibri Light" w:cs="Calibri Light"/>
                <w:color w:val="000000"/>
                <w:sz w:val="20"/>
                <w:lang w:val="fr-FR"/>
              </w:rPr>
            </w:pPr>
            <w:proofErr w:type="spellStart"/>
            <w:r w:rsidRPr="00261D6B">
              <w:rPr>
                <w:rFonts w:ascii="Calibri Light" w:hAnsi="Calibri Light" w:cs="Calibri Light"/>
                <w:color w:val="000000"/>
                <w:sz w:val="20"/>
                <w:lang w:val="fr-FR"/>
              </w:rPr>
              <w:t>Proiecte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cu</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finanțare</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din</w:t>
            </w:r>
            <w:proofErr w:type="spellEnd"/>
            <w:r w:rsidRPr="00261D6B">
              <w:rPr>
                <w:rFonts w:ascii="Calibri Light" w:hAnsi="Calibri Light" w:cs="Calibri Light"/>
                <w:color w:val="000000"/>
                <w:sz w:val="20"/>
                <w:lang w:val="fr-FR"/>
              </w:rPr>
              <w:t xml:space="preserve"> FEN </w:t>
            </w:r>
            <w:proofErr w:type="spellStart"/>
            <w:r w:rsidRPr="00261D6B">
              <w:rPr>
                <w:rFonts w:ascii="Calibri Light" w:hAnsi="Calibri Light" w:cs="Calibri Light"/>
                <w:color w:val="000000"/>
                <w:sz w:val="20"/>
                <w:lang w:val="fr-FR"/>
              </w:rPr>
              <w:t>aferente</w:t>
            </w:r>
            <w:proofErr w:type="spellEnd"/>
            <w:r w:rsidRPr="00261D6B">
              <w:rPr>
                <w:rFonts w:ascii="Calibri Light" w:hAnsi="Calibri Light" w:cs="Calibri Light"/>
                <w:color w:val="000000"/>
                <w:sz w:val="20"/>
                <w:lang w:val="fr-FR"/>
              </w:rPr>
              <w:br/>
              <w:t xml:space="preserve"> </w:t>
            </w:r>
            <w:proofErr w:type="spellStart"/>
            <w:r w:rsidRPr="00261D6B">
              <w:rPr>
                <w:rFonts w:ascii="Calibri Light" w:hAnsi="Calibri Light" w:cs="Calibri Light"/>
                <w:color w:val="000000"/>
                <w:sz w:val="20"/>
                <w:lang w:val="fr-FR"/>
              </w:rPr>
              <w:t>cadrului</w:t>
            </w:r>
            <w:proofErr w:type="spellEnd"/>
            <w:r w:rsidRPr="00261D6B">
              <w:rPr>
                <w:rFonts w:ascii="Calibri Light" w:hAnsi="Calibri Light" w:cs="Calibri Light"/>
                <w:color w:val="000000"/>
                <w:sz w:val="20"/>
                <w:lang w:val="fr-FR"/>
              </w:rPr>
              <w:t xml:space="preserve"> </w:t>
            </w:r>
            <w:proofErr w:type="spellStart"/>
            <w:r w:rsidRPr="00261D6B">
              <w:rPr>
                <w:rFonts w:ascii="Calibri Light" w:hAnsi="Calibri Light" w:cs="Calibri Light"/>
                <w:color w:val="000000"/>
                <w:sz w:val="20"/>
                <w:lang w:val="fr-FR"/>
              </w:rPr>
              <w:t>financiar</w:t>
            </w:r>
            <w:proofErr w:type="spellEnd"/>
            <w:r w:rsidRPr="00261D6B">
              <w:rPr>
                <w:rFonts w:ascii="Calibri Light" w:hAnsi="Calibri Light" w:cs="Calibri Light"/>
                <w:color w:val="000000"/>
                <w:sz w:val="20"/>
                <w:lang w:val="fr-FR"/>
              </w:rPr>
              <w:t xml:space="preserve"> 2014-2020</w:t>
            </w:r>
          </w:p>
        </w:tc>
        <w:tc>
          <w:tcPr>
            <w:tcW w:w="472" w:type="pct"/>
            <w:tcBorders>
              <w:top w:val="single" w:sz="8" w:space="0" w:color="auto"/>
              <w:left w:val="nil"/>
              <w:bottom w:val="single" w:sz="4" w:space="0" w:color="auto"/>
              <w:right w:val="single" w:sz="4" w:space="0" w:color="auto"/>
            </w:tcBorders>
            <w:shd w:val="clear" w:color="auto" w:fill="D9D9D9"/>
            <w:vAlign w:val="center"/>
            <w:hideMark/>
          </w:tcPr>
          <w:p w14:paraId="3E200E61" w14:textId="77777777" w:rsidR="002C206D" w:rsidRDefault="002C206D">
            <w:pPr>
              <w:spacing w:line="256" w:lineRule="auto"/>
              <w:jc w:val="center"/>
              <w:rPr>
                <w:rFonts w:ascii="Calibri Light" w:hAnsi="Calibri Light" w:cs="Calibri Light"/>
                <w:color w:val="000000"/>
                <w:sz w:val="20"/>
                <w:lang w:val="en-US"/>
              </w:rPr>
            </w:pPr>
            <w:r>
              <w:rPr>
                <w:rFonts w:ascii="Calibri Light" w:hAnsi="Calibri Light" w:cs="Calibri Light"/>
                <w:color w:val="000000"/>
                <w:sz w:val="20"/>
                <w:lang w:val="en-US"/>
              </w:rPr>
              <w:t xml:space="preserve">Alte </w:t>
            </w:r>
            <w:proofErr w:type="spellStart"/>
            <w:r>
              <w:rPr>
                <w:rFonts w:ascii="Calibri Light" w:hAnsi="Calibri Light" w:cs="Calibri Light"/>
                <w:color w:val="000000"/>
                <w:sz w:val="20"/>
                <w:lang w:val="en-US"/>
              </w:rPr>
              <w:t>cheltuieli</w:t>
            </w:r>
            <w:proofErr w:type="spellEnd"/>
          </w:p>
        </w:tc>
        <w:tc>
          <w:tcPr>
            <w:tcW w:w="483" w:type="pct"/>
            <w:tcBorders>
              <w:top w:val="single" w:sz="8" w:space="0" w:color="auto"/>
              <w:left w:val="nil"/>
              <w:bottom w:val="single" w:sz="4" w:space="0" w:color="auto"/>
              <w:right w:val="single" w:sz="8" w:space="0" w:color="auto"/>
            </w:tcBorders>
            <w:shd w:val="clear" w:color="auto" w:fill="D9D9D9"/>
            <w:vAlign w:val="center"/>
            <w:hideMark/>
          </w:tcPr>
          <w:p w14:paraId="6ED485BD" w14:textId="77777777" w:rsidR="002C206D" w:rsidRDefault="002C206D">
            <w:pPr>
              <w:spacing w:line="256" w:lineRule="auto"/>
              <w:jc w:val="center"/>
              <w:rPr>
                <w:rFonts w:ascii="Calibri Light" w:hAnsi="Calibri Light" w:cs="Calibri Light"/>
                <w:color w:val="000000"/>
                <w:sz w:val="20"/>
                <w:lang w:val="en-US"/>
              </w:rPr>
            </w:pPr>
            <w:proofErr w:type="spellStart"/>
            <w:r>
              <w:rPr>
                <w:rFonts w:ascii="Calibri Light" w:hAnsi="Calibri Light" w:cs="Calibri Light"/>
                <w:color w:val="000000"/>
                <w:sz w:val="20"/>
                <w:lang w:val="en-US"/>
              </w:rPr>
              <w:t>Cheltuieli</w:t>
            </w:r>
            <w:proofErr w:type="spellEnd"/>
            <w:r>
              <w:rPr>
                <w:rFonts w:ascii="Calibri Light" w:hAnsi="Calibri Light" w:cs="Calibri Light"/>
                <w:color w:val="000000"/>
                <w:sz w:val="20"/>
                <w:lang w:val="en-US"/>
              </w:rPr>
              <w:t xml:space="preserve"> de capital</w:t>
            </w:r>
          </w:p>
        </w:tc>
      </w:tr>
      <w:tr w:rsidR="002C206D" w14:paraId="08C4968B"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3E73492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2022</w:t>
            </w:r>
          </w:p>
        </w:tc>
        <w:tc>
          <w:tcPr>
            <w:tcW w:w="339" w:type="pct"/>
            <w:tcBorders>
              <w:top w:val="nil"/>
              <w:left w:val="nil"/>
              <w:bottom w:val="single" w:sz="4" w:space="0" w:color="auto"/>
              <w:right w:val="single" w:sz="4" w:space="0" w:color="auto"/>
            </w:tcBorders>
            <w:noWrap/>
            <w:vAlign w:val="bottom"/>
            <w:hideMark/>
          </w:tcPr>
          <w:p w14:paraId="67CB0B20"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CA</w:t>
            </w:r>
          </w:p>
        </w:tc>
        <w:tc>
          <w:tcPr>
            <w:tcW w:w="567" w:type="pct"/>
            <w:tcBorders>
              <w:top w:val="nil"/>
              <w:left w:val="nil"/>
              <w:bottom w:val="single" w:sz="4" w:space="0" w:color="auto"/>
              <w:right w:val="single" w:sz="4" w:space="0" w:color="auto"/>
            </w:tcBorders>
            <w:noWrap/>
            <w:vAlign w:val="bottom"/>
            <w:hideMark/>
          </w:tcPr>
          <w:p w14:paraId="7376CB4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18 557</w:t>
            </w:r>
          </w:p>
        </w:tc>
        <w:tc>
          <w:tcPr>
            <w:tcW w:w="527" w:type="pct"/>
            <w:tcBorders>
              <w:top w:val="nil"/>
              <w:left w:val="nil"/>
              <w:bottom w:val="single" w:sz="4" w:space="0" w:color="auto"/>
              <w:right w:val="single" w:sz="4" w:space="0" w:color="auto"/>
            </w:tcBorders>
            <w:noWrap/>
            <w:vAlign w:val="bottom"/>
            <w:hideMark/>
          </w:tcPr>
          <w:p w14:paraId="2F6137E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10 077</w:t>
            </w:r>
          </w:p>
        </w:tc>
        <w:tc>
          <w:tcPr>
            <w:tcW w:w="527" w:type="pct"/>
            <w:tcBorders>
              <w:top w:val="nil"/>
              <w:left w:val="nil"/>
              <w:bottom w:val="single" w:sz="4" w:space="0" w:color="auto"/>
              <w:right w:val="single" w:sz="4" w:space="0" w:color="auto"/>
            </w:tcBorders>
            <w:noWrap/>
            <w:vAlign w:val="bottom"/>
            <w:hideMark/>
          </w:tcPr>
          <w:p w14:paraId="3FAACCA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439</w:t>
            </w:r>
          </w:p>
        </w:tc>
        <w:tc>
          <w:tcPr>
            <w:tcW w:w="548" w:type="pct"/>
            <w:tcBorders>
              <w:top w:val="nil"/>
              <w:left w:val="nil"/>
              <w:bottom w:val="single" w:sz="4" w:space="0" w:color="auto"/>
              <w:right w:val="single" w:sz="4" w:space="0" w:color="auto"/>
            </w:tcBorders>
            <w:noWrap/>
            <w:vAlign w:val="bottom"/>
            <w:hideMark/>
          </w:tcPr>
          <w:p w14:paraId="167AB2F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7C303DF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61C6FCB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4 787</w:t>
            </w:r>
          </w:p>
        </w:tc>
        <w:tc>
          <w:tcPr>
            <w:tcW w:w="472" w:type="pct"/>
            <w:tcBorders>
              <w:top w:val="nil"/>
              <w:left w:val="nil"/>
              <w:bottom w:val="single" w:sz="4" w:space="0" w:color="auto"/>
              <w:right w:val="single" w:sz="4" w:space="0" w:color="auto"/>
            </w:tcBorders>
            <w:noWrap/>
            <w:vAlign w:val="bottom"/>
            <w:hideMark/>
          </w:tcPr>
          <w:p w14:paraId="29D997E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3 097</w:t>
            </w:r>
          </w:p>
        </w:tc>
        <w:tc>
          <w:tcPr>
            <w:tcW w:w="483" w:type="pct"/>
            <w:tcBorders>
              <w:top w:val="nil"/>
              <w:left w:val="nil"/>
              <w:bottom w:val="single" w:sz="4" w:space="0" w:color="auto"/>
              <w:right w:val="single" w:sz="8" w:space="0" w:color="auto"/>
            </w:tcBorders>
            <w:noWrap/>
            <w:vAlign w:val="bottom"/>
            <w:hideMark/>
          </w:tcPr>
          <w:p w14:paraId="1BA44A5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157</w:t>
            </w:r>
          </w:p>
        </w:tc>
      </w:tr>
      <w:tr w:rsidR="002C206D" w14:paraId="4A0F4004"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78D0090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2022</w:t>
            </w:r>
          </w:p>
        </w:tc>
        <w:tc>
          <w:tcPr>
            <w:tcW w:w="339" w:type="pct"/>
            <w:tcBorders>
              <w:top w:val="nil"/>
              <w:left w:val="nil"/>
              <w:bottom w:val="single" w:sz="4" w:space="0" w:color="auto"/>
              <w:right w:val="single" w:sz="4" w:space="0" w:color="auto"/>
            </w:tcBorders>
            <w:noWrap/>
            <w:vAlign w:val="bottom"/>
            <w:hideMark/>
          </w:tcPr>
          <w:p w14:paraId="5FF7CDD3"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CB</w:t>
            </w:r>
          </w:p>
        </w:tc>
        <w:tc>
          <w:tcPr>
            <w:tcW w:w="567" w:type="pct"/>
            <w:tcBorders>
              <w:top w:val="nil"/>
              <w:left w:val="nil"/>
              <w:bottom w:val="single" w:sz="4" w:space="0" w:color="auto"/>
              <w:right w:val="single" w:sz="4" w:space="0" w:color="auto"/>
            </w:tcBorders>
            <w:noWrap/>
            <w:vAlign w:val="bottom"/>
            <w:hideMark/>
          </w:tcPr>
          <w:p w14:paraId="40A007F8"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16 793</w:t>
            </w:r>
          </w:p>
        </w:tc>
        <w:tc>
          <w:tcPr>
            <w:tcW w:w="527" w:type="pct"/>
            <w:tcBorders>
              <w:top w:val="nil"/>
              <w:left w:val="nil"/>
              <w:bottom w:val="single" w:sz="4" w:space="0" w:color="auto"/>
              <w:right w:val="single" w:sz="4" w:space="0" w:color="auto"/>
            </w:tcBorders>
            <w:noWrap/>
            <w:vAlign w:val="bottom"/>
            <w:hideMark/>
          </w:tcPr>
          <w:p w14:paraId="565E99A5"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10 077</w:t>
            </w:r>
          </w:p>
        </w:tc>
        <w:tc>
          <w:tcPr>
            <w:tcW w:w="527" w:type="pct"/>
            <w:tcBorders>
              <w:top w:val="nil"/>
              <w:left w:val="nil"/>
              <w:bottom w:val="single" w:sz="4" w:space="0" w:color="auto"/>
              <w:right w:val="single" w:sz="4" w:space="0" w:color="auto"/>
            </w:tcBorders>
            <w:noWrap/>
            <w:vAlign w:val="bottom"/>
            <w:hideMark/>
          </w:tcPr>
          <w:p w14:paraId="0639460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439</w:t>
            </w:r>
          </w:p>
        </w:tc>
        <w:tc>
          <w:tcPr>
            <w:tcW w:w="548" w:type="pct"/>
            <w:tcBorders>
              <w:top w:val="nil"/>
              <w:left w:val="nil"/>
              <w:bottom w:val="single" w:sz="4" w:space="0" w:color="auto"/>
              <w:right w:val="single" w:sz="4" w:space="0" w:color="auto"/>
            </w:tcBorders>
            <w:noWrap/>
            <w:vAlign w:val="bottom"/>
            <w:hideMark/>
          </w:tcPr>
          <w:p w14:paraId="5E3F5FE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404E8B4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2041769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3 023</w:t>
            </w:r>
          </w:p>
        </w:tc>
        <w:tc>
          <w:tcPr>
            <w:tcW w:w="472" w:type="pct"/>
            <w:tcBorders>
              <w:top w:val="nil"/>
              <w:left w:val="nil"/>
              <w:bottom w:val="single" w:sz="4" w:space="0" w:color="auto"/>
              <w:right w:val="single" w:sz="4" w:space="0" w:color="auto"/>
            </w:tcBorders>
            <w:noWrap/>
            <w:vAlign w:val="bottom"/>
            <w:hideMark/>
          </w:tcPr>
          <w:p w14:paraId="0A6F2BE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3 097</w:t>
            </w:r>
          </w:p>
        </w:tc>
        <w:tc>
          <w:tcPr>
            <w:tcW w:w="483" w:type="pct"/>
            <w:tcBorders>
              <w:top w:val="nil"/>
              <w:left w:val="nil"/>
              <w:bottom w:val="single" w:sz="4" w:space="0" w:color="auto"/>
              <w:right w:val="single" w:sz="8" w:space="0" w:color="auto"/>
            </w:tcBorders>
            <w:noWrap/>
            <w:vAlign w:val="bottom"/>
            <w:hideMark/>
          </w:tcPr>
          <w:p w14:paraId="65F383A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157</w:t>
            </w:r>
          </w:p>
        </w:tc>
      </w:tr>
      <w:tr w:rsidR="002C206D" w14:paraId="7F6FA439"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4617ADD3"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2023</w:t>
            </w:r>
          </w:p>
        </w:tc>
        <w:tc>
          <w:tcPr>
            <w:tcW w:w="339" w:type="pct"/>
            <w:tcBorders>
              <w:top w:val="nil"/>
              <w:left w:val="nil"/>
              <w:bottom w:val="single" w:sz="4" w:space="0" w:color="auto"/>
              <w:right w:val="single" w:sz="4" w:space="0" w:color="auto"/>
            </w:tcBorders>
            <w:noWrap/>
            <w:vAlign w:val="bottom"/>
            <w:hideMark/>
          </w:tcPr>
          <w:p w14:paraId="15743F5D"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CA</w:t>
            </w:r>
          </w:p>
        </w:tc>
        <w:tc>
          <w:tcPr>
            <w:tcW w:w="567" w:type="pct"/>
            <w:tcBorders>
              <w:top w:val="nil"/>
              <w:left w:val="nil"/>
              <w:bottom w:val="single" w:sz="4" w:space="0" w:color="auto"/>
              <w:right w:val="single" w:sz="4" w:space="0" w:color="auto"/>
            </w:tcBorders>
            <w:noWrap/>
            <w:vAlign w:val="bottom"/>
            <w:hideMark/>
          </w:tcPr>
          <w:p w14:paraId="27AF7FB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13 052</w:t>
            </w:r>
          </w:p>
        </w:tc>
        <w:tc>
          <w:tcPr>
            <w:tcW w:w="527" w:type="pct"/>
            <w:tcBorders>
              <w:top w:val="nil"/>
              <w:left w:val="nil"/>
              <w:bottom w:val="single" w:sz="4" w:space="0" w:color="auto"/>
              <w:right w:val="single" w:sz="4" w:space="0" w:color="auto"/>
            </w:tcBorders>
            <w:noWrap/>
            <w:vAlign w:val="bottom"/>
            <w:hideMark/>
          </w:tcPr>
          <w:p w14:paraId="12C4754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10 368</w:t>
            </w:r>
          </w:p>
        </w:tc>
        <w:tc>
          <w:tcPr>
            <w:tcW w:w="527" w:type="pct"/>
            <w:tcBorders>
              <w:top w:val="nil"/>
              <w:left w:val="nil"/>
              <w:bottom w:val="single" w:sz="4" w:space="0" w:color="auto"/>
              <w:right w:val="single" w:sz="4" w:space="0" w:color="auto"/>
            </w:tcBorders>
            <w:noWrap/>
            <w:vAlign w:val="bottom"/>
            <w:hideMark/>
          </w:tcPr>
          <w:p w14:paraId="15D371F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491</w:t>
            </w:r>
          </w:p>
        </w:tc>
        <w:tc>
          <w:tcPr>
            <w:tcW w:w="548" w:type="pct"/>
            <w:tcBorders>
              <w:top w:val="nil"/>
              <w:left w:val="nil"/>
              <w:bottom w:val="single" w:sz="4" w:space="0" w:color="auto"/>
              <w:right w:val="single" w:sz="4" w:space="0" w:color="auto"/>
            </w:tcBorders>
            <w:noWrap/>
            <w:vAlign w:val="bottom"/>
            <w:hideMark/>
          </w:tcPr>
          <w:p w14:paraId="6BC8F144"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16DCAF4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2B3DB82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791</w:t>
            </w:r>
          </w:p>
        </w:tc>
        <w:tc>
          <w:tcPr>
            <w:tcW w:w="472" w:type="pct"/>
            <w:tcBorders>
              <w:top w:val="nil"/>
              <w:left w:val="nil"/>
              <w:bottom w:val="single" w:sz="4" w:space="0" w:color="auto"/>
              <w:right w:val="single" w:sz="4" w:space="0" w:color="auto"/>
            </w:tcBorders>
            <w:noWrap/>
            <w:vAlign w:val="bottom"/>
            <w:hideMark/>
          </w:tcPr>
          <w:p w14:paraId="79CF475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1 290</w:t>
            </w:r>
          </w:p>
        </w:tc>
        <w:tc>
          <w:tcPr>
            <w:tcW w:w="483" w:type="pct"/>
            <w:tcBorders>
              <w:top w:val="nil"/>
              <w:left w:val="nil"/>
              <w:bottom w:val="single" w:sz="4" w:space="0" w:color="auto"/>
              <w:right w:val="single" w:sz="8" w:space="0" w:color="auto"/>
            </w:tcBorders>
            <w:noWrap/>
            <w:vAlign w:val="bottom"/>
            <w:hideMark/>
          </w:tcPr>
          <w:p w14:paraId="1FF11998"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112</w:t>
            </w:r>
          </w:p>
        </w:tc>
      </w:tr>
      <w:tr w:rsidR="002C206D" w14:paraId="45E6339F"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78FC0DE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2023</w:t>
            </w:r>
          </w:p>
        </w:tc>
        <w:tc>
          <w:tcPr>
            <w:tcW w:w="339" w:type="pct"/>
            <w:tcBorders>
              <w:top w:val="nil"/>
              <w:left w:val="nil"/>
              <w:bottom w:val="single" w:sz="4" w:space="0" w:color="auto"/>
              <w:right w:val="single" w:sz="4" w:space="0" w:color="auto"/>
            </w:tcBorders>
            <w:noWrap/>
            <w:vAlign w:val="bottom"/>
            <w:hideMark/>
          </w:tcPr>
          <w:p w14:paraId="78AE1FAC"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CB</w:t>
            </w:r>
          </w:p>
        </w:tc>
        <w:tc>
          <w:tcPr>
            <w:tcW w:w="567" w:type="pct"/>
            <w:tcBorders>
              <w:top w:val="nil"/>
              <w:left w:val="nil"/>
              <w:bottom w:val="single" w:sz="4" w:space="0" w:color="auto"/>
              <w:right w:val="single" w:sz="4" w:space="0" w:color="auto"/>
            </w:tcBorders>
            <w:noWrap/>
            <w:vAlign w:val="bottom"/>
            <w:hideMark/>
          </w:tcPr>
          <w:p w14:paraId="4B01F1B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14 745</w:t>
            </w:r>
          </w:p>
        </w:tc>
        <w:tc>
          <w:tcPr>
            <w:tcW w:w="527" w:type="pct"/>
            <w:tcBorders>
              <w:top w:val="nil"/>
              <w:left w:val="nil"/>
              <w:bottom w:val="single" w:sz="4" w:space="0" w:color="auto"/>
              <w:right w:val="single" w:sz="4" w:space="0" w:color="auto"/>
            </w:tcBorders>
            <w:noWrap/>
            <w:vAlign w:val="bottom"/>
            <w:hideMark/>
          </w:tcPr>
          <w:p w14:paraId="24A2A01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10 368</w:t>
            </w:r>
          </w:p>
        </w:tc>
        <w:tc>
          <w:tcPr>
            <w:tcW w:w="527" w:type="pct"/>
            <w:tcBorders>
              <w:top w:val="nil"/>
              <w:left w:val="nil"/>
              <w:bottom w:val="single" w:sz="4" w:space="0" w:color="auto"/>
              <w:right w:val="single" w:sz="4" w:space="0" w:color="auto"/>
            </w:tcBorders>
            <w:noWrap/>
            <w:vAlign w:val="bottom"/>
            <w:hideMark/>
          </w:tcPr>
          <w:p w14:paraId="0DE39AE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491</w:t>
            </w:r>
          </w:p>
        </w:tc>
        <w:tc>
          <w:tcPr>
            <w:tcW w:w="548" w:type="pct"/>
            <w:tcBorders>
              <w:top w:val="nil"/>
              <w:left w:val="nil"/>
              <w:bottom w:val="single" w:sz="4" w:space="0" w:color="auto"/>
              <w:right w:val="single" w:sz="4" w:space="0" w:color="auto"/>
            </w:tcBorders>
            <w:noWrap/>
            <w:vAlign w:val="bottom"/>
            <w:hideMark/>
          </w:tcPr>
          <w:p w14:paraId="6FBB150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7723218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19C9624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2 484</w:t>
            </w:r>
          </w:p>
        </w:tc>
        <w:tc>
          <w:tcPr>
            <w:tcW w:w="472" w:type="pct"/>
            <w:tcBorders>
              <w:top w:val="nil"/>
              <w:left w:val="nil"/>
              <w:bottom w:val="single" w:sz="4" w:space="0" w:color="auto"/>
              <w:right w:val="single" w:sz="4" w:space="0" w:color="auto"/>
            </w:tcBorders>
            <w:noWrap/>
            <w:vAlign w:val="bottom"/>
            <w:hideMark/>
          </w:tcPr>
          <w:p w14:paraId="5DCB0BFD"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1 290</w:t>
            </w:r>
          </w:p>
        </w:tc>
        <w:tc>
          <w:tcPr>
            <w:tcW w:w="483" w:type="pct"/>
            <w:tcBorders>
              <w:top w:val="nil"/>
              <w:left w:val="nil"/>
              <w:bottom w:val="single" w:sz="4" w:space="0" w:color="auto"/>
              <w:right w:val="single" w:sz="8" w:space="0" w:color="auto"/>
            </w:tcBorders>
            <w:noWrap/>
            <w:vAlign w:val="bottom"/>
            <w:hideMark/>
          </w:tcPr>
          <w:p w14:paraId="5197C17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112</w:t>
            </w:r>
          </w:p>
        </w:tc>
      </w:tr>
      <w:tr w:rsidR="002C206D" w14:paraId="365BBBA8" w14:textId="77777777" w:rsidTr="002C206D">
        <w:trPr>
          <w:trHeight w:val="300"/>
        </w:trPr>
        <w:tc>
          <w:tcPr>
            <w:tcW w:w="330" w:type="pct"/>
            <w:tcBorders>
              <w:top w:val="nil"/>
              <w:left w:val="single" w:sz="8" w:space="0" w:color="auto"/>
              <w:bottom w:val="single" w:sz="4" w:space="0" w:color="auto"/>
              <w:right w:val="single" w:sz="4" w:space="0" w:color="auto"/>
            </w:tcBorders>
            <w:noWrap/>
            <w:vAlign w:val="bottom"/>
            <w:hideMark/>
          </w:tcPr>
          <w:p w14:paraId="2B572D7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2024</w:t>
            </w:r>
          </w:p>
        </w:tc>
        <w:tc>
          <w:tcPr>
            <w:tcW w:w="339" w:type="pct"/>
            <w:tcBorders>
              <w:top w:val="nil"/>
              <w:left w:val="nil"/>
              <w:bottom w:val="single" w:sz="4" w:space="0" w:color="auto"/>
              <w:right w:val="single" w:sz="4" w:space="0" w:color="auto"/>
            </w:tcBorders>
            <w:noWrap/>
            <w:vAlign w:val="bottom"/>
            <w:hideMark/>
          </w:tcPr>
          <w:p w14:paraId="4A78B5E7"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CA</w:t>
            </w:r>
          </w:p>
        </w:tc>
        <w:tc>
          <w:tcPr>
            <w:tcW w:w="567" w:type="pct"/>
            <w:tcBorders>
              <w:top w:val="nil"/>
              <w:left w:val="nil"/>
              <w:bottom w:val="single" w:sz="4" w:space="0" w:color="auto"/>
              <w:right w:val="single" w:sz="4" w:space="0" w:color="auto"/>
            </w:tcBorders>
            <w:noWrap/>
            <w:vAlign w:val="bottom"/>
            <w:hideMark/>
          </w:tcPr>
          <w:p w14:paraId="13E7402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15 306</w:t>
            </w:r>
          </w:p>
        </w:tc>
        <w:tc>
          <w:tcPr>
            <w:tcW w:w="527" w:type="pct"/>
            <w:tcBorders>
              <w:top w:val="nil"/>
              <w:left w:val="nil"/>
              <w:bottom w:val="single" w:sz="4" w:space="0" w:color="auto"/>
              <w:right w:val="single" w:sz="4" w:space="0" w:color="auto"/>
            </w:tcBorders>
            <w:noWrap/>
            <w:vAlign w:val="bottom"/>
            <w:hideMark/>
          </w:tcPr>
          <w:p w14:paraId="2995CF59"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10 288</w:t>
            </w:r>
          </w:p>
        </w:tc>
        <w:tc>
          <w:tcPr>
            <w:tcW w:w="527" w:type="pct"/>
            <w:tcBorders>
              <w:top w:val="nil"/>
              <w:left w:val="nil"/>
              <w:bottom w:val="single" w:sz="4" w:space="0" w:color="auto"/>
              <w:right w:val="single" w:sz="4" w:space="0" w:color="auto"/>
            </w:tcBorders>
            <w:noWrap/>
            <w:vAlign w:val="bottom"/>
            <w:hideMark/>
          </w:tcPr>
          <w:p w14:paraId="73404A5E"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3 868</w:t>
            </w:r>
          </w:p>
        </w:tc>
        <w:tc>
          <w:tcPr>
            <w:tcW w:w="548" w:type="pct"/>
            <w:tcBorders>
              <w:top w:val="nil"/>
              <w:left w:val="nil"/>
              <w:bottom w:val="single" w:sz="4" w:space="0" w:color="auto"/>
              <w:right w:val="single" w:sz="4" w:space="0" w:color="auto"/>
            </w:tcBorders>
            <w:noWrap/>
            <w:vAlign w:val="bottom"/>
            <w:hideMark/>
          </w:tcPr>
          <w:p w14:paraId="0471EB78"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4" w:space="0" w:color="auto"/>
              <w:right w:val="single" w:sz="4" w:space="0" w:color="auto"/>
            </w:tcBorders>
            <w:noWrap/>
            <w:vAlign w:val="bottom"/>
            <w:hideMark/>
          </w:tcPr>
          <w:p w14:paraId="2162FCB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6D84B836"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472" w:type="pct"/>
            <w:tcBorders>
              <w:top w:val="nil"/>
              <w:left w:val="nil"/>
              <w:bottom w:val="single" w:sz="4" w:space="0" w:color="auto"/>
              <w:right w:val="single" w:sz="4" w:space="0" w:color="auto"/>
            </w:tcBorders>
            <w:noWrap/>
            <w:vAlign w:val="bottom"/>
            <w:hideMark/>
          </w:tcPr>
          <w:p w14:paraId="179BEC6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1 100</w:t>
            </w:r>
          </w:p>
        </w:tc>
        <w:tc>
          <w:tcPr>
            <w:tcW w:w="483" w:type="pct"/>
            <w:tcBorders>
              <w:top w:val="nil"/>
              <w:left w:val="nil"/>
              <w:bottom w:val="single" w:sz="4" w:space="0" w:color="auto"/>
              <w:right w:val="single" w:sz="8" w:space="0" w:color="auto"/>
            </w:tcBorders>
            <w:noWrap/>
            <w:vAlign w:val="bottom"/>
            <w:hideMark/>
          </w:tcPr>
          <w:p w14:paraId="53C7E2F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50</w:t>
            </w:r>
          </w:p>
        </w:tc>
      </w:tr>
      <w:tr w:rsidR="002C206D" w14:paraId="1D54781F" w14:textId="77777777" w:rsidTr="002C206D">
        <w:trPr>
          <w:trHeight w:val="315"/>
        </w:trPr>
        <w:tc>
          <w:tcPr>
            <w:tcW w:w="330" w:type="pct"/>
            <w:tcBorders>
              <w:top w:val="nil"/>
              <w:left w:val="single" w:sz="8" w:space="0" w:color="auto"/>
              <w:bottom w:val="single" w:sz="8" w:space="0" w:color="auto"/>
              <w:right w:val="single" w:sz="4" w:space="0" w:color="auto"/>
            </w:tcBorders>
            <w:noWrap/>
            <w:vAlign w:val="bottom"/>
            <w:hideMark/>
          </w:tcPr>
          <w:p w14:paraId="783AFB43"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2024</w:t>
            </w:r>
          </w:p>
        </w:tc>
        <w:tc>
          <w:tcPr>
            <w:tcW w:w="339" w:type="pct"/>
            <w:tcBorders>
              <w:top w:val="nil"/>
              <w:left w:val="nil"/>
              <w:bottom w:val="single" w:sz="8" w:space="0" w:color="auto"/>
              <w:right w:val="single" w:sz="4" w:space="0" w:color="auto"/>
            </w:tcBorders>
            <w:noWrap/>
            <w:vAlign w:val="bottom"/>
            <w:hideMark/>
          </w:tcPr>
          <w:p w14:paraId="09C63460" w14:textId="77777777" w:rsidR="002C206D" w:rsidRDefault="002C206D">
            <w:pPr>
              <w:spacing w:line="256" w:lineRule="auto"/>
              <w:rPr>
                <w:rFonts w:ascii="Calibri Light" w:hAnsi="Calibri Light" w:cs="Calibri Light"/>
                <w:color w:val="000000"/>
                <w:sz w:val="22"/>
                <w:szCs w:val="22"/>
                <w:lang w:val="en-US"/>
              </w:rPr>
            </w:pPr>
            <w:r>
              <w:rPr>
                <w:rFonts w:ascii="Calibri Light" w:hAnsi="Calibri Light" w:cs="Calibri Light"/>
                <w:color w:val="000000"/>
                <w:sz w:val="22"/>
                <w:szCs w:val="22"/>
                <w:lang w:val="en-US"/>
              </w:rPr>
              <w:t>CB</w:t>
            </w:r>
          </w:p>
        </w:tc>
        <w:tc>
          <w:tcPr>
            <w:tcW w:w="567" w:type="pct"/>
            <w:tcBorders>
              <w:top w:val="nil"/>
              <w:left w:val="nil"/>
              <w:bottom w:val="single" w:sz="8" w:space="0" w:color="auto"/>
              <w:right w:val="single" w:sz="4" w:space="0" w:color="auto"/>
            </w:tcBorders>
            <w:noWrap/>
            <w:vAlign w:val="bottom"/>
            <w:hideMark/>
          </w:tcPr>
          <w:p w14:paraId="13D4043F"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15 306</w:t>
            </w:r>
          </w:p>
        </w:tc>
        <w:tc>
          <w:tcPr>
            <w:tcW w:w="527" w:type="pct"/>
            <w:tcBorders>
              <w:top w:val="nil"/>
              <w:left w:val="nil"/>
              <w:bottom w:val="single" w:sz="4" w:space="0" w:color="auto"/>
              <w:right w:val="single" w:sz="4" w:space="0" w:color="auto"/>
            </w:tcBorders>
            <w:noWrap/>
            <w:vAlign w:val="bottom"/>
            <w:hideMark/>
          </w:tcPr>
          <w:p w14:paraId="47B38F4C"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10 288</w:t>
            </w:r>
          </w:p>
        </w:tc>
        <w:tc>
          <w:tcPr>
            <w:tcW w:w="527" w:type="pct"/>
            <w:tcBorders>
              <w:top w:val="nil"/>
              <w:left w:val="nil"/>
              <w:bottom w:val="single" w:sz="4" w:space="0" w:color="auto"/>
              <w:right w:val="single" w:sz="4" w:space="0" w:color="auto"/>
            </w:tcBorders>
            <w:noWrap/>
            <w:vAlign w:val="bottom"/>
            <w:hideMark/>
          </w:tcPr>
          <w:p w14:paraId="4E8D291B"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3 868</w:t>
            </w:r>
          </w:p>
        </w:tc>
        <w:tc>
          <w:tcPr>
            <w:tcW w:w="548" w:type="pct"/>
            <w:tcBorders>
              <w:top w:val="nil"/>
              <w:left w:val="nil"/>
              <w:bottom w:val="single" w:sz="8" w:space="0" w:color="auto"/>
              <w:right w:val="single" w:sz="4" w:space="0" w:color="auto"/>
            </w:tcBorders>
            <w:noWrap/>
            <w:vAlign w:val="bottom"/>
            <w:hideMark/>
          </w:tcPr>
          <w:p w14:paraId="186ECA20"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532" w:type="pct"/>
            <w:tcBorders>
              <w:top w:val="nil"/>
              <w:left w:val="nil"/>
              <w:bottom w:val="single" w:sz="8" w:space="0" w:color="auto"/>
              <w:right w:val="single" w:sz="4" w:space="0" w:color="auto"/>
            </w:tcBorders>
            <w:noWrap/>
            <w:vAlign w:val="bottom"/>
            <w:hideMark/>
          </w:tcPr>
          <w:p w14:paraId="6D4CF4E1"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676" w:type="pct"/>
            <w:tcBorders>
              <w:top w:val="nil"/>
              <w:left w:val="nil"/>
              <w:bottom w:val="single" w:sz="4" w:space="0" w:color="auto"/>
              <w:right w:val="single" w:sz="4" w:space="0" w:color="auto"/>
            </w:tcBorders>
            <w:noWrap/>
            <w:vAlign w:val="bottom"/>
            <w:hideMark/>
          </w:tcPr>
          <w:p w14:paraId="3C5B51FA"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0</w:t>
            </w:r>
          </w:p>
        </w:tc>
        <w:tc>
          <w:tcPr>
            <w:tcW w:w="472" w:type="pct"/>
            <w:tcBorders>
              <w:top w:val="nil"/>
              <w:left w:val="nil"/>
              <w:bottom w:val="single" w:sz="4" w:space="0" w:color="auto"/>
              <w:right w:val="single" w:sz="4" w:space="0" w:color="auto"/>
            </w:tcBorders>
            <w:noWrap/>
            <w:vAlign w:val="bottom"/>
            <w:hideMark/>
          </w:tcPr>
          <w:p w14:paraId="1664AF93"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1 100</w:t>
            </w:r>
          </w:p>
        </w:tc>
        <w:tc>
          <w:tcPr>
            <w:tcW w:w="483" w:type="pct"/>
            <w:tcBorders>
              <w:top w:val="nil"/>
              <w:left w:val="nil"/>
              <w:bottom w:val="single" w:sz="4" w:space="0" w:color="auto"/>
              <w:right w:val="single" w:sz="8" w:space="0" w:color="auto"/>
            </w:tcBorders>
            <w:noWrap/>
            <w:vAlign w:val="bottom"/>
            <w:hideMark/>
          </w:tcPr>
          <w:p w14:paraId="2FB06662" w14:textId="77777777" w:rsidR="002C206D" w:rsidRDefault="002C206D">
            <w:pPr>
              <w:spacing w:line="256" w:lineRule="auto"/>
              <w:jc w:val="right"/>
              <w:rPr>
                <w:rFonts w:ascii="Calibri Light" w:hAnsi="Calibri Light" w:cs="Calibri Light"/>
                <w:color w:val="000000"/>
                <w:sz w:val="22"/>
                <w:szCs w:val="22"/>
                <w:lang w:val="en-US"/>
              </w:rPr>
            </w:pPr>
            <w:r>
              <w:rPr>
                <w:rFonts w:ascii="Calibri Light" w:hAnsi="Calibri Light" w:cs="Calibri Light"/>
                <w:color w:val="000000"/>
                <w:sz w:val="22"/>
                <w:szCs w:val="22"/>
                <w:lang w:val="en-US"/>
              </w:rPr>
              <w:t>50</w:t>
            </w:r>
          </w:p>
        </w:tc>
      </w:tr>
    </w:tbl>
    <w:p w14:paraId="4C9111C8" w14:textId="77777777" w:rsidR="002C206D" w:rsidRDefault="002C206D" w:rsidP="002C206D">
      <w:pPr>
        <w:pStyle w:val="Heading2"/>
        <w:keepNext w:val="0"/>
        <w:keepLines w:val="0"/>
        <w:suppressLineNumbers/>
        <w:suppressAutoHyphens/>
        <w:spacing w:line="240" w:lineRule="auto"/>
        <w:rPr>
          <w:rFonts w:cstheme="minorHAnsi"/>
          <w:color w:val="auto"/>
          <w:lang w:val="ro-RO"/>
        </w:rPr>
      </w:pPr>
      <w:bookmarkStart w:id="123" w:name="_Toc155267904"/>
      <w:r>
        <w:rPr>
          <w:rFonts w:cstheme="minorHAnsi"/>
          <w:color w:val="auto"/>
          <w:lang w:val="ro-RO"/>
        </w:rPr>
        <w:t>V.2. Structura bugetului pe anul 20</w:t>
      </w:r>
      <w:bookmarkEnd w:id="122"/>
      <w:r>
        <w:rPr>
          <w:rFonts w:cstheme="minorHAnsi"/>
          <w:color w:val="auto"/>
          <w:lang w:val="ro-RO"/>
        </w:rPr>
        <w:t>23</w:t>
      </w:r>
      <w:bookmarkEnd w:id="123"/>
    </w:p>
    <w:p w14:paraId="7463FB4C" w14:textId="77777777" w:rsidR="002C206D" w:rsidRDefault="002C206D" w:rsidP="002C206D">
      <w:pPr>
        <w:ind w:firstLine="720"/>
        <w:jc w:val="both"/>
        <w:rPr>
          <w:rFonts w:asciiTheme="minorHAnsi" w:hAnsiTheme="minorHAnsi" w:cstheme="minorHAnsi"/>
          <w:sz w:val="26"/>
          <w:szCs w:val="26"/>
        </w:rPr>
      </w:pPr>
      <w:r>
        <w:rPr>
          <w:rFonts w:asciiTheme="minorHAnsi" w:hAnsiTheme="minorHAnsi" w:cstheme="minorHAnsi"/>
          <w:sz w:val="26"/>
          <w:szCs w:val="26"/>
        </w:rPr>
        <w:t xml:space="preserve">Potrivit bugetului de stat aprobat prin Legea nr. 368/2022, Programul de cheltuieli pentru anul 2023, ce a susţinut financiar atât activitatea curentă a Consiliului Superior al  Magistraturii cu unităţile aflate în coordonarea sa, cât şi derularea activităţilor cu privire la Planul de acţiune privind Reforma în justiţie, este în valoare totală de </w:t>
      </w:r>
      <w:r>
        <w:rPr>
          <w:rFonts w:asciiTheme="minorHAnsi" w:hAnsiTheme="minorHAnsi" w:cstheme="minorHAnsi"/>
          <w:b/>
          <w:sz w:val="26"/>
          <w:szCs w:val="26"/>
        </w:rPr>
        <w:t xml:space="preserve">277.425 </w:t>
      </w:r>
      <w:r>
        <w:rPr>
          <w:rFonts w:asciiTheme="minorHAnsi" w:hAnsiTheme="minorHAnsi" w:cstheme="minorHAnsi"/>
          <w:sz w:val="26"/>
          <w:szCs w:val="26"/>
        </w:rPr>
        <w:t xml:space="preserve">mii lei credite de angajament și </w:t>
      </w:r>
      <w:r>
        <w:rPr>
          <w:rFonts w:asciiTheme="minorHAnsi" w:hAnsiTheme="minorHAnsi" w:cstheme="minorHAnsi"/>
          <w:b/>
          <w:sz w:val="26"/>
          <w:szCs w:val="26"/>
        </w:rPr>
        <w:t>299.070</w:t>
      </w:r>
      <w:r>
        <w:rPr>
          <w:rFonts w:asciiTheme="minorHAnsi" w:hAnsiTheme="minorHAnsi" w:cstheme="minorHAnsi"/>
          <w:sz w:val="26"/>
          <w:szCs w:val="26"/>
        </w:rPr>
        <w:t xml:space="preserve"> mii lei credite bugetare.</w:t>
      </w:r>
    </w:p>
    <w:p w14:paraId="3AAC840D" w14:textId="77777777" w:rsidR="002C206D" w:rsidRDefault="002C206D" w:rsidP="002C206D">
      <w:pPr>
        <w:ind w:firstLine="720"/>
        <w:jc w:val="both"/>
        <w:rPr>
          <w:rFonts w:asciiTheme="minorHAnsi" w:hAnsiTheme="minorHAnsi" w:cstheme="minorHAnsi"/>
          <w:sz w:val="26"/>
          <w:szCs w:val="26"/>
        </w:rPr>
      </w:pPr>
      <w:r>
        <w:rPr>
          <w:rFonts w:asciiTheme="minorHAnsi" w:hAnsiTheme="minorHAnsi" w:cstheme="minorHAnsi"/>
          <w:sz w:val="26"/>
          <w:szCs w:val="26"/>
        </w:rPr>
        <w:t>Creditele angajament și creditele bugetare sunt constituite potrivit legislaţiei ce reglementează finanţarea activităţii şi sunt reprezentate în structură astfel:</w:t>
      </w:r>
    </w:p>
    <w:p w14:paraId="0752C0DD" w14:textId="77777777" w:rsidR="002C206D" w:rsidRDefault="002C206D" w:rsidP="002C206D">
      <w:pPr>
        <w:pStyle w:val="ListParagraph"/>
        <w:numPr>
          <w:ilvl w:val="0"/>
          <w:numId w:val="37"/>
        </w:numPr>
        <w:tabs>
          <w:tab w:val="left" w:pos="284"/>
        </w:tabs>
        <w:ind w:hanging="342"/>
        <w:jc w:val="both"/>
        <w:rPr>
          <w:rFonts w:asciiTheme="minorHAnsi" w:hAnsiTheme="minorHAnsi" w:cstheme="minorHAnsi"/>
          <w:sz w:val="26"/>
          <w:szCs w:val="26"/>
        </w:rPr>
      </w:pPr>
      <w:r>
        <w:rPr>
          <w:rFonts w:asciiTheme="minorHAnsi" w:hAnsiTheme="minorHAnsi" w:cstheme="minorHAnsi"/>
          <w:sz w:val="26"/>
          <w:szCs w:val="26"/>
        </w:rPr>
        <w:t xml:space="preserve">gs Ch. Personal CA,CB = </w:t>
      </w:r>
      <m:oMath>
        <m:f>
          <m:fPr>
            <m:ctrlPr>
              <w:rPr>
                <w:rFonts w:ascii="Cambria Math" w:hAnsi="Cambria Math" w:cstheme="minorHAnsi"/>
                <w:sz w:val="26"/>
                <w:szCs w:val="26"/>
              </w:rPr>
            </m:ctrlPr>
          </m:fPr>
          <m:num>
            <m:r>
              <w:rPr>
                <w:rFonts w:ascii="Cambria Math" w:hAnsi="Cambria Math" w:cstheme="minorHAnsi"/>
                <w:sz w:val="26"/>
                <w:szCs w:val="26"/>
              </w:rPr>
              <m:t>Cheltuieli de personal</m:t>
            </m:r>
          </m:num>
          <m:den>
            <m:r>
              <w:rPr>
                <w:rFonts w:ascii="Cambria Math" w:hAnsi="Cambria Math" w:cstheme="minorHAnsi"/>
                <w:sz w:val="26"/>
                <w:szCs w:val="26"/>
              </w:rPr>
              <m:t>Buget total</m:t>
            </m:r>
          </m:den>
        </m:f>
        <m:r>
          <w:rPr>
            <w:rFonts w:ascii="Cambria Math" w:hAnsi="Cambria Math" w:cstheme="minorHAnsi"/>
            <w:sz w:val="26"/>
            <w:szCs w:val="26"/>
          </w:rPr>
          <m:t>x 100</m:t>
        </m:r>
      </m:oMath>
      <w:r>
        <w:rPr>
          <w:rFonts w:asciiTheme="minorHAnsi" w:hAnsiTheme="minorHAnsi" w:cstheme="minorHAnsi"/>
          <w:sz w:val="26"/>
          <w:szCs w:val="26"/>
        </w:rPr>
        <w:t>;</w:t>
      </w:r>
    </w:p>
    <w:p w14:paraId="0CBDA578" w14:textId="77777777" w:rsidR="002C206D" w:rsidRDefault="002C206D" w:rsidP="002C206D">
      <w:pPr>
        <w:pStyle w:val="ListParagraph"/>
        <w:tabs>
          <w:tab w:val="left" w:pos="284"/>
        </w:tabs>
        <w:ind w:left="768"/>
        <w:jc w:val="both"/>
        <w:rPr>
          <w:rFonts w:asciiTheme="minorHAnsi" w:hAnsiTheme="minorHAnsi" w:cstheme="minorHAnsi"/>
          <w:sz w:val="26"/>
          <w:szCs w:val="26"/>
        </w:rPr>
      </w:pPr>
    </w:p>
    <w:p w14:paraId="6281B57F" w14:textId="77777777" w:rsidR="002C206D" w:rsidRDefault="002C206D" w:rsidP="002C206D">
      <w:pPr>
        <w:pStyle w:val="ListParagraph"/>
        <w:numPr>
          <w:ilvl w:val="0"/>
          <w:numId w:val="37"/>
        </w:numPr>
        <w:tabs>
          <w:tab w:val="left" w:pos="284"/>
        </w:tabs>
        <w:ind w:hanging="342"/>
        <w:jc w:val="both"/>
        <w:rPr>
          <w:rFonts w:asciiTheme="minorHAnsi" w:hAnsiTheme="minorHAnsi" w:cstheme="minorHAnsi"/>
          <w:sz w:val="26"/>
          <w:szCs w:val="26"/>
        </w:rPr>
      </w:pPr>
      <w:r>
        <w:rPr>
          <w:rFonts w:asciiTheme="minorHAnsi" w:hAnsiTheme="minorHAnsi" w:cstheme="minorHAnsi"/>
          <w:sz w:val="26"/>
          <w:szCs w:val="26"/>
        </w:rPr>
        <w:t xml:space="preserve">gs Ch. Materiale CA,CB  = </w:t>
      </w:r>
      <m:oMath>
        <m:f>
          <m:fPr>
            <m:ctrlPr>
              <w:rPr>
                <w:rFonts w:ascii="Cambria Math" w:hAnsi="Cambria Math" w:cstheme="minorHAnsi"/>
                <w:sz w:val="26"/>
                <w:szCs w:val="26"/>
              </w:rPr>
            </m:ctrlPr>
          </m:fPr>
          <m:num>
            <m:r>
              <w:rPr>
                <w:rFonts w:ascii="Cambria Math" w:hAnsi="Cambria Math" w:cstheme="minorHAnsi"/>
                <w:sz w:val="26"/>
                <w:szCs w:val="26"/>
              </w:rPr>
              <m:t>Cheltuieli</m:t>
            </m:r>
            <m:r>
              <m:rPr>
                <m:sty m:val="p"/>
              </m:rPr>
              <w:rPr>
                <w:rFonts w:ascii="Cambria Math" w:hAnsi="Cambria Math" w:cstheme="minorHAnsi"/>
                <w:sz w:val="26"/>
                <w:szCs w:val="26"/>
              </w:rPr>
              <m:t xml:space="preserve"> </m:t>
            </m:r>
            <m:r>
              <w:rPr>
                <w:rFonts w:ascii="Cambria Math" w:hAnsi="Cambria Math" w:cstheme="minorHAnsi"/>
                <w:sz w:val="26"/>
                <w:szCs w:val="26"/>
              </w:rPr>
              <m:t>materiale</m:t>
            </m:r>
          </m:num>
          <m:den>
            <m:r>
              <w:rPr>
                <w:rFonts w:ascii="Cambria Math" w:hAnsi="Cambria Math" w:cstheme="minorHAnsi"/>
                <w:sz w:val="26"/>
                <w:szCs w:val="26"/>
              </w:rPr>
              <m:t>Buget</m:t>
            </m:r>
            <m:r>
              <m:rPr>
                <m:sty m:val="p"/>
              </m:rPr>
              <w:rPr>
                <w:rFonts w:ascii="Cambria Math" w:hAnsi="Cambria Math" w:cstheme="minorHAnsi"/>
                <w:sz w:val="26"/>
                <w:szCs w:val="26"/>
              </w:rPr>
              <m:t xml:space="preserve"> </m:t>
            </m:r>
            <m:r>
              <w:rPr>
                <w:rFonts w:ascii="Cambria Math" w:hAnsi="Cambria Math" w:cstheme="minorHAnsi"/>
                <w:sz w:val="26"/>
                <w:szCs w:val="26"/>
              </w:rPr>
              <m:t>total</m:t>
            </m:r>
          </m:den>
        </m:f>
        <m:r>
          <w:rPr>
            <w:rFonts w:ascii="Cambria Math" w:hAnsi="Cambria Math" w:cstheme="minorHAnsi"/>
            <w:sz w:val="26"/>
            <w:szCs w:val="26"/>
          </w:rPr>
          <m:t>x</m:t>
        </m:r>
        <m:r>
          <m:rPr>
            <m:sty m:val="p"/>
          </m:rPr>
          <w:rPr>
            <w:rFonts w:ascii="Cambria Math" w:hAnsi="Cambria Math" w:cstheme="minorHAnsi"/>
            <w:sz w:val="26"/>
            <w:szCs w:val="26"/>
          </w:rPr>
          <m:t xml:space="preserve"> 100</m:t>
        </m:r>
      </m:oMath>
      <w:r>
        <w:rPr>
          <w:rFonts w:asciiTheme="minorHAnsi" w:hAnsiTheme="minorHAnsi" w:cstheme="minorHAnsi"/>
          <w:sz w:val="26"/>
          <w:szCs w:val="26"/>
        </w:rPr>
        <w:t>;</w:t>
      </w:r>
    </w:p>
    <w:p w14:paraId="251CBF3A" w14:textId="77777777" w:rsidR="002C206D" w:rsidRDefault="002C206D" w:rsidP="002C206D">
      <w:pPr>
        <w:pStyle w:val="ListParagraph"/>
        <w:tabs>
          <w:tab w:val="left" w:pos="284"/>
        </w:tabs>
        <w:ind w:left="768"/>
        <w:jc w:val="both"/>
        <w:rPr>
          <w:rFonts w:asciiTheme="minorHAnsi" w:hAnsiTheme="minorHAnsi" w:cstheme="minorHAnsi"/>
          <w:sz w:val="26"/>
          <w:szCs w:val="26"/>
        </w:rPr>
      </w:pPr>
    </w:p>
    <w:p w14:paraId="5AE0D1BC" w14:textId="77777777" w:rsidR="002C206D" w:rsidRDefault="002C206D" w:rsidP="002C206D">
      <w:pPr>
        <w:pStyle w:val="ListParagraph"/>
        <w:numPr>
          <w:ilvl w:val="0"/>
          <w:numId w:val="37"/>
        </w:numPr>
        <w:tabs>
          <w:tab w:val="left" w:pos="284"/>
        </w:tabs>
        <w:ind w:hanging="342"/>
        <w:jc w:val="both"/>
        <w:rPr>
          <w:rFonts w:asciiTheme="minorHAnsi" w:hAnsiTheme="minorHAnsi" w:cstheme="minorHAnsi"/>
          <w:sz w:val="26"/>
          <w:szCs w:val="26"/>
        </w:rPr>
      </w:pPr>
      <w:r>
        <w:rPr>
          <w:rFonts w:asciiTheme="minorHAnsi" w:hAnsiTheme="minorHAnsi" w:cstheme="minorHAnsi"/>
          <w:sz w:val="26"/>
          <w:szCs w:val="26"/>
        </w:rPr>
        <w:lastRenderedPageBreak/>
        <w:t xml:space="preserve">gs Ch.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Pr>
          <w:rFonts w:asciiTheme="minorHAnsi" w:hAnsiTheme="minorHAnsi" w:cstheme="minorHAnsi"/>
          <w:sz w:val="26"/>
          <w:szCs w:val="26"/>
        </w:rPr>
        <w:t>;</w:t>
      </w:r>
    </w:p>
    <w:p w14:paraId="7DDB05F0" w14:textId="77777777" w:rsidR="002C206D" w:rsidRDefault="002C206D" w:rsidP="002C206D">
      <w:pPr>
        <w:pStyle w:val="ListParagraph"/>
        <w:tabs>
          <w:tab w:val="left" w:pos="284"/>
        </w:tabs>
        <w:ind w:left="768"/>
        <w:jc w:val="both"/>
        <w:rPr>
          <w:rFonts w:asciiTheme="minorHAnsi" w:hAnsiTheme="minorHAnsi" w:cstheme="minorHAnsi"/>
          <w:sz w:val="26"/>
          <w:szCs w:val="26"/>
        </w:rPr>
      </w:pPr>
    </w:p>
    <w:p w14:paraId="567FD6ED" w14:textId="77777777" w:rsidR="002C206D" w:rsidRDefault="002C206D" w:rsidP="002C206D">
      <w:pPr>
        <w:pStyle w:val="ListParagraph"/>
        <w:numPr>
          <w:ilvl w:val="0"/>
          <w:numId w:val="37"/>
        </w:numPr>
        <w:tabs>
          <w:tab w:val="left" w:pos="284"/>
        </w:tabs>
        <w:ind w:hanging="342"/>
        <w:jc w:val="both"/>
        <w:rPr>
          <w:rFonts w:asciiTheme="minorHAnsi" w:hAnsiTheme="minorHAnsi" w:cstheme="minorHAnsi"/>
          <w:sz w:val="26"/>
          <w:szCs w:val="26"/>
        </w:rPr>
      </w:pPr>
      <w:r>
        <w:rPr>
          <w:rFonts w:asciiTheme="minorHAnsi" w:hAnsiTheme="minorHAnsi" w:cstheme="minorHAnsi"/>
          <w:sz w:val="26"/>
          <w:szCs w:val="26"/>
        </w:rPr>
        <w:t xml:space="preserve">gs Ch. Alte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alte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Pr>
          <w:rFonts w:asciiTheme="minorHAnsi" w:hAnsiTheme="minorHAnsi" w:cstheme="minorHAnsi"/>
          <w:sz w:val="26"/>
          <w:szCs w:val="26"/>
        </w:rPr>
        <w:t>;</w:t>
      </w:r>
    </w:p>
    <w:p w14:paraId="01651CFD" w14:textId="77777777" w:rsidR="002C206D" w:rsidRDefault="002C206D" w:rsidP="002C206D">
      <w:pPr>
        <w:pStyle w:val="ListParagraph"/>
        <w:numPr>
          <w:ilvl w:val="0"/>
          <w:numId w:val="37"/>
        </w:numPr>
        <w:tabs>
          <w:tab w:val="left" w:pos="284"/>
        </w:tabs>
        <w:ind w:hanging="342"/>
        <w:jc w:val="both"/>
        <w:rPr>
          <w:rFonts w:asciiTheme="minorHAnsi" w:hAnsiTheme="minorHAnsi" w:cstheme="minorHAnsi"/>
          <w:sz w:val="26"/>
          <w:szCs w:val="26"/>
        </w:rPr>
      </w:pPr>
      <w:r>
        <w:rPr>
          <w:rFonts w:asciiTheme="minorHAnsi" w:hAnsiTheme="minorHAnsi" w:cstheme="minorHAnsi"/>
          <w:sz w:val="26"/>
          <w:szCs w:val="26"/>
        </w:rPr>
        <w:t>gs Ch. Proiecte cu finantare din FEN postaderare CA,CB  =</w:t>
      </w:r>
      <m:oMath>
        <m:r>
          <w:rPr>
            <w:rFonts w:ascii="Cambria Math" w:hAnsi="Cambria Math" w:cstheme="minorHAnsi"/>
            <w:sz w:val="26"/>
            <w:szCs w:val="26"/>
          </w:rPr>
          <m:t xml:space="preserve"> </m:t>
        </m:r>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eqArr>
                  <m:eqArrPr>
                    <m:ctrlPr>
                      <w:rPr>
                        <w:rFonts w:ascii="Cambria Math" w:hAnsi="Cambria Math" w:cstheme="minorHAnsi"/>
                        <w:i/>
                        <w:sz w:val="26"/>
                        <w:szCs w:val="26"/>
                      </w:rPr>
                    </m:ctrlPr>
                  </m:eqArrPr>
                  <m:e>
                    <m:r>
                      <w:rPr>
                        <w:rFonts w:ascii="Cambria Math" w:hAnsi="Cambria Math" w:cstheme="minorHAnsi"/>
                        <w:sz w:val="26"/>
                        <w:szCs w:val="26"/>
                      </w:rPr>
                      <m:t>Cheltuieli privind proiectele</m:t>
                    </m:r>
                  </m:e>
                </m:eqArr>
              </m:e>
              <m:e>
                <m:r>
                  <w:rPr>
                    <w:rFonts w:ascii="Cambria Math" w:hAnsi="Cambria Math" w:cstheme="minorHAnsi"/>
                    <w:sz w:val="26"/>
                    <w:szCs w:val="26"/>
                  </w:rPr>
                  <m:t>cu finanțare din FEN postaderare</m:t>
                </m:r>
              </m:e>
            </m:eqArr>
          </m:num>
          <m:den>
            <m:r>
              <w:rPr>
                <w:rFonts w:ascii="Cambria Math" w:hAnsi="Cambria Math" w:cstheme="minorHAnsi"/>
                <w:sz w:val="26"/>
                <w:szCs w:val="26"/>
              </w:rPr>
              <m:t>Buget total</m:t>
            </m:r>
          </m:den>
        </m:f>
        <m:r>
          <w:rPr>
            <w:rFonts w:ascii="Cambria Math" w:hAnsi="Cambria Math" w:cstheme="minorHAnsi"/>
            <w:sz w:val="26"/>
            <w:szCs w:val="26"/>
          </w:rPr>
          <m:t xml:space="preserve">x 100; </m:t>
        </m:r>
      </m:oMath>
    </w:p>
    <w:p w14:paraId="1F15D60D" w14:textId="77777777" w:rsidR="002C206D" w:rsidRDefault="002C206D" w:rsidP="002C206D">
      <w:pPr>
        <w:tabs>
          <w:tab w:val="left" w:pos="0"/>
        </w:tabs>
        <w:jc w:val="both"/>
        <w:rPr>
          <w:rFonts w:asciiTheme="minorHAnsi" w:hAnsiTheme="minorHAnsi" w:cstheme="minorHAnsi"/>
          <w:sz w:val="26"/>
          <w:szCs w:val="2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536"/>
      </w:tblGrid>
      <w:tr w:rsidR="002C206D" w14:paraId="2E7BCBE8" w14:textId="77777777" w:rsidTr="002C206D">
        <w:trPr>
          <w:trHeight w:val="719"/>
        </w:trPr>
        <w:tc>
          <w:tcPr>
            <w:tcW w:w="5245" w:type="dxa"/>
          </w:tcPr>
          <w:p w14:paraId="23C176C9" w14:textId="77777777" w:rsidR="002C206D" w:rsidRDefault="002C206D" w:rsidP="002C206D">
            <w:pPr>
              <w:pStyle w:val="ListParagraph"/>
              <w:numPr>
                <w:ilvl w:val="0"/>
                <w:numId w:val="38"/>
              </w:numPr>
              <w:tabs>
                <w:tab w:val="left" w:pos="0"/>
              </w:tabs>
              <w:ind w:left="601" w:right="-5135" w:hanging="283"/>
              <w:jc w:val="both"/>
              <w:rPr>
                <w:rFonts w:asciiTheme="minorHAnsi" w:hAnsiTheme="minorHAnsi" w:cstheme="minorHAnsi"/>
                <w:sz w:val="26"/>
                <w:szCs w:val="26"/>
                <w:lang w:val="ro-RO"/>
              </w:rPr>
            </w:pPr>
            <w:r>
              <w:rPr>
                <w:rFonts w:asciiTheme="minorHAnsi" w:hAnsiTheme="minorHAnsi" w:cstheme="minorHAnsi"/>
                <w:sz w:val="26"/>
                <w:szCs w:val="26"/>
                <w:lang w:val="ro-RO"/>
              </w:rPr>
              <w:t xml:space="preserve"> gs Ch. </w:t>
            </w:r>
            <w:proofErr w:type="spellStart"/>
            <w:r>
              <w:rPr>
                <w:rFonts w:asciiTheme="minorHAnsi" w:hAnsiTheme="minorHAnsi" w:cstheme="minorHAnsi"/>
                <w:sz w:val="26"/>
                <w:szCs w:val="26"/>
              </w:rPr>
              <w:t>Proiecte</w:t>
            </w:r>
            <w:proofErr w:type="spellEnd"/>
            <w:r>
              <w:rPr>
                <w:rFonts w:asciiTheme="minorHAnsi" w:hAnsiTheme="minorHAnsi" w:cstheme="minorHAnsi"/>
                <w:sz w:val="26"/>
                <w:szCs w:val="26"/>
              </w:rPr>
              <w:t xml:space="preserve"> cu </w:t>
            </w:r>
            <w:proofErr w:type="spellStart"/>
            <w:r>
              <w:rPr>
                <w:rFonts w:asciiTheme="minorHAnsi" w:hAnsiTheme="minorHAnsi" w:cstheme="minorHAnsi"/>
                <w:sz w:val="26"/>
                <w:szCs w:val="26"/>
              </w:rPr>
              <w:t>finantare</w:t>
            </w:r>
            <w:proofErr w:type="spellEnd"/>
            <w:r>
              <w:rPr>
                <w:rFonts w:asciiTheme="minorHAnsi" w:hAnsiTheme="minorHAnsi" w:cstheme="minorHAnsi"/>
                <w:sz w:val="26"/>
                <w:szCs w:val="26"/>
              </w:rPr>
              <w:t xml:space="preserve"> din FEN </w:t>
            </w:r>
            <w:proofErr w:type="spellStart"/>
            <w:r>
              <w:rPr>
                <w:rFonts w:asciiTheme="minorHAnsi" w:hAnsiTheme="minorHAnsi" w:cstheme="minorHAnsi"/>
                <w:sz w:val="26"/>
                <w:szCs w:val="26"/>
              </w:rPr>
              <w:t>aferente</w:t>
            </w:r>
            <w:proofErr w:type="spellEnd"/>
            <w:r>
              <w:rPr>
                <w:rFonts w:asciiTheme="minorHAnsi" w:hAnsiTheme="minorHAnsi" w:cstheme="minorHAnsi"/>
                <w:sz w:val="26"/>
                <w:szCs w:val="26"/>
              </w:rPr>
              <w:t xml:space="preserve"> </w:t>
            </w:r>
            <w:proofErr w:type="spellStart"/>
            <w:r>
              <w:rPr>
                <w:rFonts w:asciiTheme="minorHAnsi" w:hAnsiTheme="minorHAnsi" w:cstheme="minorHAnsi"/>
                <w:sz w:val="26"/>
                <w:szCs w:val="26"/>
              </w:rPr>
              <w:t>cadrului</w:t>
            </w:r>
            <w:proofErr w:type="spellEnd"/>
          </w:p>
          <w:p w14:paraId="4FF6B5A1" w14:textId="77777777" w:rsidR="002C206D" w:rsidRDefault="002C206D">
            <w:pPr>
              <w:tabs>
                <w:tab w:val="left" w:pos="0"/>
              </w:tabs>
              <w:ind w:left="360" w:right="-5135"/>
              <w:jc w:val="both"/>
              <w:rPr>
                <w:rFonts w:asciiTheme="minorHAnsi" w:hAnsiTheme="minorHAnsi" w:cstheme="minorHAnsi"/>
                <w:sz w:val="26"/>
                <w:szCs w:val="26"/>
              </w:rPr>
            </w:pPr>
            <w:r>
              <w:rPr>
                <w:rFonts w:asciiTheme="minorHAnsi" w:hAnsiTheme="minorHAnsi" w:cstheme="minorHAnsi"/>
                <w:sz w:val="26"/>
                <w:szCs w:val="26"/>
              </w:rPr>
              <w:t xml:space="preserve">       </w:t>
            </w:r>
            <w:proofErr w:type="spellStart"/>
            <w:r>
              <w:rPr>
                <w:rFonts w:asciiTheme="minorHAnsi" w:hAnsiTheme="minorHAnsi" w:cstheme="minorHAnsi"/>
                <w:sz w:val="26"/>
                <w:szCs w:val="26"/>
              </w:rPr>
              <w:t>financiar</w:t>
            </w:r>
            <w:proofErr w:type="spellEnd"/>
            <w:r>
              <w:rPr>
                <w:rFonts w:asciiTheme="minorHAnsi" w:hAnsiTheme="minorHAnsi" w:cstheme="minorHAnsi"/>
                <w:sz w:val="26"/>
                <w:szCs w:val="26"/>
              </w:rPr>
              <w:t xml:space="preserve"> 2014-2020 </w:t>
            </w:r>
            <w:proofErr w:type="gramStart"/>
            <w:r>
              <w:rPr>
                <w:rFonts w:asciiTheme="minorHAnsi" w:hAnsiTheme="minorHAnsi" w:cstheme="minorHAnsi"/>
                <w:sz w:val="26"/>
                <w:szCs w:val="26"/>
                <w:lang w:val="ro-RO"/>
              </w:rPr>
              <w:t>CA,CB</w:t>
            </w:r>
            <w:proofErr w:type="gramEnd"/>
            <w:r>
              <w:rPr>
                <w:rFonts w:asciiTheme="minorHAnsi" w:hAnsiTheme="minorHAnsi" w:cstheme="minorHAnsi"/>
                <w:sz w:val="26"/>
                <w:szCs w:val="26"/>
                <w:lang w:val="ro-RO"/>
              </w:rPr>
              <w:t xml:space="preserve">  </w:t>
            </w:r>
          </w:p>
          <w:p w14:paraId="46A2B0F3" w14:textId="77777777" w:rsidR="002C206D" w:rsidRDefault="002C206D">
            <w:pPr>
              <w:tabs>
                <w:tab w:val="left" w:pos="0"/>
              </w:tabs>
              <w:ind w:left="142" w:right="-1449"/>
              <w:jc w:val="both"/>
              <w:rPr>
                <w:rFonts w:asciiTheme="minorHAnsi" w:hAnsiTheme="minorHAnsi" w:cstheme="minorHAnsi"/>
                <w:sz w:val="26"/>
                <w:szCs w:val="26"/>
              </w:rPr>
            </w:pPr>
          </w:p>
        </w:tc>
        <w:tc>
          <w:tcPr>
            <w:tcW w:w="4536" w:type="dxa"/>
            <w:hideMark/>
          </w:tcPr>
          <w:p w14:paraId="6A6B3922" w14:textId="77777777" w:rsidR="002C206D" w:rsidRDefault="002C206D">
            <w:pPr>
              <w:tabs>
                <w:tab w:val="left" w:pos="317"/>
              </w:tabs>
              <w:ind w:left="34"/>
              <w:jc w:val="both"/>
              <w:rPr>
                <w:rFonts w:asciiTheme="minorHAnsi" w:hAnsiTheme="minorHAnsi" w:cstheme="minorHAnsi"/>
                <w:sz w:val="26"/>
                <w:szCs w:val="26"/>
              </w:rPr>
            </w:pPr>
            <w:r>
              <w:rPr>
                <w:rFonts w:asciiTheme="minorHAnsi" w:hAnsiTheme="minorHAnsi" w:cstheme="minorHAnsi"/>
                <w:sz w:val="26"/>
                <w:szCs w:val="26"/>
                <w:lang w:val="ro-RO"/>
              </w:rPr>
              <w:t xml:space="preserve"> =</w:t>
            </w:r>
            <m:oMath>
              <m:r>
                <w:rPr>
                  <w:rFonts w:ascii="Cambria Math" w:hAnsi="Cambria Math" w:cstheme="minorHAnsi"/>
                  <w:sz w:val="26"/>
                  <w:szCs w:val="26"/>
                  <w:lang w:val="ro-RO"/>
                </w:rPr>
                <m:t xml:space="preserve"> </m:t>
              </m:r>
              <m:f>
                <m:fPr>
                  <m:ctrlPr>
                    <w:rPr>
                      <w:rFonts w:ascii="Cambria Math" w:hAnsi="Cambria Math" w:cstheme="minorHAnsi"/>
                      <w:sz w:val="26"/>
                      <w:szCs w:val="26"/>
                      <w:lang w:val="ro-RO"/>
                    </w:rPr>
                  </m:ctrlPr>
                </m:fPr>
                <m:num>
                  <m:eqArr>
                    <m:eqArrPr>
                      <m:ctrlPr>
                        <w:rPr>
                          <w:rFonts w:ascii="Cambria Math" w:hAnsi="Cambria Math" w:cstheme="minorHAnsi"/>
                          <w:i/>
                          <w:sz w:val="26"/>
                          <w:szCs w:val="26"/>
                          <w:lang w:val="ro-RO"/>
                        </w:rPr>
                      </m:ctrlPr>
                    </m:eqArrPr>
                    <m:e>
                      <m:eqArr>
                        <m:eqArrPr>
                          <m:ctrlPr>
                            <w:rPr>
                              <w:rFonts w:ascii="Cambria Math" w:hAnsi="Cambria Math" w:cstheme="minorHAnsi"/>
                              <w:i/>
                              <w:sz w:val="26"/>
                              <w:szCs w:val="26"/>
                              <w:lang w:val="ro-RO"/>
                            </w:rPr>
                          </m:ctrlPr>
                        </m:eqArrPr>
                        <m:e>
                          <m:r>
                            <w:rPr>
                              <w:rFonts w:ascii="Cambria Math" w:hAnsi="Cambria Math" w:cstheme="minorHAnsi"/>
                              <w:sz w:val="26"/>
                              <w:szCs w:val="26"/>
                              <w:lang w:val="ro-RO"/>
                            </w:rPr>
                            <m:t>Cheltuieli privind proiectele</m:t>
                          </m:r>
                        </m:e>
                      </m:eqArr>
                    </m:e>
                    <m:e>
                      <m:r>
                        <w:rPr>
                          <w:rFonts w:ascii="Cambria Math" w:hAnsi="Cambria Math" w:cstheme="minorHAnsi"/>
                          <w:sz w:val="26"/>
                          <w:szCs w:val="26"/>
                          <w:lang w:val="ro-RO"/>
                        </w:rPr>
                        <m:t>cu finanțare din FEN postaderare</m:t>
                      </m:r>
                    </m:e>
                  </m:eqArr>
                </m:num>
                <m:den>
                  <m:r>
                    <w:rPr>
                      <w:rFonts w:ascii="Cambria Math" w:hAnsi="Cambria Math" w:cstheme="minorHAnsi"/>
                      <w:sz w:val="26"/>
                      <w:szCs w:val="26"/>
                      <w:lang w:val="ro-RO"/>
                    </w:rPr>
                    <m:t>Buget total</m:t>
                  </m:r>
                </m:den>
              </m:f>
              <m:r>
                <w:rPr>
                  <w:rFonts w:ascii="Cambria Math" w:hAnsi="Cambria Math" w:cstheme="minorHAnsi"/>
                  <w:sz w:val="26"/>
                  <w:szCs w:val="26"/>
                  <w:lang w:val="ro-RO"/>
                </w:rPr>
                <m:t xml:space="preserve">x 100; </m:t>
              </m:r>
            </m:oMath>
            <w:r>
              <w:rPr>
                <w:rFonts w:asciiTheme="minorHAnsi" w:hAnsiTheme="minorHAnsi" w:cstheme="minorHAnsi"/>
                <w:sz w:val="26"/>
                <w:szCs w:val="26"/>
                <w:lang w:val="ro-RO"/>
              </w:rPr>
              <w:t xml:space="preserve"> </w:t>
            </w:r>
          </w:p>
        </w:tc>
      </w:tr>
    </w:tbl>
    <w:p w14:paraId="5E4A551A" w14:textId="77777777" w:rsidR="002C206D" w:rsidRDefault="002C206D" w:rsidP="002C206D">
      <w:pPr>
        <w:pStyle w:val="ListParagraph"/>
        <w:numPr>
          <w:ilvl w:val="0"/>
          <w:numId w:val="38"/>
        </w:numPr>
        <w:tabs>
          <w:tab w:val="left" w:pos="0"/>
        </w:tabs>
        <w:ind w:hanging="294"/>
        <w:jc w:val="both"/>
        <w:rPr>
          <w:rFonts w:asciiTheme="minorHAnsi" w:hAnsiTheme="minorHAnsi" w:cstheme="minorHAnsi"/>
          <w:sz w:val="26"/>
          <w:szCs w:val="26"/>
        </w:rPr>
      </w:pPr>
      <w:r>
        <w:rPr>
          <w:rFonts w:asciiTheme="minorHAnsi" w:hAnsiTheme="minorHAnsi" w:cstheme="minorHAnsi"/>
          <w:sz w:val="26"/>
          <w:szCs w:val="26"/>
        </w:rPr>
        <w:t xml:space="preserve">Alte cheltuieli CA,CB  = </w:t>
      </w:r>
      <m:oMath>
        <m:f>
          <m:fPr>
            <m:ctrlPr>
              <w:rPr>
                <w:rFonts w:ascii="Cambria Math" w:hAnsi="Cambria Math" w:cstheme="minorHAnsi"/>
                <w:sz w:val="26"/>
                <w:szCs w:val="26"/>
              </w:rPr>
            </m:ctrlPr>
          </m:fPr>
          <m:num>
            <m:r>
              <w:rPr>
                <w:rFonts w:ascii="Cambria Math" w:hAnsi="Cambria Math" w:cstheme="minorHAnsi"/>
                <w:sz w:val="26"/>
                <w:szCs w:val="26"/>
              </w:rPr>
              <m:t>Alte cheltuieli</m:t>
            </m:r>
          </m:num>
          <m:den>
            <m:r>
              <w:rPr>
                <w:rFonts w:ascii="Cambria Math" w:hAnsi="Cambria Math" w:cstheme="minorHAnsi"/>
                <w:sz w:val="26"/>
                <w:szCs w:val="26"/>
              </w:rPr>
              <m:t>Buget total</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64AFADC5" w14:textId="77777777" w:rsidR="002C206D" w:rsidRDefault="002C206D" w:rsidP="002C206D">
      <w:pPr>
        <w:pStyle w:val="ListParagraph"/>
        <w:numPr>
          <w:ilvl w:val="0"/>
          <w:numId w:val="38"/>
        </w:numPr>
        <w:tabs>
          <w:tab w:val="left" w:pos="0"/>
        </w:tabs>
        <w:ind w:hanging="294"/>
        <w:jc w:val="both"/>
        <w:rPr>
          <w:rFonts w:asciiTheme="minorHAnsi" w:hAnsiTheme="minorHAnsi" w:cstheme="minorHAnsi"/>
          <w:sz w:val="26"/>
          <w:szCs w:val="26"/>
        </w:rPr>
      </w:pPr>
      <w:r>
        <w:rPr>
          <w:rFonts w:asciiTheme="minorHAnsi" w:hAnsiTheme="minorHAnsi" w:cstheme="minorHAnsi"/>
          <w:sz w:val="26"/>
          <w:szCs w:val="26"/>
        </w:rPr>
        <w:t xml:space="preserve">Ch. de capital CA,CB  = </w:t>
      </w:r>
      <m:oMath>
        <m:f>
          <m:fPr>
            <m:ctrlPr>
              <w:rPr>
                <w:rFonts w:ascii="Cambria Math" w:hAnsi="Cambria Math" w:cstheme="minorHAnsi"/>
                <w:sz w:val="26"/>
                <w:szCs w:val="26"/>
              </w:rPr>
            </m:ctrlPr>
          </m:fPr>
          <m:num>
            <m:r>
              <w:rPr>
                <w:rFonts w:ascii="Cambria Math" w:hAnsi="Cambria Math" w:cstheme="minorHAnsi"/>
                <w:sz w:val="26"/>
                <w:szCs w:val="26"/>
              </w:rPr>
              <m:t>Cheltuieli de capital</m:t>
            </m:r>
          </m:num>
          <m:den>
            <m:r>
              <w:rPr>
                <w:rFonts w:ascii="Cambria Math" w:hAnsi="Cambria Math" w:cstheme="minorHAnsi"/>
                <w:sz w:val="26"/>
                <w:szCs w:val="26"/>
              </w:rPr>
              <m:t>Buget total</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42AA4AEA" w14:textId="77777777" w:rsidR="002C206D" w:rsidRDefault="002C206D" w:rsidP="002C206D">
      <w:pPr>
        <w:tabs>
          <w:tab w:val="left" w:pos="0"/>
        </w:tabs>
        <w:ind w:left="142"/>
        <w:jc w:val="both"/>
        <w:rPr>
          <w:rFonts w:asciiTheme="minorHAnsi" w:hAnsiTheme="minorHAnsi" w:cstheme="minorHAnsi"/>
          <w:sz w:val="26"/>
          <w:szCs w:val="26"/>
        </w:rPr>
      </w:pPr>
      <w:r>
        <w:rPr>
          <w:rFonts w:asciiTheme="minorHAnsi" w:hAnsiTheme="minorHAnsi" w:cstheme="minorHAnsi"/>
          <w:sz w:val="26"/>
          <w:szCs w:val="26"/>
        </w:rPr>
        <w:t>gs = ponderea indicatorului ales pentru analiză</w:t>
      </w:r>
    </w:p>
    <w:p w14:paraId="1A08BF83" w14:textId="77777777" w:rsidR="002C206D" w:rsidRDefault="002C206D" w:rsidP="002C206D">
      <w:pPr>
        <w:pStyle w:val="ListParagraph"/>
        <w:tabs>
          <w:tab w:val="left" w:pos="7968"/>
        </w:tabs>
        <w:ind w:left="8325"/>
        <w:jc w:val="right"/>
        <w:rPr>
          <w:rFonts w:asciiTheme="minorHAnsi" w:hAnsiTheme="minorHAnsi" w:cstheme="minorHAnsi"/>
          <w:b/>
          <w:sz w:val="26"/>
          <w:szCs w:val="26"/>
        </w:rPr>
      </w:pPr>
      <w:r>
        <w:rPr>
          <w:rFonts w:asciiTheme="minorHAnsi" w:hAnsiTheme="minorHAnsi" w:cstheme="minorHAnsi"/>
          <w:b/>
          <w:sz w:val="26"/>
          <w:szCs w:val="26"/>
        </w:rPr>
        <w:t>mii lei-</w:t>
      </w:r>
    </w:p>
    <w:tbl>
      <w:tblPr>
        <w:tblW w:w="5000" w:type="pct"/>
        <w:tblLook w:val="04A0" w:firstRow="1" w:lastRow="0" w:firstColumn="1" w:lastColumn="0" w:noHBand="0" w:noVBand="1"/>
      </w:tblPr>
      <w:tblGrid>
        <w:gridCol w:w="3290"/>
        <w:gridCol w:w="1904"/>
        <w:gridCol w:w="1519"/>
        <w:gridCol w:w="2359"/>
        <w:gridCol w:w="1112"/>
      </w:tblGrid>
      <w:tr w:rsidR="002C206D" w14:paraId="21719DD1" w14:textId="77777777" w:rsidTr="002C206D">
        <w:trPr>
          <w:trHeight w:val="758"/>
        </w:trPr>
        <w:tc>
          <w:tcPr>
            <w:tcW w:w="1615" w:type="pct"/>
            <w:tcBorders>
              <w:top w:val="single" w:sz="8" w:space="0" w:color="auto"/>
              <w:left w:val="single" w:sz="8" w:space="0" w:color="auto"/>
              <w:bottom w:val="single" w:sz="4" w:space="0" w:color="auto"/>
              <w:right w:val="single" w:sz="4" w:space="0" w:color="auto"/>
            </w:tcBorders>
            <w:shd w:val="clear" w:color="auto" w:fill="DBDBDB"/>
            <w:vAlign w:val="center"/>
            <w:hideMark/>
          </w:tcPr>
          <w:p w14:paraId="5CA7C986" w14:textId="77777777" w:rsidR="002C206D" w:rsidRDefault="002C206D">
            <w:pPr>
              <w:spacing w:line="256" w:lineRule="auto"/>
              <w:jc w:val="center"/>
              <w:rPr>
                <w:rFonts w:ascii="Calibri Light" w:hAnsi="Calibri Light" w:cs="Calibri Light"/>
                <w:b/>
                <w:bCs/>
                <w:color w:val="000000"/>
                <w:sz w:val="26"/>
                <w:szCs w:val="26"/>
                <w:lang w:val="en-US"/>
              </w:rPr>
            </w:pPr>
            <w:r>
              <w:rPr>
                <w:rFonts w:ascii="Calibri Light" w:hAnsi="Calibri Light" w:cs="Calibri Light"/>
                <w:b/>
                <w:bCs/>
                <w:color w:val="000000"/>
                <w:sz w:val="26"/>
                <w:szCs w:val="26"/>
              </w:rPr>
              <w:t>Denumire Indicator 2023</w:t>
            </w:r>
          </w:p>
        </w:tc>
        <w:tc>
          <w:tcPr>
            <w:tcW w:w="935" w:type="pct"/>
            <w:tcBorders>
              <w:top w:val="single" w:sz="8" w:space="0" w:color="auto"/>
              <w:left w:val="nil"/>
              <w:bottom w:val="single" w:sz="4" w:space="0" w:color="auto"/>
              <w:right w:val="single" w:sz="4" w:space="0" w:color="auto"/>
            </w:tcBorders>
            <w:shd w:val="clear" w:color="auto" w:fill="DBDBDB"/>
            <w:vAlign w:val="center"/>
            <w:hideMark/>
          </w:tcPr>
          <w:p w14:paraId="2BEAF7B7" w14:textId="77777777" w:rsidR="002C206D" w:rsidRDefault="002C206D">
            <w:pPr>
              <w:spacing w:line="256" w:lineRule="auto"/>
              <w:jc w:val="center"/>
              <w:rPr>
                <w:rFonts w:ascii="Calibri Light" w:hAnsi="Calibri Light" w:cs="Calibri Light"/>
                <w:b/>
                <w:bCs/>
                <w:color w:val="000000"/>
                <w:sz w:val="26"/>
                <w:szCs w:val="26"/>
                <w:lang w:val="en-US"/>
              </w:rPr>
            </w:pPr>
            <w:r>
              <w:rPr>
                <w:rFonts w:ascii="Calibri Light" w:hAnsi="Calibri Light" w:cs="Calibri Light"/>
                <w:b/>
                <w:bCs/>
                <w:color w:val="000000"/>
                <w:sz w:val="26"/>
                <w:szCs w:val="26"/>
              </w:rPr>
              <w:t>Credite de</w:t>
            </w:r>
            <w:r>
              <w:rPr>
                <w:rFonts w:ascii="Calibri Light" w:hAnsi="Calibri Light" w:cs="Calibri Light"/>
                <w:b/>
                <w:bCs/>
                <w:color w:val="000000"/>
                <w:sz w:val="26"/>
                <w:szCs w:val="26"/>
              </w:rPr>
              <w:br/>
              <w:t>angajament CA</w:t>
            </w:r>
          </w:p>
        </w:tc>
        <w:tc>
          <w:tcPr>
            <w:tcW w:w="746" w:type="pct"/>
            <w:tcBorders>
              <w:top w:val="single" w:sz="8" w:space="0" w:color="auto"/>
              <w:left w:val="nil"/>
              <w:bottom w:val="single" w:sz="4" w:space="0" w:color="auto"/>
              <w:right w:val="single" w:sz="4" w:space="0" w:color="auto"/>
            </w:tcBorders>
            <w:shd w:val="clear" w:color="auto" w:fill="DBDBDB"/>
            <w:vAlign w:val="center"/>
            <w:hideMark/>
          </w:tcPr>
          <w:p w14:paraId="702DFFBE" w14:textId="77777777" w:rsidR="002C206D" w:rsidRDefault="002C206D">
            <w:pPr>
              <w:spacing w:line="256" w:lineRule="auto"/>
              <w:jc w:val="center"/>
              <w:rPr>
                <w:rFonts w:ascii="Calibri Light" w:hAnsi="Calibri Light" w:cs="Calibri Light"/>
                <w:b/>
                <w:bCs/>
                <w:color w:val="000000"/>
                <w:sz w:val="26"/>
                <w:szCs w:val="26"/>
                <w:lang w:val="en-US"/>
              </w:rPr>
            </w:pPr>
            <w:r>
              <w:rPr>
                <w:rFonts w:ascii="Calibri Light" w:hAnsi="Calibri Light" w:cs="Calibri Light"/>
                <w:b/>
                <w:bCs/>
                <w:color w:val="000000"/>
                <w:sz w:val="26"/>
                <w:szCs w:val="26"/>
              </w:rPr>
              <w:t>% CA</w:t>
            </w:r>
          </w:p>
        </w:tc>
        <w:tc>
          <w:tcPr>
            <w:tcW w:w="1158" w:type="pct"/>
            <w:tcBorders>
              <w:top w:val="single" w:sz="8" w:space="0" w:color="auto"/>
              <w:left w:val="nil"/>
              <w:bottom w:val="single" w:sz="4" w:space="0" w:color="auto"/>
              <w:right w:val="single" w:sz="4" w:space="0" w:color="auto"/>
            </w:tcBorders>
            <w:shd w:val="clear" w:color="auto" w:fill="DBDBDB"/>
            <w:vAlign w:val="center"/>
            <w:hideMark/>
          </w:tcPr>
          <w:p w14:paraId="2FB91B2E" w14:textId="77777777" w:rsidR="002C206D" w:rsidRDefault="002C206D">
            <w:pPr>
              <w:spacing w:line="256" w:lineRule="auto"/>
              <w:jc w:val="center"/>
              <w:rPr>
                <w:rFonts w:ascii="Calibri Light" w:hAnsi="Calibri Light" w:cs="Calibri Light"/>
                <w:b/>
                <w:bCs/>
                <w:color w:val="000000"/>
                <w:sz w:val="26"/>
                <w:szCs w:val="26"/>
                <w:lang w:val="en-US"/>
              </w:rPr>
            </w:pPr>
            <w:r>
              <w:rPr>
                <w:rFonts w:ascii="Calibri Light" w:hAnsi="Calibri Light" w:cs="Calibri Light"/>
                <w:b/>
                <w:bCs/>
                <w:color w:val="000000"/>
                <w:sz w:val="26"/>
                <w:szCs w:val="26"/>
              </w:rPr>
              <w:t>Credite</w:t>
            </w:r>
            <w:r>
              <w:rPr>
                <w:rFonts w:ascii="Calibri Light" w:hAnsi="Calibri Light" w:cs="Calibri Light"/>
                <w:b/>
                <w:bCs/>
                <w:color w:val="000000"/>
                <w:sz w:val="26"/>
                <w:szCs w:val="26"/>
              </w:rPr>
              <w:br/>
              <w:t xml:space="preserve"> Bugetare CB</w:t>
            </w:r>
          </w:p>
        </w:tc>
        <w:tc>
          <w:tcPr>
            <w:tcW w:w="546" w:type="pct"/>
            <w:tcBorders>
              <w:top w:val="single" w:sz="8" w:space="0" w:color="auto"/>
              <w:left w:val="nil"/>
              <w:bottom w:val="single" w:sz="4" w:space="0" w:color="auto"/>
              <w:right w:val="single" w:sz="8" w:space="0" w:color="auto"/>
            </w:tcBorders>
            <w:shd w:val="clear" w:color="auto" w:fill="DBDBDB"/>
            <w:vAlign w:val="center"/>
            <w:hideMark/>
          </w:tcPr>
          <w:p w14:paraId="6B5470A0" w14:textId="77777777" w:rsidR="002C206D" w:rsidRDefault="002C206D">
            <w:pPr>
              <w:spacing w:line="256" w:lineRule="auto"/>
              <w:jc w:val="center"/>
              <w:rPr>
                <w:rFonts w:ascii="Calibri Light" w:hAnsi="Calibri Light" w:cs="Calibri Light"/>
                <w:b/>
                <w:bCs/>
                <w:color w:val="000000"/>
                <w:sz w:val="26"/>
                <w:szCs w:val="26"/>
                <w:lang w:val="en-US"/>
              </w:rPr>
            </w:pPr>
            <w:r>
              <w:rPr>
                <w:rFonts w:ascii="Calibri Light" w:hAnsi="Calibri Light" w:cs="Calibri Light"/>
                <w:b/>
                <w:bCs/>
                <w:color w:val="000000"/>
                <w:sz w:val="26"/>
                <w:szCs w:val="26"/>
              </w:rPr>
              <w:t>% CB</w:t>
            </w:r>
          </w:p>
        </w:tc>
      </w:tr>
      <w:tr w:rsidR="002C206D" w14:paraId="6D6B90A7" w14:textId="77777777" w:rsidTr="002C206D">
        <w:trPr>
          <w:trHeight w:val="345"/>
        </w:trPr>
        <w:tc>
          <w:tcPr>
            <w:tcW w:w="1615" w:type="pct"/>
            <w:tcBorders>
              <w:top w:val="nil"/>
              <w:left w:val="single" w:sz="8" w:space="0" w:color="auto"/>
              <w:bottom w:val="single" w:sz="4" w:space="0" w:color="auto"/>
              <w:right w:val="single" w:sz="4" w:space="0" w:color="auto"/>
            </w:tcBorders>
            <w:vAlign w:val="center"/>
            <w:hideMark/>
          </w:tcPr>
          <w:p w14:paraId="1EC01FCA"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Cheltuieli de personal</w:t>
            </w:r>
          </w:p>
        </w:tc>
        <w:tc>
          <w:tcPr>
            <w:tcW w:w="935" w:type="pct"/>
            <w:tcBorders>
              <w:top w:val="nil"/>
              <w:left w:val="nil"/>
              <w:bottom w:val="single" w:sz="4" w:space="0" w:color="auto"/>
              <w:right w:val="single" w:sz="4" w:space="0" w:color="auto"/>
            </w:tcBorders>
            <w:noWrap/>
            <w:vAlign w:val="bottom"/>
            <w:hideMark/>
          </w:tcPr>
          <w:p w14:paraId="4B903916"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174 732</w:t>
            </w:r>
          </w:p>
        </w:tc>
        <w:tc>
          <w:tcPr>
            <w:tcW w:w="746" w:type="pct"/>
            <w:tcBorders>
              <w:top w:val="nil"/>
              <w:left w:val="nil"/>
              <w:bottom w:val="single" w:sz="4" w:space="0" w:color="auto"/>
              <w:right w:val="single" w:sz="4" w:space="0" w:color="auto"/>
            </w:tcBorders>
            <w:noWrap/>
            <w:vAlign w:val="bottom"/>
            <w:hideMark/>
          </w:tcPr>
          <w:p w14:paraId="76EADD60"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62.98</w:t>
            </w:r>
          </w:p>
        </w:tc>
        <w:tc>
          <w:tcPr>
            <w:tcW w:w="1158" w:type="pct"/>
            <w:tcBorders>
              <w:top w:val="nil"/>
              <w:left w:val="nil"/>
              <w:bottom w:val="single" w:sz="4" w:space="0" w:color="auto"/>
              <w:right w:val="single" w:sz="4" w:space="0" w:color="auto"/>
            </w:tcBorders>
            <w:noWrap/>
            <w:vAlign w:val="bottom"/>
            <w:hideMark/>
          </w:tcPr>
          <w:p w14:paraId="2B3BAAA8"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174 732</w:t>
            </w:r>
          </w:p>
        </w:tc>
        <w:tc>
          <w:tcPr>
            <w:tcW w:w="546" w:type="pct"/>
            <w:tcBorders>
              <w:top w:val="nil"/>
              <w:left w:val="nil"/>
              <w:bottom w:val="single" w:sz="4" w:space="0" w:color="auto"/>
              <w:right w:val="single" w:sz="4" w:space="0" w:color="auto"/>
            </w:tcBorders>
            <w:noWrap/>
            <w:vAlign w:val="bottom"/>
            <w:hideMark/>
          </w:tcPr>
          <w:p w14:paraId="2B0EAF65"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58.43</w:t>
            </w:r>
          </w:p>
        </w:tc>
      </w:tr>
      <w:tr w:rsidR="002C206D" w14:paraId="6E72A636" w14:textId="77777777" w:rsidTr="002C206D">
        <w:trPr>
          <w:trHeight w:val="383"/>
        </w:trPr>
        <w:tc>
          <w:tcPr>
            <w:tcW w:w="1615" w:type="pct"/>
            <w:tcBorders>
              <w:top w:val="nil"/>
              <w:left w:val="single" w:sz="8" w:space="0" w:color="auto"/>
              <w:bottom w:val="single" w:sz="4" w:space="0" w:color="auto"/>
              <w:right w:val="single" w:sz="4" w:space="0" w:color="auto"/>
            </w:tcBorders>
            <w:vAlign w:val="center"/>
            <w:hideMark/>
          </w:tcPr>
          <w:p w14:paraId="52994423"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Bunuri și servicii</w:t>
            </w:r>
          </w:p>
        </w:tc>
        <w:tc>
          <w:tcPr>
            <w:tcW w:w="935" w:type="pct"/>
            <w:tcBorders>
              <w:top w:val="nil"/>
              <w:left w:val="nil"/>
              <w:bottom w:val="single" w:sz="4" w:space="0" w:color="auto"/>
              <w:right w:val="single" w:sz="4" w:space="0" w:color="auto"/>
            </w:tcBorders>
            <w:noWrap/>
            <w:vAlign w:val="bottom"/>
            <w:hideMark/>
          </w:tcPr>
          <w:p w14:paraId="5CD7DB17"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13 324</w:t>
            </w:r>
          </w:p>
        </w:tc>
        <w:tc>
          <w:tcPr>
            <w:tcW w:w="746" w:type="pct"/>
            <w:tcBorders>
              <w:top w:val="nil"/>
              <w:left w:val="nil"/>
              <w:bottom w:val="single" w:sz="4" w:space="0" w:color="auto"/>
              <w:right w:val="single" w:sz="4" w:space="0" w:color="auto"/>
            </w:tcBorders>
            <w:noWrap/>
            <w:vAlign w:val="bottom"/>
            <w:hideMark/>
          </w:tcPr>
          <w:p w14:paraId="5FFCDC2B"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4.80</w:t>
            </w:r>
          </w:p>
        </w:tc>
        <w:tc>
          <w:tcPr>
            <w:tcW w:w="1158" w:type="pct"/>
            <w:tcBorders>
              <w:top w:val="nil"/>
              <w:left w:val="nil"/>
              <w:bottom w:val="single" w:sz="4" w:space="0" w:color="auto"/>
              <w:right w:val="single" w:sz="4" w:space="0" w:color="auto"/>
            </w:tcBorders>
            <w:noWrap/>
            <w:vAlign w:val="bottom"/>
            <w:hideMark/>
          </w:tcPr>
          <w:p w14:paraId="02973D29"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13 324</w:t>
            </w:r>
          </w:p>
        </w:tc>
        <w:tc>
          <w:tcPr>
            <w:tcW w:w="546" w:type="pct"/>
            <w:tcBorders>
              <w:top w:val="nil"/>
              <w:left w:val="nil"/>
              <w:bottom w:val="single" w:sz="4" w:space="0" w:color="auto"/>
              <w:right w:val="single" w:sz="4" w:space="0" w:color="auto"/>
            </w:tcBorders>
            <w:noWrap/>
            <w:vAlign w:val="bottom"/>
            <w:hideMark/>
          </w:tcPr>
          <w:p w14:paraId="7F11F1B5"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4.46</w:t>
            </w:r>
          </w:p>
        </w:tc>
      </w:tr>
      <w:tr w:rsidR="002C206D" w14:paraId="4CCD81EB" w14:textId="77777777" w:rsidTr="002C206D">
        <w:trPr>
          <w:trHeight w:val="360"/>
        </w:trPr>
        <w:tc>
          <w:tcPr>
            <w:tcW w:w="1615" w:type="pct"/>
            <w:tcBorders>
              <w:top w:val="nil"/>
              <w:left w:val="single" w:sz="8" w:space="0" w:color="auto"/>
              <w:bottom w:val="single" w:sz="4" w:space="0" w:color="auto"/>
              <w:right w:val="single" w:sz="4" w:space="0" w:color="auto"/>
            </w:tcBorders>
            <w:vAlign w:val="center"/>
            <w:hideMark/>
          </w:tcPr>
          <w:p w14:paraId="3F5F6752"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Transferuri</w:t>
            </w:r>
          </w:p>
        </w:tc>
        <w:tc>
          <w:tcPr>
            <w:tcW w:w="935" w:type="pct"/>
            <w:tcBorders>
              <w:top w:val="nil"/>
              <w:left w:val="nil"/>
              <w:bottom w:val="single" w:sz="4" w:space="0" w:color="auto"/>
              <w:right w:val="single" w:sz="4" w:space="0" w:color="auto"/>
            </w:tcBorders>
            <w:noWrap/>
            <w:vAlign w:val="bottom"/>
            <w:hideMark/>
          </w:tcPr>
          <w:p w14:paraId="4A0B7873"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8</w:t>
            </w:r>
          </w:p>
        </w:tc>
        <w:tc>
          <w:tcPr>
            <w:tcW w:w="746" w:type="pct"/>
            <w:tcBorders>
              <w:top w:val="nil"/>
              <w:left w:val="nil"/>
              <w:bottom w:val="single" w:sz="4" w:space="0" w:color="auto"/>
              <w:right w:val="single" w:sz="4" w:space="0" w:color="auto"/>
            </w:tcBorders>
            <w:noWrap/>
            <w:vAlign w:val="bottom"/>
            <w:hideMark/>
          </w:tcPr>
          <w:p w14:paraId="3518AE71"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0.00</w:t>
            </w:r>
          </w:p>
        </w:tc>
        <w:tc>
          <w:tcPr>
            <w:tcW w:w="1158" w:type="pct"/>
            <w:tcBorders>
              <w:top w:val="nil"/>
              <w:left w:val="nil"/>
              <w:bottom w:val="single" w:sz="4" w:space="0" w:color="auto"/>
              <w:right w:val="single" w:sz="4" w:space="0" w:color="auto"/>
            </w:tcBorders>
            <w:noWrap/>
            <w:vAlign w:val="bottom"/>
            <w:hideMark/>
          </w:tcPr>
          <w:p w14:paraId="0EE8F6A7"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8</w:t>
            </w:r>
          </w:p>
        </w:tc>
        <w:tc>
          <w:tcPr>
            <w:tcW w:w="546" w:type="pct"/>
            <w:tcBorders>
              <w:top w:val="nil"/>
              <w:left w:val="nil"/>
              <w:bottom w:val="single" w:sz="4" w:space="0" w:color="auto"/>
              <w:right w:val="single" w:sz="4" w:space="0" w:color="auto"/>
            </w:tcBorders>
            <w:noWrap/>
            <w:vAlign w:val="bottom"/>
            <w:hideMark/>
          </w:tcPr>
          <w:p w14:paraId="1A4B10BA"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0.00</w:t>
            </w:r>
          </w:p>
        </w:tc>
      </w:tr>
      <w:tr w:rsidR="002C206D" w14:paraId="656DB07C" w14:textId="77777777" w:rsidTr="002C206D">
        <w:trPr>
          <w:trHeight w:val="349"/>
        </w:trPr>
        <w:tc>
          <w:tcPr>
            <w:tcW w:w="1615" w:type="pct"/>
            <w:tcBorders>
              <w:top w:val="nil"/>
              <w:left w:val="single" w:sz="8" w:space="0" w:color="auto"/>
              <w:bottom w:val="single" w:sz="4" w:space="0" w:color="auto"/>
              <w:right w:val="single" w:sz="4" w:space="0" w:color="auto"/>
            </w:tcBorders>
            <w:vAlign w:val="center"/>
            <w:hideMark/>
          </w:tcPr>
          <w:p w14:paraId="02FDDFC1"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Alte transferuri</w:t>
            </w:r>
          </w:p>
        </w:tc>
        <w:tc>
          <w:tcPr>
            <w:tcW w:w="935" w:type="pct"/>
            <w:tcBorders>
              <w:top w:val="nil"/>
              <w:left w:val="nil"/>
              <w:bottom w:val="single" w:sz="4" w:space="0" w:color="auto"/>
              <w:right w:val="single" w:sz="4" w:space="0" w:color="auto"/>
            </w:tcBorders>
            <w:noWrap/>
            <w:vAlign w:val="bottom"/>
            <w:hideMark/>
          </w:tcPr>
          <w:p w14:paraId="607D983F"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52</w:t>
            </w:r>
          </w:p>
        </w:tc>
        <w:tc>
          <w:tcPr>
            <w:tcW w:w="746" w:type="pct"/>
            <w:tcBorders>
              <w:top w:val="nil"/>
              <w:left w:val="nil"/>
              <w:bottom w:val="single" w:sz="4" w:space="0" w:color="auto"/>
              <w:right w:val="single" w:sz="4" w:space="0" w:color="auto"/>
            </w:tcBorders>
            <w:noWrap/>
            <w:vAlign w:val="bottom"/>
            <w:hideMark/>
          </w:tcPr>
          <w:p w14:paraId="4D469E60"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0.02</w:t>
            </w:r>
          </w:p>
        </w:tc>
        <w:tc>
          <w:tcPr>
            <w:tcW w:w="1158" w:type="pct"/>
            <w:tcBorders>
              <w:top w:val="nil"/>
              <w:left w:val="nil"/>
              <w:bottom w:val="single" w:sz="4" w:space="0" w:color="auto"/>
              <w:right w:val="single" w:sz="4" w:space="0" w:color="auto"/>
            </w:tcBorders>
            <w:noWrap/>
            <w:vAlign w:val="bottom"/>
            <w:hideMark/>
          </w:tcPr>
          <w:p w14:paraId="2936B287"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52</w:t>
            </w:r>
          </w:p>
        </w:tc>
        <w:tc>
          <w:tcPr>
            <w:tcW w:w="546" w:type="pct"/>
            <w:tcBorders>
              <w:top w:val="nil"/>
              <w:left w:val="nil"/>
              <w:bottom w:val="single" w:sz="4" w:space="0" w:color="auto"/>
              <w:right w:val="single" w:sz="4" w:space="0" w:color="auto"/>
            </w:tcBorders>
            <w:noWrap/>
            <w:vAlign w:val="bottom"/>
            <w:hideMark/>
          </w:tcPr>
          <w:p w14:paraId="326B9CDE"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0.02</w:t>
            </w:r>
          </w:p>
        </w:tc>
      </w:tr>
      <w:tr w:rsidR="002C206D" w14:paraId="41E1E8DB" w14:textId="77777777" w:rsidTr="002C206D">
        <w:trPr>
          <w:trHeight w:val="780"/>
        </w:trPr>
        <w:tc>
          <w:tcPr>
            <w:tcW w:w="1615" w:type="pct"/>
            <w:tcBorders>
              <w:top w:val="nil"/>
              <w:left w:val="single" w:sz="8" w:space="0" w:color="auto"/>
              <w:bottom w:val="single" w:sz="4" w:space="0" w:color="auto"/>
              <w:right w:val="single" w:sz="4" w:space="0" w:color="auto"/>
            </w:tcBorders>
            <w:vAlign w:val="center"/>
            <w:hideMark/>
          </w:tcPr>
          <w:p w14:paraId="3C187BF5" w14:textId="77777777" w:rsidR="002C206D" w:rsidRPr="00261D6B" w:rsidRDefault="002C206D">
            <w:pPr>
              <w:spacing w:line="256" w:lineRule="auto"/>
              <w:rPr>
                <w:rFonts w:ascii="Calibri Light" w:hAnsi="Calibri Light" w:cs="Calibri Light"/>
                <w:color w:val="000000"/>
                <w:sz w:val="26"/>
                <w:szCs w:val="26"/>
                <w:lang w:val="fr-FR"/>
              </w:rPr>
            </w:pPr>
            <w:r>
              <w:rPr>
                <w:rFonts w:ascii="Calibri Light" w:hAnsi="Calibri Light" w:cs="Calibri Light"/>
                <w:color w:val="000000"/>
                <w:sz w:val="26"/>
                <w:szCs w:val="26"/>
              </w:rPr>
              <w:t>Proiecte cu finanțare din FEN postaderare</w:t>
            </w:r>
          </w:p>
        </w:tc>
        <w:tc>
          <w:tcPr>
            <w:tcW w:w="935" w:type="pct"/>
            <w:tcBorders>
              <w:top w:val="nil"/>
              <w:left w:val="nil"/>
              <w:bottom w:val="single" w:sz="4" w:space="0" w:color="auto"/>
              <w:right w:val="single" w:sz="4" w:space="0" w:color="auto"/>
            </w:tcBorders>
            <w:noWrap/>
            <w:vAlign w:val="bottom"/>
            <w:hideMark/>
          </w:tcPr>
          <w:p w14:paraId="125849F6"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w:t>
            </w:r>
          </w:p>
        </w:tc>
        <w:tc>
          <w:tcPr>
            <w:tcW w:w="746" w:type="pct"/>
            <w:tcBorders>
              <w:top w:val="nil"/>
              <w:left w:val="nil"/>
              <w:bottom w:val="single" w:sz="4" w:space="0" w:color="auto"/>
              <w:right w:val="single" w:sz="4" w:space="0" w:color="auto"/>
            </w:tcBorders>
            <w:noWrap/>
            <w:vAlign w:val="bottom"/>
            <w:hideMark/>
          </w:tcPr>
          <w:p w14:paraId="601A21AE"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0.00</w:t>
            </w:r>
          </w:p>
        </w:tc>
        <w:tc>
          <w:tcPr>
            <w:tcW w:w="1158" w:type="pct"/>
            <w:tcBorders>
              <w:top w:val="nil"/>
              <w:left w:val="nil"/>
              <w:bottom w:val="single" w:sz="4" w:space="0" w:color="auto"/>
              <w:right w:val="single" w:sz="4" w:space="0" w:color="auto"/>
            </w:tcBorders>
            <w:noWrap/>
            <w:vAlign w:val="bottom"/>
            <w:hideMark/>
          </w:tcPr>
          <w:p w14:paraId="658AFCB5"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w:t>
            </w:r>
          </w:p>
        </w:tc>
        <w:tc>
          <w:tcPr>
            <w:tcW w:w="546" w:type="pct"/>
            <w:tcBorders>
              <w:top w:val="nil"/>
              <w:left w:val="nil"/>
              <w:bottom w:val="single" w:sz="4" w:space="0" w:color="auto"/>
              <w:right w:val="single" w:sz="4" w:space="0" w:color="auto"/>
            </w:tcBorders>
            <w:noWrap/>
            <w:vAlign w:val="bottom"/>
            <w:hideMark/>
          </w:tcPr>
          <w:p w14:paraId="200D8632"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0.00</w:t>
            </w:r>
          </w:p>
        </w:tc>
      </w:tr>
      <w:tr w:rsidR="002C206D" w14:paraId="23C37243" w14:textId="77777777" w:rsidTr="002C206D">
        <w:trPr>
          <w:trHeight w:val="1069"/>
        </w:trPr>
        <w:tc>
          <w:tcPr>
            <w:tcW w:w="1615" w:type="pct"/>
            <w:tcBorders>
              <w:top w:val="nil"/>
              <w:left w:val="single" w:sz="8" w:space="0" w:color="auto"/>
              <w:bottom w:val="single" w:sz="4" w:space="0" w:color="auto"/>
              <w:right w:val="single" w:sz="4" w:space="0" w:color="auto"/>
            </w:tcBorders>
            <w:vAlign w:val="center"/>
            <w:hideMark/>
          </w:tcPr>
          <w:p w14:paraId="12AEF859" w14:textId="77777777" w:rsidR="002C206D" w:rsidRPr="00261D6B" w:rsidRDefault="002C206D">
            <w:pPr>
              <w:spacing w:line="256" w:lineRule="auto"/>
              <w:rPr>
                <w:rFonts w:ascii="Calibri Light" w:hAnsi="Calibri Light" w:cs="Calibri Light"/>
                <w:color w:val="000000"/>
                <w:sz w:val="26"/>
                <w:szCs w:val="26"/>
                <w:lang w:val="fr-FR"/>
              </w:rPr>
            </w:pPr>
            <w:r>
              <w:rPr>
                <w:rFonts w:ascii="Calibri Light" w:hAnsi="Calibri Light" w:cs="Calibri Light"/>
                <w:color w:val="000000"/>
                <w:sz w:val="26"/>
                <w:szCs w:val="26"/>
              </w:rPr>
              <w:t>Proiecte cu finanțare din FEN aferente cadrului financiar 2014-2020</w:t>
            </w:r>
          </w:p>
        </w:tc>
        <w:tc>
          <w:tcPr>
            <w:tcW w:w="935" w:type="pct"/>
            <w:tcBorders>
              <w:top w:val="nil"/>
              <w:left w:val="nil"/>
              <w:bottom w:val="single" w:sz="4" w:space="0" w:color="auto"/>
              <w:right w:val="single" w:sz="4" w:space="0" w:color="auto"/>
            </w:tcBorders>
            <w:noWrap/>
            <w:vAlign w:val="bottom"/>
            <w:hideMark/>
          </w:tcPr>
          <w:p w14:paraId="5D7A1931"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43 260</w:t>
            </w:r>
          </w:p>
        </w:tc>
        <w:tc>
          <w:tcPr>
            <w:tcW w:w="746" w:type="pct"/>
            <w:tcBorders>
              <w:top w:val="nil"/>
              <w:left w:val="nil"/>
              <w:bottom w:val="single" w:sz="4" w:space="0" w:color="auto"/>
              <w:right w:val="single" w:sz="4" w:space="0" w:color="auto"/>
            </w:tcBorders>
            <w:noWrap/>
            <w:vAlign w:val="bottom"/>
            <w:hideMark/>
          </w:tcPr>
          <w:p w14:paraId="302542BF"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15.59</w:t>
            </w:r>
          </w:p>
        </w:tc>
        <w:tc>
          <w:tcPr>
            <w:tcW w:w="1158" w:type="pct"/>
            <w:tcBorders>
              <w:top w:val="nil"/>
              <w:left w:val="nil"/>
              <w:bottom w:val="single" w:sz="4" w:space="0" w:color="auto"/>
              <w:right w:val="single" w:sz="4" w:space="0" w:color="auto"/>
            </w:tcBorders>
            <w:noWrap/>
            <w:vAlign w:val="bottom"/>
            <w:hideMark/>
          </w:tcPr>
          <w:p w14:paraId="207E59FA"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66 883</w:t>
            </w:r>
          </w:p>
        </w:tc>
        <w:tc>
          <w:tcPr>
            <w:tcW w:w="546" w:type="pct"/>
            <w:tcBorders>
              <w:top w:val="nil"/>
              <w:left w:val="nil"/>
              <w:bottom w:val="single" w:sz="4" w:space="0" w:color="auto"/>
              <w:right w:val="single" w:sz="4" w:space="0" w:color="auto"/>
            </w:tcBorders>
            <w:noWrap/>
            <w:vAlign w:val="bottom"/>
            <w:hideMark/>
          </w:tcPr>
          <w:p w14:paraId="2A4E9554"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22.36</w:t>
            </w:r>
          </w:p>
        </w:tc>
      </w:tr>
      <w:tr w:rsidR="002C206D" w14:paraId="11A9AA09" w14:textId="77777777" w:rsidTr="002C206D">
        <w:trPr>
          <w:trHeight w:val="345"/>
        </w:trPr>
        <w:tc>
          <w:tcPr>
            <w:tcW w:w="1615" w:type="pct"/>
            <w:tcBorders>
              <w:top w:val="nil"/>
              <w:left w:val="single" w:sz="8" w:space="0" w:color="auto"/>
              <w:bottom w:val="single" w:sz="4" w:space="0" w:color="auto"/>
              <w:right w:val="single" w:sz="4" w:space="0" w:color="auto"/>
            </w:tcBorders>
            <w:vAlign w:val="center"/>
            <w:hideMark/>
          </w:tcPr>
          <w:p w14:paraId="1C033767"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Alte cheltuieli</w:t>
            </w:r>
          </w:p>
        </w:tc>
        <w:tc>
          <w:tcPr>
            <w:tcW w:w="935" w:type="pct"/>
            <w:tcBorders>
              <w:top w:val="nil"/>
              <w:left w:val="nil"/>
              <w:bottom w:val="single" w:sz="4" w:space="0" w:color="auto"/>
              <w:right w:val="single" w:sz="4" w:space="0" w:color="auto"/>
            </w:tcBorders>
            <w:noWrap/>
            <w:vAlign w:val="bottom"/>
            <w:hideMark/>
          </w:tcPr>
          <w:p w14:paraId="427133B3"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41 593</w:t>
            </w:r>
          </w:p>
        </w:tc>
        <w:tc>
          <w:tcPr>
            <w:tcW w:w="746" w:type="pct"/>
            <w:tcBorders>
              <w:top w:val="nil"/>
              <w:left w:val="nil"/>
              <w:bottom w:val="single" w:sz="4" w:space="0" w:color="auto"/>
              <w:right w:val="single" w:sz="4" w:space="0" w:color="auto"/>
            </w:tcBorders>
            <w:noWrap/>
            <w:vAlign w:val="bottom"/>
            <w:hideMark/>
          </w:tcPr>
          <w:p w14:paraId="0BD9263C"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14.99</w:t>
            </w:r>
          </w:p>
        </w:tc>
        <w:tc>
          <w:tcPr>
            <w:tcW w:w="1158" w:type="pct"/>
            <w:tcBorders>
              <w:top w:val="nil"/>
              <w:left w:val="nil"/>
              <w:bottom w:val="single" w:sz="4" w:space="0" w:color="auto"/>
              <w:right w:val="single" w:sz="4" w:space="0" w:color="auto"/>
            </w:tcBorders>
            <w:noWrap/>
            <w:vAlign w:val="bottom"/>
            <w:hideMark/>
          </w:tcPr>
          <w:p w14:paraId="249C74DC"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41 593</w:t>
            </w:r>
          </w:p>
        </w:tc>
        <w:tc>
          <w:tcPr>
            <w:tcW w:w="546" w:type="pct"/>
            <w:tcBorders>
              <w:top w:val="nil"/>
              <w:left w:val="nil"/>
              <w:bottom w:val="single" w:sz="4" w:space="0" w:color="auto"/>
              <w:right w:val="single" w:sz="4" w:space="0" w:color="auto"/>
            </w:tcBorders>
            <w:noWrap/>
            <w:vAlign w:val="bottom"/>
            <w:hideMark/>
          </w:tcPr>
          <w:p w14:paraId="213BE414"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13.91</w:t>
            </w:r>
          </w:p>
        </w:tc>
      </w:tr>
      <w:tr w:rsidR="002C206D" w14:paraId="6D058396" w14:textId="77777777" w:rsidTr="002C206D">
        <w:trPr>
          <w:trHeight w:val="1035"/>
        </w:trPr>
        <w:tc>
          <w:tcPr>
            <w:tcW w:w="1615" w:type="pct"/>
            <w:tcBorders>
              <w:top w:val="nil"/>
              <w:left w:val="single" w:sz="8" w:space="0" w:color="auto"/>
              <w:bottom w:val="single" w:sz="4" w:space="0" w:color="auto"/>
              <w:right w:val="single" w:sz="4" w:space="0" w:color="auto"/>
            </w:tcBorders>
            <w:vAlign w:val="center"/>
            <w:hideMark/>
          </w:tcPr>
          <w:p w14:paraId="34ECDBC9"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Proiecte cu finanțate din sumele reprezentând asistență financiară PNRR</w:t>
            </w:r>
          </w:p>
        </w:tc>
        <w:tc>
          <w:tcPr>
            <w:tcW w:w="935" w:type="pct"/>
            <w:tcBorders>
              <w:top w:val="nil"/>
              <w:left w:val="nil"/>
              <w:bottom w:val="single" w:sz="4" w:space="0" w:color="auto"/>
              <w:right w:val="single" w:sz="4" w:space="0" w:color="auto"/>
            </w:tcBorders>
            <w:noWrap/>
            <w:vAlign w:val="bottom"/>
            <w:hideMark/>
          </w:tcPr>
          <w:p w14:paraId="7DB8708D"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3 927</w:t>
            </w:r>
          </w:p>
        </w:tc>
        <w:tc>
          <w:tcPr>
            <w:tcW w:w="746" w:type="pct"/>
            <w:tcBorders>
              <w:top w:val="nil"/>
              <w:left w:val="nil"/>
              <w:bottom w:val="single" w:sz="4" w:space="0" w:color="auto"/>
              <w:right w:val="single" w:sz="4" w:space="0" w:color="auto"/>
            </w:tcBorders>
            <w:noWrap/>
            <w:vAlign w:val="bottom"/>
            <w:hideMark/>
          </w:tcPr>
          <w:p w14:paraId="27C2DCD1"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1.42</w:t>
            </w:r>
          </w:p>
        </w:tc>
        <w:tc>
          <w:tcPr>
            <w:tcW w:w="1158" w:type="pct"/>
            <w:tcBorders>
              <w:top w:val="nil"/>
              <w:left w:val="nil"/>
              <w:bottom w:val="single" w:sz="4" w:space="0" w:color="auto"/>
              <w:right w:val="single" w:sz="4" w:space="0" w:color="auto"/>
            </w:tcBorders>
            <w:noWrap/>
            <w:vAlign w:val="bottom"/>
            <w:hideMark/>
          </w:tcPr>
          <w:p w14:paraId="799E00AF"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1 949</w:t>
            </w:r>
          </w:p>
        </w:tc>
        <w:tc>
          <w:tcPr>
            <w:tcW w:w="546" w:type="pct"/>
            <w:tcBorders>
              <w:top w:val="nil"/>
              <w:left w:val="nil"/>
              <w:bottom w:val="single" w:sz="4" w:space="0" w:color="auto"/>
              <w:right w:val="single" w:sz="4" w:space="0" w:color="auto"/>
            </w:tcBorders>
            <w:noWrap/>
            <w:vAlign w:val="bottom"/>
            <w:hideMark/>
          </w:tcPr>
          <w:p w14:paraId="3D8D33B5"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0.65</w:t>
            </w:r>
          </w:p>
        </w:tc>
      </w:tr>
      <w:tr w:rsidR="002C206D" w14:paraId="014FCC02" w14:textId="77777777" w:rsidTr="002C206D">
        <w:trPr>
          <w:trHeight w:val="300"/>
        </w:trPr>
        <w:tc>
          <w:tcPr>
            <w:tcW w:w="1615" w:type="pct"/>
            <w:tcBorders>
              <w:top w:val="nil"/>
              <w:left w:val="single" w:sz="8" w:space="0" w:color="auto"/>
              <w:bottom w:val="single" w:sz="4" w:space="0" w:color="auto"/>
              <w:right w:val="single" w:sz="4" w:space="0" w:color="auto"/>
            </w:tcBorders>
            <w:vAlign w:val="center"/>
            <w:hideMark/>
          </w:tcPr>
          <w:p w14:paraId="079613B9"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Cheltuieli de capital</w:t>
            </w:r>
          </w:p>
        </w:tc>
        <w:tc>
          <w:tcPr>
            <w:tcW w:w="935" w:type="pct"/>
            <w:tcBorders>
              <w:top w:val="nil"/>
              <w:left w:val="nil"/>
              <w:bottom w:val="single" w:sz="4" w:space="0" w:color="auto"/>
              <w:right w:val="single" w:sz="4" w:space="0" w:color="auto"/>
            </w:tcBorders>
            <w:noWrap/>
            <w:vAlign w:val="bottom"/>
            <w:hideMark/>
          </w:tcPr>
          <w:p w14:paraId="237F47FF"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529</w:t>
            </w:r>
          </w:p>
        </w:tc>
        <w:tc>
          <w:tcPr>
            <w:tcW w:w="746" w:type="pct"/>
            <w:tcBorders>
              <w:top w:val="nil"/>
              <w:left w:val="nil"/>
              <w:bottom w:val="single" w:sz="4" w:space="0" w:color="auto"/>
              <w:right w:val="single" w:sz="4" w:space="0" w:color="auto"/>
            </w:tcBorders>
            <w:noWrap/>
            <w:vAlign w:val="bottom"/>
            <w:hideMark/>
          </w:tcPr>
          <w:p w14:paraId="64F9C66B"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0.20</w:t>
            </w:r>
          </w:p>
        </w:tc>
        <w:tc>
          <w:tcPr>
            <w:tcW w:w="1158" w:type="pct"/>
            <w:tcBorders>
              <w:top w:val="nil"/>
              <w:left w:val="nil"/>
              <w:bottom w:val="single" w:sz="4" w:space="0" w:color="auto"/>
              <w:right w:val="single" w:sz="4" w:space="0" w:color="auto"/>
            </w:tcBorders>
            <w:noWrap/>
            <w:vAlign w:val="bottom"/>
            <w:hideMark/>
          </w:tcPr>
          <w:p w14:paraId="5D3DED55"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529</w:t>
            </w:r>
          </w:p>
        </w:tc>
        <w:tc>
          <w:tcPr>
            <w:tcW w:w="546" w:type="pct"/>
            <w:tcBorders>
              <w:top w:val="nil"/>
              <w:left w:val="nil"/>
              <w:bottom w:val="single" w:sz="4" w:space="0" w:color="auto"/>
              <w:right w:val="single" w:sz="4" w:space="0" w:color="auto"/>
            </w:tcBorders>
            <w:noWrap/>
            <w:vAlign w:val="bottom"/>
            <w:hideMark/>
          </w:tcPr>
          <w:p w14:paraId="2BC6B663" w14:textId="77777777" w:rsidR="002C206D" w:rsidRDefault="002C206D">
            <w:pPr>
              <w:spacing w:line="256" w:lineRule="auto"/>
              <w:jc w:val="right"/>
              <w:rPr>
                <w:rFonts w:ascii="Calibri Light" w:hAnsi="Calibri Light" w:cs="Calibri Light"/>
                <w:color w:val="000000"/>
                <w:sz w:val="26"/>
                <w:szCs w:val="26"/>
                <w:lang w:val="en-US"/>
              </w:rPr>
            </w:pPr>
            <w:r>
              <w:rPr>
                <w:rFonts w:ascii="Calibri Light" w:hAnsi="Calibri Light" w:cs="Calibri Light"/>
                <w:color w:val="000000"/>
                <w:sz w:val="26"/>
                <w:szCs w:val="26"/>
              </w:rPr>
              <w:t>0.17</w:t>
            </w:r>
          </w:p>
        </w:tc>
      </w:tr>
      <w:tr w:rsidR="002C206D" w14:paraId="2D1E0D16" w14:textId="77777777" w:rsidTr="002C206D">
        <w:trPr>
          <w:trHeight w:val="360"/>
        </w:trPr>
        <w:tc>
          <w:tcPr>
            <w:tcW w:w="1615" w:type="pct"/>
            <w:tcBorders>
              <w:top w:val="nil"/>
              <w:left w:val="single" w:sz="8" w:space="0" w:color="auto"/>
              <w:bottom w:val="single" w:sz="8" w:space="0" w:color="auto"/>
              <w:right w:val="single" w:sz="4" w:space="0" w:color="auto"/>
            </w:tcBorders>
            <w:noWrap/>
            <w:vAlign w:val="bottom"/>
            <w:hideMark/>
          </w:tcPr>
          <w:p w14:paraId="6D522C9C" w14:textId="77777777" w:rsidR="002C206D" w:rsidRDefault="002C206D">
            <w:pPr>
              <w:spacing w:line="256" w:lineRule="auto"/>
              <w:rPr>
                <w:rFonts w:ascii="Calibri Light" w:hAnsi="Calibri Light" w:cs="Calibri Light"/>
                <w:color w:val="000000"/>
                <w:sz w:val="26"/>
                <w:szCs w:val="26"/>
                <w:lang w:val="en-US"/>
              </w:rPr>
            </w:pPr>
            <w:r>
              <w:rPr>
                <w:rFonts w:ascii="Calibri Light" w:hAnsi="Calibri Light" w:cs="Calibri Light"/>
                <w:color w:val="000000"/>
                <w:sz w:val="26"/>
                <w:szCs w:val="26"/>
              </w:rPr>
              <w:t>Total</w:t>
            </w:r>
          </w:p>
        </w:tc>
        <w:tc>
          <w:tcPr>
            <w:tcW w:w="935" w:type="pct"/>
            <w:tcBorders>
              <w:top w:val="nil"/>
              <w:left w:val="nil"/>
              <w:bottom w:val="single" w:sz="8" w:space="0" w:color="auto"/>
              <w:right w:val="single" w:sz="4" w:space="0" w:color="auto"/>
            </w:tcBorders>
            <w:noWrap/>
            <w:vAlign w:val="bottom"/>
            <w:hideMark/>
          </w:tcPr>
          <w:p w14:paraId="04864C3F" w14:textId="77777777" w:rsidR="002C206D" w:rsidRDefault="002C206D">
            <w:pPr>
              <w:spacing w:line="256" w:lineRule="auto"/>
              <w:jc w:val="right"/>
              <w:rPr>
                <w:rFonts w:ascii="Calibri Light" w:hAnsi="Calibri Light" w:cs="Calibri Light"/>
                <w:b/>
                <w:bCs/>
                <w:color w:val="000000"/>
                <w:sz w:val="26"/>
                <w:szCs w:val="26"/>
                <w:lang w:val="en-US"/>
              </w:rPr>
            </w:pPr>
            <w:r>
              <w:rPr>
                <w:rFonts w:ascii="Calibri Light" w:hAnsi="Calibri Light" w:cs="Calibri Light"/>
                <w:b/>
                <w:bCs/>
                <w:color w:val="000000"/>
                <w:sz w:val="26"/>
                <w:szCs w:val="26"/>
              </w:rPr>
              <w:t>277 425</w:t>
            </w:r>
          </w:p>
        </w:tc>
        <w:tc>
          <w:tcPr>
            <w:tcW w:w="746" w:type="pct"/>
            <w:tcBorders>
              <w:top w:val="nil"/>
              <w:left w:val="nil"/>
              <w:bottom w:val="single" w:sz="8" w:space="0" w:color="auto"/>
              <w:right w:val="single" w:sz="4" w:space="0" w:color="auto"/>
            </w:tcBorders>
            <w:noWrap/>
            <w:vAlign w:val="bottom"/>
            <w:hideMark/>
          </w:tcPr>
          <w:p w14:paraId="2F27B75F" w14:textId="77777777" w:rsidR="002C206D" w:rsidRDefault="002C206D">
            <w:pPr>
              <w:spacing w:line="256" w:lineRule="auto"/>
              <w:jc w:val="right"/>
              <w:rPr>
                <w:rFonts w:ascii="Calibri Light" w:hAnsi="Calibri Light" w:cs="Calibri Light"/>
                <w:b/>
                <w:bCs/>
                <w:color w:val="000000"/>
                <w:sz w:val="26"/>
                <w:szCs w:val="26"/>
                <w:lang w:val="en-US"/>
              </w:rPr>
            </w:pPr>
            <w:r>
              <w:rPr>
                <w:rFonts w:ascii="Calibri Light" w:hAnsi="Calibri Light" w:cs="Calibri Light"/>
                <w:b/>
                <w:bCs/>
                <w:color w:val="000000"/>
                <w:sz w:val="26"/>
                <w:szCs w:val="26"/>
              </w:rPr>
              <w:t>100</w:t>
            </w:r>
          </w:p>
        </w:tc>
        <w:tc>
          <w:tcPr>
            <w:tcW w:w="1158" w:type="pct"/>
            <w:tcBorders>
              <w:top w:val="nil"/>
              <w:left w:val="nil"/>
              <w:bottom w:val="single" w:sz="8" w:space="0" w:color="auto"/>
              <w:right w:val="single" w:sz="4" w:space="0" w:color="auto"/>
            </w:tcBorders>
            <w:noWrap/>
            <w:vAlign w:val="bottom"/>
            <w:hideMark/>
          </w:tcPr>
          <w:p w14:paraId="21B290FA" w14:textId="77777777" w:rsidR="002C206D" w:rsidRDefault="002C206D">
            <w:pPr>
              <w:spacing w:line="256" w:lineRule="auto"/>
              <w:jc w:val="right"/>
              <w:rPr>
                <w:rFonts w:ascii="Calibri Light" w:hAnsi="Calibri Light" w:cs="Calibri Light"/>
                <w:b/>
                <w:bCs/>
                <w:color w:val="000000"/>
                <w:sz w:val="26"/>
                <w:szCs w:val="26"/>
                <w:lang w:val="en-US"/>
              </w:rPr>
            </w:pPr>
            <w:r>
              <w:rPr>
                <w:rFonts w:ascii="Calibri Light" w:hAnsi="Calibri Light" w:cs="Calibri Light"/>
                <w:b/>
                <w:bCs/>
                <w:color w:val="000000"/>
                <w:sz w:val="26"/>
                <w:szCs w:val="26"/>
              </w:rPr>
              <w:t>299 070</w:t>
            </w:r>
          </w:p>
        </w:tc>
        <w:tc>
          <w:tcPr>
            <w:tcW w:w="546" w:type="pct"/>
            <w:tcBorders>
              <w:top w:val="nil"/>
              <w:left w:val="nil"/>
              <w:bottom w:val="single" w:sz="8" w:space="0" w:color="auto"/>
              <w:right w:val="single" w:sz="4" w:space="0" w:color="auto"/>
            </w:tcBorders>
            <w:noWrap/>
            <w:vAlign w:val="bottom"/>
            <w:hideMark/>
          </w:tcPr>
          <w:p w14:paraId="5A709C03" w14:textId="77777777" w:rsidR="002C206D" w:rsidRDefault="002C206D">
            <w:pPr>
              <w:spacing w:line="256" w:lineRule="auto"/>
              <w:jc w:val="right"/>
              <w:rPr>
                <w:rFonts w:ascii="Calibri Light" w:hAnsi="Calibri Light" w:cs="Calibri Light"/>
                <w:b/>
                <w:bCs/>
                <w:color w:val="000000"/>
                <w:sz w:val="26"/>
                <w:szCs w:val="26"/>
                <w:lang w:val="en-US"/>
              </w:rPr>
            </w:pPr>
            <w:r>
              <w:rPr>
                <w:rFonts w:ascii="Calibri Light" w:hAnsi="Calibri Light" w:cs="Calibri Light"/>
                <w:b/>
                <w:bCs/>
                <w:color w:val="000000"/>
                <w:sz w:val="26"/>
                <w:szCs w:val="26"/>
              </w:rPr>
              <w:t>100</w:t>
            </w:r>
          </w:p>
        </w:tc>
      </w:tr>
    </w:tbl>
    <w:p w14:paraId="74E8D157" w14:textId="77777777" w:rsidR="002C206D" w:rsidRDefault="002C206D" w:rsidP="002C206D">
      <w:pPr>
        <w:ind w:firstLine="720"/>
        <w:jc w:val="both"/>
        <w:rPr>
          <w:rFonts w:asciiTheme="minorHAnsi" w:hAnsiTheme="minorHAnsi" w:cstheme="minorHAnsi"/>
          <w:sz w:val="26"/>
          <w:szCs w:val="26"/>
        </w:rPr>
      </w:pPr>
    </w:p>
    <w:p w14:paraId="22B3FA55" w14:textId="77777777" w:rsidR="002C206D" w:rsidRDefault="002C206D" w:rsidP="002C206D">
      <w:pPr>
        <w:ind w:firstLine="720"/>
        <w:jc w:val="both"/>
        <w:rPr>
          <w:rFonts w:asciiTheme="minorHAnsi" w:hAnsiTheme="minorHAnsi" w:cstheme="minorHAnsi"/>
          <w:noProof/>
          <w:sz w:val="26"/>
          <w:szCs w:val="26"/>
          <w:lang w:val="en-GB" w:eastAsia="en-GB"/>
        </w:rPr>
      </w:pPr>
    </w:p>
    <w:p w14:paraId="6D974EF1" w14:textId="77777777" w:rsidR="002C206D" w:rsidRDefault="002C206D" w:rsidP="002C206D">
      <w:pPr>
        <w:jc w:val="both"/>
        <w:rPr>
          <w:rFonts w:asciiTheme="minorHAnsi" w:hAnsiTheme="minorHAnsi" w:cstheme="minorHAnsi"/>
          <w:sz w:val="26"/>
          <w:szCs w:val="26"/>
        </w:rPr>
      </w:pPr>
    </w:p>
    <w:p w14:paraId="60BC5901" w14:textId="77777777" w:rsidR="002C206D" w:rsidRDefault="002C206D" w:rsidP="002C206D">
      <w:pPr>
        <w:jc w:val="center"/>
        <w:rPr>
          <w:rFonts w:asciiTheme="minorHAnsi" w:hAnsiTheme="minorHAnsi" w:cstheme="minorHAnsi"/>
          <w:sz w:val="26"/>
          <w:szCs w:val="26"/>
        </w:rPr>
      </w:pPr>
    </w:p>
    <w:p w14:paraId="34AF531B" w14:textId="4F5D748E" w:rsidR="002C206D" w:rsidRDefault="002C206D" w:rsidP="002C206D">
      <w:pPr>
        <w:jc w:val="center"/>
        <w:rPr>
          <w:rFonts w:asciiTheme="minorHAnsi" w:hAnsiTheme="minorHAnsi" w:cstheme="minorHAnsi"/>
          <w:noProof/>
          <w:sz w:val="26"/>
          <w:szCs w:val="26"/>
          <w:lang w:val="en-US"/>
        </w:rPr>
      </w:pPr>
      <w:r>
        <w:rPr>
          <w:noProof/>
        </w:rPr>
        <w:lastRenderedPageBreak/>
        <w:drawing>
          <wp:inline distT="0" distB="0" distL="0" distR="0" wp14:anchorId="12784E0C" wp14:editId="1F670CA9">
            <wp:extent cx="6496050" cy="5915025"/>
            <wp:effectExtent l="0" t="0" r="0" b="9525"/>
            <wp:docPr id="1273049743" name="Chart 5">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14012F" w14:textId="77777777" w:rsidR="002C206D" w:rsidRDefault="002C206D" w:rsidP="002C206D">
      <w:pPr>
        <w:ind w:firstLine="709"/>
        <w:jc w:val="both"/>
        <w:rPr>
          <w:rFonts w:asciiTheme="minorHAnsi" w:hAnsiTheme="minorHAnsi" w:cstheme="minorHAnsi"/>
          <w:noProof/>
          <w:sz w:val="26"/>
          <w:szCs w:val="26"/>
          <w:lang w:val="en-US"/>
        </w:rPr>
      </w:pPr>
      <w:r>
        <w:rPr>
          <w:rFonts w:asciiTheme="minorHAnsi" w:hAnsiTheme="minorHAnsi" w:cstheme="minorHAnsi"/>
          <w:noProof/>
          <w:sz w:val="26"/>
          <w:szCs w:val="26"/>
          <w:lang w:val="en-US"/>
        </w:rPr>
        <w:t>Evoluţia în structură a cheltuielilor aprobate pentru anul 2023 faţă de realizatul anului 2022 este semnificativă, putându-se observa o descreștere în perspectiva anului 2024, aceasta fiind influen</w:t>
      </w:r>
      <w:r>
        <w:rPr>
          <w:rFonts w:asciiTheme="minorHAnsi" w:hAnsiTheme="minorHAnsi" w:cstheme="minorHAnsi"/>
          <w:noProof/>
          <w:sz w:val="26"/>
          <w:szCs w:val="26"/>
        </w:rPr>
        <w:t xml:space="preserve">țată atât de finalizarea implementării proiectelor finantate din fonduri externe nerambursabile, cât și de limita de cheltuieli transmisă de către Ministerul Finanțelor, această limită nefiind </w:t>
      </w:r>
      <w:r>
        <w:rPr>
          <w:rFonts w:asciiTheme="minorHAnsi" w:hAnsiTheme="minorHAnsi" w:cstheme="minorHAnsi"/>
          <w:noProof/>
          <w:sz w:val="26"/>
          <w:szCs w:val="26"/>
          <w:lang w:val="en-US"/>
        </w:rPr>
        <w:t xml:space="preserve">reportată la necesarul real al cheltuielilor. </w:t>
      </w:r>
    </w:p>
    <w:p w14:paraId="2B7E41C4" w14:textId="77777777" w:rsidR="002C206D" w:rsidRDefault="002C206D" w:rsidP="002C206D">
      <w:pPr>
        <w:keepNext/>
        <w:ind w:firstLine="709"/>
        <w:jc w:val="both"/>
        <w:rPr>
          <w:rFonts w:asciiTheme="minorHAnsi" w:hAnsiTheme="minorHAnsi" w:cstheme="minorHAnsi"/>
          <w:b/>
          <w:sz w:val="26"/>
          <w:szCs w:val="26"/>
        </w:rPr>
      </w:pPr>
      <w:r>
        <w:rPr>
          <w:rFonts w:asciiTheme="minorHAnsi" w:hAnsiTheme="minorHAnsi" w:cstheme="minorHAnsi"/>
          <w:b/>
          <w:sz w:val="26"/>
          <w:szCs w:val="26"/>
        </w:rPr>
        <w:lastRenderedPageBreak/>
        <w:t>Reprezentarea grafică a indicatorilor cu cea mai mare pondere în bugetul total se prezintă astfel:</w:t>
      </w:r>
    </w:p>
    <w:p w14:paraId="25ADBFF1" w14:textId="5EE51B27" w:rsidR="002C206D" w:rsidRDefault="002C206D" w:rsidP="002C206D">
      <w:pPr>
        <w:keepNext/>
        <w:ind w:firstLine="709"/>
        <w:jc w:val="both"/>
        <w:rPr>
          <w:rFonts w:asciiTheme="minorHAnsi" w:hAnsiTheme="minorHAnsi" w:cstheme="minorHAnsi"/>
          <w:sz w:val="26"/>
          <w:szCs w:val="26"/>
        </w:rPr>
      </w:pPr>
      <w:r>
        <w:rPr>
          <w:noProof/>
        </w:rPr>
        <w:drawing>
          <wp:inline distT="0" distB="0" distL="0" distR="0" wp14:anchorId="2C56EECA" wp14:editId="6E0E8035">
            <wp:extent cx="5772150" cy="3257550"/>
            <wp:effectExtent l="0" t="0" r="0" b="0"/>
            <wp:docPr id="1051055199" name="Chart 4">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5A93BD2" w14:textId="77777777" w:rsidR="002C206D" w:rsidRDefault="002C206D" w:rsidP="002C206D">
      <w:pPr>
        <w:ind w:firstLine="720"/>
        <w:jc w:val="right"/>
        <w:rPr>
          <w:rFonts w:asciiTheme="minorHAnsi" w:hAnsiTheme="minorHAnsi" w:cstheme="minorHAnsi"/>
          <w:b/>
          <w:bCs/>
          <w:sz w:val="26"/>
          <w:szCs w:val="26"/>
        </w:rPr>
      </w:pPr>
      <w:r>
        <w:rPr>
          <w:rFonts w:asciiTheme="minorHAnsi" w:hAnsiTheme="minorHAnsi" w:cstheme="minorHAnsi"/>
          <w:b/>
          <w:bCs/>
          <w:sz w:val="26"/>
          <w:szCs w:val="26"/>
        </w:rPr>
        <w:t xml:space="preserve">mii lei </w:t>
      </w:r>
    </w:p>
    <w:tbl>
      <w:tblPr>
        <w:tblW w:w="5000" w:type="pct"/>
        <w:tblLook w:val="04A0" w:firstRow="1" w:lastRow="0" w:firstColumn="1" w:lastColumn="0" w:noHBand="0" w:noVBand="1"/>
      </w:tblPr>
      <w:tblGrid>
        <w:gridCol w:w="4632"/>
        <w:gridCol w:w="958"/>
        <w:gridCol w:w="1617"/>
        <w:gridCol w:w="1480"/>
        <w:gridCol w:w="1507"/>
      </w:tblGrid>
      <w:tr w:rsidR="009201C8" w:rsidRPr="009201C8" w14:paraId="5FB2BCDD" w14:textId="77777777" w:rsidTr="009201C8">
        <w:trPr>
          <w:trHeight w:val="437"/>
        </w:trPr>
        <w:tc>
          <w:tcPr>
            <w:tcW w:w="2742" w:type="pct"/>
            <w:gridSpan w:val="2"/>
            <w:tcBorders>
              <w:top w:val="single" w:sz="4" w:space="0" w:color="auto"/>
              <w:left w:val="single" w:sz="4" w:space="0" w:color="auto"/>
              <w:bottom w:val="single" w:sz="4" w:space="0" w:color="auto"/>
              <w:right w:val="single" w:sz="4" w:space="0" w:color="auto"/>
            </w:tcBorders>
            <w:noWrap/>
            <w:vAlign w:val="bottom"/>
            <w:hideMark/>
          </w:tcPr>
          <w:p w14:paraId="03EB9601" w14:textId="633F5AC9" w:rsidR="009201C8" w:rsidRPr="009201C8" w:rsidRDefault="009201C8">
            <w:pPr>
              <w:spacing w:line="256" w:lineRule="auto"/>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 </w:t>
            </w:r>
          </w:p>
        </w:tc>
        <w:tc>
          <w:tcPr>
            <w:tcW w:w="793" w:type="pct"/>
            <w:tcBorders>
              <w:top w:val="single" w:sz="4" w:space="0" w:color="auto"/>
              <w:left w:val="nil"/>
              <w:bottom w:val="single" w:sz="4" w:space="0" w:color="auto"/>
              <w:right w:val="single" w:sz="4" w:space="0" w:color="auto"/>
            </w:tcBorders>
            <w:noWrap/>
            <w:vAlign w:val="bottom"/>
            <w:hideMark/>
          </w:tcPr>
          <w:p w14:paraId="7FE64CD2"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2022</w:t>
            </w:r>
          </w:p>
        </w:tc>
        <w:tc>
          <w:tcPr>
            <w:tcW w:w="726" w:type="pct"/>
            <w:tcBorders>
              <w:top w:val="single" w:sz="4" w:space="0" w:color="auto"/>
              <w:left w:val="nil"/>
              <w:bottom w:val="single" w:sz="4" w:space="0" w:color="auto"/>
              <w:right w:val="single" w:sz="4" w:space="0" w:color="auto"/>
            </w:tcBorders>
            <w:noWrap/>
            <w:vAlign w:val="bottom"/>
            <w:hideMark/>
          </w:tcPr>
          <w:p w14:paraId="411E17CA"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2023</w:t>
            </w:r>
          </w:p>
        </w:tc>
        <w:tc>
          <w:tcPr>
            <w:tcW w:w="739" w:type="pct"/>
            <w:tcBorders>
              <w:top w:val="single" w:sz="4" w:space="0" w:color="auto"/>
              <w:left w:val="nil"/>
              <w:bottom w:val="single" w:sz="4" w:space="0" w:color="auto"/>
              <w:right w:val="single" w:sz="4" w:space="0" w:color="auto"/>
            </w:tcBorders>
            <w:noWrap/>
            <w:vAlign w:val="bottom"/>
            <w:hideMark/>
          </w:tcPr>
          <w:p w14:paraId="3A8371D5"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2024</w:t>
            </w:r>
          </w:p>
        </w:tc>
      </w:tr>
      <w:tr w:rsidR="002C206D" w:rsidRPr="009201C8" w14:paraId="201523C5" w14:textId="77777777" w:rsidTr="002C206D">
        <w:trPr>
          <w:trHeight w:val="300"/>
        </w:trPr>
        <w:tc>
          <w:tcPr>
            <w:tcW w:w="2272" w:type="pct"/>
            <w:vMerge w:val="restart"/>
            <w:tcBorders>
              <w:top w:val="nil"/>
              <w:left w:val="single" w:sz="4" w:space="0" w:color="auto"/>
              <w:bottom w:val="single" w:sz="4" w:space="0" w:color="000000"/>
              <w:right w:val="single" w:sz="4" w:space="0" w:color="auto"/>
            </w:tcBorders>
            <w:noWrap/>
            <w:vAlign w:val="center"/>
            <w:hideMark/>
          </w:tcPr>
          <w:p w14:paraId="670444DF" w14:textId="77777777" w:rsidR="002C206D" w:rsidRPr="009201C8" w:rsidRDefault="002C206D">
            <w:pPr>
              <w:spacing w:line="256" w:lineRule="auto"/>
              <w:jc w:val="center"/>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Total</w:t>
            </w:r>
          </w:p>
        </w:tc>
        <w:tc>
          <w:tcPr>
            <w:tcW w:w="470" w:type="pct"/>
            <w:tcBorders>
              <w:top w:val="nil"/>
              <w:left w:val="nil"/>
              <w:bottom w:val="single" w:sz="4" w:space="0" w:color="auto"/>
              <w:right w:val="single" w:sz="4" w:space="0" w:color="auto"/>
            </w:tcBorders>
            <w:noWrap/>
            <w:vAlign w:val="bottom"/>
            <w:hideMark/>
          </w:tcPr>
          <w:p w14:paraId="29D31001"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CA</w:t>
            </w:r>
          </w:p>
        </w:tc>
        <w:tc>
          <w:tcPr>
            <w:tcW w:w="793" w:type="pct"/>
            <w:tcBorders>
              <w:top w:val="nil"/>
              <w:left w:val="nil"/>
              <w:bottom w:val="single" w:sz="4" w:space="0" w:color="auto"/>
              <w:right w:val="single" w:sz="4" w:space="0" w:color="auto"/>
            </w:tcBorders>
            <w:noWrap/>
            <w:vAlign w:val="center"/>
            <w:hideMark/>
          </w:tcPr>
          <w:p w14:paraId="2119CCE8"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209 671</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75D6B240"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277 425</w:t>
            </w:r>
          </w:p>
        </w:tc>
        <w:tc>
          <w:tcPr>
            <w:tcW w:w="739" w:type="pct"/>
            <w:tcBorders>
              <w:top w:val="nil"/>
              <w:left w:val="nil"/>
              <w:bottom w:val="single" w:sz="4" w:space="0" w:color="auto"/>
              <w:right w:val="single" w:sz="4" w:space="0" w:color="auto"/>
            </w:tcBorders>
            <w:vAlign w:val="center"/>
            <w:hideMark/>
          </w:tcPr>
          <w:p w14:paraId="48813683"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244 331</w:t>
            </w:r>
          </w:p>
        </w:tc>
      </w:tr>
      <w:tr w:rsidR="002C206D" w:rsidRPr="009201C8" w14:paraId="29E1794E"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660A10C9" w14:textId="77777777" w:rsidR="002C206D" w:rsidRPr="009201C8" w:rsidRDefault="002C206D">
            <w:pPr>
              <w:spacing w:line="256" w:lineRule="auto"/>
              <w:rPr>
                <w:rFonts w:ascii="Calibri Light" w:hAnsi="Calibri Light" w:cs="Calibri Light"/>
                <w:b/>
                <w:bCs/>
                <w:color w:val="000000"/>
                <w:sz w:val="26"/>
                <w:szCs w:val="26"/>
                <w:lang w:val="en-US"/>
              </w:rPr>
            </w:pPr>
          </w:p>
        </w:tc>
        <w:tc>
          <w:tcPr>
            <w:tcW w:w="470" w:type="pct"/>
            <w:tcBorders>
              <w:top w:val="nil"/>
              <w:left w:val="nil"/>
              <w:bottom w:val="single" w:sz="4" w:space="0" w:color="auto"/>
              <w:right w:val="single" w:sz="4" w:space="0" w:color="auto"/>
            </w:tcBorders>
            <w:noWrap/>
            <w:vAlign w:val="bottom"/>
            <w:hideMark/>
          </w:tcPr>
          <w:p w14:paraId="2B32CF27"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CB</w:t>
            </w:r>
          </w:p>
        </w:tc>
        <w:tc>
          <w:tcPr>
            <w:tcW w:w="793" w:type="pct"/>
            <w:tcBorders>
              <w:top w:val="nil"/>
              <w:left w:val="nil"/>
              <w:bottom w:val="single" w:sz="4" w:space="0" w:color="auto"/>
              <w:right w:val="single" w:sz="4" w:space="0" w:color="auto"/>
            </w:tcBorders>
            <w:noWrap/>
            <w:vAlign w:val="center"/>
            <w:hideMark/>
          </w:tcPr>
          <w:p w14:paraId="5741E6BB"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182 774</w:t>
            </w:r>
          </w:p>
        </w:tc>
        <w:tc>
          <w:tcPr>
            <w:tcW w:w="726" w:type="pct"/>
            <w:tcBorders>
              <w:top w:val="nil"/>
              <w:left w:val="single" w:sz="4" w:space="0" w:color="auto"/>
              <w:bottom w:val="single" w:sz="4" w:space="0" w:color="auto"/>
              <w:right w:val="single" w:sz="4" w:space="0" w:color="auto"/>
            </w:tcBorders>
            <w:noWrap/>
            <w:vAlign w:val="center"/>
            <w:hideMark/>
          </w:tcPr>
          <w:p w14:paraId="163D6C6D"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299 070</w:t>
            </w:r>
          </w:p>
        </w:tc>
        <w:tc>
          <w:tcPr>
            <w:tcW w:w="739" w:type="pct"/>
            <w:tcBorders>
              <w:top w:val="nil"/>
              <w:left w:val="nil"/>
              <w:bottom w:val="single" w:sz="4" w:space="0" w:color="auto"/>
              <w:right w:val="single" w:sz="4" w:space="0" w:color="auto"/>
            </w:tcBorders>
            <w:vAlign w:val="center"/>
            <w:hideMark/>
          </w:tcPr>
          <w:p w14:paraId="4D7558EE"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243 390</w:t>
            </w:r>
          </w:p>
        </w:tc>
      </w:tr>
      <w:tr w:rsidR="002C206D" w:rsidRPr="009201C8" w14:paraId="2C99B597" w14:textId="77777777" w:rsidTr="002C206D">
        <w:trPr>
          <w:trHeight w:val="300"/>
        </w:trPr>
        <w:tc>
          <w:tcPr>
            <w:tcW w:w="2272" w:type="pct"/>
            <w:vMerge w:val="restart"/>
            <w:tcBorders>
              <w:top w:val="nil"/>
              <w:left w:val="single" w:sz="4" w:space="0" w:color="auto"/>
              <w:bottom w:val="single" w:sz="4" w:space="0" w:color="000000"/>
              <w:right w:val="single" w:sz="4" w:space="0" w:color="auto"/>
            </w:tcBorders>
            <w:noWrap/>
            <w:vAlign w:val="center"/>
            <w:hideMark/>
          </w:tcPr>
          <w:p w14:paraId="49F76CD1" w14:textId="77777777" w:rsidR="002C206D" w:rsidRPr="009201C8" w:rsidRDefault="002C206D">
            <w:pPr>
              <w:spacing w:line="256" w:lineRule="auto"/>
              <w:jc w:val="center"/>
              <w:rPr>
                <w:rFonts w:ascii="Calibri Light" w:hAnsi="Calibri Light" w:cs="Calibri Light"/>
                <w:b/>
                <w:bCs/>
                <w:color w:val="000000"/>
                <w:sz w:val="26"/>
                <w:szCs w:val="26"/>
                <w:lang w:val="en-US"/>
              </w:rPr>
            </w:pPr>
            <w:proofErr w:type="spellStart"/>
            <w:r w:rsidRPr="009201C8">
              <w:rPr>
                <w:rFonts w:ascii="Calibri Light" w:hAnsi="Calibri Light" w:cs="Calibri Light"/>
                <w:b/>
                <w:bCs/>
                <w:color w:val="000000"/>
                <w:sz w:val="26"/>
                <w:szCs w:val="26"/>
                <w:lang w:val="en-US"/>
              </w:rPr>
              <w:t>Cheltuieli</w:t>
            </w:r>
            <w:proofErr w:type="spellEnd"/>
            <w:r w:rsidRPr="009201C8">
              <w:rPr>
                <w:rFonts w:ascii="Calibri Light" w:hAnsi="Calibri Light" w:cs="Calibri Light"/>
                <w:b/>
                <w:bCs/>
                <w:color w:val="000000"/>
                <w:sz w:val="26"/>
                <w:szCs w:val="26"/>
                <w:lang w:val="en-US"/>
              </w:rPr>
              <w:t xml:space="preserve"> de personal</w:t>
            </w:r>
          </w:p>
        </w:tc>
        <w:tc>
          <w:tcPr>
            <w:tcW w:w="470" w:type="pct"/>
            <w:tcBorders>
              <w:top w:val="nil"/>
              <w:left w:val="nil"/>
              <w:bottom w:val="single" w:sz="4" w:space="0" w:color="auto"/>
              <w:right w:val="single" w:sz="4" w:space="0" w:color="auto"/>
            </w:tcBorders>
            <w:noWrap/>
            <w:vAlign w:val="bottom"/>
            <w:hideMark/>
          </w:tcPr>
          <w:p w14:paraId="341672B5"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CA</w:t>
            </w:r>
          </w:p>
        </w:tc>
        <w:tc>
          <w:tcPr>
            <w:tcW w:w="793" w:type="pct"/>
            <w:tcBorders>
              <w:top w:val="nil"/>
              <w:left w:val="nil"/>
              <w:bottom w:val="single" w:sz="4" w:space="0" w:color="auto"/>
              <w:right w:val="single" w:sz="4" w:space="0" w:color="auto"/>
            </w:tcBorders>
            <w:vAlign w:val="center"/>
            <w:hideMark/>
          </w:tcPr>
          <w:p w14:paraId="5C3B48FE"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105 560</w:t>
            </w:r>
          </w:p>
        </w:tc>
        <w:tc>
          <w:tcPr>
            <w:tcW w:w="726" w:type="pct"/>
            <w:tcBorders>
              <w:top w:val="nil"/>
              <w:left w:val="single" w:sz="4" w:space="0" w:color="auto"/>
              <w:bottom w:val="single" w:sz="4" w:space="0" w:color="auto"/>
              <w:right w:val="single" w:sz="4" w:space="0" w:color="auto"/>
            </w:tcBorders>
            <w:vAlign w:val="center"/>
            <w:hideMark/>
          </w:tcPr>
          <w:p w14:paraId="696C1DCD"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174 732</w:t>
            </w:r>
          </w:p>
        </w:tc>
        <w:tc>
          <w:tcPr>
            <w:tcW w:w="739" w:type="pct"/>
            <w:tcBorders>
              <w:top w:val="nil"/>
              <w:left w:val="nil"/>
              <w:bottom w:val="single" w:sz="4" w:space="0" w:color="auto"/>
              <w:right w:val="single" w:sz="4" w:space="0" w:color="auto"/>
            </w:tcBorders>
            <w:vAlign w:val="center"/>
            <w:hideMark/>
          </w:tcPr>
          <w:p w14:paraId="73C02008"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170 200</w:t>
            </w:r>
          </w:p>
        </w:tc>
      </w:tr>
      <w:tr w:rsidR="002C206D" w:rsidRPr="009201C8" w14:paraId="5A61EC07" w14:textId="77777777" w:rsidTr="002C206D">
        <w:trPr>
          <w:trHeight w:val="405"/>
        </w:trPr>
        <w:tc>
          <w:tcPr>
            <w:tcW w:w="0" w:type="auto"/>
            <w:vMerge/>
            <w:tcBorders>
              <w:top w:val="nil"/>
              <w:left w:val="single" w:sz="4" w:space="0" w:color="auto"/>
              <w:bottom w:val="single" w:sz="4" w:space="0" w:color="000000"/>
              <w:right w:val="single" w:sz="4" w:space="0" w:color="auto"/>
            </w:tcBorders>
            <w:vAlign w:val="center"/>
            <w:hideMark/>
          </w:tcPr>
          <w:p w14:paraId="1FD81DE0" w14:textId="77777777" w:rsidR="002C206D" w:rsidRPr="009201C8" w:rsidRDefault="002C206D">
            <w:pPr>
              <w:spacing w:line="256" w:lineRule="auto"/>
              <w:rPr>
                <w:rFonts w:ascii="Calibri Light" w:hAnsi="Calibri Light" w:cs="Calibri Light"/>
                <w:b/>
                <w:bCs/>
                <w:color w:val="000000"/>
                <w:sz w:val="26"/>
                <w:szCs w:val="26"/>
                <w:lang w:val="en-US"/>
              </w:rPr>
            </w:pPr>
          </w:p>
        </w:tc>
        <w:tc>
          <w:tcPr>
            <w:tcW w:w="470" w:type="pct"/>
            <w:tcBorders>
              <w:top w:val="nil"/>
              <w:left w:val="nil"/>
              <w:bottom w:val="single" w:sz="4" w:space="0" w:color="auto"/>
              <w:right w:val="single" w:sz="4" w:space="0" w:color="auto"/>
            </w:tcBorders>
            <w:noWrap/>
            <w:vAlign w:val="bottom"/>
            <w:hideMark/>
          </w:tcPr>
          <w:p w14:paraId="40FEE0CF"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CB</w:t>
            </w:r>
          </w:p>
        </w:tc>
        <w:tc>
          <w:tcPr>
            <w:tcW w:w="793" w:type="pct"/>
            <w:tcBorders>
              <w:top w:val="nil"/>
              <w:left w:val="nil"/>
              <w:bottom w:val="single" w:sz="4" w:space="0" w:color="auto"/>
              <w:right w:val="single" w:sz="4" w:space="0" w:color="auto"/>
            </w:tcBorders>
            <w:vAlign w:val="center"/>
            <w:hideMark/>
          </w:tcPr>
          <w:p w14:paraId="0D033527"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105 560</w:t>
            </w:r>
          </w:p>
        </w:tc>
        <w:tc>
          <w:tcPr>
            <w:tcW w:w="726" w:type="pct"/>
            <w:tcBorders>
              <w:top w:val="nil"/>
              <w:left w:val="single" w:sz="4" w:space="0" w:color="auto"/>
              <w:bottom w:val="single" w:sz="4" w:space="0" w:color="auto"/>
              <w:right w:val="single" w:sz="4" w:space="0" w:color="auto"/>
            </w:tcBorders>
            <w:vAlign w:val="center"/>
            <w:hideMark/>
          </w:tcPr>
          <w:p w14:paraId="4F1AC560"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174 732</w:t>
            </w:r>
          </w:p>
        </w:tc>
        <w:tc>
          <w:tcPr>
            <w:tcW w:w="739" w:type="pct"/>
            <w:tcBorders>
              <w:top w:val="nil"/>
              <w:left w:val="nil"/>
              <w:bottom w:val="single" w:sz="4" w:space="0" w:color="auto"/>
              <w:right w:val="single" w:sz="4" w:space="0" w:color="auto"/>
            </w:tcBorders>
            <w:vAlign w:val="center"/>
            <w:hideMark/>
          </w:tcPr>
          <w:p w14:paraId="5112D428"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170 200</w:t>
            </w:r>
          </w:p>
        </w:tc>
      </w:tr>
    </w:tbl>
    <w:p w14:paraId="79A8BF27"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 xml:space="preserve">Evoluția pozitivă a bugetului anului 2023 faţă de bugetul anului precedent s-a datorat  inființării a 165 de posturi de expert jurist. </w:t>
      </w:r>
    </w:p>
    <w:p w14:paraId="59BA299C"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 xml:space="preserve"> 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specialitate juridică, funcţionari publici şi personal contractual). </w:t>
      </w:r>
    </w:p>
    <w:p w14:paraId="5699051E" w14:textId="2E64F162" w:rsidR="002C206D" w:rsidRDefault="002C206D" w:rsidP="009201C8">
      <w:pPr>
        <w:jc w:val="center"/>
        <w:rPr>
          <w:rFonts w:asciiTheme="minorHAnsi" w:hAnsiTheme="minorHAnsi" w:cstheme="minorHAnsi"/>
          <w:sz w:val="26"/>
          <w:szCs w:val="26"/>
        </w:rPr>
      </w:pPr>
      <w:r>
        <w:rPr>
          <w:noProof/>
        </w:rPr>
        <w:drawing>
          <wp:inline distT="0" distB="0" distL="0" distR="0" wp14:anchorId="1E13795A" wp14:editId="0F5DD2D0">
            <wp:extent cx="6496050" cy="3114675"/>
            <wp:effectExtent l="0" t="0" r="0" b="9525"/>
            <wp:docPr id="920096580" name="Chart 3">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766302E" w14:textId="77777777" w:rsidR="002C206D" w:rsidRDefault="002C206D" w:rsidP="002C206D">
      <w:pPr>
        <w:ind w:firstLine="708"/>
        <w:jc w:val="both"/>
        <w:rPr>
          <w:rFonts w:asciiTheme="minorHAnsi" w:hAnsiTheme="minorHAnsi" w:cstheme="minorHAnsi"/>
          <w:b/>
          <w:sz w:val="26"/>
          <w:szCs w:val="26"/>
        </w:rPr>
      </w:pP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r>
      <w:r>
        <w:rPr>
          <w:rFonts w:asciiTheme="minorHAnsi" w:hAnsiTheme="minorHAnsi" w:cstheme="minorHAnsi"/>
          <w:sz w:val="26"/>
          <w:szCs w:val="26"/>
        </w:rPr>
        <w:tab/>
        <w:t xml:space="preserve">          </w:t>
      </w:r>
      <w:r>
        <w:rPr>
          <w:rFonts w:asciiTheme="minorHAnsi" w:hAnsiTheme="minorHAnsi" w:cstheme="minorHAnsi"/>
          <w:b/>
          <w:sz w:val="26"/>
          <w:szCs w:val="26"/>
        </w:rPr>
        <w:t xml:space="preserve">        </w:t>
      </w:r>
    </w:p>
    <w:p w14:paraId="36533E36" w14:textId="77777777" w:rsidR="002C206D" w:rsidRDefault="002C206D" w:rsidP="002C206D">
      <w:pPr>
        <w:ind w:firstLine="708"/>
        <w:jc w:val="both"/>
        <w:rPr>
          <w:rFonts w:asciiTheme="minorHAnsi" w:hAnsiTheme="minorHAnsi" w:cstheme="minorHAnsi"/>
          <w:b/>
          <w:sz w:val="26"/>
          <w:szCs w:val="26"/>
        </w:rPr>
      </w:pPr>
    </w:p>
    <w:p w14:paraId="32866DDE" w14:textId="77777777" w:rsidR="002C206D" w:rsidRDefault="002C206D" w:rsidP="002C206D">
      <w:pPr>
        <w:ind w:left="7788" w:firstLine="708"/>
        <w:jc w:val="right"/>
        <w:rPr>
          <w:rFonts w:asciiTheme="minorHAnsi" w:hAnsiTheme="minorHAnsi" w:cstheme="minorHAnsi"/>
          <w:b/>
          <w:sz w:val="26"/>
          <w:szCs w:val="26"/>
        </w:rPr>
      </w:pPr>
      <w:bookmarkStart w:id="124" w:name="_Hlk124085642"/>
      <w:r>
        <w:rPr>
          <w:rFonts w:asciiTheme="minorHAnsi" w:hAnsiTheme="minorHAnsi" w:cstheme="minorHAnsi"/>
          <w:b/>
          <w:sz w:val="26"/>
          <w:szCs w:val="26"/>
        </w:rPr>
        <w:lastRenderedPageBreak/>
        <w:t xml:space="preserve">       mii lei</w:t>
      </w:r>
    </w:p>
    <w:tbl>
      <w:tblPr>
        <w:tblW w:w="5000" w:type="pct"/>
        <w:tblLook w:val="04A0" w:firstRow="1" w:lastRow="0" w:firstColumn="1" w:lastColumn="0" w:noHBand="0" w:noVBand="1"/>
      </w:tblPr>
      <w:tblGrid>
        <w:gridCol w:w="4632"/>
        <w:gridCol w:w="958"/>
        <w:gridCol w:w="1617"/>
        <w:gridCol w:w="1480"/>
        <w:gridCol w:w="1507"/>
      </w:tblGrid>
      <w:tr w:rsidR="009201C8" w:rsidRPr="009201C8" w14:paraId="1D6CAEE7" w14:textId="77777777" w:rsidTr="009201C8">
        <w:trPr>
          <w:trHeight w:val="300"/>
        </w:trPr>
        <w:tc>
          <w:tcPr>
            <w:tcW w:w="2742" w:type="pct"/>
            <w:gridSpan w:val="2"/>
            <w:tcBorders>
              <w:top w:val="single" w:sz="4" w:space="0" w:color="auto"/>
              <w:left w:val="single" w:sz="4" w:space="0" w:color="auto"/>
              <w:bottom w:val="single" w:sz="4" w:space="0" w:color="auto"/>
              <w:right w:val="single" w:sz="4" w:space="0" w:color="auto"/>
            </w:tcBorders>
            <w:noWrap/>
            <w:vAlign w:val="bottom"/>
            <w:hideMark/>
          </w:tcPr>
          <w:bookmarkEnd w:id="124"/>
          <w:p w14:paraId="0DAFC6BC" w14:textId="4E04C139" w:rsidR="009201C8" w:rsidRPr="009201C8" w:rsidRDefault="009201C8">
            <w:pPr>
              <w:spacing w:line="256" w:lineRule="auto"/>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 </w:t>
            </w:r>
          </w:p>
        </w:tc>
        <w:tc>
          <w:tcPr>
            <w:tcW w:w="793" w:type="pct"/>
            <w:tcBorders>
              <w:top w:val="single" w:sz="4" w:space="0" w:color="auto"/>
              <w:left w:val="nil"/>
              <w:bottom w:val="single" w:sz="4" w:space="0" w:color="auto"/>
              <w:right w:val="single" w:sz="4" w:space="0" w:color="auto"/>
            </w:tcBorders>
            <w:noWrap/>
            <w:vAlign w:val="bottom"/>
            <w:hideMark/>
          </w:tcPr>
          <w:p w14:paraId="2B67DEEF"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2022</w:t>
            </w:r>
          </w:p>
        </w:tc>
        <w:tc>
          <w:tcPr>
            <w:tcW w:w="726" w:type="pct"/>
            <w:tcBorders>
              <w:top w:val="single" w:sz="4" w:space="0" w:color="auto"/>
              <w:left w:val="nil"/>
              <w:bottom w:val="single" w:sz="4" w:space="0" w:color="auto"/>
              <w:right w:val="single" w:sz="4" w:space="0" w:color="auto"/>
            </w:tcBorders>
            <w:noWrap/>
            <w:vAlign w:val="bottom"/>
            <w:hideMark/>
          </w:tcPr>
          <w:p w14:paraId="4AE038FC"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2023</w:t>
            </w:r>
          </w:p>
        </w:tc>
        <w:tc>
          <w:tcPr>
            <w:tcW w:w="739" w:type="pct"/>
            <w:tcBorders>
              <w:top w:val="single" w:sz="4" w:space="0" w:color="auto"/>
              <w:left w:val="nil"/>
              <w:bottom w:val="single" w:sz="4" w:space="0" w:color="auto"/>
              <w:right w:val="single" w:sz="4" w:space="0" w:color="auto"/>
            </w:tcBorders>
            <w:noWrap/>
            <w:vAlign w:val="bottom"/>
            <w:hideMark/>
          </w:tcPr>
          <w:p w14:paraId="16F7044D"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2024</w:t>
            </w:r>
          </w:p>
        </w:tc>
      </w:tr>
      <w:tr w:rsidR="002C206D" w:rsidRPr="009201C8" w14:paraId="5AE7976D" w14:textId="77777777" w:rsidTr="002C206D">
        <w:trPr>
          <w:trHeight w:val="300"/>
        </w:trPr>
        <w:tc>
          <w:tcPr>
            <w:tcW w:w="2272" w:type="pct"/>
            <w:vMerge w:val="restart"/>
            <w:tcBorders>
              <w:top w:val="nil"/>
              <w:left w:val="single" w:sz="4" w:space="0" w:color="auto"/>
              <w:bottom w:val="single" w:sz="4" w:space="0" w:color="000000"/>
              <w:right w:val="single" w:sz="4" w:space="0" w:color="auto"/>
            </w:tcBorders>
            <w:noWrap/>
            <w:vAlign w:val="center"/>
            <w:hideMark/>
          </w:tcPr>
          <w:p w14:paraId="6D7E9ED8" w14:textId="77777777" w:rsidR="002C206D" w:rsidRPr="009201C8" w:rsidRDefault="002C206D">
            <w:pPr>
              <w:spacing w:line="256" w:lineRule="auto"/>
              <w:jc w:val="center"/>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Total</w:t>
            </w:r>
          </w:p>
        </w:tc>
        <w:tc>
          <w:tcPr>
            <w:tcW w:w="470" w:type="pct"/>
            <w:tcBorders>
              <w:top w:val="nil"/>
              <w:left w:val="nil"/>
              <w:bottom w:val="single" w:sz="4" w:space="0" w:color="auto"/>
              <w:right w:val="single" w:sz="4" w:space="0" w:color="auto"/>
            </w:tcBorders>
            <w:noWrap/>
            <w:vAlign w:val="bottom"/>
            <w:hideMark/>
          </w:tcPr>
          <w:p w14:paraId="2DA0B6E3"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CA</w:t>
            </w:r>
          </w:p>
        </w:tc>
        <w:tc>
          <w:tcPr>
            <w:tcW w:w="793" w:type="pct"/>
            <w:tcBorders>
              <w:top w:val="nil"/>
              <w:left w:val="nil"/>
              <w:bottom w:val="single" w:sz="4" w:space="0" w:color="auto"/>
              <w:right w:val="single" w:sz="4" w:space="0" w:color="auto"/>
            </w:tcBorders>
            <w:noWrap/>
            <w:vAlign w:val="center"/>
            <w:hideMark/>
          </w:tcPr>
          <w:p w14:paraId="0994E408"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218 178</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2FFCB7E9"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277 425</w:t>
            </w:r>
          </w:p>
        </w:tc>
        <w:tc>
          <w:tcPr>
            <w:tcW w:w="739" w:type="pct"/>
            <w:tcBorders>
              <w:top w:val="nil"/>
              <w:left w:val="nil"/>
              <w:bottom w:val="single" w:sz="4" w:space="0" w:color="auto"/>
              <w:right w:val="single" w:sz="4" w:space="0" w:color="auto"/>
            </w:tcBorders>
            <w:vAlign w:val="center"/>
            <w:hideMark/>
          </w:tcPr>
          <w:p w14:paraId="0D28378B"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244 331</w:t>
            </w:r>
          </w:p>
        </w:tc>
      </w:tr>
      <w:tr w:rsidR="002C206D" w:rsidRPr="009201C8" w14:paraId="476C5600"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A918D4" w14:textId="77777777" w:rsidR="002C206D" w:rsidRPr="009201C8" w:rsidRDefault="002C206D">
            <w:pPr>
              <w:spacing w:line="256" w:lineRule="auto"/>
              <w:rPr>
                <w:rFonts w:ascii="Calibri Light" w:hAnsi="Calibri Light" w:cs="Calibri Light"/>
                <w:b/>
                <w:bCs/>
                <w:color w:val="000000"/>
                <w:sz w:val="26"/>
                <w:szCs w:val="26"/>
                <w:lang w:val="en-US"/>
              </w:rPr>
            </w:pPr>
          </w:p>
        </w:tc>
        <w:tc>
          <w:tcPr>
            <w:tcW w:w="470" w:type="pct"/>
            <w:tcBorders>
              <w:top w:val="nil"/>
              <w:left w:val="nil"/>
              <w:bottom w:val="single" w:sz="4" w:space="0" w:color="auto"/>
              <w:right w:val="single" w:sz="4" w:space="0" w:color="auto"/>
            </w:tcBorders>
            <w:noWrap/>
            <w:vAlign w:val="bottom"/>
            <w:hideMark/>
          </w:tcPr>
          <w:p w14:paraId="4F2A2387"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CB</w:t>
            </w:r>
          </w:p>
        </w:tc>
        <w:tc>
          <w:tcPr>
            <w:tcW w:w="793" w:type="pct"/>
            <w:tcBorders>
              <w:top w:val="nil"/>
              <w:left w:val="nil"/>
              <w:bottom w:val="single" w:sz="4" w:space="0" w:color="auto"/>
              <w:right w:val="single" w:sz="4" w:space="0" w:color="auto"/>
            </w:tcBorders>
            <w:noWrap/>
            <w:vAlign w:val="center"/>
            <w:hideMark/>
          </w:tcPr>
          <w:p w14:paraId="1EA1D9D2"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182 774</w:t>
            </w:r>
          </w:p>
        </w:tc>
        <w:tc>
          <w:tcPr>
            <w:tcW w:w="726" w:type="pct"/>
            <w:tcBorders>
              <w:top w:val="nil"/>
              <w:left w:val="single" w:sz="4" w:space="0" w:color="auto"/>
              <w:bottom w:val="single" w:sz="4" w:space="0" w:color="auto"/>
              <w:right w:val="single" w:sz="4" w:space="0" w:color="auto"/>
            </w:tcBorders>
            <w:noWrap/>
            <w:vAlign w:val="center"/>
            <w:hideMark/>
          </w:tcPr>
          <w:p w14:paraId="422E222F"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299 070</w:t>
            </w:r>
          </w:p>
        </w:tc>
        <w:tc>
          <w:tcPr>
            <w:tcW w:w="739" w:type="pct"/>
            <w:tcBorders>
              <w:top w:val="nil"/>
              <w:left w:val="nil"/>
              <w:bottom w:val="single" w:sz="4" w:space="0" w:color="auto"/>
              <w:right w:val="single" w:sz="4" w:space="0" w:color="auto"/>
            </w:tcBorders>
            <w:vAlign w:val="center"/>
            <w:hideMark/>
          </w:tcPr>
          <w:p w14:paraId="7EE23731"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243 390</w:t>
            </w:r>
          </w:p>
        </w:tc>
      </w:tr>
      <w:tr w:rsidR="002C206D" w:rsidRPr="009201C8" w14:paraId="18013C6E" w14:textId="77777777" w:rsidTr="002C206D">
        <w:trPr>
          <w:trHeight w:val="300"/>
        </w:trPr>
        <w:tc>
          <w:tcPr>
            <w:tcW w:w="2272" w:type="pct"/>
            <w:vMerge w:val="restart"/>
            <w:tcBorders>
              <w:top w:val="nil"/>
              <w:left w:val="single" w:sz="4" w:space="0" w:color="auto"/>
              <w:bottom w:val="single" w:sz="4" w:space="0" w:color="000000"/>
              <w:right w:val="single" w:sz="4" w:space="0" w:color="auto"/>
            </w:tcBorders>
            <w:noWrap/>
            <w:vAlign w:val="center"/>
            <w:hideMark/>
          </w:tcPr>
          <w:p w14:paraId="222C19F0" w14:textId="77777777" w:rsidR="002C206D" w:rsidRPr="009201C8" w:rsidRDefault="002C206D">
            <w:pPr>
              <w:spacing w:line="256" w:lineRule="auto"/>
              <w:jc w:val="center"/>
              <w:rPr>
                <w:rFonts w:ascii="Calibri Light" w:hAnsi="Calibri Light" w:cs="Calibri Light"/>
                <w:b/>
                <w:bCs/>
                <w:color w:val="000000"/>
                <w:sz w:val="26"/>
                <w:szCs w:val="26"/>
                <w:lang w:val="en-US"/>
              </w:rPr>
            </w:pPr>
            <w:proofErr w:type="spellStart"/>
            <w:r w:rsidRPr="009201C8">
              <w:rPr>
                <w:rFonts w:ascii="Calibri Light" w:hAnsi="Calibri Light" w:cs="Calibri Light"/>
                <w:b/>
                <w:bCs/>
                <w:color w:val="000000"/>
                <w:sz w:val="26"/>
                <w:szCs w:val="26"/>
                <w:lang w:val="en-US"/>
              </w:rPr>
              <w:t>Bunuri</w:t>
            </w:r>
            <w:proofErr w:type="spellEnd"/>
            <w:r w:rsidRPr="009201C8">
              <w:rPr>
                <w:rFonts w:ascii="Calibri Light" w:hAnsi="Calibri Light" w:cs="Calibri Light"/>
                <w:b/>
                <w:bCs/>
                <w:color w:val="000000"/>
                <w:sz w:val="26"/>
                <w:szCs w:val="26"/>
                <w:lang w:val="en-US"/>
              </w:rPr>
              <w:t xml:space="preserve"> </w:t>
            </w:r>
            <w:proofErr w:type="spellStart"/>
            <w:r w:rsidRPr="009201C8">
              <w:rPr>
                <w:rFonts w:ascii="Calibri Light" w:hAnsi="Calibri Light" w:cs="Calibri Light"/>
                <w:b/>
                <w:bCs/>
                <w:color w:val="000000"/>
                <w:sz w:val="26"/>
                <w:szCs w:val="26"/>
                <w:lang w:val="en-US"/>
              </w:rPr>
              <w:t>și</w:t>
            </w:r>
            <w:proofErr w:type="spellEnd"/>
            <w:r w:rsidRPr="009201C8">
              <w:rPr>
                <w:rFonts w:ascii="Calibri Light" w:hAnsi="Calibri Light" w:cs="Calibri Light"/>
                <w:b/>
                <w:bCs/>
                <w:color w:val="000000"/>
                <w:sz w:val="26"/>
                <w:szCs w:val="26"/>
                <w:lang w:val="en-US"/>
              </w:rPr>
              <w:t xml:space="preserve"> </w:t>
            </w:r>
            <w:proofErr w:type="spellStart"/>
            <w:r w:rsidRPr="009201C8">
              <w:rPr>
                <w:rFonts w:ascii="Calibri Light" w:hAnsi="Calibri Light" w:cs="Calibri Light"/>
                <w:b/>
                <w:bCs/>
                <w:color w:val="000000"/>
                <w:sz w:val="26"/>
                <w:szCs w:val="26"/>
                <w:lang w:val="en-US"/>
              </w:rPr>
              <w:t>servicii</w:t>
            </w:r>
            <w:proofErr w:type="spellEnd"/>
          </w:p>
        </w:tc>
        <w:tc>
          <w:tcPr>
            <w:tcW w:w="470" w:type="pct"/>
            <w:tcBorders>
              <w:top w:val="nil"/>
              <w:left w:val="nil"/>
              <w:bottom w:val="single" w:sz="4" w:space="0" w:color="auto"/>
              <w:right w:val="single" w:sz="4" w:space="0" w:color="auto"/>
            </w:tcBorders>
            <w:noWrap/>
            <w:vAlign w:val="bottom"/>
            <w:hideMark/>
          </w:tcPr>
          <w:p w14:paraId="10EBE129"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CA</w:t>
            </w:r>
          </w:p>
        </w:tc>
        <w:tc>
          <w:tcPr>
            <w:tcW w:w="793" w:type="pct"/>
            <w:tcBorders>
              <w:top w:val="nil"/>
              <w:left w:val="nil"/>
              <w:bottom w:val="single" w:sz="4" w:space="0" w:color="auto"/>
              <w:right w:val="single" w:sz="4" w:space="0" w:color="auto"/>
            </w:tcBorders>
            <w:vAlign w:val="center"/>
            <w:hideMark/>
          </w:tcPr>
          <w:p w14:paraId="4429949F"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10 647</w:t>
            </w:r>
          </w:p>
        </w:tc>
        <w:tc>
          <w:tcPr>
            <w:tcW w:w="726" w:type="pct"/>
            <w:tcBorders>
              <w:top w:val="nil"/>
              <w:left w:val="single" w:sz="4" w:space="0" w:color="auto"/>
              <w:bottom w:val="single" w:sz="4" w:space="0" w:color="auto"/>
              <w:right w:val="single" w:sz="4" w:space="0" w:color="auto"/>
            </w:tcBorders>
            <w:vAlign w:val="center"/>
            <w:hideMark/>
          </w:tcPr>
          <w:p w14:paraId="0A37707B"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13 324</w:t>
            </w:r>
          </w:p>
        </w:tc>
        <w:tc>
          <w:tcPr>
            <w:tcW w:w="739" w:type="pct"/>
            <w:tcBorders>
              <w:top w:val="nil"/>
              <w:left w:val="nil"/>
              <w:bottom w:val="single" w:sz="4" w:space="0" w:color="auto"/>
              <w:right w:val="single" w:sz="4" w:space="0" w:color="auto"/>
            </w:tcBorders>
            <w:vAlign w:val="center"/>
            <w:hideMark/>
          </w:tcPr>
          <w:p w14:paraId="0BE2D48F"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29 000</w:t>
            </w:r>
          </w:p>
        </w:tc>
      </w:tr>
      <w:tr w:rsidR="002C206D" w:rsidRPr="009201C8" w14:paraId="184CABBF"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02781092" w14:textId="77777777" w:rsidR="002C206D" w:rsidRPr="009201C8" w:rsidRDefault="002C206D">
            <w:pPr>
              <w:spacing w:line="256" w:lineRule="auto"/>
              <w:rPr>
                <w:rFonts w:ascii="Calibri Light" w:hAnsi="Calibri Light" w:cs="Calibri Light"/>
                <w:b/>
                <w:bCs/>
                <w:color w:val="000000"/>
                <w:sz w:val="26"/>
                <w:szCs w:val="26"/>
                <w:lang w:val="en-US"/>
              </w:rPr>
            </w:pPr>
          </w:p>
        </w:tc>
        <w:tc>
          <w:tcPr>
            <w:tcW w:w="470" w:type="pct"/>
            <w:tcBorders>
              <w:top w:val="nil"/>
              <w:left w:val="nil"/>
              <w:bottom w:val="single" w:sz="4" w:space="0" w:color="auto"/>
              <w:right w:val="single" w:sz="4" w:space="0" w:color="auto"/>
            </w:tcBorders>
            <w:noWrap/>
            <w:vAlign w:val="bottom"/>
            <w:hideMark/>
          </w:tcPr>
          <w:p w14:paraId="532064E3"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CB</w:t>
            </w:r>
          </w:p>
        </w:tc>
        <w:tc>
          <w:tcPr>
            <w:tcW w:w="793" w:type="pct"/>
            <w:tcBorders>
              <w:top w:val="nil"/>
              <w:left w:val="nil"/>
              <w:bottom w:val="single" w:sz="4" w:space="0" w:color="auto"/>
              <w:right w:val="single" w:sz="4" w:space="0" w:color="auto"/>
            </w:tcBorders>
            <w:vAlign w:val="center"/>
            <w:hideMark/>
          </w:tcPr>
          <w:p w14:paraId="1CCB4CFC"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10 647</w:t>
            </w:r>
          </w:p>
        </w:tc>
        <w:tc>
          <w:tcPr>
            <w:tcW w:w="726" w:type="pct"/>
            <w:tcBorders>
              <w:top w:val="nil"/>
              <w:left w:val="single" w:sz="4" w:space="0" w:color="auto"/>
              <w:bottom w:val="single" w:sz="4" w:space="0" w:color="auto"/>
              <w:right w:val="single" w:sz="4" w:space="0" w:color="auto"/>
            </w:tcBorders>
            <w:vAlign w:val="center"/>
            <w:hideMark/>
          </w:tcPr>
          <w:p w14:paraId="3E5514F9"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13 324</w:t>
            </w:r>
          </w:p>
        </w:tc>
        <w:tc>
          <w:tcPr>
            <w:tcW w:w="739" w:type="pct"/>
            <w:tcBorders>
              <w:top w:val="nil"/>
              <w:left w:val="nil"/>
              <w:bottom w:val="single" w:sz="4" w:space="0" w:color="auto"/>
              <w:right w:val="single" w:sz="4" w:space="0" w:color="auto"/>
            </w:tcBorders>
            <w:vAlign w:val="center"/>
            <w:hideMark/>
          </w:tcPr>
          <w:p w14:paraId="61125B7D"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29 000</w:t>
            </w:r>
          </w:p>
        </w:tc>
      </w:tr>
    </w:tbl>
    <w:p w14:paraId="50656FFD"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 xml:space="preserve">O pondere importantă în </w:t>
      </w:r>
      <w:r w:rsidRPr="00261D6B">
        <w:rPr>
          <w:rFonts w:asciiTheme="minorHAnsi" w:hAnsiTheme="minorHAnsi" w:cstheme="minorHAnsi"/>
          <w:sz w:val="26"/>
          <w:szCs w:val="26"/>
        </w:rPr>
        <w:t>“</w:t>
      </w:r>
      <w:r>
        <w:rPr>
          <w:rFonts w:asciiTheme="minorHAnsi" w:hAnsiTheme="minorHAnsi" w:cstheme="minorHAnsi"/>
          <w:sz w:val="26"/>
          <w:szCs w:val="26"/>
        </w:rPr>
        <w:t>Titlul bunuri și servicii” o au chiriile pentru spaţiile necesare funcţionării în condiţii optime a Consiliului Superior al Magistraturii, care nu dispune până în prezent de un sediu propriu.</w:t>
      </w:r>
    </w:p>
    <w:p w14:paraId="5E862030" w14:textId="77777777" w:rsidR="002C206D" w:rsidRDefault="002C206D" w:rsidP="002C206D">
      <w:pPr>
        <w:ind w:firstLine="708"/>
        <w:jc w:val="right"/>
        <w:rPr>
          <w:rFonts w:asciiTheme="minorHAnsi" w:hAnsiTheme="minorHAnsi" w:cstheme="minorHAnsi"/>
          <w:b/>
          <w:bCs/>
          <w:sz w:val="26"/>
          <w:szCs w:val="26"/>
        </w:rPr>
      </w:pPr>
      <w:r>
        <w:rPr>
          <w:rFonts w:asciiTheme="minorHAnsi" w:hAnsiTheme="minorHAnsi" w:cstheme="minorHAnsi"/>
          <w:b/>
          <w:bCs/>
          <w:sz w:val="26"/>
          <w:szCs w:val="26"/>
        </w:rPr>
        <w:t>mii lei</w:t>
      </w:r>
    </w:p>
    <w:p w14:paraId="5A8DC520" w14:textId="6EE311EA" w:rsidR="002C206D" w:rsidRDefault="002C206D" w:rsidP="002C206D">
      <w:pPr>
        <w:jc w:val="both"/>
        <w:rPr>
          <w:rFonts w:asciiTheme="minorHAnsi" w:hAnsiTheme="minorHAnsi" w:cstheme="minorHAnsi"/>
          <w:sz w:val="26"/>
          <w:szCs w:val="26"/>
        </w:rPr>
      </w:pPr>
      <w:r>
        <w:rPr>
          <w:noProof/>
        </w:rPr>
        <w:drawing>
          <wp:inline distT="0" distB="0" distL="0" distR="0" wp14:anchorId="6C232D7C" wp14:editId="2C880087">
            <wp:extent cx="6381750" cy="3533775"/>
            <wp:effectExtent l="0" t="0" r="0" b="9525"/>
            <wp:docPr id="513971300" name="Chart 2">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D047DA" w14:textId="77777777" w:rsidR="002C206D" w:rsidRDefault="002C206D" w:rsidP="002C206D">
      <w:pPr>
        <w:jc w:val="both"/>
        <w:rPr>
          <w:rFonts w:asciiTheme="minorHAnsi" w:hAnsiTheme="minorHAnsi" w:cstheme="minorHAnsi"/>
          <w:sz w:val="26"/>
          <w:szCs w:val="26"/>
        </w:rPr>
      </w:pPr>
    </w:p>
    <w:tbl>
      <w:tblPr>
        <w:tblW w:w="5000" w:type="pct"/>
        <w:tblLook w:val="04A0" w:firstRow="1" w:lastRow="0" w:firstColumn="1" w:lastColumn="0" w:noHBand="0" w:noVBand="1"/>
      </w:tblPr>
      <w:tblGrid>
        <w:gridCol w:w="4632"/>
        <w:gridCol w:w="958"/>
        <w:gridCol w:w="1617"/>
        <w:gridCol w:w="1480"/>
        <w:gridCol w:w="1507"/>
      </w:tblGrid>
      <w:tr w:rsidR="009201C8" w:rsidRPr="009201C8" w14:paraId="2A0A2DB4" w14:textId="77777777" w:rsidTr="009201C8">
        <w:trPr>
          <w:trHeight w:val="300"/>
        </w:trPr>
        <w:tc>
          <w:tcPr>
            <w:tcW w:w="2742" w:type="pct"/>
            <w:gridSpan w:val="2"/>
            <w:tcBorders>
              <w:top w:val="single" w:sz="4" w:space="0" w:color="auto"/>
              <w:left w:val="single" w:sz="4" w:space="0" w:color="auto"/>
              <w:bottom w:val="single" w:sz="4" w:space="0" w:color="auto"/>
              <w:right w:val="single" w:sz="4" w:space="0" w:color="auto"/>
            </w:tcBorders>
            <w:noWrap/>
            <w:vAlign w:val="bottom"/>
            <w:hideMark/>
          </w:tcPr>
          <w:p w14:paraId="3A1E21F1" w14:textId="738598A0" w:rsidR="009201C8" w:rsidRPr="009201C8" w:rsidRDefault="009201C8">
            <w:pPr>
              <w:spacing w:line="256" w:lineRule="auto"/>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 </w:t>
            </w:r>
          </w:p>
        </w:tc>
        <w:tc>
          <w:tcPr>
            <w:tcW w:w="793" w:type="pct"/>
            <w:tcBorders>
              <w:top w:val="single" w:sz="4" w:space="0" w:color="auto"/>
              <w:left w:val="nil"/>
              <w:bottom w:val="single" w:sz="4" w:space="0" w:color="auto"/>
              <w:right w:val="single" w:sz="4" w:space="0" w:color="auto"/>
            </w:tcBorders>
            <w:noWrap/>
            <w:vAlign w:val="bottom"/>
            <w:hideMark/>
          </w:tcPr>
          <w:p w14:paraId="3108F2F8"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2022</w:t>
            </w:r>
          </w:p>
        </w:tc>
        <w:tc>
          <w:tcPr>
            <w:tcW w:w="726" w:type="pct"/>
            <w:tcBorders>
              <w:top w:val="single" w:sz="4" w:space="0" w:color="auto"/>
              <w:left w:val="nil"/>
              <w:bottom w:val="single" w:sz="4" w:space="0" w:color="auto"/>
              <w:right w:val="single" w:sz="4" w:space="0" w:color="auto"/>
            </w:tcBorders>
            <w:noWrap/>
            <w:vAlign w:val="bottom"/>
            <w:hideMark/>
          </w:tcPr>
          <w:p w14:paraId="3F5DD475"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2023</w:t>
            </w:r>
          </w:p>
        </w:tc>
        <w:tc>
          <w:tcPr>
            <w:tcW w:w="739" w:type="pct"/>
            <w:tcBorders>
              <w:top w:val="single" w:sz="4" w:space="0" w:color="auto"/>
              <w:left w:val="nil"/>
              <w:bottom w:val="single" w:sz="4" w:space="0" w:color="auto"/>
              <w:right w:val="single" w:sz="4" w:space="0" w:color="auto"/>
            </w:tcBorders>
            <w:noWrap/>
            <w:vAlign w:val="bottom"/>
            <w:hideMark/>
          </w:tcPr>
          <w:p w14:paraId="0DAC6778" w14:textId="77777777" w:rsidR="009201C8" w:rsidRPr="009201C8" w:rsidRDefault="009201C8">
            <w:pPr>
              <w:spacing w:line="256" w:lineRule="auto"/>
              <w:jc w:val="right"/>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2024</w:t>
            </w:r>
          </w:p>
        </w:tc>
      </w:tr>
      <w:tr w:rsidR="002C206D" w:rsidRPr="009201C8" w14:paraId="3321B041" w14:textId="77777777" w:rsidTr="002C206D">
        <w:trPr>
          <w:trHeight w:val="300"/>
        </w:trPr>
        <w:tc>
          <w:tcPr>
            <w:tcW w:w="2272" w:type="pct"/>
            <w:vMerge w:val="restart"/>
            <w:tcBorders>
              <w:top w:val="nil"/>
              <w:left w:val="single" w:sz="4" w:space="0" w:color="auto"/>
              <w:bottom w:val="single" w:sz="4" w:space="0" w:color="000000"/>
              <w:right w:val="single" w:sz="4" w:space="0" w:color="auto"/>
            </w:tcBorders>
            <w:noWrap/>
            <w:vAlign w:val="center"/>
            <w:hideMark/>
          </w:tcPr>
          <w:p w14:paraId="63881453" w14:textId="77777777" w:rsidR="002C206D" w:rsidRPr="009201C8" w:rsidRDefault="002C206D">
            <w:pPr>
              <w:spacing w:line="256" w:lineRule="auto"/>
              <w:jc w:val="center"/>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Total</w:t>
            </w:r>
          </w:p>
        </w:tc>
        <w:tc>
          <w:tcPr>
            <w:tcW w:w="470" w:type="pct"/>
            <w:tcBorders>
              <w:top w:val="nil"/>
              <w:left w:val="nil"/>
              <w:bottom w:val="single" w:sz="4" w:space="0" w:color="auto"/>
              <w:right w:val="single" w:sz="4" w:space="0" w:color="auto"/>
            </w:tcBorders>
            <w:noWrap/>
            <w:vAlign w:val="bottom"/>
            <w:hideMark/>
          </w:tcPr>
          <w:p w14:paraId="7680AE5B"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CA</w:t>
            </w:r>
          </w:p>
        </w:tc>
        <w:tc>
          <w:tcPr>
            <w:tcW w:w="793" w:type="pct"/>
            <w:tcBorders>
              <w:top w:val="nil"/>
              <w:left w:val="nil"/>
              <w:bottom w:val="single" w:sz="4" w:space="0" w:color="auto"/>
              <w:right w:val="single" w:sz="4" w:space="0" w:color="auto"/>
            </w:tcBorders>
            <w:noWrap/>
            <w:vAlign w:val="center"/>
            <w:hideMark/>
          </w:tcPr>
          <w:p w14:paraId="41ADE314"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218 178</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46ED4038"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277 425</w:t>
            </w:r>
          </w:p>
        </w:tc>
        <w:tc>
          <w:tcPr>
            <w:tcW w:w="739" w:type="pct"/>
            <w:tcBorders>
              <w:top w:val="nil"/>
              <w:left w:val="nil"/>
              <w:bottom w:val="single" w:sz="4" w:space="0" w:color="auto"/>
              <w:right w:val="single" w:sz="4" w:space="0" w:color="auto"/>
            </w:tcBorders>
            <w:noWrap/>
            <w:vAlign w:val="center"/>
            <w:hideMark/>
          </w:tcPr>
          <w:p w14:paraId="16C588E6"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244 331</w:t>
            </w:r>
          </w:p>
        </w:tc>
      </w:tr>
      <w:tr w:rsidR="002C206D" w:rsidRPr="009201C8" w14:paraId="3655A044"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737924" w14:textId="77777777" w:rsidR="002C206D" w:rsidRPr="009201C8" w:rsidRDefault="002C206D">
            <w:pPr>
              <w:spacing w:line="256" w:lineRule="auto"/>
              <w:rPr>
                <w:rFonts w:ascii="Calibri Light" w:hAnsi="Calibri Light" w:cs="Calibri Light"/>
                <w:b/>
                <w:bCs/>
                <w:color w:val="000000"/>
                <w:sz w:val="26"/>
                <w:szCs w:val="26"/>
                <w:lang w:val="en-US"/>
              </w:rPr>
            </w:pPr>
          </w:p>
        </w:tc>
        <w:tc>
          <w:tcPr>
            <w:tcW w:w="470" w:type="pct"/>
            <w:tcBorders>
              <w:top w:val="nil"/>
              <w:left w:val="nil"/>
              <w:bottom w:val="single" w:sz="4" w:space="0" w:color="auto"/>
              <w:right w:val="single" w:sz="4" w:space="0" w:color="auto"/>
            </w:tcBorders>
            <w:noWrap/>
            <w:vAlign w:val="bottom"/>
            <w:hideMark/>
          </w:tcPr>
          <w:p w14:paraId="1EFB3784"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CB</w:t>
            </w:r>
          </w:p>
        </w:tc>
        <w:tc>
          <w:tcPr>
            <w:tcW w:w="793" w:type="pct"/>
            <w:tcBorders>
              <w:top w:val="nil"/>
              <w:left w:val="nil"/>
              <w:bottom w:val="single" w:sz="4" w:space="0" w:color="auto"/>
              <w:right w:val="single" w:sz="4" w:space="0" w:color="auto"/>
            </w:tcBorders>
            <w:noWrap/>
            <w:vAlign w:val="center"/>
            <w:hideMark/>
          </w:tcPr>
          <w:p w14:paraId="268D89D6"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182 774</w:t>
            </w:r>
          </w:p>
        </w:tc>
        <w:tc>
          <w:tcPr>
            <w:tcW w:w="726" w:type="pct"/>
            <w:tcBorders>
              <w:top w:val="nil"/>
              <w:left w:val="single" w:sz="4" w:space="0" w:color="auto"/>
              <w:bottom w:val="single" w:sz="4" w:space="0" w:color="auto"/>
              <w:right w:val="single" w:sz="4" w:space="0" w:color="auto"/>
            </w:tcBorders>
            <w:noWrap/>
            <w:vAlign w:val="center"/>
            <w:hideMark/>
          </w:tcPr>
          <w:p w14:paraId="1EEDAA24"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299 070</w:t>
            </w:r>
          </w:p>
        </w:tc>
        <w:tc>
          <w:tcPr>
            <w:tcW w:w="739" w:type="pct"/>
            <w:tcBorders>
              <w:top w:val="nil"/>
              <w:left w:val="nil"/>
              <w:bottom w:val="single" w:sz="4" w:space="0" w:color="auto"/>
              <w:right w:val="single" w:sz="4" w:space="0" w:color="auto"/>
            </w:tcBorders>
            <w:noWrap/>
            <w:vAlign w:val="center"/>
            <w:hideMark/>
          </w:tcPr>
          <w:p w14:paraId="1EA4E0ED"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243 390</w:t>
            </w:r>
          </w:p>
        </w:tc>
      </w:tr>
      <w:tr w:rsidR="002C206D" w:rsidRPr="009201C8" w14:paraId="2E1C57AB" w14:textId="77777777" w:rsidTr="009201C8">
        <w:trPr>
          <w:trHeight w:val="765"/>
        </w:trPr>
        <w:tc>
          <w:tcPr>
            <w:tcW w:w="2272" w:type="pct"/>
            <w:tcBorders>
              <w:top w:val="nil"/>
              <w:left w:val="single" w:sz="4" w:space="0" w:color="auto"/>
              <w:bottom w:val="single" w:sz="4" w:space="0" w:color="auto"/>
              <w:right w:val="single" w:sz="4" w:space="0" w:color="auto"/>
            </w:tcBorders>
            <w:vAlign w:val="center"/>
            <w:hideMark/>
          </w:tcPr>
          <w:p w14:paraId="0DF22513" w14:textId="77777777" w:rsidR="002C206D" w:rsidRPr="00261D6B" w:rsidRDefault="002C206D">
            <w:pPr>
              <w:spacing w:line="256" w:lineRule="auto"/>
              <w:rPr>
                <w:rFonts w:ascii="Calibri Light" w:hAnsi="Calibri Light" w:cs="Calibri Light"/>
                <w:b/>
                <w:bCs/>
                <w:color w:val="000000"/>
                <w:sz w:val="26"/>
                <w:szCs w:val="26"/>
                <w:lang w:val="fr-FR"/>
              </w:rPr>
            </w:pPr>
            <w:proofErr w:type="spellStart"/>
            <w:r w:rsidRPr="00261D6B">
              <w:rPr>
                <w:rFonts w:ascii="Calibri Light" w:hAnsi="Calibri Light" w:cs="Calibri Light"/>
                <w:b/>
                <w:bCs/>
                <w:color w:val="000000"/>
                <w:sz w:val="26"/>
                <w:szCs w:val="26"/>
                <w:lang w:val="fr-FR"/>
              </w:rPr>
              <w:t>Proiecte</w:t>
            </w:r>
            <w:proofErr w:type="spellEnd"/>
            <w:r w:rsidRPr="00261D6B">
              <w:rPr>
                <w:rFonts w:ascii="Calibri Light" w:hAnsi="Calibri Light" w:cs="Calibri Light"/>
                <w:b/>
                <w:bCs/>
                <w:color w:val="000000"/>
                <w:sz w:val="26"/>
                <w:szCs w:val="26"/>
                <w:lang w:val="fr-FR"/>
              </w:rPr>
              <w:t xml:space="preserve"> </w:t>
            </w:r>
            <w:proofErr w:type="spellStart"/>
            <w:r w:rsidRPr="00261D6B">
              <w:rPr>
                <w:rFonts w:ascii="Calibri Light" w:hAnsi="Calibri Light" w:cs="Calibri Light"/>
                <w:b/>
                <w:bCs/>
                <w:color w:val="000000"/>
                <w:sz w:val="26"/>
                <w:szCs w:val="26"/>
                <w:lang w:val="fr-FR"/>
              </w:rPr>
              <w:t>cu</w:t>
            </w:r>
            <w:proofErr w:type="spellEnd"/>
            <w:r w:rsidRPr="00261D6B">
              <w:rPr>
                <w:rFonts w:ascii="Calibri Light" w:hAnsi="Calibri Light" w:cs="Calibri Light"/>
                <w:b/>
                <w:bCs/>
                <w:color w:val="000000"/>
                <w:sz w:val="26"/>
                <w:szCs w:val="26"/>
                <w:lang w:val="fr-FR"/>
              </w:rPr>
              <w:t xml:space="preserve"> </w:t>
            </w:r>
            <w:proofErr w:type="spellStart"/>
            <w:r w:rsidRPr="00261D6B">
              <w:rPr>
                <w:rFonts w:ascii="Calibri Light" w:hAnsi="Calibri Light" w:cs="Calibri Light"/>
                <w:b/>
                <w:bCs/>
                <w:color w:val="000000"/>
                <w:sz w:val="26"/>
                <w:szCs w:val="26"/>
                <w:lang w:val="fr-FR"/>
              </w:rPr>
              <w:t>finanțare</w:t>
            </w:r>
            <w:proofErr w:type="spellEnd"/>
            <w:r w:rsidRPr="00261D6B">
              <w:rPr>
                <w:rFonts w:ascii="Calibri Light" w:hAnsi="Calibri Light" w:cs="Calibri Light"/>
                <w:b/>
                <w:bCs/>
                <w:color w:val="000000"/>
                <w:sz w:val="26"/>
                <w:szCs w:val="26"/>
                <w:lang w:val="fr-FR"/>
              </w:rPr>
              <w:t xml:space="preserve"> </w:t>
            </w:r>
            <w:proofErr w:type="spellStart"/>
            <w:r w:rsidRPr="00261D6B">
              <w:rPr>
                <w:rFonts w:ascii="Calibri Light" w:hAnsi="Calibri Light" w:cs="Calibri Light"/>
                <w:b/>
                <w:bCs/>
                <w:color w:val="000000"/>
                <w:sz w:val="26"/>
                <w:szCs w:val="26"/>
                <w:lang w:val="fr-FR"/>
              </w:rPr>
              <w:t>din</w:t>
            </w:r>
            <w:proofErr w:type="spellEnd"/>
            <w:r w:rsidRPr="00261D6B">
              <w:rPr>
                <w:rFonts w:ascii="Calibri Light" w:hAnsi="Calibri Light" w:cs="Calibri Light"/>
                <w:b/>
                <w:bCs/>
                <w:color w:val="000000"/>
                <w:sz w:val="26"/>
                <w:szCs w:val="26"/>
                <w:lang w:val="fr-FR"/>
              </w:rPr>
              <w:t xml:space="preserve"> FEN </w:t>
            </w:r>
            <w:proofErr w:type="spellStart"/>
            <w:r w:rsidRPr="00261D6B">
              <w:rPr>
                <w:rFonts w:ascii="Calibri Light" w:hAnsi="Calibri Light" w:cs="Calibri Light"/>
                <w:b/>
                <w:bCs/>
                <w:color w:val="000000"/>
                <w:sz w:val="26"/>
                <w:szCs w:val="26"/>
                <w:lang w:val="fr-FR"/>
              </w:rPr>
              <w:t>aferente</w:t>
            </w:r>
            <w:proofErr w:type="spellEnd"/>
            <w:r w:rsidRPr="00261D6B">
              <w:rPr>
                <w:rFonts w:ascii="Calibri Light" w:hAnsi="Calibri Light" w:cs="Calibri Light"/>
                <w:b/>
                <w:bCs/>
                <w:color w:val="000000"/>
                <w:sz w:val="26"/>
                <w:szCs w:val="26"/>
                <w:lang w:val="fr-FR"/>
              </w:rPr>
              <w:t xml:space="preserve"> </w:t>
            </w:r>
            <w:proofErr w:type="spellStart"/>
            <w:r w:rsidRPr="00261D6B">
              <w:rPr>
                <w:rFonts w:ascii="Calibri Light" w:hAnsi="Calibri Light" w:cs="Calibri Light"/>
                <w:b/>
                <w:bCs/>
                <w:color w:val="000000"/>
                <w:sz w:val="26"/>
                <w:szCs w:val="26"/>
                <w:lang w:val="fr-FR"/>
              </w:rPr>
              <w:t>cadrului</w:t>
            </w:r>
            <w:proofErr w:type="spellEnd"/>
            <w:r w:rsidRPr="00261D6B">
              <w:rPr>
                <w:rFonts w:ascii="Calibri Light" w:hAnsi="Calibri Light" w:cs="Calibri Light"/>
                <w:b/>
                <w:bCs/>
                <w:color w:val="000000"/>
                <w:sz w:val="26"/>
                <w:szCs w:val="26"/>
                <w:lang w:val="fr-FR"/>
              </w:rPr>
              <w:t xml:space="preserve"> </w:t>
            </w:r>
            <w:proofErr w:type="spellStart"/>
            <w:r w:rsidRPr="00261D6B">
              <w:rPr>
                <w:rFonts w:ascii="Calibri Light" w:hAnsi="Calibri Light" w:cs="Calibri Light"/>
                <w:b/>
                <w:bCs/>
                <w:color w:val="000000"/>
                <w:sz w:val="26"/>
                <w:szCs w:val="26"/>
                <w:lang w:val="fr-FR"/>
              </w:rPr>
              <w:t>financiar</w:t>
            </w:r>
            <w:proofErr w:type="spellEnd"/>
            <w:r w:rsidRPr="00261D6B">
              <w:rPr>
                <w:rFonts w:ascii="Calibri Light" w:hAnsi="Calibri Light" w:cs="Calibri Light"/>
                <w:b/>
                <w:bCs/>
                <w:color w:val="000000"/>
                <w:sz w:val="26"/>
                <w:szCs w:val="26"/>
                <w:lang w:val="fr-FR"/>
              </w:rPr>
              <w:t xml:space="preserve"> 2014-2020</w:t>
            </w:r>
          </w:p>
        </w:tc>
        <w:tc>
          <w:tcPr>
            <w:tcW w:w="470" w:type="pct"/>
            <w:tcBorders>
              <w:top w:val="nil"/>
              <w:left w:val="nil"/>
              <w:bottom w:val="single" w:sz="4" w:space="0" w:color="auto"/>
              <w:right w:val="single" w:sz="4" w:space="0" w:color="auto"/>
            </w:tcBorders>
            <w:noWrap/>
            <w:vAlign w:val="center"/>
            <w:hideMark/>
          </w:tcPr>
          <w:p w14:paraId="1D85119C"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CA</w:t>
            </w:r>
          </w:p>
        </w:tc>
        <w:tc>
          <w:tcPr>
            <w:tcW w:w="793" w:type="pct"/>
            <w:tcBorders>
              <w:top w:val="nil"/>
              <w:left w:val="nil"/>
              <w:bottom w:val="single" w:sz="4" w:space="0" w:color="auto"/>
              <w:right w:val="single" w:sz="4" w:space="0" w:color="auto"/>
            </w:tcBorders>
            <w:vAlign w:val="center"/>
            <w:hideMark/>
          </w:tcPr>
          <w:p w14:paraId="150160FF"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83 334</w:t>
            </w:r>
          </w:p>
        </w:tc>
        <w:tc>
          <w:tcPr>
            <w:tcW w:w="726" w:type="pct"/>
            <w:tcBorders>
              <w:top w:val="nil"/>
              <w:left w:val="single" w:sz="4" w:space="0" w:color="auto"/>
              <w:bottom w:val="single" w:sz="4" w:space="0" w:color="auto"/>
              <w:right w:val="single" w:sz="4" w:space="0" w:color="auto"/>
            </w:tcBorders>
            <w:vAlign w:val="center"/>
            <w:hideMark/>
          </w:tcPr>
          <w:p w14:paraId="70F2C983"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43 260</w:t>
            </w:r>
          </w:p>
        </w:tc>
        <w:tc>
          <w:tcPr>
            <w:tcW w:w="739" w:type="pct"/>
            <w:tcBorders>
              <w:top w:val="nil"/>
              <w:left w:val="nil"/>
              <w:bottom w:val="single" w:sz="4" w:space="0" w:color="auto"/>
              <w:right w:val="single" w:sz="4" w:space="0" w:color="auto"/>
            </w:tcBorders>
            <w:vAlign w:val="center"/>
            <w:hideMark/>
          </w:tcPr>
          <w:p w14:paraId="2D298D3E"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941</w:t>
            </w:r>
          </w:p>
        </w:tc>
      </w:tr>
      <w:tr w:rsidR="002C206D" w:rsidRPr="009201C8" w14:paraId="4B9BAA97" w14:textId="77777777" w:rsidTr="002C206D">
        <w:trPr>
          <w:trHeight w:val="465"/>
        </w:trPr>
        <w:tc>
          <w:tcPr>
            <w:tcW w:w="2272" w:type="pct"/>
            <w:tcBorders>
              <w:top w:val="nil"/>
              <w:left w:val="single" w:sz="4" w:space="0" w:color="auto"/>
              <w:bottom w:val="single" w:sz="4" w:space="0" w:color="auto"/>
              <w:right w:val="single" w:sz="4" w:space="0" w:color="auto"/>
            </w:tcBorders>
            <w:vAlign w:val="center"/>
            <w:hideMark/>
          </w:tcPr>
          <w:p w14:paraId="105C144A"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 </w:t>
            </w:r>
          </w:p>
        </w:tc>
        <w:tc>
          <w:tcPr>
            <w:tcW w:w="470" w:type="pct"/>
            <w:tcBorders>
              <w:top w:val="nil"/>
              <w:left w:val="nil"/>
              <w:bottom w:val="single" w:sz="4" w:space="0" w:color="auto"/>
              <w:right w:val="single" w:sz="4" w:space="0" w:color="auto"/>
            </w:tcBorders>
            <w:noWrap/>
            <w:vAlign w:val="bottom"/>
            <w:hideMark/>
          </w:tcPr>
          <w:p w14:paraId="37831434" w14:textId="77777777" w:rsidR="002C206D" w:rsidRPr="009201C8" w:rsidRDefault="002C206D">
            <w:pPr>
              <w:spacing w:line="256" w:lineRule="auto"/>
              <w:rPr>
                <w:rFonts w:ascii="Calibri Light" w:hAnsi="Calibri Light" w:cs="Calibri Light"/>
                <w:b/>
                <w:bCs/>
                <w:color w:val="000000"/>
                <w:sz w:val="26"/>
                <w:szCs w:val="26"/>
                <w:lang w:val="en-US"/>
              </w:rPr>
            </w:pPr>
            <w:r w:rsidRPr="009201C8">
              <w:rPr>
                <w:rFonts w:ascii="Calibri Light" w:hAnsi="Calibri Light" w:cs="Calibri Light"/>
                <w:b/>
                <w:bCs/>
                <w:color w:val="000000"/>
                <w:sz w:val="26"/>
                <w:szCs w:val="26"/>
                <w:lang w:val="en-US"/>
              </w:rPr>
              <w:t>CB</w:t>
            </w:r>
          </w:p>
        </w:tc>
        <w:tc>
          <w:tcPr>
            <w:tcW w:w="793" w:type="pct"/>
            <w:tcBorders>
              <w:top w:val="nil"/>
              <w:left w:val="nil"/>
              <w:bottom w:val="single" w:sz="4" w:space="0" w:color="auto"/>
              <w:right w:val="single" w:sz="4" w:space="0" w:color="auto"/>
            </w:tcBorders>
            <w:vAlign w:val="center"/>
            <w:hideMark/>
          </w:tcPr>
          <w:p w14:paraId="3AAAE702"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48 016</w:t>
            </w:r>
          </w:p>
        </w:tc>
        <w:tc>
          <w:tcPr>
            <w:tcW w:w="726" w:type="pct"/>
            <w:tcBorders>
              <w:top w:val="nil"/>
              <w:left w:val="single" w:sz="4" w:space="0" w:color="auto"/>
              <w:bottom w:val="single" w:sz="4" w:space="0" w:color="auto"/>
              <w:right w:val="single" w:sz="4" w:space="0" w:color="auto"/>
            </w:tcBorders>
            <w:vAlign w:val="center"/>
            <w:hideMark/>
          </w:tcPr>
          <w:p w14:paraId="496D0294"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rPr>
              <w:t>66 883</w:t>
            </w:r>
          </w:p>
        </w:tc>
        <w:tc>
          <w:tcPr>
            <w:tcW w:w="739" w:type="pct"/>
            <w:tcBorders>
              <w:top w:val="nil"/>
              <w:left w:val="nil"/>
              <w:bottom w:val="single" w:sz="4" w:space="0" w:color="auto"/>
              <w:right w:val="single" w:sz="4" w:space="0" w:color="auto"/>
            </w:tcBorders>
            <w:vAlign w:val="center"/>
            <w:hideMark/>
          </w:tcPr>
          <w:p w14:paraId="7608D336" w14:textId="77777777" w:rsidR="002C206D" w:rsidRPr="009201C8" w:rsidRDefault="002C206D">
            <w:pPr>
              <w:spacing w:line="256" w:lineRule="auto"/>
              <w:jc w:val="right"/>
              <w:rPr>
                <w:rFonts w:ascii="Calibri Light" w:hAnsi="Calibri Light" w:cs="Calibri Light"/>
                <w:color w:val="000000"/>
                <w:sz w:val="26"/>
                <w:szCs w:val="26"/>
                <w:lang w:val="en-US"/>
              </w:rPr>
            </w:pPr>
            <w:r w:rsidRPr="009201C8">
              <w:rPr>
                <w:rFonts w:ascii="Calibri Light" w:hAnsi="Calibri Light" w:cs="Calibri Light"/>
                <w:color w:val="000000"/>
                <w:sz w:val="26"/>
                <w:szCs w:val="26"/>
                <w:lang w:val="en-US"/>
              </w:rPr>
              <w:t>0</w:t>
            </w:r>
          </w:p>
        </w:tc>
      </w:tr>
    </w:tbl>
    <w:p w14:paraId="596B9B26" w14:textId="77777777" w:rsidR="002C206D" w:rsidRDefault="002C206D" w:rsidP="009201C8">
      <w:pPr>
        <w:ind w:firstLine="709"/>
        <w:jc w:val="both"/>
        <w:rPr>
          <w:rFonts w:asciiTheme="minorHAnsi" w:hAnsiTheme="minorHAnsi" w:cstheme="minorHAnsi"/>
          <w:sz w:val="26"/>
          <w:szCs w:val="26"/>
        </w:rPr>
      </w:pPr>
      <w:r>
        <w:rPr>
          <w:rFonts w:asciiTheme="minorHAnsi" w:hAnsiTheme="minorHAnsi" w:cstheme="minorHAnsi"/>
          <w:sz w:val="26"/>
          <w:szCs w:val="26"/>
        </w:rPr>
        <w:t>Pentru derularea proiectelor care sunt implementate atât de către Consiliul Superior al Magistraturii, cât și de către ordonatorii de credite aflați în coordonarea acestuia, s-au aprobat fonduri reprezentând cofinanţarea naţională, finanţare externă nerambursabilă şi cheltuielile neeligibile necesare, aferente Mecanismului Financiar Norvegian, Programului Operațional Capacitate Administrativă 2014 – 2020  şi proiectelor ce sunt realizate în parteneriat. În anul 2023 se finalizează proiectele aferente Programului Operațional Capacitate Administrativă 2014 – 2020, ceea ce va duce la diminuarea acestei categorii de cheltuieli în perspectiva anului 2024.</w:t>
      </w:r>
    </w:p>
    <w:p w14:paraId="102BD8D9" w14:textId="77777777" w:rsidR="002C206D" w:rsidRDefault="002C206D" w:rsidP="009201C8">
      <w:pPr>
        <w:pStyle w:val="Heading2"/>
        <w:keepLines w:val="0"/>
        <w:suppressLineNumbers/>
        <w:suppressAutoHyphens/>
        <w:spacing w:line="240" w:lineRule="auto"/>
        <w:jc w:val="both"/>
        <w:rPr>
          <w:rFonts w:cstheme="minorHAnsi"/>
          <w:color w:val="auto"/>
          <w:lang w:val="ro-RO"/>
        </w:rPr>
      </w:pPr>
      <w:bookmarkStart w:id="125" w:name="_Toc155267905"/>
      <w:r>
        <w:rPr>
          <w:rFonts w:cstheme="minorHAnsi"/>
          <w:color w:val="auto"/>
          <w:lang w:val="ro-RO"/>
        </w:rPr>
        <w:lastRenderedPageBreak/>
        <w:t>V.3. Ponderea bugetelor Institutului Naţional al Magistraturii, Şcolii Naţionale de Grefieri şi Consiliului Superior al Magistraturii – aparatul propriu în bugetul total al Consiliului Superior al Magistraturii</w:t>
      </w:r>
      <w:bookmarkEnd w:id="125"/>
    </w:p>
    <w:p w14:paraId="7D2AC0B7" w14:textId="77777777" w:rsidR="002C206D" w:rsidRDefault="002C206D" w:rsidP="009201C8">
      <w:pPr>
        <w:pStyle w:val="ListParagraph"/>
        <w:keepNext/>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C.S.M.ap.pr.2021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6C301C0C"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I.N.M.2021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0CB0E409"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S.N.G.2021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S.N.G.2021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7928E17E"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C.S.M.ap.pr.2022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C.S.M.ap. pr. 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305F8FC4"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I.N.M.2022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2022 </m:t>
            </m:r>
          </m:num>
          <m:den>
            <m:r>
              <w:rPr>
                <w:rFonts w:ascii="Cambria Math" w:hAnsi="Cambria Math" w:cstheme="minorHAnsi"/>
                <w:sz w:val="26"/>
                <w:szCs w:val="26"/>
              </w:rPr>
              <m:t>Buget total 2022</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5D1B28BE"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S.N.G.2022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75F6F95B"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gs Buget C.S.M.ap.pr.2023 CA, CB=</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2023 </m:t>
            </m:r>
          </m:num>
          <m:den>
            <m:r>
              <w:rPr>
                <w:rFonts w:ascii="Cambria Math" w:hAnsi="Cambria Math" w:cstheme="minorHAnsi"/>
                <w:sz w:val="26"/>
                <w:szCs w:val="26"/>
              </w:rPr>
              <m:t>Buget total 2023</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1EC90D53"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I.N.M.2023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I.N.M. 2023</m:t>
            </m:r>
          </m:num>
          <m:den>
            <m:r>
              <w:rPr>
                <w:rFonts w:ascii="Cambria Math" w:hAnsi="Cambria Math" w:cstheme="minorHAnsi"/>
                <w:sz w:val="26"/>
                <w:szCs w:val="26"/>
              </w:rPr>
              <m:t>Buget total 2023</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2210E6F8" w14:textId="77777777" w:rsidR="002C206D" w:rsidRDefault="002C206D" w:rsidP="002C206D">
      <w:pPr>
        <w:pStyle w:val="ListParagraph"/>
        <w:numPr>
          <w:ilvl w:val="0"/>
          <w:numId w:val="38"/>
        </w:numPr>
        <w:jc w:val="both"/>
        <w:rPr>
          <w:rFonts w:asciiTheme="minorHAnsi" w:hAnsiTheme="minorHAnsi" w:cstheme="minorHAnsi"/>
          <w:sz w:val="26"/>
          <w:szCs w:val="26"/>
        </w:rPr>
      </w:pPr>
      <w:r>
        <w:rPr>
          <w:rFonts w:asciiTheme="minorHAnsi" w:hAnsiTheme="minorHAnsi" w:cstheme="minorHAnsi"/>
          <w:sz w:val="26"/>
          <w:szCs w:val="26"/>
        </w:rPr>
        <w:t xml:space="preserve">gs Buget S.N.G.2023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S.N.G.2023</m:t>
            </m:r>
          </m:num>
          <m:den>
            <m:r>
              <w:rPr>
                <w:rFonts w:ascii="Cambria Math" w:hAnsi="Cambria Math" w:cstheme="minorHAnsi"/>
                <w:sz w:val="26"/>
                <w:szCs w:val="26"/>
              </w:rPr>
              <m:t>Buget total 2023</m:t>
            </m:r>
          </m:den>
        </m:f>
        <m:r>
          <w:rPr>
            <w:rFonts w:ascii="Cambria Math" w:hAnsi="Cambria Math" w:cstheme="minorHAnsi"/>
            <w:sz w:val="26"/>
            <w:szCs w:val="26"/>
          </w:rPr>
          <m:t>x 100</m:t>
        </m:r>
      </m:oMath>
      <w:r>
        <w:rPr>
          <w:rFonts w:asciiTheme="minorHAnsi" w:hAnsiTheme="minorHAnsi" w:cstheme="minorHAnsi"/>
          <w:sz w:val="26"/>
          <w:szCs w:val="26"/>
        </w:rPr>
        <w:t xml:space="preserve"> </w:t>
      </w:r>
    </w:p>
    <w:p w14:paraId="7D798C4F" w14:textId="77777777" w:rsidR="002C206D" w:rsidRDefault="002C206D" w:rsidP="002C206D">
      <w:pPr>
        <w:jc w:val="both"/>
        <w:rPr>
          <w:rFonts w:asciiTheme="minorHAnsi" w:hAnsiTheme="minorHAnsi" w:cstheme="minorHAnsi"/>
          <w:sz w:val="26"/>
          <w:szCs w:val="26"/>
        </w:rPr>
      </w:pPr>
      <w:r>
        <w:rPr>
          <w:rFonts w:asciiTheme="minorHAnsi" w:hAnsiTheme="minorHAnsi" w:cstheme="minorHAnsi"/>
          <w:sz w:val="26"/>
          <w:szCs w:val="26"/>
        </w:rPr>
        <w:t>gs = ponderea indicatorului ales pentru analiză</w:t>
      </w:r>
    </w:p>
    <w:p w14:paraId="3B08B932" w14:textId="77777777" w:rsidR="002C206D" w:rsidRDefault="002C206D" w:rsidP="002C206D">
      <w:pPr>
        <w:jc w:val="both"/>
        <w:rPr>
          <w:rFonts w:asciiTheme="minorHAnsi" w:hAnsiTheme="minorHAnsi" w:cstheme="minorHAnsi"/>
          <w:sz w:val="26"/>
          <w:szCs w:val="26"/>
        </w:rPr>
      </w:pPr>
    </w:p>
    <w:tbl>
      <w:tblPr>
        <w:tblW w:w="10485" w:type="dxa"/>
        <w:tblLook w:val="04A0" w:firstRow="1" w:lastRow="0" w:firstColumn="1" w:lastColumn="0" w:noHBand="0" w:noVBand="1"/>
      </w:tblPr>
      <w:tblGrid>
        <w:gridCol w:w="522"/>
        <w:gridCol w:w="2167"/>
        <w:gridCol w:w="992"/>
        <w:gridCol w:w="1134"/>
        <w:gridCol w:w="1134"/>
        <w:gridCol w:w="992"/>
        <w:gridCol w:w="1276"/>
        <w:gridCol w:w="1276"/>
        <w:gridCol w:w="992"/>
      </w:tblGrid>
      <w:tr w:rsidR="002C206D" w14:paraId="6F9880FE" w14:textId="77777777" w:rsidTr="002C206D">
        <w:trPr>
          <w:trHeight w:val="735"/>
        </w:trPr>
        <w:tc>
          <w:tcPr>
            <w:tcW w:w="522"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58B58ECD" w14:textId="77777777" w:rsidR="002C206D" w:rsidRDefault="002C206D">
            <w:pPr>
              <w:spacing w:line="256" w:lineRule="auto"/>
              <w:jc w:val="center"/>
              <w:rPr>
                <w:rFonts w:ascii="Calibri" w:hAnsi="Calibri" w:cs="Calibri"/>
                <w:b/>
                <w:bCs/>
                <w:color w:val="000000"/>
                <w:sz w:val="22"/>
                <w:szCs w:val="22"/>
                <w:lang w:val="en-US"/>
              </w:rPr>
            </w:pPr>
            <w:r>
              <w:rPr>
                <w:rFonts w:ascii="Calibri" w:hAnsi="Calibri" w:cs="Calibri"/>
                <w:b/>
                <w:bCs/>
                <w:color w:val="000000"/>
                <w:sz w:val="22"/>
                <w:szCs w:val="22"/>
                <w:lang w:val="en-US"/>
              </w:rPr>
              <w:t xml:space="preserve">Nr. </w:t>
            </w:r>
            <w:proofErr w:type="spellStart"/>
            <w:r>
              <w:rPr>
                <w:rFonts w:ascii="Calibri" w:hAnsi="Calibri" w:cs="Calibri"/>
                <w:b/>
                <w:bCs/>
                <w:color w:val="000000"/>
                <w:sz w:val="22"/>
                <w:szCs w:val="22"/>
                <w:lang w:val="en-US"/>
              </w:rPr>
              <w:t>crt</w:t>
            </w:r>
            <w:proofErr w:type="spellEnd"/>
            <w:r>
              <w:rPr>
                <w:rFonts w:ascii="Calibri" w:hAnsi="Calibri" w:cs="Calibri"/>
                <w:b/>
                <w:bCs/>
                <w:color w:val="000000"/>
                <w:sz w:val="22"/>
                <w:szCs w:val="22"/>
                <w:lang w:val="en-US"/>
              </w:rPr>
              <w:t>.</w:t>
            </w:r>
          </w:p>
        </w:tc>
        <w:tc>
          <w:tcPr>
            <w:tcW w:w="2167"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48342DEE" w14:textId="77777777" w:rsidR="002C206D" w:rsidRDefault="002C206D">
            <w:pPr>
              <w:spacing w:line="256" w:lineRule="auto"/>
              <w:rPr>
                <w:rFonts w:ascii="Calibri" w:hAnsi="Calibri" w:cs="Calibri"/>
                <w:b/>
                <w:bCs/>
                <w:color w:val="000000"/>
                <w:sz w:val="22"/>
                <w:szCs w:val="22"/>
                <w:lang w:val="en-US"/>
              </w:rPr>
            </w:pPr>
            <w:proofErr w:type="spellStart"/>
            <w:r>
              <w:rPr>
                <w:rFonts w:ascii="Calibri" w:hAnsi="Calibri" w:cs="Calibri"/>
                <w:b/>
                <w:bCs/>
                <w:color w:val="000000"/>
                <w:sz w:val="22"/>
                <w:szCs w:val="22"/>
                <w:lang w:val="en-US"/>
              </w:rPr>
              <w:t>Denumire</w:t>
            </w:r>
            <w:proofErr w:type="spellEnd"/>
            <w:r>
              <w:rPr>
                <w:rFonts w:ascii="Calibri" w:hAnsi="Calibri" w:cs="Calibri"/>
                <w:b/>
                <w:bCs/>
                <w:color w:val="000000"/>
                <w:sz w:val="22"/>
                <w:szCs w:val="22"/>
                <w:lang w:val="en-US"/>
              </w:rPr>
              <w:t xml:space="preserve"> indicator</w:t>
            </w:r>
          </w:p>
        </w:tc>
        <w:tc>
          <w:tcPr>
            <w:tcW w:w="992" w:type="dxa"/>
            <w:tcBorders>
              <w:top w:val="single" w:sz="4" w:space="0" w:color="auto"/>
              <w:left w:val="nil"/>
              <w:bottom w:val="nil"/>
              <w:right w:val="nil"/>
            </w:tcBorders>
            <w:shd w:val="clear" w:color="auto" w:fill="D9D9D9"/>
            <w:vAlign w:val="center"/>
            <w:hideMark/>
          </w:tcPr>
          <w:p w14:paraId="14D2ED0A" w14:textId="77777777" w:rsidR="002C206D" w:rsidRDefault="002C206D">
            <w:pPr>
              <w:spacing w:line="256" w:lineRule="auto"/>
              <w:jc w:val="center"/>
              <w:rPr>
                <w:rFonts w:ascii="Calibri" w:hAnsi="Calibri" w:cs="Calibri"/>
                <w:b/>
                <w:bCs/>
                <w:color w:val="000000"/>
                <w:sz w:val="22"/>
                <w:szCs w:val="22"/>
                <w:lang w:val="en-US"/>
              </w:rPr>
            </w:pPr>
            <w:r>
              <w:rPr>
                <w:rFonts w:ascii="Calibri" w:hAnsi="Calibri" w:cs="Calibri"/>
                <w:b/>
                <w:bCs/>
                <w:color w:val="000000"/>
                <w:sz w:val="22"/>
                <w:szCs w:val="22"/>
                <w:lang w:val="en-US"/>
              </w:rPr>
              <w:t>Tip Credit</w:t>
            </w:r>
          </w:p>
        </w:tc>
        <w:tc>
          <w:tcPr>
            <w:tcW w:w="2268"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14:paraId="7ADC497C" w14:textId="77777777" w:rsidR="002C206D" w:rsidRDefault="002C206D">
            <w:pPr>
              <w:spacing w:line="256" w:lineRule="auto"/>
              <w:jc w:val="center"/>
              <w:rPr>
                <w:rFonts w:ascii="Calibri" w:hAnsi="Calibri" w:cs="Calibri"/>
                <w:b/>
                <w:bCs/>
                <w:color w:val="000000"/>
                <w:sz w:val="22"/>
                <w:szCs w:val="22"/>
                <w:lang w:val="en-US"/>
              </w:rPr>
            </w:pPr>
            <w:r>
              <w:rPr>
                <w:rFonts w:ascii="Calibri" w:hAnsi="Calibri" w:cs="Calibri"/>
                <w:b/>
                <w:bCs/>
                <w:color w:val="000000"/>
                <w:sz w:val="22"/>
                <w:szCs w:val="22"/>
                <w:lang w:val="en-US"/>
              </w:rPr>
              <w:t>2022</w:t>
            </w:r>
          </w:p>
        </w:tc>
        <w:tc>
          <w:tcPr>
            <w:tcW w:w="2268" w:type="dxa"/>
            <w:gridSpan w:val="2"/>
            <w:tcBorders>
              <w:top w:val="single" w:sz="4" w:space="0" w:color="auto"/>
              <w:left w:val="nil"/>
              <w:bottom w:val="single" w:sz="4" w:space="0" w:color="auto"/>
              <w:right w:val="single" w:sz="4" w:space="0" w:color="000000"/>
            </w:tcBorders>
            <w:shd w:val="clear" w:color="auto" w:fill="D9D9D9"/>
            <w:vAlign w:val="center"/>
            <w:hideMark/>
          </w:tcPr>
          <w:p w14:paraId="6FFC045E" w14:textId="77777777" w:rsidR="002C206D" w:rsidRDefault="002C206D">
            <w:pPr>
              <w:spacing w:line="256" w:lineRule="auto"/>
              <w:jc w:val="center"/>
              <w:rPr>
                <w:rFonts w:ascii="Calibri" w:hAnsi="Calibri" w:cs="Calibri"/>
                <w:b/>
                <w:bCs/>
                <w:color w:val="000000"/>
                <w:sz w:val="22"/>
                <w:szCs w:val="22"/>
                <w:lang w:val="en-US"/>
              </w:rPr>
            </w:pPr>
            <w:r>
              <w:rPr>
                <w:rFonts w:ascii="Calibri" w:hAnsi="Calibri" w:cs="Calibri"/>
                <w:b/>
                <w:bCs/>
                <w:color w:val="000000"/>
                <w:sz w:val="22"/>
                <w:szCs w:val="22"/>
                <w:lang w:val="en-US"/>
              </w:rPr>
              <w:t>2023</w:t>
            </w:r>
          </w:p>
        </w:tc>
        <w:tc>
          <w:tcPr>
            <w:tcW w:w="2268" w:type="dxa"/>
            <w:gridSpan w:val="2"/>
            <w:tcBorders>
              <w:top w:val="single" w:sz="4" w:space="0" w:color="auto"/>
              <w:left w:val="nil"/>
              <w:bottom w:val="single" w:sz="4" w:space="0" w:color="auto"/>
              <w:right w:val="single" w:sz="4" w:space="0" w:color="000000"/>
            </w:tcBorders>
            <w:shd w:val="clear" w:color="auto" w:fill="D9D9D9"/>
            <w:vAlign w:val="center"/>
            <w:hideMark/>
          </w:tcPr>
          <w:p w14:paraId="324080C3" w14:textId="77777777" w:rsidR="002C206D" w:rsidRDefault="002C206D">
            <w:pPr>
              <w:spacing w:line="256" w:lineRule="auto"/>
              <w:jc w:val="center"/>
              <w:rPr>
                <w:rFonts w:ascii="Calibri" w:hAnsi="Calibri" w:cs="Calibri"/>
                <w:b/>
                <w:bCs/>
                <w:color w:val="000000"/>
                <w:sz w:val="22"/>
                <w:szCs w:val="22"/>
                <w:lang w:val="en-US"/>
              </w:rPr>
            </w:pPr>
            <w:r>
              <w:rPr>
                <w:rFonts w:ascii="Calibri" w:hAnsi="Calibri" w:cs="Calibri"/>
                <w:b/>
                <w:bCs/>
                <w:color w:val="000000"/>
                <w:sz w:val="22"/>
                <w:szCs w:val="22"/>
                <w:lang w:val="en-US"/>
              </w:rPr>
              <w:t>2024</w:t>
            </w:r>
          </w:p>
        </w:tc>
      </w:tr>
      <w:tr w:rsidR="002C206D" w14:paraId="58B33021" w14:textId="77777777" w:rsidTr="002C206D">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8998D67" w14:textId="77777777" w:rsidR="002C206D" w:rsidRDefault="002C206D">
            <w:pPr>
              <w:spacing w:line="256" w:lineRule="auto"/>
              <w:rPr>
                <w:rFonts w:ascii="Calibri" w:hAnsi="Calibri" w:cs="Calibri"/>
                <w:b/>
                <w:bCs/>
                <w:color w:val="000000"/>
                <w:sz w:val="22"/>
                <w:szCs w:val="22"/>
                <w:lang w:val="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D28F72" w14:textId="77777777" w:rsidR="002C206D" w:rsidRDefault="002C206D">
            <w:pPr>
              <w:spacing w:line="256" w:lineRule="auto"/>
              <w:rPr>
                <w:rFonts w:ascii="Calibri" w:hAnsi="Calibri" w:cs="Calibri"/>
                <w:b/>
                <w:bCs/>
                <w:color w:val="000000"/>
                <w:sz w:val="22"/>
                <w:szCs w:val="22"/>
                <w:lang w:val="en-US"/>
              </w:rPr>
            </w:pPr>
          </w:p>
        </w:tc>
        <w:tc>
          <w:tcPr>
            <w:tcW w:w="992" w:type="dxa"/>
            <w:tcBorders>
              <w:top w:val="nil"/>
              <w:left w:val="nil"/>
              <w:bottom w:val="single" w:sz="4" w:space="0" w:color="auto"/>
              <w:right w:val="single" w:sz="4" w:space="0" w:color="auto"/>
            </w:tcBorders>
            <w:shd w:val="clear" w:color="auto" w:fill="D9D9D9"/>
            <w:vAlign w:val="center"/>
            <w:hideMark/>
          </w:tcPr>
          <w:p w14:paraId="39D5D8E3"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c>
          <w:tcPr>
            <w:tcW w:w="1134" w:type="dxa"/>
            <w:tcBorders>
              <w:top w:val="nil"/>
              <w:left w:val="nil"/>
              <w:bottom w:val="single" w:sz="4" w:space="0" w:color="auto"/>
              <w:right w:val="single" w:sz="4" w:space="0" w:color="auto"/>
            </w:tcBorders>
            <w:shd w:val="clear" w:color="auto" w:fill="D9D9D9"/>
            <w:vAlign w:val="center"/>
            <w:hideMark/>
          </w:tcPr>
          <w:p w14:paraId="5BEE5973"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c>
          <w:tcPr>
            <w:tcW w:w="1134" w:type="dxa"/>
            <w:tcBorders>
              <w:top w:val="nil"/>
              <w:left w:val="nil"/>
              <w:bottom w:val="single" w:sz="4" w:space="0" w:color="auto"/>
              <w:right w:val="single" w:sz="4" w:space="0" w:color="auto"/>
            </w:tcBorders>
            <w:shd w:val="clear" w:color="auto" w:fill="D9D9D9"/>
            <w:vAlign w:val="center"/>
            <w:hideMark/>
          </w:tcPr>
          <w:p w14:paraId="61EA7A93"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c>
          <w:tcPr>
            <w:tcW w:w="992" w:type="dxa"/>
            <w:tcBorders>
              <w:top w:val="nil"/>
              <w:left w:val="nil"/>
              <w:bottom w:val="single" w:sz="4" w:space="0" w:color="auto"/>
              <w:right w:val="single" w:sz="4" w:space="0" w:color="auto"/>
            </w:tcBorders>
            <w:shd w:val="clear" w:color="auto" w:fill="D9D9D9"/>
            <w:vAlign w:val="center"/>
            <w:hideMark/>
          </w:tcPr>
          <w:p w14:paraId="7B6D4585"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c>
          <w:tcPr>
            <w:tcW w:w="1276" w:type="dxa"/>
            <w:tcBorders>
              <w:top w:val="nil"/>
              <w:left w:val="nil"/>
              <w:bottom w:val="single" w:sz="4" w:space="0" w:color="auto"/>
              <w:right w:val="single" w:sz="4" w:space="0" w:color="auto"/>
            </w:tcBorders>
            <w:shd w:val="clear" w:color="auto" w:fill="D9D9D9"/>
            <w:vAlign w:val="center"/>
            <w:hideMark/>
          </w:tcPr>
          <w:p w14:paraId="2A1103A4"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c>
          <w:tcPr>
            <w:tcW w:w="1276" w:type="dxa"/>
            <w:tcBorders>
              <w:top w:val="nil"/>
              <w:left w:val="nil"/>
              <w:bottom w:val="single" w:sz="4" w:space="0" w:color="auto"/>
              <w:right w:val="single" w:sz="4" w:space="0" w:color="auto"/>
            </w:tcBorders>
            <w:shd w:val="clear" w:color="auto" w:fill="D9D9D9"/>
            <w:vAlign w:val="center"/>
            <w:hideMark/>
          </w:tcPr>
          <w:p w14:paraId="69C57C06"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c>
          <w:tcPr>
            <w:tcW w:w="992" w:type="dxa"/>
            <w:tcBorders>
              <w:top w:val="nil"/>
              <w:left w:val="nil"/>
              <w:bottom w:val="single" w:sz="4" w:space="0" w:color="auto"/>
              <w:right w:val="single" w:sz="4" w:space="0" w:color="auto"/>
            </w:tcBorders>
            <w:shd w:val="clear" w:color="auto" w:fill="D9D9D9"/>
            <w:vAlign w:val="center"/>
            <w:hideMark/>
          </w:tcPr>
          <w:p w14:paraId="5833DD07"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 </w:t>
            </w:r>
          </w:p>
        </w:tc>
      </w:tr>
      <w:tr w:rsidR="002C206D" w14:paraId="45A3510F" w14:textId="77777777" w:rsidTr="002C206D">
        <w:trPr>
          <w:trHeight w:val="300"/>
        </w:trPr>
        <w:tc>
          <w:tcPr>
            <w:tcW w:w="522" w:type="dxa"/>
            <w:vMerge w:val="restart"/>
            <w:tcBorders>
              <w:top w:val="nil"/>
              <w:left w:val="single" w:sz="4" w:space="0" w:color="auto"/>
              <w:bottom w:val="single" w:sz="4" w:space="0" w:color="000000"/>
              <w:right w:val="single" w:sz="4" w:space="0" w:color="auto"/>
            </w:tcBorders>
            <w:shd w:val="clear" w:color="auto" w:fill="D9D9D9"/>
            <w:vAlign w:val="center"/>
            <w:hideMark/>
          </w:tcPr>
          <w:p w14:paraId="6D4A52FA"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1</w:t>
            </w:r>
          </w:p>
        </w:tc>
        <w:tc>
          <w:tcPr>
            <w:tcW w:w="2167" w:type="dxa"/>
            <w:vMerge w:val="restart"/>
            <w:tcBorders>
              <w:top w:val="nil"/>
              <w:left w:val="single" w:sz="4" w:space="0" w:color="auto"/>
              <w:bottom w:val="single" w:sz="4" w:space="0" w:color="000000"/>
              <w:right w:val="single" w:sz="4" w:space="0" w:color="auto"/>
            </w:tcBorders>
            <w:shd w:val="clear" w:color="auto" w:fill="D9D9D9"/>
            <w:vAlign w:val="center"/>
            <w:hideMark/>
          </w:tcPr>
          <w:p w14:paraId="575E3DBA" w14:textId="77777777" w:rsidR="002C206D" w:rsidRDefault="002C206D">
            <w:pPr>
              <w:spacing w:line="256" w:lineRule="auto"/>
              <w:jc w:val="center"/>
              <w:rPr>
                <w:rFonts w:ascii="Calibri" w:hAnsi="Calibri" w:cs="Calibri"/>
                <w:i/>
                <w:iCs/>
                <w:color w:val="000000"/>
                <w:sz w:val="22"/>
                <w:szCs w:val="22"/>
                <w:lang w:val="en-US"/>
              </w:rPr>
            </w:pPr>
            <w:proofErr w:type="spellStart"/>
            <w:r>
              <w:rPr>
                <w:rFonts w:ascii="Calibri" w:hAnsi="Calibri" w:cs="Calibri"/>
                <w:i/>
                <w:iCs/>
                <w:color w:val="000000"/>
                <w:sz w:val="22"/>
                <w:szCs w:val="22"/>
                <w:lang w:val="en-US"/>
              </w:rPr>
              <w:t>Buget</w:t>
            </w:r>
            <w:proofErr w:type="spellEnd"/>
            <w:r>
              <w:rPr>
                <w:rFonts w:ascii="Calibri" w:hAnsi="Calibri" w:cs="Calibri"/>
                <w:i/>
                <w:iCs/>
                <w:color w:val="000000"/>
                <w:sz w:val="22"/>
                <w:szCs w:val="22"/>
                <w:lang w:val="en-US"/>
              </w:rPr>
              <w:t xml:space="preserve"> CSM Total</w:t>
            </w:r>
          </w:p>
        </w:tc>
        <w:tc>
          <w:tcPr>
            <w:tcW w:w="992" w:type="dxa"/>
            <w:tcBorders>
              <w:top w:val="nil"/>
              <w:left w:val="nil"/>
              <w:bottom w:val="single" w:sz="4" w:space="0" w:color="auto"/>
              <w:right w:val="single" w:sz="4" w:space="0" w:color="auto"/>
            </w:tcBorders>
            <w:shd w:val="clear" w:color="auto" w:fill="DBDBDB"/>
            <w:vAlign w:val="center"/>
            <w:hideMark/>
          </w:tcPr>
          <w:p w14:paraId="5572DA9E"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1134" w:type="dxa"/>
            <w:tcBorders>
              <w:top w:val="nil"/>
              <w:left w:val="nil"/>
              <w:bottom w:val="single" w:sz="4" w:space="0" w:color="auto"/>
              <w:right w:val="single" w:sz="4" w:space="0" w:color="auto"/>
            </w:tcBorders>
            <w:shd w:val="clear" w:color="auto" w:fill="DBDBDB"/>
            <w:vAlign w:val="center"/>
            <w:hideMark/>
          </w:tcPr>
          <w:p w14:paraId="3239B544"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218 178</w:t>
            </w:r>
          </w:p>
        </w:tc>
        <w:tc>
          <w:tcPr>
            <w:tcW w:w="1134" w:type="dxa"/>
            <w:tcBorders>
              <w:top w:val="nil"/>
              <w:left w:val="nil"/>
              <w:bottom w:val="single" w:sz="4" w:space="0" w:color="auto"/>
              <w:right w:val="single" w:sz="4" w:space="0" w:color="auto"/>
            </w:tcBorders>
            <w:shd w:val="clear" w:color="auto" w:fill="DBDBDB"/>
            <w:vAlign w:val="center"/>
            <w:hideMark/>
          </w:tcPr>
          <w:p w14:paraId="6AEBD1A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44 076</w:t>
            </w:r>
          </w:p>
        </w:tc>
        <w:tc>
          <w:tcPr>
            <w:tcW w:w="992" w:type="dxa"/>
            <w:tcBorders>
              <w:top w:val="nil"/>
              <w:left w:val="nil"/>
              <w:bottom w:val="single" w:sz="4" w:space="0" w:color="auto"/>
              <w:right w:val="single" w:sz="4" w:space="0" w:color="auto"/>
            </w:tcBorders>
            <w:shd w:val="clear" w:color="auto" w:fill="DBDBDB"/>
            <w:vAlign w:val="center"/>
            <w:hideMark/>
          </w:tcPr>
          <w:p w14:paraId="73D81A8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277 425</w:t>
            </w:r>
          </w:p>
        </w:tc>
        <w:tc>
          <w:tcPr>
            <w:tcW w:w="1276" w:type="dxa"/>
            <w:tcBorders>
              <w:top w:val="nil"/>
              <w:left w:val="nil"/>
              <w:bottom w:val="single" w:sz="4" w:space="0" w:color="auto"/>
              <w:right w:val="single" w:sz="4" w:space="0" w:color="auto"/>
            </w:tcBorders>
            <w:shd w:val="clear" w:color="auto" w:fill="DBDBDB"/>
            <w:vAlign w:val="center"/>
            <w:hideMark/>
          </w:tcPr>
          <w:p w14:paraId="447FE70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48 156</w:t>
            </w:r>
          </w:p>
        </w:tc>
        <w:tc>
          <w:tcPr>
            <w:tcW w:w="1276" w:type="dxa"/>
            <w:tcBorders>
              <w:top w:val="nil"/>
              <w:left w:val="nil"/>
              <w:bottom w:val="single" w:sz="4" w:space="0" w:color="auto"/>
              <w:right w:val="single" w:sz="4" w:space="0" w:color="auto"/>
            </w:tcBorders>
            <w:shd w:val="clear" w:color="auto" w:fill="DBDBDB"/>
            <w:vAlign w:val="center"/>
            <w:hideMark/>
          </w:tcPr>
          <w:p w14:paraId="79CF7E03"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244 331</w:t>
            </w:r>
          </w:p>
        </w:tc>
        <w:tc>
          <w:tcPr>
            <w:tcW w:w="992" w:type="dxa"/>
            <w:tcBorders>
              <w:top w:val="nil"/>
              <w:left w:val="nil"/>
              <w:bottom w:val="single" w:sz="4" w:space="0" w:color="auto"/>
              <w:right w:val="single" w:sz="4" w:space="0" w:color="auto"/>
            </w:tcBorders>
            <w:shd w:val="clear" w:color="auto" w:fill="DBDBDB"/>
            <w:vAlign w:val="center"/>
            <w:hideMark/>
          </w:tcPr>
          <w:p w14:paraId="2822444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41 766</w:t>
            </w:r>
          </w:p>
        </w:tc>
      </w:tr>
      <w:tr w:rsidR="002C206D" w14:paraId="0CE01FD9" w14:textId="77777777" w:rsidTr="002C206D">
        <w:trPr>
          <w:trHeight w:val="330"/>
        </w:trPr>
        <w:tc>
          <w:tcPr>
            <w:tcW w:w="0" w:type="auto"/>
            <w:vMerge/>
            <w:tcBorders>
              <w:top w:val="nil"/>
              <w:left w:val="single" w:sz="4" w:space="0" w:color="auto"/>
              <w:bottom w:val="single" w:sz="4" w:space="0" w:color="000000"/>
              <w:right w:val="single" w:sz="4" w:space="0" w:color="auto"/>
            </w:tcBorders>
            <w:vAlign w:val="center"/>
            <w:hideMark/>
          </w:tcPr>
          <w:p w14:paraId="2569756E" w14:textId="77777777" w:rsidR="002C206D" w:rsidRDefault="002C206D">
            <w:pPr>
              <w:spacing w:line="256" w:lineRule="auto"/>
              <w:rPr>
                <w:rFonts w:ascii="Calibri" w:hAnsi="Calibri" w:cs="Calibri"/>
                <w:color w:val="000000"/>
                <w:sz w:val="22"/>
                <w:szCs w:val="22"/>
                <w:lang w:val="en-US"/>
              </w:rPr>
            </w:pPr>
          </w:p>
        </w:tc>
        <w:tc>
          <w:tcPr>
            <w:tcW w:w="0" w:type="auto"/>
            <w:vMerge/>
            <w:tcBorders>
              <w:top w:val="nil"/>
              <w:left w:val="single" w:sz="4" w:space="0" w:color="auto"/>
              <w:bottom w:val="single" w:sz="4" w:space="0" w:color="000000"/>
              <w:right w:val="single" w:sz="4" w:space="0" w:color="auto"/>
            </w:tcBorders>
            <w:vAlign w:val="center"/>
            <w:hideMark/>
          </w:tcPr>
          <w:p w14:paraId="59CAD3A7" w14:textId="77777777" w:rsidR="002C206D" w:rsidRDefault="002C206D">
            <w:pPr>
              <w:spacing w:line="256" w:lineRule="auto"/>
              <w:rPr>
                <w:rFonts w:ascii="Calibri" w:hAnsi="Calibri" w:cs="Calibri"/>
                <w:i/>
                <w:iCs/>
                <w:color w:val="000000"/>
                <w:sz w:val="22"/>
                <w:szCs w:val="22"/>
                <w:lang w:val="en-US"/>
              </w:rPr>
            </w:pPr>
          </w:p>
        </w:tc>
        <w:tc>
          <w:tcPr>
            <w:tcW w:w="992" w:type="dxa"/>
            <w:tcBorders>
              <w:top w:val="nil"/>
              <w:left w:val="nil"/>
              <w:bottom w:val="single" w:sz="4" w:space="0" w:color="auto"/>
              <w:right w:val="single" w:sz="4" w:space="0" w:color="auto"/>
            </w:tcBorders>
            <w:shd w:val="clear" w:color="auto" w:fill="DBDBDB"/>
            <w:vAlign w:val="center"/>
            <w:hideMark/>
          </w:tcPr>
          <w:p w14:paraId="55268D93"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1134" w:type="dxa"/>
            <w:tcBorders>
              <w:top w:val="nil"/>
              <w:left w:val="nil"/>
              <w:bottom w:val="single" w:sz="4" w:space="0" w:color="auto"/>
              <w:right w:val="single" w:sz="4" w:space="0" w:color="auto"/>
            </w:tcBorders>
            <w:shd w:val="clear" w:color="auto" w:fill="DBDBDB"/>
            <w:vAlign w:val="center"/>
            <w:hideMark/>
          </w:tcPr>
          <w:p w14:paraId="43122D6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182 774</w:t>
            </w:r>
          </w:p>
        </w:tc>
        <w:tc>
          <w:tcPr>
            <w:tcW w:w="1134" w:type="dxa"/>
            <w:tcBorders>
              <w:top w:val="nil"/>
              <w:left w:val="nil"/>
              <w:bottom w:val="single" w:sz="4" w:space="0" w:color="auto"/>
              <w:right w:val="single" w:sz="4" w:space="0" w:color="auto"/>
            </w:tcBorders>
            <w:shd w:val="clear" w:color="auto" w:fill="DBDBDB"/>
            <w:vAlign w:val="center"/>
            <w:hideMark/>
          </w:tcPr>
          <w:p w14:paraId="2B656D17"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36 924</w:t>
            </w:r>
          </w:p>
        </w:tc>
        <w:tc>
          <w:tcPr>
            <w:tcW w:w="992" w:type="dxa"/>
            <w:tcBorders>
              <w:top w:val="nil"/>
              <w:left w:val="nil"/>
              <w:bottom w:val="single" w:sz="4" w:space="0" w:color="auto"/>
              <w:right w:val="single" w:sz="4" w:space="0" w:color="auto"/>
            </w:tcBorders>
            <w:shd w:val="clear" w:color="auto" w:fill="DBDBDB"/>
            <w:vAlign w:val="center"/>
            <w:hideMark/>
          </w:tcPr>
          <w:p w14:paraId="6D16D190"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299 070</w:t>
            </w:r>
          </w:p>
        </w:tc>
        <w:tc>
          <w:tcPr>
            <w:tcW w:w="1276" w:type="dxa"/>
            <w:tcBorders>
              <w:top w:val="nil"/>
              <w:left w:val="nil"/>
              <w:bottom w:val="single" w:sz="4" w:space="0" w:color="auto"/>
              <w:right w:val="single" w:sz="4" w:space="0" w:color="auto"/>
            </w:tcBorders>
            <w:shd w:val="clear" w:color="auto" w:fill="DBDBDB"/>
            <w:vAlign w:val="center"/>
            <w:hideMark/>
          </w:tcPr>
          <w:p w14:paraId="1F7262B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52 485</w:t>
            </w:r>
          </w:p>
        </w:tc>
        <w:tc>
          <w:tcPr>
            <w:tcW w:w="1276" w:type="dxa"/>
            <w:tcBorders>
              <w:top w:val="nil"/>
              <w:left w:val="nil"/>
              <w:bottom w:val="single" w:sz="4" w:space="0" w:color="auto"/>
              <w:right w:val="single" w:sz="4" w:space="0" w:color="auto"/>
            </w:tcBorders>
            <w:shd w:val="clear" w:color="auto" w:fill="DBDBDB"/>
            <w:vAlign w:val="center"/>
            <w:hideMark/>
          </w:tcPr>
          <w:p w14:paraId="02420BC8"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243 390</w:t>
            </w:r>
          </w:p>
        </w:tc>
        <w:tc>
          <w:tcPr>
            <w:tcW w:w="992" w:type="dxa"/>
            <w:tcBorders>
              <w:top w:val="nil"/>
              <w:left w:val="nil"/>
              <w:bottom w:val="single" w:sz="4" w:space="0" w:color="auto"/>
              <w:right w:val="single" w:sz="4" w:space="0" w:color="auto"/>
            </w:tcBorders>
            <w:shd w:val="clear" w:color="auto" w:fill="DBDBDB"/>
            <w:vAlign w:val="center"/>
            <w:hideMark/>
          </w:tcPr>
          <w:p w14:paraId="3ACAB074"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41 578</w:t>
            </w:r>
          </w:p>
        </w:tc>
      </w:tr>
      <w:tr w:rsidR="002C206D" w14:paraId="2A7478D2" w14:textId="77777777" w:rsidTr="002C206D">
        <w:trPr>
          <w:trHeight w:val="540"/>
        </w:trPr>
        <w:tc>
          <w:tcPr>
            <w:tcW w:w="522" w:type="dxa"/>
            <w:vMerge w:val="restart"/>
            <w:tcBorders>
              <w:top w:val="nil"/>
              <w:left w:val="single" w:sz="4" w:space="0" w:color="auto"/>
              <w:bottom w:val="single" w:sz="4" w:space="0" w:color="000000"/>
              <w:right w:val="single" w:sz="4" w:space="0" w:color="auto"/>
            </w:tcBorders>
            <w:shd w:val="clear" w:color="auto" w:fill="D9D9D9"/>
            <w:vAlign w:val="center"/>
            <w:hideMark/>
          </w:tcPr>
          <w:p w14:paraId="0D3279D0"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A.</w:t>
            </w:r>
          </w:p>
        </w:tc>
        <w:tc>
          <w:tcPr>
            <w:tcW w:w="2167" w:type="dxa"/>
            <w:tcBorders>
              <w:top w:val="nil"/>
              <w:left w:val="nil"/>
              <w:bottom w:val="single" w:sz="4" w:space="0" w:color="auto"/>
              <w:right w:val="single" w:sz="4" w:space="0" w:color="auto"/>
            </w:tcBorders>
            <w:vAlign w:val="center"/>
            <w:hideMark/>
          </w:tcPr>
          <w:p w14:paraId="6477D9F5" w14:textId="77777777" w:rsidR="002C206D" w:rsidRDefault="002C206D">
            <w:pPr>
              <w:spacing w:line="256" w:lineRule="auto"/>
              <w:rPr>
                <w:rFonts w:ascii="Calibri" w:hAnsi="Calibri" w:cs="Calibri"/>
                <w:i/>
                <w:iCs/>
                <w:color w:val="000000"/>
                <w:sz w:val="22"/>
                <w:szCs w:val="22"/>
                <w:lang w:val="en-US"/>
              </w:rPr>
            </w:pPr>
            <w:proofErr w:type="spellStart"/>
            <w:r>
              <w:rPr>
                <w:rFonts w:ascii="Calibri" w:hAnsi="Calibri" w:cs="Calibri"/>
                <w:i/>
                <w:iCs/>
                <w:color w:val="000000"/>
                <w:sz w:val="22"/>
                <w:szCs w:val="22"/>
                <w:lang w:val="en-US"/>
              </w:rPr>
              <w:t>Consiliul</w:t>
            </w:r>
            <w:proofErr w:type="spellEnd"/>
            <w:r>
              <w:rPr>
                <w:rFonts w:ascii="Calibri" w:hAnsi="Calibri" w:cs="Calibri"/>
                <w:i/>
                <w:iCs/>
                <w:color w:val="000000"/>
                <w:sz w:val="22"/>
                <w:szCs w:val="22"/>
                <w:lang w:val="en-US"/>
              </w:rPr>
              <w:t xml:space="preserve"> Superior al </w:t>
            </w:r>
            <w:proofErr w:type="spellStart"/>
            <w:r>
              <w:rPr>
                <w:rFonts w:ascii="Calibri" w:hAnsi="Calibri" w:cs="Calibri"/>
                <w:i/>
                <w:iCs/>
                <w:color w:val="000000"/>
                <w:sz w:val="22"/>
                <w:szCs w:val="22"/>
                <w:lang w:val="en-US"/>
              </w:rPr>
              <w:t>Magistraturii</w:t>
            </w:r>
            <w:proofErr w:type="spellEnd"/>
            <w:r>
              <w:rPr>
                <w:rFonts w:ascii="Calibri" w:hAnsi="Calibri" w:cs="Calibri"/>
                <w:i/>
                <w:iCs/>
                <w:color w:val="000000"/>
                <w:sz w:val="22"/>
                <w:szCs w:val="22"/>
                <w:lang w:val="en-US"/>
              </w:rPr>
              <w:t xml:space="preserve"> </w:t>
            </w:r>
            <w:proofErr w:type="spellStart"/>
            <w:proofErr w:type="gramStart"/>
            <w:r w:rsidRPr="00C53E4C">
              <w:rPr>
                <w:rFonts w:ascii="Calibri" w:hAnsi="Calibri" w:cs="Calibri"/>
                <w:i/>
                <w:iCs/>
                <w:color w:val="000000"/>
                <w:sz w:val="22"/>
                <w:szCs w:val="22"/>
                <w:lang w:val="en-US"/>
              </w:rPr>
              <w:t>Ap.propriu</w:t>
            </w:r>
            <w:proofErr w:type="spellEnd"/>
            <w:proofErr w:type="gramEnd"/>
          </w:p>
        </w:tc>
        <w:tc>
          <w:tcPr>
            <w:tcW w:w="992" w:type="dxa"/>
            <w:tcBorders>
              <w:top w:val="nil"/>
              <w:left w:val="nil"/>
              <w:bottom w:val="single" w:sz="4" w:space="0" w:color="auto"/>
              <w:right w:val="single" w:sz="4" w:space="0" w:color="auto"/>
            </w:tcBorders>
            <w:vAlign w:val="center"/>
            <w:hideMark/>
          </w:tcPr>
          <w:p w14:paraId="64F16B16"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1134" w:type="dxa"/>
            <w:tcBorders>
              <w:top w:val="nil"/>
              <w:left w:val="nil"/>
              <w:bottom w:val="single" w:sz="4" w:space="0" w:color="auto"/>
              <w:right w:val="single" w:sz="4" w:space="0" w:color="auto"/>
            </w:tcBorders>
            <w:vAlign w:val="center"/>
            <w:hideMark/>
          </w:tcPr>
          <w:p w14:paraId="1CA61817"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159 474</w:t>
            </w:r>
          </w:p>
        </w:tc>
        <w:tc>
          <w:tcPr>
            <w:tcW w:w="1134" w:type="dxa"/>
            <w:tcBorders>
              <w:top w:val="nil"/>
              <w:left w:val="nil"/>
              <w:bottom w:val="single" w:sz="4" w:space="0" w:color="auto"/>
              <w:right w:val="single" w:sz="4" w:space="0" w:color="auto"/>
            </w:tcBorders>
            <w:vAlign w:val="center"/>
            <w:hideMark/>
          </w:tcPr>
          <w:p w14:paraId="2AF6EFD1"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32 217</w:t>
            </w:r>
          </w:p>
        </w:tc>
        <w:tc>
          <w:tcPr>
            <w:tcW w:w="992" w:type="dxa"/>
            <w:tcBorders>
              <w:top w:val="nil"/>
              <w:left w:val="nil"/>
              <w:bottom w:val="single" w:sz="4" w:space="0" w:color="auto"/>
              <w:right w:val="single" w:sz="4" w:space="0" w:color="auto"/>
            </w:tcBorders>
            <w:vAlign w:val="center"/>
            <w:hideMark/>
          </w:tcPr>
          <w:p w14:paraId="5E5AE703"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155 392</w:t>
            </w:r>
          </w:p>
        </w:tc>
        <w:tc>
          <w:tcPr>
            <w:tcW w:w="1276" w:type="dxa"/>
            <w:tcBorders>
              <w:top w:val="nil"/>
              <w:left w:val="nil"/>
              <w:bottom w:val="single" w:sz="4" w:space="0" w:color="auto"/>
              <w:right w:val="single" w:sz="4" w:space="0" w:color="auto"/>
            </w:tcBorders>
            <w:vAlign w:val="center"/>
            <w:hideMark/>
          </w:tcPr>
          <w:p w14:paraId="605D3FD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31 078</w:t>
            </w:r>
          </w:p>
        </w:tc>
        <w:tc>
          <w:tcPr>
            <w:tcW w:w="1276" w:type="dxa"/>
            <w:tcBorders>
              <w:top w:val="nil"/>
              <w:left w:val="nil"/>
              <w:bottom w:val="single" w:sz="4" w:space="0" w:color="auto"/>
              <w:right w:val="single" w:sz="4" w:space="0" w:color="auto"/>
            </w:tcBorders>
            <w:vAlign w:val="center"/>
            <w:hideMark/>
          </w:tcPr>
          <w:p w14:paraId="7468296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122 935</w:t>
            </w:r>
          </w:p>
        </w:tc>
        <w:tc>
          <w:tcPr>
            <w:tcW w:w="992" w:type="dxa"/>
            <w:tcBorders>
              <w:top w:val="nil"/>
              <w:left w:val="nil"/>
              <w:bottom w:val="single" w:sz="4" w:space="0" w:color="auto"/>
              <w:right w:val="single" w:sz="4" w:space="0" w:color="auto"/>
            </w:tcBorders>
            <w:vAlign w:val="center"/>
            <w:hideMark/>
          </w:tcPr>
          <w:p w14:paraId="5B0A0526"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24 587</w:t>
            </w:r>
          </w:p>
        </w:tc>
      </w:tr>
      <w:tr w:rsidR="002C206D" w14:paraId="3592EA1B" w14:textId="77777777" w:rsidTr="002C206D">
        <w:trPr>
          <w:trHeight w:val="315"/>
        </w:trPr>
        <w:tc>
          <w:tcPr>
            <w:tcW w:w="0" w:type="auto"/>
            <w:vMerge/>
            <w:tcBorders>
              <w:top w:val="nil"/>
              <w:left w:val="single" w:sz="4" w:space="0" w:color="auto"/>
              <w:bottom w:val="single" w:sz="4" w:space="0" w:color="000000"/>
              <w:right w:val="single" w:sz="4" w:space="0" w:color="auto"/>
            </w:tcBorders>
            <w:vAlign w:val="center"/>
            <w:hideMark/>
          </w:tcPr>
          <w:p w14:paraId="514BC6FC" w14:textId="77777777" w:rsidR="002C206D" w:rsidRDefault="002C206D">
            <w:pPr>
              <w:spacing w:line="256" w:lineRule="auto"/>
              <w:rPr>
                <w:rFonts w:ascii="Calibri" w:hAnsi="Calibri" w:cs="Calibri"/>
                <w:color w:val="000000"/>
                <w:sz w:val="22"/>
                <w:szCs w:val="22"/>
                <w:lang w:val="en-US"/>
              </w:rPr>
            </w:pPr>
          </w:p>
        </w:tc>
        <w:tc>
          <w:tcPr>
            <w:tcW w:w="2167" w:type="dxa"/>
            <w:tcBorders>
              <w:top w:val="nil"/>
              <w:left w:val="nil"/>
              <w:bottom w:val="single" w:sz="4" w:space="0" w:color="auto"/>
              <w:right w:val="single" w:sz="4" w:space="0" w:color="auto"/>
            </w:tcBorders>
            <w:vAlign w:val="center"/>
            <w:hideMark/>
          </w:tcPr>
          <w:p w14:paraId="631DA250" w14:textId="77777777" w:rsidR="002C206D" w:rsidRDefault="002C206D">
            <w:pPr>
              <w:spacing w:line="256" w:lineRule="auto"/>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992" w:type="dxa"/>
            <w:tcBorders>
              <w:top w:val="nil"/>
              <w:left w:val="nil"/>
              <w:bottom w:val="single" w:sz="4" w:space="0" w:color="auto"/>
              <w:right w:val="single" w:sz="4" w:space="0" w:color="auto"/>
            </w:tcBorders>
            <w:vAlign w:val="center"/>
            <w:hideMark/>
          </w:tcPr>
          <w:p w14:paraId="02E8BF11"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1134" w:type="dxa"/>
            <w:tcBorders>
              <w:top w:val="nil"/>
              <w:left w:val="nil"/>
              <w:bottom w:val="single" w:sz="4" w:space="0" w:color="auto"/>
              <w:right w:val="nil"/>
            </w:tcBorders>
            <w:vAlign w:val="center"/>
            <w:hideMark/>
          </w:tcPr>
          <w:p w14:paraId="35F6A726"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124 171</w:t>
            </w:r>
          </w:p>
        </w:tc>
        <w:tc>
          <w:tcPr>
            <w:tcW w:w="1134" w:type="dxa"/>
            <w:tcBorders>
              <w:top w:val="nil"/>
              <w:left w:val="single" w:sz="4" w:space="0" w:color="auto"/>
              <w:bottom w:val="single" w:sz="4" w:space="0" w:color="auto"/>
              <w:right w:val="single" w:sz="4" w:space="0" w:color="auto"/>
            </w:tcBorders>
            <w:vAlign w:val="center"/>
            <w:hideMark/>
          </w:tcPr>
          <w:p w14:paraId="52772A95"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25 085</w:t>
            </w:r>
          </w:p>
        </w:tc>
        <w:tc>
          <w:tcPr>
            <w:tcW w:w="992" w:type="dxa"/>
            <w:tcBorders>
              <w:top w:val="nil"/>
              <w:left w:val="nil"/>
              <w:bottom w:val="single" w:sz="4" w:space="0" w:color="auto"/>
              <w:right w:val="nil"/>
            </w:tcBorders>
            <w:vAlign w:val="center"/>
            <w:hideMark/>
          </w:tcPr>
          <w:p w14:paraId="40A97570"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173 305</w:t>
            </w:r>
          </w:p>
        </w:tc>
        <w:tc>
          <w:tcPr>
            <w:tcW w:w="1276" w:type="dxa"/>
            <w:tcBorders>
              <w:top w:val="nil"/>
              <w:left w:val="single" w:sz="4" w:space="0" w:color="auto"/>
              <w:bottom w:val="single" w:sz="4" w:space="0" w:color="auto"/>
              <w:right w:val="single" w:sz="4" w:space="0" w:color="auto"/>
            </w:tcBorders>
            <w:vAlign w:val="center"/>
            <w:hideMark/>
          </w:tcPr>
          <w:p w14:paraId="400B2553"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34 661</w:t>
            </w:r>
          </w:p>
        </w:tc>
        <w:tc>
          <w:tcPr>
            <w:tcW w:w="1276" w:type="dxa"/>
            <w:tcBorders>
              <w:top w:val="nil"/>
              <w:left w:val="nil"/>
              <w:bottom w:val="single" w:sz="4" w:space="0" w:color="auto"/>
              <w:right w:val="single" w:sz="4" w:space="0" w:color="auto"/>
            </w:tcBorders>
            <w:vAlign w:val="center"/>
            <w:hideMark/>
          </w:tcPr>
          <w:p w14:paraId="06A3C09D"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122 210</w:t>
            </w:r>
          </w:p>
        </w:tc>
        <w:tc>
          <w:tcPr>
            <w:tcW w:w="992" w:type="dxa"/>
            <w:tcBorders>
              <w:top w:val="nil"/>
              <w:left w:val="nil"/>
              <w:bottom w:val="single" w:sz="4" w:space="0" w:color="auto"/>
              <w:right w:val="single" w:sz="4" w:space="0" w:color="auto"/>
            </w:tcBorders>
            <w:vAlign w:val="center"/>
            <w:hideMark/>
          </w:tcPr>
          <w:p w14:paraId="53210A3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24 442</w:t>
            </w:r>
          </w:p>
        </w:tc>
      </w:tr>
      <w:tr w:rsidR="002C206D" w14:paraId="79E93A39" w14:textId="77777777" w:rsidTr="002C206D">
        <w:trPr>
          <w:trHeight w:val="285"/>
        </w:trPr>
        <w:tc>
          <w:tcPr>
            <w:tcW w:w="0" w:type="auto"/>
            <w:vMerge/>
            <w:tcBorders>
              <w:top w:val="nil"/>
              <w:left w:val="single" w:sz="4" w:space="0" w:color="auto"/>
              <w:bottom w:val="single" w:sz="4" w:space="0" w:color="000000"/>
              <w:right w:val="single" w:sz="4" w:space="0" w:color="auto"/>
            </w:tcBorders>
            <w:vAlign w:val="center"/>
            <w:hideMark/>
          </w:tcPr>
          <w:p w14:paraId="602BD1C4" w14:textId="77777777" w:rsidR="002C206D" w:rsidRDefault="002C206D">
            <w:pPr>
              <w:spacing w:line="256" w:lineRule="auto"/>
              <w:rPr>
                <w:rFonts w:ascii="Calibri" w:hAnsi="Calibri" w:cs="Calibr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vAlign w:val="center"/>
            <w:hideMark/>
          </w:tcPr>
          <w:p w14:paraId="0C1B42BE" w14:textId="77777777" w:rsidR="002C206D" w:rsidRDefault="002C206D">
            <w:pPr>
              <w:spacing w:line="256" w:lineRule="auto"/>
              <w:rPr>
                <w:rFonts w:ascii="Calibri" w:hAnsi="Calibri" w:cs="Calibri"/>
                <w:color w:val="000000"/>
                <w:sz w:val="22"/>
                <w:szCs w:val="22"/>
                <w:lang w:val="en-US"/>
              </w:rPr>
            </w:pPr>
            <w:proofErr w:type="spellStart"/>
            <w:r>
              <w:rPr>
                <w:rFonts w:ascii="Calibri" w:hAnsi="Calibri" w:cs="Calibri"/>
                <w:color w:val="000000"/>
                <w:sz w:val="22"/>
                <w:szCs w:val="22"/>
                <w:lang w:val="en-US"/>
              </w:rPr>
              <w:t>Pondere</w:t>
            </w:r>
            <w:proofErr w:type="spellEnd"/>
            <w:r>
              <w:rPr>
                <w:rFonts w:ascii="Calibri" w:hAnsi="Calibri" w:cs="Calibri"/>
                <w:color w:val="000000"/>
                <w:sz w:val="22"/>
                <w:szCs w:val="22"/>
                <w:lang w:val="en-US"/>
              </w:rPr>
              <w:t xml:space="preserve"> %</w:t>
            </w:r>
          </w:p>
        </w:tc>
        <w:tc>
          <w:tcPr>
            <w:tcW w:w="992" w:type="dxa"/>
            <w:tcBorders>
              <w:top w:val="nil"/>
              <w:left w:val="nil"/>
              <w:bottom w:val="single" w:sz="4" w:space="0" w:color="auto"/>
              <w:right w:val="single" w:sz="4" w:space="0" w:color="auto"/>
            </w:tcBorders>
            <w:vAlign w:val="center"/>
            <w:hideMark/>
          </w:tcPr>
          <w:p w14:paraId="0CDC3424"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2268" w:type="dxa"/>
            <w:gridSpan w:val="2"/>
            <w:tcBorders>
              <w:top w:val="single" w:sz="4" w:space="0" w:color="auto"/>
              <w:left w:val="nil"/>
              <w:bottom w:val="single" w:sz="4" w:space="0" w:color="auto"/>
              <w:right w:val="single" w:sz="4" w:space="0" w:color="000000"/>
            </w:tcBorders>
            <w:vAlign w:val="center"/>
            <w:hideMark/>
          </w:tcPr>
          <w:p w14:paraId="76C8F6A2"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73.09%</w:t>
            </w:r>
          </w:p>
        </w:tc>
        <w:tc>
          <w:tcPr>
            <w:tcW w:w="2268" w:type="dxa"/>
            <w:gridSpan w:val="2"/>
            <w:tcBorders>
              <w:top w:val="single" w:sz="4" w:space="0" w:color="auto"/>
              <w:left w:val="nil"/>
              <w:bottom w:val="single" w:sz="4" w:space="0" w:color="auto"/>
              <w:right w:val="single" w:sz="4" w:space="0" w:color="000000"/>
            </w:tcBorders>
            <w:vAlign w:val="center"/>
            <w:hideMark/>
          </w:tcPr>
          <w:p w14:paraId="16AA8F7A"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56.01%</w:t>
            </w:r>
          </w:p>
        </w:tc>
        <w:tc>
          <w:tcPr>
            <w:tcW w:w="2268" w:type="dxa"/>
            <w:gridSpan w:val="2"/>
            <w:tcBorders>
              <w:top w:val="single" w:sz="4" w:space="0" w:color="auto"/>
              <w:left w:val="nil"/>
              <w:bottom w:val="single" w:sz="4" w:space="0" w:color="auto"/>
              <w:right w:val="single" w:sz="4" w:space="0" w:color="000000"/>
            </w:tcBorders>
            <w:vAlign w:val="center"/>
            <w:hideMark/>
          </w:tcPr>
          <w:p w14:paraId="284F0115"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50.31%</w:t>
            </w:r>
          </w:p>
        </w:tc>
      </w:tr>
      <w:tr w:rsidR="002C206D" w14:paraId="094EC631"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036B945F" w14:textId="77777777" w:rsidR="002C206D" w:rsidRDefault="002C206D">
            <w:pPr>
              <w:spacing w:line="256" w:lineRule="auto"/>
              <w:rPr>
                <w:rFonts w:ascii="Calibri" w:hAnsi="Calibri" w:cs="Calibri"/>
                <w:color w:val="000000"/>
                <w:sz w:val="22"/>
                <w:szCs w:val="22"/>
                <w:lang w:val="en-US"/>
              </w:rPr>
            </w:pPr>
          </w:p>
        </w:tc>
        <w:tc>
          <w:tcPr>
            <w:tcW w:w="0" w:type="auto"/>
            <w:vMerge/>
            <w:tcBorders>
              <w:top w:val="nil"/>
              <w:left w:val="single" w:sz="4" w:space="0" w:color="auto"/>
              <w:bottom w:val="single" w:sz="4" w:space="0" w:color="000000"/>
              <w:right w:val="single" w:sz="4" w:space="0" w:color="auto"/>
            </w:tcBorders>
            <w:vAlign w:val="center"/>
            <w:hideMark/>
          </w:tcPr>
          <w:p w14:paraId="5127B722" w14:textId="77777777" w:rsidR="002C206D" w:rsidRDefault="002C206D">
            <w:pPr>
              <w:spacing w:line="256" w:lineRule="auto"/>
              <w:rPr>
                <w:rFonts w:ascii="Calibri" w:hAnsi="Calibri" w:cs="Calibri"/>
                <w:color w:val="000000"/>
                <w:sz w:val="22"/>
                <w:szCs w:val="22"/>
                <w:lang w:val="en-US"/>
              </w:rPr>
            </w:pPr>
          </w:p>
        </w:tc>
        <w:tc>
          <w:tcPr>
            <w:tcW w:w="992" w:type="dxa"/>
            <w:tcBorders>
              <w:top w:val="nil"/>
              <w:left w:val="nil"/>
              <w:bottom w:val="single" w:sz="4" w:space="0" w:color="auto"/>
              <w:right w:val="single" w:sz="4" w:space="0" w:color="auto"/>
            </w:tcBorders>
            <w:vAlign w:val="center"/>
            <w:hideMark/>
          </w:tcPr>
          <w:p w14:paraId="7BA97D26"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2268" w:type="dxa"/>
            <w:gridSpan w:val="2"/>
            <w:tcBorders>
              <w:top w:val="single" w:sz="4" w:space="0" w:color="auto"/>
              <w:left w:val="nil"/>
              <w:bottom w:val="single" w:sz="4" w:space="0" w:color="auto"/>
              <w:right w:val="single" w:sz="4" w:space="0" w:color="000000"/>
            </w:tcBorders>
            <w:vAlign w:val="center"/>
            <w:hideMark/>
          </w:tcPr>
          <w:p w14:paraId="303306ED"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67.94%</w:t>
            </w:r>
          </w:p>
        </w:tc>
        <w:tc>
          <w:tcPr>
            <w:tcW w:w="2268" w:type="dxa"/>
            <w:gridSpan w:val="2"/>
            <w:tcBorders>
              <w:top w:val="single" w:sz="4" w:space="0" w:color="auto"/>
              <w:left w:val="nil"/>
              <w:bottom w:val="single" w:sz="4" w:space="0" w:color="auto"/>
              <w:right w:val="single" w:sz="4" w:space="0" w:color="000000"/>
            </w:tcBorders>
            <w:vAlign w:val="center"/>
            <w:hideMark/>
          </w:tcPr>
          <w:p w14:paraId="309D9022"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57.95%</w:t>
            </w:r>
          </w:p>
        </w:tc>
        <w:tc>
          <w:tcPr>
            <w:tcW w:w="2268" w:type="dxa"/>
            <w:gridSpan w:val="2"/>
            <w:tcBorders>
              <w:top w:val="single" w:sz="4" w:space="0" w:color="auto"/>
              <w:left w:val="nil"/>
              <w:bottom w:val="single" w:sz="4" w:space="0" w:color="auto"/>
              <w:right w:val="single" w:sz="4" w:space="0" w:color="000000"/>
            </w:tcBorders>
            <w:vAlign w:val="center"/>
            <w:hideMark/>
          </w:tcPr>
          <w:p w14:paraId="27AF409E"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50.21%</w:t>
            </w:r>
          </w:p>
        </w:tc>
      </w:tr>
      <w:tr w:rsidR="002C206D" w14:paraId="6E27B891" w14:textId="77777777" w:rsidTr="002C206D">
        <w:trPr>
          <w:trHeight w:val="540"/>
        </w:trPr>
        <w:tc>
          <w:tcPr>
            <w:tcW w:w="522" w:type="dxa"/>
            <w:vMerge w:val="restart"/>
            <w:tcBorders>
              <w:top w:val="nil"/>
              <w:left w:val="single" w:sz="4" w:space="0" w:color="auto"/>
              <w:bottom w:val="single" w:sz="4" w:space="0" w:color="000000"/>
              <w:right w:val="single" w:sz="4" w:space="0" w:color="auto"/>
            </w:tcBorders>
            <w:shd w:val="clear" w:color="auto" w:fill="D9D9D9"/>
            <w:vAlign w:val="center"/>
            <w:hideMark/>
          </w:tcPr>
          <w:p w14:paraId="2E1602A5"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B.</w:t>
            </w:r>
          </w:p>
        </w:tc>
        <w:tc>
          <w:tcPr>
            <w:tcW w:w="2167" w:type="dxa"/>
            <w:tcBorders>
              <w:top w:val="nil"/>
              <w:left w:val="nil"/>
              <w:bottom w:val="single" w:sz="4" w:space="0" w:color="auto"/>
              <w:right w:val="single" w:sz="4" w:space="0" w:color="auto"/>
            </w:tcBorders>
            <w:vAlign w:val="center"/>
            <w:hideMark/>
          </w:tcPr>
          <w:p w14:paraId="1D703A4D" w14:textId="77777777" w:rsidR="002C206D" w:rsidRDefault="002C206D">
            <w:pPr>
              <w:spacing w:line="256" w:lineRule="auto"/>
              <w:rPr>
                <w:rFonts w:ascii="Calibri" w:hAnsi="Calibri" w:cs="Calibri"/>
                <w:i/>
                <w:iCs/>
                <w:color w:val="000000"/>
                <w:sz w:val="22"/>
                <w:szCs w:val="22"/>
                <w:lang w:val="en-US"/>
              </w:rPr>
            </w:pPr>
            <w:proofErr w:type="spellStart"/>
            <w:r>
              <w:rPr>
                <w:rFonts w:ascii="Calibri" w:hAnsi="Calibri" w:cs="Calibri"/>
                <w:i/>
                <w:iCs/>
                <w:color w:val="000000"/>
                <w:sz w:val="22"/>
                <w:szCs w:val="22"/>
                <w:lang w:val="en-US"/>
              </w:rPr>
              <w:t>Inspectia</w:t>
            </w:r>
            <w:proofErr w:type="spellEnd"/>
            <w:r>
              <w:rPr>
                <w:rFonts w:ascii="Calibri" w:hAnsi="Calibri" w:cs="Calibri"/>
                <w:i/>
                <w:iCs/>
                <w:color w:val="000000"/>
                <w:sz w:val="22"/>
                <w:szCs w:val="22"/>
                <w:lang w:val="en-US"/>
              </w:rPr>
              <w:t xml:space="preserve"> </w:t>
            </w:r>
            <w:proofErr w:type="spellStart"/>
            <w:r>
              <w:rPr>
                <w:rFonts w:ascii="Calibri" w:hAnsi="Calibri" w:cs="Calibri"/>
                <w:i/>
                <w:iCs/>
                <w:color w:val="000000"/>
                <w:sz w:val="22"/>
                <w:szCs w:val="22"/>
                <w:lang w:val="en-US"/>
              </w:rPr>
              <w:t>Judiciara</w:t>
            </w:r>
            <w:proofErr w:type="spellEnd"/>
          </w:p>
        </w:tc>
        <w:tc>
          <w:tcPr>
            <w:tcW w:w="992" w:type="dxa"/>
            <w:tcBorders>
              <w:top w:val="nil"/>
              <w:left w:val="nil"/>
              <w:bottom w:val="single" w:sz="4" w:space="0" w:color="auto"/>
              <w:right w:val="single" w:sz="4" w:space="0" w:color="auto"/>
            </w:tcBorders>
            <w:vAlign w:val="center"/>
            <w:hideMark/>
          </w:tcPr>
          <w:p w14:paraId="757964F3"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1134" w:type="dxa"/>
            <w:tcBorders>
              <w:top w:val="nil"/>
              <w:left w:val="nil"/>
              <w:bottom w:val="single" w:sz="4" w:space="0" w:color="auto"/>
              <w:right w:val="single" w:sz="4" w:space="0" w:color="auto"/>
            </w:tcBorders>
            <w:vAlign w:val="center"/>
            <w:hideMark/>
          </w:tcPr>
          <w:p w14:paraId="4D22BB55"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1134" w:type="dxa"/>
            <w:tcBorders>
              <w:top w:val="nil"/>
              <w:left w:val="nil"/>
              <w:bottom w:val="single" w:sz="4" w:space="0" w:color="auto"/>
              <w:right w:val="single" w:sz="4" w:space="0" w:color="auto"/>
            </w:tcBorders>
            <w:vAlign w:val="center"/>
            <w:hideMark/>
          </w:tcPr>
          <w:p w14:paraId="48798BDD"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992" w:type="dxa"/>
            <w:tcBorders>
              <w:top w:val="nil"/>
              <w:left w:val="nil"/>
              <w:bottom w:val="single" w:sz="4" w:space="0" w:color="auto"/>
              <w:right w:val="single" w:sz="4" w:space="0" w:color="auto"/>
            </w:tcBorders>
            <w:vAlign w:val="center"/>
            <w:hideMark/>
          </w:tcPr>
          <w:p w14:paraId="79F76AE8"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36 645</w:t>
            </w:r>
          </w:p>
        </w:tc>
        <w:tc>
          <w:tcPr>
            <w:tcW w:w="1276" w:type="dxa"/>
            <w:tcBorders>
              <w:top w:val="nil"/>
              <w:left w:val="nil"/>
              <w:bottom w:val="single" w:sz="4" w:space="0" w:color="auto"/>
              <w:right w:val="single" w:sz="4" w:space="0" w:color="auto"/>
            </w:tcBorders>
            <w:vAlign w:val="center"/>
            <w:hideMark/>
          </w:tcPr>
          <w:p w14:paraId="23CD4D61"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7 329</w:t>
            </w:r>
          </w:p>
        </w:tc>
        <w:tc>
          <w:tcPr>
            <w:tcW w:w="1276" w:type="dxa"/>
            <w:tcBorders>
              <w:top w:val="nil"/>
              <w:left w:val="nil"/>
              <w:bottom w:val="single" w:sz="4" w:space="0" w:color="auto"/>
              <w:right w:val="single" w:sz="4" w:space="0" w:color="auto"/>
            </w:tcBorders>
            <w:vAlign w:val="center"/>
            <w:hideMark/>
          </w:tcPr>
          <w:p w14:paraId="161E48E6"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35 502</w:t>
            </w:r>
          </w:p>
        </w:tc>
        <w:tc>
          <w:tcPr>
            <w:tcW w:w="992" w:type="dxa"/>
            <w:tcBorders>
              <w:top w:val="nil"/>
              <w:left w:val="nil"/>
              <w:bottom w:val="single" w:sz="4" w:space="0" w:color="auto"/>
              <w:right w:val="single" w:sz="4" w:space="0" w:color="auto"/>
            </w:tcBorders>
            <w:vAlign w:val="center"/>
            <w:hideMark/>
          </w:tcPr>
          <w:p w14:paraId="22DF5E0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7 100</w:t>
            </w:r>
          </w:p>
        </w:tc>
      </w:tr>
      <w:tr w:rsidR="002C206D" w14:paraId="66855D25" w14:textId="77777777" w:rsidTr="002C206D">
        <w:trPr>
          <w:trHeight w:val="315"/>
        </w:trPr>
        <w:tc>
          <w:tcPr>
            <w:tcW w:w="0" w:type="auto"/>
            <w:vMerge/>
            <w:tcBorders>
              <w:top w:val="nil"/>
              <w:left w:val="single" w:sz="4" w:space="0" w:color="auto"/>
              <w:bottom w:val="single" w:sz="4" w:space="0" w:color="000000"/>
              <w:right w:val="single" w:sz="4" w:space="0" w:color="auto"/>
            </w:tcBorders>
            <w:vAlign w:val="center"/>
            <w:hideMark/>
          </w:tcPr>
          <w:p w14:paraId="04E07416" w14:textId="77777777" w:rsidR="002C206D" w:rsidRDefault="002C206D">
            <w:pPr>
              <w:spacing w:line="256" w:lineRule="auto"/>
              <w:rPr>
                <w:rFonts w:ascii="Calibri" w:hAnsi="Calibri" w:cs="Calibri"/>
                <w:color w:val="000000"/>
                <w:sz w:val="22"/>
                <w:szCs w:val="22"/>
                <w:lang w:val="en-US"/>
              </w:rPr>
            </w:pPr>
          </w:p>
        </w:tc>
        <w:tc>
          <w:tcPr>
            <w:tcW w:w="2167" w:type="dxa"/>
            <w:tcBorders>
              <w:top w:val="nil"/>
              <w:left w:val="nil"/>
              <w:bottom w:val="single" w:sz="4" w:space="0" w:color="auto"/>
              <w:right w:val="single" w:sz="4" w:space="0" w:color="auto"/>
            </w:tcBorders>
            <w:vAlign w:val="center"/>
            <w:hideMark/>
          </w:tcPr>
          <w:p w14:paraId="31D22890" w14:textId="77777777" w:rsidR="002C206D" w:rsidRDefault="002C206D">
            <w:pPr>
              <w:spacing w:line="256" w:lineRule="auto"/>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992" w:type="dxa"/>
            <w:tcBorders>
              <w:top w:val="nil"/>
              <w:left w:val="nil"/>
              <w:bottom w:val="single" w:sz="4" w:space="0" w:color="auto"/>
              <w:right w:val="single" w:sz="4" w:space="0" w:color="auto"/>
            </w:tcBorders>
            <w:vAlign w:val="center"/>
            <w:hideMark/>
          </w:tcPr>
          <w:p w14:paraId="666AFB78"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1134" w:type="dxa"/>
            <w:tcBorders>
              <w:top w:val="nil"/>
              <w:left w:val="nil"/>
              <w:bottom w:val="single" w:sz="4" w:space="0" w:color="auto"/>
              <w:right w:val="nil"/>
            </w:tcBorders>
            <w:vAlign w:val="center"/>
            <w:hideMark/>
          </w:tcPr>
          <w:p w14:paraId="313E1EA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1134" w:type="dxa"/>
            <w:tcBorders>
              <w:top w:val="nil"/>
              <w:left w:val="single" w:sz="4" w:space="0" w:color="auto"/>
              <w:bottom w:val="single" w:sz="4" w:space="0" w:color="auto"/>
              <w:right w:val="single" w:sz="4" w:space="0" w:color="auto"/>
            </w:tcBorders>
            <w:vAlign w:val="center"/>
            <w:hideMark/>
          </w:tcPr>
          <w:p w14:paraId="372AFAB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992" w:type="dxa"/>
            <w:tcBorders>
              <w:top w:val="nil"/>
              <w:left w:val="nil"/>
              <w:bottom w:val="single" w:sz="4" w:space="0" w:color="auto"/>
              <w:right w:val="single" w:sz="4" w:space="0" w:color="auto"/>
            </w:tcBorders>
            <w:vAlign w:val="center"/>
            <w:hideMark/>
          </w:tcPr>
          <w:p w14:paraId="06E1C0C3"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36 645</w:t>
            </w:r>
          </w:p>
        </w:tc>
        <w:tc>
          <w:tcPr>
            <w:tcW w:w="1276" w:type="dxa"/>
            <w:tcBorders>
              <w:top w:val="nil"/>
              <w:left w:val="nil"/>
              <w:bottom w:val="single" w:sz="4" w:space="0" w:color="auto"/>
              <w:right w:val="single" w:sz="4" w:space="0" w:color="auto"/>
            </w:tcBorders>
            <w:vAlign w:val="center"/>
            <w:hideMark/>
          </w:tcPr>
          <w:p w14:paraId="1DACB0BD"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7 329</w:t>
            </w:r>
          </w:p>
        </w:tc>
        <w:tc>
          <w:tcPr>
            <w:tcW w:w="1276" w:type="dxa"/>
            <w:tcBorders>
              <w:top w:val="nil"/>
              <w:left w:val="nil"/>
              <w:bottom w:val="single" w:sz="4" w:space="0" w:color="auto"/>
              <w:right w:val="single" w:sz="4" w:space="0" w:color="auto"/>
            </w:tcBorders>
            <w:vAlign w:val="center"/>
            <w:hideMark/>
          </w:tcPr>
          <w:p w14:paraId="0505097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35 502</w:t>
            </w:r>
          </w:p>
        </w:tc>
        <w:tc>
          <w:tcPr>
            <w:tcW w:w="992" w:type="dxa"/>
            <w:tcBorders>
              <w:top w:val="nil"/>
              <w:left w:val="nil"/>
              <w:bottom w:val="single" w:sz="4" w:space="0" w:color="auto"/>
              <w:right w:val="single" w:sz="4" w:space="0" w:color="auto"/>
            </w:tcBorders>
            <w:vAlign w:val="center"/>
            <w:hideMark/>
          </w:tcPr>
          <w:p w14:paraId="2D490D06"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7 100</w:t>
            </w:r>
          </w:p>
        </w:tc>
      </w:tr>
      <w:tr w:rsidR="002C206D" w14:paraId="2FF46CCF" w14:textId="77777777" w:rsidTr="002C206D">
        <w:trPr>
          <w:trHeight w:val="285"/>
        </w:trPr>
        <w:tc>
          <w:tcPr>
            <w:tcW w:w="0" w:type="auto"/>
            <w:vMerge/>
            <w:tcBorders>
              <w:top w:val="nil"/>
              <w:left w:val="single" w:sz="4" w:space="0" w:color="auto"/>
              <w:bottom w:val="single" w:sz="4" w:space="0" w:color="000000"/>
              <w:right w:val="single" w:sz="4" w:space="0" w:color="auto"/>
            </w:tcBorders>
            <w:vAlign w:val="center"/>
            <w:hideMark/>
          </w:tcPr>
          <w:p w14:paraId="25533699" w14:textId="77777777" w:rsidR="002C206D" w:rsidRDefault="002C206D">
            <w:pPr>
              <w:spacing w:line="256" w:lineRule="auto"/>
              <w:rPr>
                <w:rFonts w:ascii="Calibri" w:hAnsi="Calibri" w:cs="Calibr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vAlign w:val="center"/>
            <w:hideMark/>
          </w:tcPr>
          <w:p w14:paraId="0462637A" w14:textId="77777777" w:rsidR="002C206D" w:rsidRDefault="002C206D">
            <w:pPr>
              <w:spacing w:line="256" w:lineRule="auto"/>
              <w:rPr>
                <w:rFonts w:ascii="Calibri" w:hAnsi="Calibri" w:cs="Calibri"/>
                <w:color w:val="000000"/>
                <w:sz w:val="22"/>
                <w:szCs w:val="22"/>
                <w:lang w:val="en-US"/>
              </w:rPr>
            </w:pPr>
            <w:proofErr w:type="spellStart"/>
            <w:r>
              <w:rPr>
                <w:rFonts w:ascii="Calibri" w:hAnsi="Calibri" w:cs="Calibri"/>
                <w:color w:val="000000"/>
                <w:sz w:val="22"/>
                <w:szCs w:val="22"/>
                <w:lang w:val="en-US"/>
              </w:rPr>
              <w:t>Pondere</w:t>
            </w:r>
            <w:proofErr w:type="spellEnd"/>
            <w:r>
              <w:rPr>
                <w:rFonts w:ascii="Calibri" w:hAnsi="Calibri" w:cs="Calibri"/>
                <w:color w:val="000000"/>
                <w:sz w:val="22"/>
                <w:szCs w:val="22"/>
                <w:lang w:val="en-US"/>
              </w:rPr>
              <w:t xml:space="preserve"> %</w:t>
            </w:r>
          </w:p>
        </w:tc>
        <w:tc>
          <w:tcPr>
            <w:tcW w:w="992" w:type="dxa"/>
            <w:tcBorders>
              <w:top w:val="nil"/>
              <w:left w:val="nil"/>
              <w:bottom w:val="single" w:sz="4" w:space="0" w:color="auto"/>
              <w:right w:val="single" w:sz="4" w:space="0" w:color="auto"/>
            </w:tcBorders>
            <w:vAlign w:val="center"/>
            <w:hideMark/>
          </w:tcPr>
          <w:p w14:paraId="4D8EF545"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2268" w:type="dxa"/>
            <w:gridSpan w:val="2"/>
            <w:tcBorders>
              <w:top w:val="single" w:sz="4" w:space="0" w:color="auto"/>
              <w:left w:val="nil"/>
              <w:bottom w:val="single" w:sz="4" w:space="0" w:color="auto"/>
              <w:right w:val="single" w:sz="4" w:space="0" w:color="000000"/>
            </w:tcBorders>
            <w:vAlign w:val="center"/>
            <w:hideMark/>
          </w:tcPr>
          <w:p w14:paraId="00642985"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0.00%</w:t>
            </w:r>
          </w:p>
        </w:tc>
        <w:tc>
          <w:tcPr>
            <w:tcW w:w="2268" w:type="dxa"/>
            <w:gridSpan w:val="2"/>
            <w:tcBorders>
              <w:top w:val="single" w:sz="4" w:space="0" w:color="auto"/>
              <w:left w:val="nil"/>
              <w:bottom w:val="single" w:sz="4" w:space="0" w:color="auto"/>
              <w:right w:val="single" w:sz="4" w:space="0" w:color="000000"/>
            </w:tcBorders>
            <w:vAlign w:val="center"/>
            <w:hideMark/>
          </w:tcPr>
          <w:p w14:paraId="1D997171"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13.21%</w:t>
            </w:r>
          </w:p>
        </w:tc>
        <w:tc>
          <w:tcPr>
            <w:tcW w:w="2268" w:type="dxa"/>
            <w:gridSpan w:val="2"/>
            <w:tcBorders>
              <w:top w:val="single" w:sz="4" w:space="0" w:color="auto"/>
              <w:left w:val="nil"/>
              <w:bottom w:val="single" w:sz="4" w:space="0" w:color="auto"/>
              <w:right w:val="single" w:sz="4" w:space="0" w:color="000000"/>
            </w:tcBorders>
            <w:vAlign w:val="center"/>
            <w:hideMark/>
          </w:tcPr>
          <w:p w14:paraId="22A1B048"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14.53%</w:t>
            </w:r>
          </w:p>
        </w:tc>
      </w:tr>
      <w:tr w:rsidR="002C206D" w14:paraId="4025BB8B"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4EFF12F2" w14:textId="77777777" w:rsidR="002C206D" w:rsidRDefault="002C206D">
            <w:pPr>
              <w:spacing w:line="256" w:lineRule="auto"/>
              <w:rPr>
                <w:rFonts w:ascii="Calibri" w:hAnsi="Calibri" w:cs="Calibri"/>
                <w:color w:val="000000"/>
                <w:sz w:val="22"/>
                <w:szCs w:val="22"/>
                <w:lang w:val="en-US"/>
              </w:rPr>
            </w:pPr>
          </w:p>
        </w:tc>
        <w:tc>
          <w:tcPr>
            <w:tcW w:w="0" w:type="auto"/>
            <w:vMerge/>
            <w:tcBorders>
              <w:top w:val="nil"/>
              <w:left w:val="single" w:sz="4" w:space="0" w:color="auto"/>
              <w:bottom w:val="single" w:sz="4" w:space="0" w:color="000000"/>
              <w:right w:val="single" w:sz="4" w:space="0" w:color="auto"/>
            </w:tcBorders>
            <w:vAlign w:val="center"/>
            <w:hideMark/>
          </w:tcPr>
          <w:p w14:paraId="2A86AE46" w14:textId="77777777" w:rsidR="002C206D" w:rsidRDefault="002C206D">
            <w:pPr>
              <w:spacing w:line="256" w:lineRule="auto"/>
              <w:rPr>
                <w:rFonts w:ascii="Calibri" w:hAnsi="Calibri" w:cs="Calibri"/>
                <w:color w:val="000000"/>
                <w:sz w:val="22"/>
                <w:szCs w:val="22"/>
                <w:lang w:val="en-US"/>
              </w:rPr>
            </w:pPr>
          </w:p>
        </w:tc>
        <w:tc>
          <w:tcPr>
            <w:tcW w:w="992" w:type="dxa"/>
            <w:tcBorders>
              <w:top w:val="nil"/>
              <w:left w:val="nil"/>
              <w:bottom w:val="single" w:sz="4" w:space="0" w:color="auto"/>
              <w:right w:val="single" w:sz="4" w:space="0" w:color="auto"/>
            </w:tcBorders>
            <w:vAlign w:val="center"/>
            <w:hideMark/>
          </w:tcPr>
          <w:p w14:paraId="0BD87D8A"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2268" w:type="dxa"/>
            <w:gridSpan w:val="2"/>
            <w:tcBorders>
              <w:top w:val="single" w:sz="4" w:space="0" w:color="auto"/>
              <w:left w:val="nil"/>
              <w:bottom w:val="single" w:sz="4" w:space="0" w:color="auto"/>
              <w:right w:val="single" w:sz="4" w:space="0" w:color="000000"/>
            </w:tcBorders>
            <w:vAlign w:val="center"/>
            <w:hideMark/>
          </w:tcPr>
          <w:p w14:paraId="0B54BCE6"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0.00%</w:t>
            </w:r>
          </w:p>
        </w:tc>
        <w:tc>
          <w:tcPr>
            <w:tcW w:w="2268" w:type="dxa"/>
            <w:gridSpan w:val="2"/>
            <w:tcBorders>
              <w:top w:val="single" w:sz="4" w:space="0" w:color="auto"/>
              <w:left w:val="nil"/>
              <w:bottom w:val="single" w:sz="4" w:space="0" w:color="auto"/>
              <w:right w:val="single" w:sz="4" w:space="0" w:color="000000"/>
            </w:tcBorders>
            <w:vAlign w:val="center"/>
            <w:hideMark/>
          </w:tcPr>
          <w:p w14:paraId="4CDF8C03"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12.25%</w:t>
            </w:r>
          </w:p>
        </w:tc>
        <w:tc>
          <w:tcPr>
            <w:tcW w:w="2268" w:type="dxa"/>
            <w:gridSpan w:val="2"/>
            <w:tcBorders>
              <w:top w:val="single" w:sz="4" w:space="0" w:color="auto"/>
              <w:left w:val="nil"/>
              <w:bottom w:val="single" w:sz="4" w:space="0" w:color="auto"/>
              <w:right w:val="single" w:sz="4" w:space="0" w:color="000000"/>
            </w:tcBorders>
            <w:vAlign w:val="center"/>
            <w:hideMark/>
          </w:tcPr>
          <w:p w14:paraId="370B1B5E"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14.59%</w:t>
            </w:r>
          </w:p>
        </w:tc>
      </w:tr>
      <w:tr w:rsidR="002C206D" w14:paraId="504938BE" w14:textId="77777777" w:rsidTr="002C206D">
        <w:trPr>
          <w:trHeight w:val="300"/>
        </w:trPr>
        <w:tc>
          <w:tcPr>
            <w:tcW w:w="522" w:type="dxa"/>
            <w:vMerge w:val="restart"/>
            <w:tcBorders>
              <w:top w:val="nil"/>
              <w:left w:val="single" w:sz="4" w:space="0" w:color="auto"/>
              <w:bottom w:val="single" w:sz="4" w:space="0" w:color="000000"/>
              <w:right w:val="single" w:sz="4" w:space="0" w:color="auto"/>
            </w:tcBorders>
            <w:shd w:val="clear" w:color="auto" w:fill="D9D9D9"/>
            <w:vAlign w:val="center"/>
            <w:hideMark/>
          </w:tcPr>
          <w:p w14:paraId="02988789"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C.</w:t>
            </w:r>
          </w:p>
        </w:tc>
        <w:tc>
          <w:tcPr>
            <w:tcW w:w="2167" w:type="dxa"/>
            <w:tcBorders>
              <w:top w:val="nil"/>
              <w:left w:val="nil"/>
              <w:bottom w:val="single" w:sz="4" w:space="0" w:color="auto"/>
              <w:right w:val="single" w:sz="4" w:space="0" w:color="auto"/>
            </w:tcBorders>
            <w:vAlign w:val="center"/>
            <w:hideMark/>
          </w:tcPr>
          <w:p w14:paraId="3094438D" w14:textId="77777777" w:rsidR="002C206D" w:rsidRDefault="002C206D">
            <w:pPr>
              <w:spacing w:line="256" w:lineRule="auto"/>
              <w:rPr>
                <w:rFonts w:ascii="Calibri" w:hAnsi="Calibri" w:cs="Calibri"/>
                <w:i/>
                <w:iCs/>
                <w:color w:val="000000"/>
                <w:sz w:val="22"/>
                <w:szCs w:val="22"/>
                <w:lang w:val="en-US"/>
              </w:rPr>
            </w:pPr>
            <w:r>
              <w:rPr>
                <w:rFonts w:ascii="Calibri" w:hAnsi="Calibri" w:cs="Calibri"/>
                <w:i/>
                <w:iCs/>
                <w:color w:val="000000"/>
                <w:sz w:val="22"/>
                <w:szCs w:val="22"/>
                <w:lang w:val="en-US"/>
              </w:rPr>
              <w:t>I.N.M.</w:t>
            </w:r>
          </w:p>
        </w:tc>
        <w:tc>
          <w:tcPr>
            <w:tcW w:w="992" w:type="dxa"/>
            <w:tcBorders>
              <w:top w:val="nil"/>
              <w:left w:val="nil"/>
              <w:bottom w:val="single" w:sz="4" w:space="0" w:color="auto"/>
              <w:right w:val="single" w:sz="4" w:space="0" w:color="auto"/>
            </w:tcBorders>
            <w:vAlign w:val="center"/>
            <w:hideMark/>
          </w:tcPr>
          <w:p w14:paraId="42F03537"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1134" w:type="dxa"/>
            <w:tcBorders>
              <w:top w:val="nil"/>
              <w:left w:val="nil"/>
              <w:bottom w:val="single" w:sz="4" w:space="0" w:color="auto"/>
              <w:right w:val="single" w:sz="4" w:space="0" w:color="auto"/>
            </w:tcBorders>
            <w:vAlign w:val="center"/>
            <w:hideMark/>
          </w:tcPr>
          <w:p w14:paraId="14366A48"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40 147</w:t>
            </w:r>
          </w:p>
        </w:tc>
        <w:tc>
          <w:tcPr>
            <w:tcW w:w="1134" w:type="dxa"/>
            <w:tcBorders>
              <w:top w:val="nil"/>
              <w:left w:val="nil"/>
              <w:bottom w:val="single" w:sz="4" w:space="0" w:color="auto"/>
              <w:right w:val="single" w:sz="4" w:space="0" w:color="auto"/>
            </w:tcBorders>
            <w:vAlign w:val="center"/>
            <w:hideMark/>
          </w:tcPr>
          <w:p w14:paraId="069803D5"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8 111</w:t>
            </w:r>
          </w:p>
        </w:tc>
        <w:tc>
          <w:tcPr>
            <w:tcW w:w="992" w:type="dxa"/>
            <w:tcBorders>
              <w:top w:val="nil"/>
              <w:left w:val="nil"/>
              <w:bottom w:val="single" w:sz="4" w:space="0" w:color="auto"/>
              <w:right w:val="single" w:sz="4" w:space="0" w:color="auto"/>
            </w:tcBorders>
            <w:vAlign w:val="center"/>
            <w:hideMark/>
          </w:tcPr>
          <w:p w14:paraId="10D7B44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72 088</w:t>
            </w:r>
          </w:p>
        </w:tc>
        <w:tc>
          <w:tcPr>
            <w:tcW w:w="1276" w:type="dxa"/>
            <w:tcBorders>
              <w:top w:val="nil"/>
              <w:left w:val="nil"/>
              <w:bottom w:val="single" w:sz="4" w:space="0" w:color="auto"/>
              <w:right w:val="single" w:sz="4" w:space="0" w:color="auto"/>
            </w:tcBorders>
            <w:vAlign w:val="center"/>
            <w:hideMark/>
          </w:tcPr>
          <w:p w14:paraId="3E2C06F2"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14 418</w:t>
            </w:r>
          </w:p>
        </w:tc>
        <w:tc>
          <w:tcPr>
            <w:tcW w:w="1276" w:type="dxa"/>
            <w:tcBorders>
              <w:top w:val="nil"/>
              <w:left w:val="nil"/>
              <w:bottom w:val="single" w:sz="4" w:space="0" w:color="auto"/>
              <w:right w:val="single" w:sz="4" w:space="0" w:color="auto"/>
            </w:tcBorders>
            <w:vAlign w:val="center"/>
            <w:hideMark/>
          </w:tcPr>
          <w:p w14:paraId="3A13551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70 588</w:t>
            </w:r>
          </w:p>
        </w:tc>
        <w:tc>
          <w:tcPr>
            <w:tcW w:w="992" w:type="dxa"/>
            <w:tcBorders>
              <w:top w:val="nil"/>
              <w:left w:val="nil"/>
              <w:bottom w:val="single" w:sz="4" w:space="0" w:color="auto"/>
              <w:right w:val="single" w:sz="4" w:space="0" w:color="auto"/>
            </w:tcBorders>
            <w:vAlign w:val="center"/>
            <w:hideMark/>
          </w:tcPr>
          <w:p w14:paraId="12B54C9F"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14 118</w:t>
            </w:r>
          </w:p>
        </w:tc>
      </w:tr>
      <w:tr w:rsidR="002C206D" w14:paraId="6A642B34"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2412A7B8" w14:textId="77777777" w:rsidR="002C206D" w:rsidRDefault="002C206D">
            <w:pPr>
              <w:spacing w:line="256" w:lineRule="auto"/>
              <w:rPr>
                <w:rFonts w:ascii="Calibri" w:hAnsi="Calibri" w:cs="Calibri"/>
                <w:color w:val="000000"/>
                <w:sz w:val="22"/>
                <w:szCs w:val="22"/>
                <w:lang w:val="en-US"/>
              </w:rPr>
            </w:pPr>
          </w:p>
        </w:tc>
        <w:tc>
          <w:tcPr>
            <w:tcW w:w="2167" w:type="dxa"/>
            <w:tcBorders>
              <w:top w:val="nil"/>
              <w:left w:val="nil"/>
              <w:bottom w:val="single" w:sz="4" w:space="0" w:color="auto"/>
              <w:right w:val="single" w:sz="4" w:space="0" w:color="auto"/>
            </w:tcBorders>
            <w:vAlign w:val="center"/>
            <w:hideMark/>
          </w:tcPr>
          <w:p w14:paraId="7AB8F763" w14:textId="77777777" w:rsidR="002C206D" w:rsidRDefault="002C206D">
            <w:pPr>
              <w:spacing w:line="256" w:lineRule="auto"/>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992" w:type="dxa"/>
            <w:tcBorders>
              <w:top w:val="nil"/>
              <w:left w:val="nil"/>
              <w:bottom w:val="single" w:sz="4" w:space="0" w:color="auto"/>
              <w:right w:val="single" w:sz="4" w:space="0" w:color="auto"/>
            </w:tcBorders>
            <w:vAlign w:val="center"/>
            <w:hideMark/>
          </w:tcPr>
          <w:p w14:paraId="24F77DFD"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1134" w:type="dxa"/>
            <w:tcBorders>
              <w:top w:val="nil"/>
              <w:left w:val="nil"/>
              <w:bottom w:val="single" w:sz="4" w:space="0" w:color="auto"/>
              <w:right w:val="nil"/>
            </w:tcBorders>
            <w:vAlign w:val="center"/>
            <w:hideMark/>
          </w:tcPr>
          <w:p w14:paraId="45A9117A"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41 810</w:t>
            </w:r>
          </w:p>
        </w:tc>
        <w:tc>
          <w:tcPr>
            <w:tcW w:w="1134" w:type="dxa"/>
            <w:tcBorders>
              <w:top w:val="nil"/>
              <w:left w:val="single" w:sz="4" w:space="0" w:color="auto"/>
              <w:bottom w:val="single" w:sz="4" w:space="0" w:color="auto"/>
              <w:right w:val="single" w:sz="4" w:space="0" w:color="auto"/>
            </w:tcBorders>
            <w:vAlign w:val="center"/>
            <w:hideMark/>
          </w:tcPr>
          <w:p w14:paraId="02104280"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8 446</w:t>
            </w:r>
          </w:p>
        </w:tc>
        <w:tc>
          <w:tcPr>
            <w:tcW w:w="992" w:type="dxa"/>
            <w:tcBorders>
              <w:top w:val="nil"/>
              <w:left w:val="nil"/>
              <w:bottom w:val="single" w:sz="4" w:space="0" w:color="auto"/>
              <w:right w:val="single" w:sz="4" w:space="0" w:color="auto"/>
            </w:tcBorders>
            <w:vAlign w:val="center"/>
            <w:hideMark/>
          </w:tcPr>
          <w:p w14:paraId="44D3DF6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74 127</w:t>
            </w:r>
          </w:p>
        </w:tc>
        <w:tc>
          <w:tcPr>
            <w:tcW w:w="1276" w:type="dxa"/>
            <w:tcBorders>
              <w:top w:val="nil"/>
              <w:left w:val="nil"/>
              <w:bottom w:val="single" w:sz="4" w:space="0" w:color="auto"/>
              <w:right w:val="single" w:sz="4" w:space="0" w:color="auto"/>
            </w:tcBorders>
            <w:vAlign w:val="center"/>
            <w:hideMark/>
          </w:tcPr>
          <w:p w14:paraId="0F2F118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14 825</w:t>
            </w:r>
          </w:p>
        </w:tc>
        <w:tc>
          <w:tcPr>
            <w:tcW w:w="1276" w:type="dxa"/>
            <w:tcBorders>
              <w:top w:val="nil"/>
              <w:left w:val="nil"/>
              <w:bottom w:val="single" w:sz="4" w:space="0" w:color="auto"/>
              <w:right w:val="single" w:sz="4" w:space="0" w:color="auto"/>
            </w:tcBorders>
            <w:vAlign w:val="center"/>
            <w:hideMark/>
          </w:tcPr>
          <w:p w14:paraId="1BC0F424"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70 372</w:t>
            </w:r>
          </w:p>
        </w:tc>
        <w:tc>
          <w:tcPr>
            <w:tcW w:w="992" w:type="dxa"/>
            <w:tcBorders>
              <w:top w:val="nil"/>
              <w:left w:val="nil"/>
              <w:bottom w:val="single" w:sz="4" w:space="0" w:color="auto"/>
              <w:right w:val="single" w:sz="4" w:space="0" w:color="auto"/>
            </w:tcBorders>
            <w:vAlign w:val="center"/>
            <w:hideMark/>
          </w:tcPr>
          <w:p w14:paraId="5462B91B"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14 074</w:t>
            </w:r>
          </w:p>
        </w:tc>
      </w:tr>
      <w:tr w:rsidR="002C206D" w14:paraId="2DE7DF08"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1FDA6766" w14:textId="77777777" w:rsidR="002C206D" w:rsidRDefault="002C206D">
            <w:pPr>
              <w:spacing w:line="256" w:lineRule="auto"/>
              <w:rPr>
                <w:rFonts w:ascii="Calibri" w:hAnsi="Calibri" w:cs="Calibr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vAlign w:val="center"/>
            <w:hideMark/>
          </w:tcPr>
          <w:p w14:paraId="18BD710D" w14:textId="77777777" w:rsidR="002C206D" w:rsidRDefault="002C206D">
            <w:pPr>
              <w:spacing w:line="256" w:lineRule="auto"/>
              <w:rPr>
                <w:rFonts w:ascii="Calibri" w:hAnsi="Calibri" w:cs="Calibri"/>
                <w:color w:val="000000"/>
                <w:sz w:val="22"/>
                <w:szCs w:val="22"/>
                <w:lang w:val="en-US"/>
              </w:rPr>
            </w:pPr>
            <w:proofErr w:type="spellStart"/>
            <w:r>
              <w:rPr>
                <w:rFonts w:ascii="Calibri" w:hAnsi="Calibri" w:cs="Calibri"/>
                <w:color w:val="000000"/>
                <w:sz w:val="22"/>
                <w:szCs w:val="22"/>
                <w:lang w:val="en-US"/>
              </w:rPr>
              <w:t>Pondere</w:t>
            </w:r>
            <w:proofErr w:type="spellEnd"/>
            <w:r>
              <w:rPr>
                <w:rFonts w:ascii="Calibri" w:hAnsi="Calibri" w:cs="Calibri"/>
                <w:color w:val="000000"/>
                <w:sz w:val="22"/>
                <w:szCs w:val="22"/>
                <w:lang w:val="en-US"/>
              </w:rPr>
              <w:t xml:space="preserve"> %</w:t>
            </w:r>
          </w:p>
        </w:tc>
        <w:tc>
          <w:tcPr>
            <w:tcW w:w="992" w:type="dxa"/>
            <w:tcBorders>
              <w:top w:val="nil"/>
              <w:left w:val="nil"/>
              <w:bottom w:val="single" w:sz="4" w:space="0" w:color="auto"/>
              <w:right w:val="single" w:sz="4" w:space="0" w:color="auto"/>
            </w:tcBorders>
            <w:vAlign w:val="center"/>
            <w:hideMark/>
          </w:tcPr>
          <w:p w14:paraId="36A6ADA8"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2268" w:type="dxa"/>
            <w:gridSpan w:val="2"/>
            <w:tcBorders>
              <w:top w:val="single" w:sz="4" w:space="0" w:color="auto"/>
              <w:left w:val="nil"/>
              <w:bottom w:val="single" w:sz="4" w:space="0" w:color="auto"/>
              <w:right w:val="single" w:sz="4" w:space="0" w:color="000000"/>
            </w:tcBorders>
            <w:vAlign w:val="center"/>
            <w:hideMark/>
          </w:tcPr>
          <w:p w14:paraId="3360C6C5"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18.40%</w:t>
            </w:r>
          </w:p>
        </w:tc>
        <w:tc>
          <w:tcPr>
            <w:tcW w:w="2268" w:type="dxa"/>
            <w:gridSpan w:val="2"/>
            <w:tcBorders>
              <w:top w:val="single" w:sz="4" w:space="0" w:color="auto"/>
              <w:left w:val="nil"/>
              <w:bottom w:val="single" w:sz="4" w:space="0" w:color="auto"/>
              <w:right w:val="single" w:sz="4" w:space="0" w:color="000000"/>
            </w:tcBorders>
            <w:vAlign w:val="center"/>
            <w:hideMark/>
          </w:tcPr>
          <w:p w14:paraId="22B64B03"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25.98%</w:t>
            </w:r>
          </w:p>
        </w:tc>
        <w:tc>
          <w:tcPr>
            <w:tcW w:w="2268" w:type="dxa"/>
            <w:gridSpan w:val="2"/>
            <w:tcBorders>
              <w:top w:val="single" w:sz="4" w:space="0" w:color="auto"/>
              <w:left w:val="nil"/>
              <w:bottom w:val="single" w:sz="4" w:space="0" w:color="auto"/>
              <w:right w:val="single" w:sz="4" w:space="0" w:color="000000"/>
            </w:tcBorders>
            <w:vAlign w:val="center"/>
            <w:hideMark/>
          </w:tcPr>
          <w:p w14:paraId="46686497"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28.89%</w:t>
            </w:r>
          </w:p>
        </w:tc>
      </w:tr>
      <w:tr w:rsidR="002C206D" w14:paraId="6D165151" w14:textId="77777777" w:rsidTr="002C206D">
        <w:trPr>
          <w:trHeight w:val="312"/>
        </w:trPr>
        <w:tc>
          <w:tcPr>
            <w:tcW w:w="0" w:type="auto"/>
            <w:vMerge/>
            <w:tcBorders>
              <w:top w:val="nil"/>
              <w:left w:val="single" w:sz="4" w:space="0" w:color="auto"/>
              <w:bottom w:val="single" w:sz="4" w:space="0" w:color="000000"/>
              <w:right w:val="single" w:sz="4" w:space="0" w:color="auto"/>
            </w:tcBorders>
            <w:vAlign w:val="center"/>
            <w:hideMark/>
          </w:tcPr>
          <w:p w14:paraId="3363F825" w14:textId="77777777" w:rsidR="002C206D" w:rsidRDefault="002C206D">
            <w:pPr>
              <w:spacing w:line="256" w:lineRule="auto"/>
              <w:rPr>
                <w:rFonts w:ascii="Calibri" w:hAnsi="Calibri" w:cs="Calibri"/>
                <w:color w:val="000000"/>
                <w:sz w:val="22"/>
                <w:szCs w:val="22"/>
                <w:lang w:val="en-US"/>
              </w:rPr>
            </w:pPr>
          </w:p>
        </w:tc>
        <w:tc>
          <w:tcPr>
            <w:tcW w:w="0" w:type="auto"/>
            <w:vMerge/>
            <w:tcBorders>
              <w:top w:val="nil"/>
              <w:left w:val="single" w:sz="4" w:space="0" w:color="auto"/>
              <w:bottom w:val="single" w:sz="4" w:space="0" w:color="000000"/>
              <w:right w:val="single" w:sz="4" w:space="0" w:color="auto"/>
            </w:tcBorders>
            <w:vAlign w:val="center"/>
            <w:hideMark/>
          </w:tcPr>
          <w:p w14:paraId="1D336CCC" w14:textId="77777777" w:rsidR="002C206D" w:rsidRDefault="002C206D">
            <w:pPr>
              <w:spacing w:line="256" w:lineRule="auto"/>
              <w:rPr>
                <w:rFonts w:ascii="Calibri" w:hAnsi="Calibri" w:cs="Calibri"/>
                <w:color w:val="000000"/>
                <w:sz w:val="22"/>
                <w:szCs w:val="22"/>
                <w:lang w:val="en-US"/>
              </w:rPr>
            </w:pPr>
          </w:p>
        </w:tc>
        <w:tc>
          <w:tcPr>
            <w:tcW w:w="992" w:type="dxa"/>
            <w:tcBorders>
              <w:top w:val="nil"/>
              <w:left w:val="nil"/>
              <w:bottom w:val="single" w:sz="4" w:space="0" w:color="auto"/>
              <w:right w:val="single" w:sz="4" w:space="0" w:color="auto"/>
            </w:tcBorders>
            <w:vAlign w:val="center"/>
            <w:hideMark/>
          </w:tcPr>
          <w:p w14:paraId="58E1A147"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2268" w:type="dxa"/>
            <w:gridSpan w:val="2"/>
            <w:tcBorders>
              <w:top w:val="single" w:sz="4" w:space="0" w:color="auto"/>
              <w:left w:val="nil"/>
              <w:bottom w:val="single" w:sz="4" w:space="0" w:color="auto"/>
              <w:right w:val="single" w:sz="4" w:space="0" w:color="000000"/>
            </w:tcBorders>
            <w:vAlign w:val="center"/>
            <w:hideMark/>
          </w:tcPr>
          <w:p w14:paraId="62F51275"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22.88%</w:t>
            </w:r>
          </w:p>
        </w:tc>
        <w:tc>
          <w:tcPr>
            <w:tcW w:w="2268" w:type="dxa"/>
            <w:gridSpan w:val="2"/>
            <w:tcBorders>
              <w:top w:val="single" w:sz="4" w:space="0" w:color="auto"/>
              <w:left w:val="nil"/>
              <w:bottom w:val="single" w:sz="4" w:space="0" w:color="auto"/>
              <w:right w:val="single" w:sz="4" w:space="0" w:color="000000"/>
            </w:tcBorders>
            <w:vAlign w:val="center"/>
            <w:hideMark/>
          </w:tcPr>
          <w:p w14:paraId="6ED20165"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24.79%</w:t>
            </w:r>
          </w:p>
        </w:tc>
        <w:tc>
          <w:tcPr>
            <w:tcW w:w="2268" w:type="dxa"/>
            <w:gridSpan w:val="2"/>
            <w:tcBorders>
              <w:top w:val="single" w:sz="4" w:space="0" w:color="auto"/>
              <w:left w:val="nil"/>
              <w:bottom w:val="single" w:sz="4" w:space="0" w:color="auto"/>
              <w:right w:val="single" w:sz="4" w:space="0" w:color="000000"/>
            </w:tcBorders>
            <w:vAlign w:val="center"/>
            <w:hideMark/>
          </w:tcPr>
          <w:p w14:paraId="098C794E"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28.91%</w:t>
            </w:r>
          </w:p>
        </w:tc>
      </w:tr>
      <w:tr w:rsidR="002C206D" w14:paraId="1D462F22" w14:textId="77777777" w:rsidTr="002C206D">
        <w:trPr>
          <w:trHeight w:val="300"/>
        </w:trPr>
        <w:tc>
          <w:tcPr>
            <w:tcW w:w="522" w:type="dxa"/>
            <w:vMerge w:val="restart"/>
            <w:tcBorders>
              <w:top w:val="nil"/>
              <w:left w:val="single" w:sz="4" w:space="0" w:color="auto"/>
              <w:bottom w:val="single" w:sz="4" w:space="0" w:color="000000"/>
              <w:right w:val="single" w:sz="4" w:space="0" w:color="auto"/>
            </w:tcBorders>
            <w:shd w:val="clear" w:color="auto" w:fill="D9D9D9"/>
            <w:vAlign w:val="center"/>
            <w:hideMark/>
          </w:tcPr>
          <w:p w14:paraId="0C3A822C" w14:textId="77777777" w:rsidR="002C206D" w:rsidRDefault="002C206D">
            <w:pPr>
              <w:spacing w:line="256" w:lineRule="auto"/>
              <w:jc w:val="center"/>
              <w:rPr>
                <w:rFonts w:ascii="Calibri" w:hAnsi="Calibri" w:cs="Calibri"/>
                <w:color w:val="000000"/>
                <w:sz w:val="22"/>
                <w:szCs w:val="22"/>
                <w:lang w:val="en-US"/>
              </w:rPr>
            </w:pPr>
            <w:r>
              <w:rPr>
                <w:rFonts w:ascii="Calibri" w:hAnsi="Calibri" w:cs="Calibri"/>
                <w:color w:val="000000"/>
                <w:sz w:val="22"/>
                <w:szCs w:val="22"/>
                <w:lang w:val="en-US"/>
              </w:rPr>
              <w:t>D.</w:t>
            </w:r>
          </w:p>
        </w:tc>
        <w:tc>
          <w:tcPr>
            <w:tcW w:w="2167" w:type="dxa"/>
            <w:tcBorders>
              <w:top w:val="nil"/>
              <w:left w:val="nil"/>
              <w:bottom w:val="single" w:sz="4" w:space="0" w:color="auto"/>
              <w:right w:val="single" w:sz="4" w:space="0" w:color="auto"/>
            </w:tcBorders>
            <w:vAlign w:val="center"/>
            <w:hideMark/>
          </w:tcPr>
          <w:p w14:paraId="3BA07B45" w14:textId="77777777" w:rsidR="002C206D" w:rsidRDefault="002C206D">
            <w:pPr>
              <w:spacing w:line="256" w:lineRule="auto"/>
              <w:rPr>
                <w:rFonts w:ascii="Calibri" w:hAnsi="Calibri" w:cs="Calibri"/>
                <w:i/>
                <w:iCs/>
                <w:color w:val="000000"/>
                <w:sz w:val="22"/>
                <w:szCs w:val="22"/>
                <w:lang w:val="en-US"/>
              </w:rPr>
            </w:pPr>
            <w:r>
              <w:rPr>
                <w:rFonts w:ascii="Calibri" w:hAnsi="Calibri" w:cs="Calibri"/>
                <w:i/>
                <w:iCs/>
                <w:color w:val="000000"/>
                <w:sz w:val="22"/>
                <w:szCs w:val="22"/>
                <w:lang w:val="en-US"/>
              </w:rPr>
              <w:t>S.N.G.</w:t>
            </w:r>
          </w:p>
        </w:tc>
        <w:tc>
          <w:tcPr>
            <w:tcW w:w="992" w:type="dxa"/>
            <w:tcBorders>
              <w:top w:val="nil"/>
              <w:left w:val="nil"/>
              <w:bottom w:val="single" w:sz="4" w:space="0" w:color="auto"/>
              <w:right w:val="single" w:sz="4" w:space="0" w:color="auto"/>
            </w:tcBorders>
            <w:vAlign w:val="center"/>
            <w:hideMark/>
          </w:tcPr>
          <w:p w14:paraId="16A5E321"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1134" w:type="dxa"/>
            <w:tcBorders>
              <w:top w:val="nil"/>
              <w:left w:val="nil"/>
              <w:bottom w:val="single" w:sz="4" w:space="0" w:color="auto"/>
              <w:right w:val="single" w:sz="4" w:space="0" w:color="auto"/>
            </w:tcBorders>
            <w:vAlign w:val="center"/>
            <w:hideMark/>
          </w:tcPr>
          <w:p w14:paraId="75073364"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18 557</w:t>
            </w:r>
          </w:p>
        </w:tc>
        <w:tc>
          <w:tcPr>
            <w:tcW w:w="1134" w:type="dxa"/>
            <w:tcBorders>
              <w:top w:val="nil"/>
              <w:left w:val="nil"/>
              <w:bottom w:val="single" w:sz="4" w:space="0" w:color="auto"/>
              <w:right w:val="single" w:sz="4" w:space="0" w:color="auto"/>
            </w:tcBorders>
            <w:vAlign w:val="center"/>
            <w:hideMark/>
          </w:tcPr>
          <w:p w14:paraId="304B6B54"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3 749</w:t>
            </w:r>
          </w:p>
        </w:tc>
        <w:tc>
          <w:tcPr>
            <w:tcW w:w="992" w:type="dxa"/>
            <w:tcBorders>
              <w:top w:val="nil"/>
              <w:left w:val="nil"/>
              <w:bottom w:val="single" w:sz="4" w:space="0" w:color="auto"/>
              <w:right w:val="single" w:sz="4" w:space="0" w:color="auto"/>
            </w:tcBorders>
            <w:vAlign w:val="center"/>
            <w:hideMark/>
          </w:tcPr>
          <w:p w14:paraId="586153D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13 300</w:t>
            </w:r>
          </w:p>
        </w:tc>
        <w:tc>
          <w:tcPr>
            <w:tcW w:w="1276" w:type="dxa"/>
            <w:tcBorders>
              <w:top w:val="nil"/>
              <w:left w:val="nil"/>
              <w:bottom w:val="single" w:sz="4" w:space="0" w:color="auto"/>
              <w:right w:val="single" w:sz="4" w:space="0" w:color="auto"/>
            </w:tcBorders>
            <w:vAlign w:val="center"/>
            <w:hideMark/>
          </w:tcPr>
          <w:p w14:paraId="28DA9FF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2 660</w:t>
            </w:r>
          </w:p>
        </w:tc>
        <w:tc>
          <w:tcPr>
            <w:tcW w:w="1276" w:type="dxa"/>
            <w:tcBorders>
              <w:top w:val="nil"/>
              <w:left w:val="nil"/>
              <w:bottom w:val="single" w:sz="4" w:space="0" w:color="auto"/>
              <w:right w:val="single" w:sz="4" w:space="0" w:color="auto"/>
            </w:tcBorders>
            <w:vAlign w:val="center"/>
            <w:hideMark/>
          </w:tcPr>
          <w:p w14:paraId="6637DBC3"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15 306</w:t>
            </w:r>
          </w:p>
        </w:tc>
        <w:tc>
          <w:tcPr>
            <w:tcW w:w="992" w:type="dxa"/>
            <w:tcBorders>
              <w:top w:val="nil"/>
              <w:left w:val="nil"/>
              <w:bottom w:val="single" w:sz="4" w:space="0" w:color="auto"/>
              <w:right w:val="single" w:sz="4" w:space="0" w:color="auto"/>
            </w:tcBorders>
            <w:vAlign w:val="center"/>
            <w:hideMark/>
          </w:tcPr>
          <w:p w14:paraId="07F6AC8C"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3 061</w:t>
            </w:r>
          </w:p>
        </w:tc>
      </w:tr>
      <w:tr w:rsidR="002C206D" w14:paraId="3187A4C8"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288AEEA4" w14:textId="77777777" w:rsidR="002C206D" w:rsidRDefault="002C206D">
            <w:pPr>
              <w:spacing w:line="256" w:lineRule="auto"/>
              <w:rPr>
                <w:rFonts w:ascii="Calibri" w:hAnsi="Calibri" w:cs="Calibri"/>
                <w:color w:val="000000"/>
                <w:sz w:val="22"/>
                <w:szCs w:val="22"/>
                <w:lang w:val="en-US"/>
              </w:rPr>
            </w:pPr>
          </w:p>
        </w:tc>
        <w:tc>
          <w:tcPr>
            <w:tcW w:w="2167" w:type="dxa"/>
            <w:tcBorders>
              <w:top w:val="nil"/>
              <w:left w:val="nil"/>
              <w:bottom w:val="single" w:sz="4" w:space="0" w:color="auto"/>
              <w:right w:val="single" w:sz="4" w:space="0" w:color="auto"/>
            </w:tcBorders>
            <w:vAlign w:val="center"/>
            <w:hideMark/>
          </w:tcPr>
          <w:p w14:paraId="74F1C166" w14:textId="77777777" w:rsidR="002C206D" w:rsidRDefault="002C206D">
            <w:pPr>
              <w:spacing w:line="256" w:lineRule="auto"/>
              <w:rPr>
                <w:rFonts w:ascii="Calibri" w:hAnsi="Calibri" w:cs="Calibri"/>
                <w:i/>
                <w:iCs/>
                <w:color w:val="000000"/>
                <w:sz w:val="22"/>
                <w:szCs w:val="22"/>
                <w:lang w:val="en-US"/>
              </w:rPr>
            </w:pPr>
            <w:r>
              <w:rPr>
                <w:rFonts w:ascii="Calibri" w:hAnsi="Calibri" w:cs="Calibri"/>
                <w:i/>
                <w:iCs/>
                <w:color w:val="000000"/>
                <w:sz w:val="22"/>
                <w:szCs w:val="22"/>
                <w:lang w:val="en-US"/>
              </w:rPr>
              <w:t> </w:t>
            </w:r>
          </w:p>
        </w:tc>
        <w:tc>
          <w:tcPr>
            <w:tcW w:w="992" w:type="dxa"/>
            <w:tcBorders>
              <w:top w:val="nil"/>
              <w:left w:val="nil"/>
              <w:bottom w:val="single" w:sz="4" w:space="0" w:color="auto"/>
              <w:right w:val="single" w:sz="4" w:space="0" w:color="auto"/>
            </w:tcBorders>
            <w:vAlign w:val="center"/>
            <w:hideMark/>
          </w:tcPr>
          <w:p w14:paraId="79954C41"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1134" w:type="dxa"/>
            <w:tcBorders>
              <w:top w:val="nil"/>
              <w:left w:val="nil"/>
              <w:bottom w:val="single" w:sz="4" w:space="0" w:color="auto"/>
              <w:right w:val="nil"/>
            </w:tcBorders>
            <w:vAlign w:val="center"/>
            <w:hideMark/>
          </w:tcPr>
          <w:p w14:paraId="6F9B5086"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16 793</w:t>
            </w:r>
          </w:p>
        </w:tc>
        <w:tc>
          <w:tcPr>
            <w:tcW w:w="1134" w:type="dxa"/>
            <w:tcBorders>
              <w:top w:val="nil"/>
              <w:left w:val="single" w:sz="4" w:space="0" w:color="auto"/>
              <w:bottom w:val="single" w:sz="4" w:space="0" w:color="auto"/>
              <w:right w:val="single" w:sz="4" w:space="0" w:color="auto"/>
            </w:tcBorders>
            <w:vAlign w:val="center"/>
            <w:hideMark/>
          </w:tcPr>
          <w:p w14:paraId="346D08B6"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3 393</w:t>
            </w:r>
          </w:p>
        </w:tc>
        <w:tc>
          <w:tcPr>
            <w:tcW w:w="992" w:type="dxa"/>
            <w:tcBorders>
              <w:top w:val="nil"/>
              <w:left w:val="nil"/>
              <w:bottom w:val="single" w:sz="4" w:space="0" w:color="auto"/>
              <w:right w:val="nil"/>
            </w:tcBorders>
            <w:vAlign w:val="center"/>
            <w:hideMark/>
          </w:tcPr>
          <w:p w14:paraId="55F3F479"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14 993</w:t>
            </w:r>
          </w:p>
        </w:tc>
        <w:tc>
          <w:tcPr>
            <w:tcW w:w="1276" w:type="dxa"/>
            <w:tcBorders>
              <w:top w:val="nil"/>
              <w:left w:val="single" w:sz="4" w:space="0" w:color="auto"/>
              <w:bottom w:val="single" w:sz="4" w:space="0" w:color="auto"/>
              <w:right w:val="single" w:sz="4" w:space="0" w:color="auto"/>
            </w:tcBorders>
            <w:vAlign w:val="center"/>
            <w:hideMark/>
          </w:tcPr>
          <w:p w14:paraId="0AF6B54E"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2 999</w:t>
            </w:r>
          </w:p>
        </w:tc>
        <w:tc>
          <w:tcPr>
            <w:tcW w:w="1276" w:type="dxa"/>
            <w:tcBorders>
              <w:top w:val="nil"/>
              <w:left w:val="nil"/>
              <w:bottom w:val="single" w:sz="4" w:space="0" w:color="auto"/>
              <w:right w:val="single" w:sz="4" w:space="0" w:color="auto"/>
            </w:tcBorders>
            <w:vAlign w:val="center"/>
            <w:hideMark/>
          </w:tcPr>
          <w:p w14:paraId="359621AA"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15 306</w:t>
            </w:r>
          </w:p>
        </w:tc>
        <w:tc>
          <w:tcPr>
            <w:tcW w:w="992" w:type="dxa"/>
            <w:tcBorders>
              <w:top w:val="nil"/>
              <w:left w:val="nil"/>
              <w:bottom w:val="single" w:sz="4" w:space="0" w:color="auto"/>
              <w:right w:val="single" w:sz="4" w:space="0" w:color="auto"/>
            </w:tcBorders>
            <w:vAlign w:val="center"/>
            <w:hideMark/>
          </w:tcPr>
          <w:p w14:paraId="5B9656AA" w14:textId="77777777" w:rsidR="002C206D" w:rsidRDefault="002C206D">
            <w:pPr>
              <w:spacing w:line="256" w:lineRule="auto"/>
              <w:jc w:val="right"/>
              <w:rPr>
                <w:rFonts w:ascii="Calibri" w:hAnsi="Calibri" w:cs="Calibri"/>
                <w:i/>
                <w:iCs/>
                <w:color w:val="000000"/>
                <w:sz w:val="22"/>
                <w:szCs w:val="22"/>
                <w:lang w:val="en-US"/>
              </w:rPr>
            </w:pPr>
            <w:r>
              <w:rPr>
                <w:rFonts w:ascii="Calibri" w:hAnsi="Calibri" w:cs="Calibri"/>
                <w:i/>
                <w:iCs/>
                <w:color w:val="000000"/>
                <w:sz w:val="22"/>
                <w:szCs w:val="22"/>
                <w:lang w:val="en-US"/>
              </w:rPr>
              <w:t>3 061</w:t>
            </w:r>
          </w:p>
        </w:tc>
      </w:tr>
      <w:tr w:rsidR="002C206D" w14:paraId="1D2A4259"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3BC94B26" w14:textId="77777777" w:rsidR="002C206D" w:rsidRDefault="002C206D">
            <w:pPr>
              <w:spacing w:line="256" w:lineRule="auto"/>
              <w:rPr>
                <w:rFonts w:ascii="Calibri" w:hAnsi="Calibri" w:cs="Calibr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vAlign w:val="center"/>
            <w:hideMark/>
          </w:tcPr>
          <w:p w14:paraId="3454B703" w14:textId="77777777" w:rsidR="002C206D" w:rsidRDefault="002C206D">
            <w:pPr>
              <w:spacing w:line="256" w:lineRule="auto"/>
              <w:rPr>
                <w:rFonts w:ascii="Calibri" w:hAnsi="Calibri" w:cs="Calibri"/>
                <w:color w:val="000000"/>
                <w:sz w:val="22"/>
                <w:szCs w:val="22"/>
                <w:lang w:val="en-US"/>
              </w:rPr>
            </w:pPr>
            <w:proofErr w:type="spellStart"/>
            <w:r>
              <w:rPr>
                <w:rFonts w:ascii="Calibri" w:hAnsi="Calibri" w:cs="Calibri"/>
                <w:color w:val="000000"/>
                <w:sz w:val="22"/>
                <w:szCs w:val="22"/>
                <w:lang w:val="en-US"/>
              </w:rPr>
              <w:t>Pondere</w:t>
            </w:r>
            <w:proofErr w:type="spellEnd"/>
            <w:r>
              <w:rPr>
                <w:rFonts w:ascii="Calibri" w:hAnsi="Calibri" w:cs="Calibri"/>
                <w:color w:val="000000"/>
                <w:sz w:val="22"/>
                <w:szCs w:val="22"/>
                <w:lang w:val="en-US"/>
              </w:rPr>
              <w:t xml:space="preserve"> %</w:t>
            </w:r>
          </w:p>
        </w:tc>
        <w:tc>
          <w:tcPr>
            <w:tcW w:w="992" w:type="dxa"/>
            <w:tcBorders>
              <w:top w:val="nil"/>
              <w:left w:val="nil"/>
              <w:bottom w:val="single" w:sz="4" w:space="0" w:color="auto"/>
              <w:right w:val="single" w:sz="4" w:space="0" w:color="auto"/>
            </w:tcBorders>
            <w:vAlign w:val="center"/>
            <w:hideMark/>
          </w:tcPr>
          <w:p w14:paraId="30FDCF7F"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CA</w:t>
            </w:r>
          </w:p>
        </w:tc>
        <w:tc>
          <w:tcPr>
            <w:tcW w:w="2268" w:type="dxa"/>
            <w:gridSpan w:val="2"/>
            <w:tcBorders>
              <w:top w:val="single" w:sz="4" w:space="0" w:color="auto"/>
              <w:left w:val="nil"/>
              <w:bottom w:val="single" w:sz="4" w:space="0" w:color="auto"/>
              <w:right w:val="single" w:sz="4" w:space="0" w:color="auto"/>
            </w:tcBorders>
            <w:vAlign w:val="center"/>
            <w:hideMark/>
          </w:tcPr>
          <w:p w14:paraId="140E1A13"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8.51%</w:t>
            </w:r>
          </w:p>
        </w:tc>
        <w:tc>
          <w:tcPr>
            <w:tcW w:w="2268" w:type="dxa"/>
            <w:gridSpan w:val="2"/>
            <w:tcBorders>
              <w:top w:val="single" w:sz="4" w:space="0" w:color="auto"/>
              <w:left w:val="nil"/>
              <w:bottom w:val="single" w:sz="4" w:space="0" w:color="auto"/>
              <w:right w:val="single" w:sz="4" w:space="0" w:color="auto"/>
            </w:tcBorders>
            <w:vAlign w:val="center"/>
            <w:hideMark/>
          </w:tcPr>
          <w:p w14:paraId="7C0B03B2"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4.80%</w:t>
            </w:r>
          </w:p>
        </w:tc>
        <w:tc>
          <w:tcPr>
            <w:tcW w:w="2268" w:type="dxa"/>
            <w:gridSpan w:val="2"/>
            <w:tcBorders>
              <w:top w:val="single" w:sz="4" w:space="0" w:color="auto"/>
              <w:left w:val="nil"/>
              <w:bottom w:val="single" w:sz="4" w:space="0" w:color="auto"/>
              <w:right w:val="single" w:sz="4" w:space="0" w:color="auto"/>
            </w:tcBorders>
            <w:vAlign w:val="center"/>
            <w:hideMark/>
          </w:tcPr>
          <w:p w14:paraId="4D99B7BA"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6.26%</w:t>
            </w:r>
          </w:p>
        </w:tc>
      </w:tr>
      <w:tr w:rsidR="002C206D" w14:paraId="5A175C16" w14:textId="77777777" w:rsidTr="002C206D">
        <w:trPr>
          <w:trHeight w:val="300"/>
        </w:trPr>
        <w:tc>
          <w:tcPr>
            <w:tcW w:w="0" w:type="auto"/>
            <w:vMerge/>
            <w:tcBorders>
              <w:top w:val="nil"/>
              <w:left w:val="single" w:sz="4" w:space="0" w:color="auto"/>
              <w:bottom w:val="single" w:sz="4" w:space="0" w:color="000000"/>
              <w:right w:val="single" w:sz="4" w:space="0" w:color="auto"/>
            </w:tcBorders>
            <w:vAlign w:val="center"/>
            <w:hideMark/>
          </w:tcPr>
          <w:p w14:paraId="794019C2" w14:textId="77777777" w:rsidR="002C206D" w:rsidRDefault="002C206D">
            <w:pPr>
              <w:spacing w:line="256" w:lineRule="auto"/>
              <w:rPr>
                <w:rFonts w:ascii="Calibri" w:hAnsi="Calibri" w:cs="Calibri"/>
                <w:color w:val="000000"/>
                <w:sz w:val="22"/>
                <w:szCs w:val="22"/>
                <w:lang w:val="en-US"/>
              </w:rPr>
            </w:pPr>
          </w:p>
        </w:tc>
        <w:tc>
          <w:tcPr>
            <w:tcW w:w="0" w:type="auto"/>
            <w:vMerge/>
            <w:tcBorders>
              <w:top w:val="nil"/>
              <w:left w:val="single" w:sz="4" w:space="0" w:color="auto"/>
              <w:bottom w:val="single" w:sz="4" w:space="0" w:color="000000"/>
              <w:right w:val="single" w:sz="4" w:space="0" w:color="auto"/>
            </w:tcBorders>
            <w:vAlign w:val="center"/>
            <w:hideMark/>
          </w:tcPr>
          <w:p w14:paraId="2B2927FB" w14:textId="77777777" w:rsidR="002C206D" w:rsidRDefault="002C206D">
            <w:pPr>
              <w:spacing w:line="256" w:lineRule="auto"/>
              <w:rPr>
                <w:rFonts w:ascii="Calibri" w:hAnsi="Calibri" w:cs="Calibri"/>
                <w:color w:val="000000"/>
                <w:sz w:val="22"/>
                <w:szCs w:val="22"/>
                <w:lang w:val="en-US"/>
              </w:rPr>
            </w:pPr>
          </w:p>
        </w:tc>
        <w:tc>
          <w:tcPr>
            <w:tcW w:w="992" w:type="dxa"/>
            <w:tcBorders>
              <w:top w:val="nil"/>
              <w:left w:val="nil"/>
              <w:bottom w:val="single" w:sz="4" w:space="0" w:color="auto"/>
              <w:right w:val="single" w:sz="4" w:space="0" w:color="auto"/>
            </w:tcBorders>
            <w:vAlign w:val="center"/>
            <w:hideMark/>
          </w:tcPr>
          <w:p w14:paraId="64EF8F70"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CB</w:t>
            </w:r>
          </w:p>
        </w:tc>
        <w:tc>
          <w:tcPr>
            <w:tcW w:w="2268" w:type="dxa"/>
            <w:gridSpan w:val="2"/>
            <w:tcBorders>
              <w:top w:val="single" w:sz="4" w:space="0" w:color="auto"/>
              <w:left w:val="nil"/>
              <w:bottom w:val="single" w:sz="4" w:space="0" w:color="auto"/>
              <w:right w:val="single" w:sz="4" w:space="0" w:color="auto"/>
            </w:tcBorders>
            <w:vAlign w:val="center"/>
            <w:hideMark/>
          </w:tcPr>
          <w:p w14:paraId="555EB1EC"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9.19%</w:t>
            </w:r>
          </w:p>
        </w:tc>
        <w:tc>
          <w:tcPr>
            <w:tcW w:w="2268" w:type="dxa"/>
            <w:gridSpan w:val="2"/>
            <w:tcBorders>
              <w:top w:val="single" w:sz="4" w:space="0" w:color="auto"/>
              <w:left w:val="nil"/>
              <w:bottom w:val="single" w:sz="4" w:space="0" w:color="auto"/>
              <w:right w:val="single" w:sz="4" w:space="0" w:color="auto"/>
            </w:tcBorders>
            <w:vAlign w:val="center"/>
            <w:hideMark/>
          </w:tcPr>
          <w:p w14:paraId="2CDC9CB4"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5.01%</w:t>
            </w:r>
          </w:p>
        </w:tc>
        <w:tc>
          <w:tcPr>
            <w:tcW w:w="2268" w:type="dxa"/>
            <w:gridSpan w:val="2"/>
            <w:tcBorders>
              <w:top w:val="single" w:sz="4" w:space="0" w:color="auto"/>
              <w:left w:val="nil"/>
              <w:bottom w:val="single" w:sz="4" w:space="0" w:color="auto"/>
              <w:right w:val="single" w:sz="4" w:space="0" w:color="auto"/>
            </w:tcBorders>
            <w:vAlign w:val="center"/>
            <w:hideMark/>
          </w:tcPr>
          <w:p w14:paraId="2674636F" w14:textId="77777777" w:rsidR="002C206D" w:rsidRDefault="002C206D">
            <w:pPr>
              <w:spacing w:line="256" w:lineRule="auto"/>
              <w:jc w:val="center"/>
              <w:rPr>
                <w:rFonts w:ascii="Calibri" w:hAnsi="Calibri" w:cs="Calibri"/>
                <w:i/>
                <w:iCs/>
                <w:color w:val="000000"/>
                <w:sz w:val="22"/>
                <w:szCs w:val="22"/>
                <w:lang w:val="en-US"/>
              </w:rPr>
            </w:pPr>
            <w:r>
              <w:rPr>
                <w:rFonts w:ascii="Calibri" w:hAnsi="Calibri" w:cs="Calibri"/>
                <w:i/>
                <w:iCs/>
                <w:color w:val="000000"/>
                <w:sz w:val="22"/>
                <w:szCs w:val="22"/>
                <w:lang w:val="en-US"/>
              </w:rPr>
              <w:t>6.29%</w:t>
            </w:r>
          </w:p>
        </w:tc>
      </w:tr>
    </w:tbl>
    <w:p w14:paraId="4D348BC3" w14:textId="77777777" w:rsidR="002C206D" w:rsidRDefault="002C206D" w:rsidP="002C206D">
      <w:pPr>
        <w:jc w:val="both"/>
        <w:rPr>
          <w:rFonts w:asciiTheme="minorHAnsi" w:hAnsiTheme="minorHAnsi" w:cstheme="minorHAnsi"/>
          <w:sz w:val="26"/>
          <w:szCs w:val="26"/>
        </w:rPr>
      </w:pPr>
    </w:p>
    <w:p w14:paraId="73E29486" w14:textId="77777777" w:rsidR="002C206D" w:rsidRDefault="002C206D" w:rsidP="002C206D">
      <w:pPr>
        <w:jc w:val="both"/>
        <w:rPr>
          <w:rFonts w:asciiTheme="minorHAnsi" w:hAnsiTheme="minorHAnsi" w:cstheme="minorHAnsi"/>
          <w:sz w:val="26"/>
          <w:szCs w:val="26"/>
        </w:rPr>
      </w:pPr>
    </w:p>
    <w:p w14:paraId="5668CCF8" w14:textId="30C60556" w:rsidR="002C206D" w:rsidRDefault="002C206D" w:rsidP="002C206D">
      <w:pPr>
        <w:jc w:val="center"/>
        <w:rPr>
          <w:rFonts w:asciiTheme="minorHAnsi" w:hAnsiTheme="minorHAnsi" w:cstheme="minorHAnsi"/>
          <w:sz w:val="26"/>
          <w:szCs w:val="26"/>
        </w:rPr>
      </w:pPr>
      <w:r>
        <w:rPr>
          <w:noProof/>
        </w:rPr>
        <w:lastRenderedPageBreak/>
        <w:drawing>
          <wp:inline distT="0" distB="0" distL="0" distR="0" wp14:anchorId="1C94EC4E" wp14:editId="4E1B9BC8">
            <wp:extent cx="6496050" cy="4267200"/>
            <wp:effectExtent l="0" t="0" r="0" b="0"/>
            <wp:docPr id="1793800286" name="Chart 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8C1C57"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În ceea ce privește bugetul Consiliului Superior al Magistraturii și al instituțiilor aflate în coordonarea acestuia, respectiv Institutul Naţional al Magistraturii şi Şcoala Naţională de Grefieri, acesta nu a fost finanțat corespunzător în anul 2023.</w:t>
      </w:r>
    </w:p>
    <w:p w14:paraId="5327EBB4"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 xml:space="preserve">Alocări bugetare suplimentare au fost acordate în urma numeroaselor demersuri realizate de Consiliul Superior al Magistraturii, care au condus la suplimentarea finanțării, respectiv memorandumuri, precum și sesizări pentru inițiative legislative de adoptare a unor hotărâri de guvern în vederea asigurării, spre exemplu, a bursei cuvenite auditorilor de justiție care urmează cursurile INM. </w:t>
      </w:r>
    </w:p>
    <w:p w14:paraId="3D8A37C6"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 xml:space="preserve">Prin urmare, bugetul a fost parțial suplimentat în urma eforturilor repetate realizate de Consiliul Superior al Magistraturii, iar acesta este și în prezent subdimensionat în raport cu necesarul financiar real. </w:t>
      </w:r>
    </w:p>
    <w:p w14:paraId="7A8A8988"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Din ponderea fondurilor bugetului Institutului Naţional al Magistraturii şi Şcolii Naţionale de Grefieri în totalul bugetului Consiliului Superior al Magistraturii, prezentată în grafic, fluctuaţia procentului în perioada analizată demonstrează că în domeniul învăţământului de specialitate pentru judecători, procurori şi grefieri s-a avut în vedere asigurarea desfăşurării activităţii în condiţii de calitate şi eficienţă la standarde europene, în ciuda restricţiilor bugetare existente, însă numai ca urmare a eforturilor realizate constant de Consiliu.</w:t>
      </w:r>
    </w:p>
    <w:p w14:paraId="2FCB281C"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 xml:space="preserve">Programul de cheltuieli pe anul 2023, potrivit bugetului de stat aprobat prin Legea nr. 368/2022, a susţinut insuficient din punct de vedere financiar atât activitatea curentă a Consiliului Superior al Magistraturii cu unităţile din coordonare, cât şi derularea activităţilor cu privire la planul de acţiune privind reforma în justiţie, deși asigurarea resurselor materiale necesare este esenţială pentru buna funcţionare a Consiliului Superior al Magistraturii, în calitate de garant al independenţei justiţiei. </w:t>
      </w:r>
    </w:p>
    <w:p w14:paraId="1FCE7DD6"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Locul justiţiei în echilibrul puterilor, ca putere/autoritate a statului de drept, nu poate fi garantat fără să se asigure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14:paraId="4FBE2F0B"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lastRenderedPageBreak/>
        <w:t>În calitate de ordonator principal de credite, Consiliul Superior al Magistraturii prin Direcţia Economică şi Administrativ a încercat să răspundă, în limita permisă de lege, la toate solicitările Institutului Naţional al Magistraturii și ale Şcolii Naţionale de Grefieri.</w:t>
      </w:r>
    </w:p>
    <w:p w14:paraId="4E1F8A98" w14:textId="77777777" w:rsidR="002C206D" w:rsidRDefault="002C206D" w:rsidP="002C206D">
      <w:pPr>
        <w:ind w:firstLine="709"/>
        <w:jc w:val="both"/>
        <w:rPr>
          <w:rFonts w:asciiTheme="minorHAnsi" w:hAnsiTheme="minorHAnsi" w:cstheme="minorHAnsi"/>
          <w:sz w:val="26"/>
          <w:szCs w:val="26"/>
        </w:rPr>
      </w:pPr>
      <w:r>
        <w:rPr>
          <w:rFonts w:asciiTheme="minorHAnsi" w:hAnsiTheme="minorHAnsi" w:cstheme="minorHAnsi"/>
          <w:sz w:val="26"/>
          <w:szCs w:val="26"/>
        </w:rPr>
        <w:t>În ceea ce priveşte măsurile luate la nivelul Consiliul Superior al Magistraturii – Direcţia Economică şi Administrativ pentru combaterea stării de subfinanţare, s-au avut în vedere următoarele:</w:t>
      </w:r>
    </w:p>
    <w:p w14:paraId="2B14BBA4" w14:textId="77777777" w:rsidR="002C206D" w:rsidRDefault="002C206D" w:rsidP="002C206D">
      <w:pPr>
        <w:numPr>
          <w:ilvl w:val="0"/>
          <w:numId w:val="39"/>
        </w:numPr>
        <w:tabs>
          <w:tab w:val="left" w:pos="993"/>
        </w:tabs>
        <w:ind w:left="0" w:firstLine="720"/>
        <w:jc w:val="both"/>
        <w:rPr>
          <w:rFonts w:asciiTheme="minorHAnsi" w:hAnsiTheme="minorHAnsi" w:cstheme="minorHAnsi"/>
          <w:sz w:val="26"/>
          <w:szCs w:val="26"/>
        </w:rPr>
      </w:pPr>
      <w:r>
        <w:rPr>
          <w:rFonts w:asciiTheme="minorHAnsi" w:hAnsiTheme="minorHAnsi" w:cstheme="minorHAnsi"/>
          <w:sz w:val="26"/>
          <w:szCs w:val="26"/>
        </w:rPr>
        <w:t>creşterea gradului de accesare printr-o gestionare eficientă a fondurilor europene pentru dotări şi servicii;</w:t>
      </w:r>
    </w:p>
    <w:p w14:paraId="556F54EC" w14:textId="77777777" w:rsidR="002C206D" w:rsidRDefault="002C206D" w:rsidP="002C206D">
      <w:pPr>
        <w:numPr>
          <w:ilvl w:val="0"/>
          <w:numId w:val="39"/>
        </w:numPr>
        <w:tabs>
          <w:tab w:val="left" w:pos="993"/>
        </w:tabs>
        <w:ind w:left="0" w:firstLine="720"/>
        <w:jc w:val="both"/>
        <w:rPr>
          <w:rFonts w:asciiTheme="minorHAnsi" w:hAnsiTheme="minorHAnsi" w:cstheme="minorHAnsi"/>
          <w:sz w:val="26"/>
          <w:szCs w:val="26"/>
        </w:rPr>
      </w:pPr>
      <w:r>
        <w:rPr>
          <w:rFonts w:asciiTheme="minorHAnsi" w:hAnsiTheme="minorHAnsi" w:cstheme="minorHAnsi"/>
          <w:sz w:val="26"/>
          <w:szCs w:val="26"/>
        </w:rPr>
        <w:t>utilizarea prudențială a fondurilor alocate pentru cheltuieli materiale şi servicii;</w:t>
      </w:r>
    </w:p>
    <w:p w14:paraId="2B19D37A" w14:textId="77777777" w:rsidR="002C206D" w:rsidRDefault="002C206D" w:rsidP="002C206D">
      <w:pPr>
        <w:numPr>
          <w:ilvl w:val="0"/>
          <w:numId w:val="39"/>
        </w:numPr>
        <w:tabs>
          <w:tab w:val="left" w:pos="993"/>
        </w:tabs>
        <w:ind w:left="0" w:firstLine="720"/>
        <w:jc w:val="both"/>
        <w:rPr>
          <w:rFonts w:asciiTheme="minorHAnsi" w:hAnsiTheme="minorHAnsi" w:cstheme="minorHAnsi"/>
          <w:sz w:val="26"/>
          <w:szCs w:val="26"/>
        </w:rPr>
      </w:pPr>
      <w:r>
        <w:rPr>
          <w:rFonts w:asciiTheme="minorHAnsi" w:hAnsiTheme="minorHAnsi" w:cstheme="minorHAnsi"/>
          <w:sz w:val="26"/>
          <w:szCs w:val="26"/>
        </w:rPr>
        <w:t>îmbunătăţirea mediului de control intern pentru o mai bună alocare a resurselor pe destinaţii de cheltuieli;</w:t>
      </w:r>
    </w:p>
    <w:p w14:paraId="18D2BED2" w14:textId="77777777" w:rsidR="002C206D" w:rsidRDefault="002C206D" w:rsidP="002C206D">
      <w:pPr>
        <w:numPr>
          <w:ilvl w:val="0"/>
          <w:numId w:val="39"/>
        </w:numPr>
        <w:tabs>
          <w:tab w:val="left" w:pos="993"/>
        </w:tabs>
        <w:ind w:left="0" w:firstLine="720"/>
        <w:jc w:val="both"/>
        <w:rPr>
          <w:rFonts w:asciiTheme="minorHAnsi" w:hAnsiTheme="minorHAnsi" w:cstheme="minorHAnsi"/>
          <w:sz w:val="26"/>
          <w:szCs w:val="26"/>
        </w:rPr>
      </w:pPr>
      <w:r>
        <w:rPr>
          <w:rFonts w:asciiTheme="minorHAnsi" w:hAnsiTheme="minorHAnsi" w:cstheme="minorHAnsi"/>
          <w:sz w:val="26"/>
          <w:szCs w:val="26"/>
        </w:rPr>
        <w:t>prioritizarea cheltuielilor corespunzător politicilor publice.</w:t>
      </w:r>
    </w:p>
    <w:p w14:paraId="67EF4D69" w14:textId="77777777" w:rsidR="002C206D" w:rsidRDefault="002C206D" w:rsidP="002C206D">
      <w:pPr>
        <w:rPr>
          <w:rFonts w:asciiTheme="minorHAnsi" w:hAnsiTheme="minorHAnsi" w:cstheme="minorHAnsi"/>
          <w:sz w:val="26"/>
          <w:szCs w:val="26"/>
        </w:rPr>
        <w:sectPr w:rsidR="002C206D" w:rsidSect="00A3761E">
          <w:pgSz w:w="11906" w:h="16838"/>
          <w:pgMar w:top="567" w:right="851" w:bottom="567" w:left="851" w:header="567" w:footer="284" w:gutter="0"/>
          <w:cols w:space="720"/>
        </w:sectPr>
      </w:pPr>
    </w:p>
    <w:p w14:paraId="0B3879EC" w14:textId="77777777" w:rsidR="0078231A" w:rsidRPr="00564DC7" w:rsidRDefault="0078231A" w:rsidP="006D2B12">
      <w:pPr>
        <w:tabs>
          <w:tab w:val="left" w:pos="5475"/>
        </w:tabs>
        <w:ind w:firstLine="709"/>
        <w:jc w:val="both"/>
        <w:rPr>
          <w:rFonts w:asciiTheme="minorHAnsi" w:hAnsiTheme="minorHAnsi" w:cstheme="minorHAnsi"/>
          <w:sz w:val="26"/>
          <w:szCs w:val="26"/>
        </w:rPr>
      </w:pPr>
    </w:p>
    <w:p w14:paraId="69A729EB" w14:textId="77777777" w:rsidR="00D92C14" w:rsidRPr="00564DC7" w:rsidRDefault="006C1588" w:rsidP="00690186">
      <w:pPr>
        <w:pStyle w:val="Heading1"/>
        <w:keepNext w:val="0"/>
        <w:keepLines w:val="0"/>
        <w:suppressLineNumbers/>
        <w:suppressAutoHyphens/>
        <w:spacing w:line="240" w:lineRule="auto"/>
        <w:ind w:firstLine="0"/>
        <w:rPr>
          <w:rStyle w:val="Heading1Char"/>
          <w:rFonts w:cstheme="minorHAnsi"/>
          <w:b/>
          <w:color w:val="auto"/>
        </w:rPr>
      </w:pPr>
      <w:bookmarkStart w:id="126" w:name="_Toc155267906"/>
      <w:bookmarkStart w:id="127" w:name="_Toc430867127"/>
      <w:r w:rsidRPr="00564DC7">
        <w:rPr>
          <w:rStyle w:val="Heading1Char"/>
          <w:rFonts w:cstheme="minorHAnsi"/>
          <w:b/>
          <w:color w:val="auto"/>
        </w:rPr>
        <w:t>CAPITOLUL VI</w:t>
      </w:r>
      <w:bookmarkEnd w:id="126"/>
    </w:p>
    <w:p w14:paraId="4A49E20B" w14:textId="05D54FA4" w:rsidR="006C1588" w:rsidRPr="00564DC7" w:rsidRDefault="006C1588" w:rsidP="00690186">
      <w:pPr>
        <w:pStyle w:val="Heading1"/>
        <w:keepNext w:val="0"/>
        <w:keepLines w:val="0"/>
        <w:suppressLineNumbers/>
        <w:suppressAutoHyphens/>
        <w:spacing w:line="240" w:lineRule="auto"/>
        <w:ind w:firstLine="0"/>
        <w:rPr>
          <w:rFonts w:cstheme="minorHAnsi"/>
          <w:color w:val="auto"/>
        </w:rPr>
      </w:pPr>
      <w:bookmarkStart w:id="128" w:name="_Toc155267907"/>
      <w:r w:rsidRPr="00564DC7">
        <w:rPr>
          <w:rStyle w:val="Heading1Char"/>
          <w:rFonts w:cstheme="minorHAnsi"/>
          <w:b/>
          <w:color w:val="auto"/>
        </w:rPr>
        <w:t>Alte aspecte privind activitatea aparatului propriu de asigurare a</w:t>
      </w:r>
      <w:r w:rsidRPr="00564DC7">
        <w:rPr>
          <w:rFonts w:cstheme="minorHAnsi"/>
          <w:color w:val="auto"/>
        </w:rPr>
        <w:t xml:space="preserve"> suportului tehnic pentru îndeplinirea atribuţiilor Consiliului Superior al Magistraturii</w:t>
      </w:r>
      <w:bookmarkEnd w:id="127"/>
      <w:bookmarkEnd w:id="128"/>
      <w:r w:rsidRPr="00564DC7">
        <w:rPr>
          <w:rFonts w:cstheme="minorHAnsi"/>
          <w:color w:val="auto"/>
        </w:rPr>
        <w:t xml:space="preserve">  </w:t>
      </w:r>
    </w:p>
    <w:p w14:paraId="19E77D67" w14:textId="77777777" w:rsidR="00773195" w:rsidRPr="006D2B12" w:rsidRDefault="00773195" w:rsidP="006D2B12">
      <w:pPr>
        <w:pStyle w:val="Heading2"/>
        <w:keepNext w:val="0"/>
        <w:keepLines w:val="0"/>
        <w:suppressLineNumbers/>
        <w:suppressAutoHyphens/>
        <w:spacing w:line="240" w:lineRule="auto"/>
        <w:jc w:val="both"/>
        <w:rPr>
          <w:rFonts w:cstheme="minorHAnsi"/>
          <w:color w:val="auto"/>
          <w:lang w:val="ro-RO"/>
        </w:rPr>
      </w:pPr>
      <w:bookmarkStart w:id="129" w:name="_Toc155267908"/>
      <w:bookmarkStart w:id="130" w:name="_Toc430867129"/>
      <w:r w:rsidRPr="006D2B12">
        <w:rPr>
          <w:rFonts w:cstheme="minorHAnsi"/>
          <w:color w:val="auto"/>
          <w:lang w:val="ro-RO"/>
        </w:rPr>
        <w:t>VI.1.</w:t>
      </w:r>
      <w:r w:rsidRPr="006D2B12">
        <w:rPr>
          <w:rFonts w:cstheme="minorHAnsi"/>
          <w:color w:val="auto"/>
          <w:lang w:val="ro-RO"/>
        </w:rPr>
        <w:tab/>
        <w:t>Activitatea Direcţiei resurse umane şi organizare</w:t>
      </w:r>
      <w:bookmarkEnd w:id="129"/>
    </w:p>
    <w:p w14:paraId="60C2A3DE" w14:textId="77777777" w:rsidR="00773195" w:rsidRPr="00564DC7" w:rsidRDefault="0077319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Activitatea specifică derulată la nivelul direcţiei presupune o serie de acţiuni care nu impun inventarierea acestora, dar care implică timp şi documentare corespunzătoare, fiind absolut necesare pentru actualizarea evidenţelor direcţiei, în raport de care se desfăşoară întreaga activitate a Consiliului Superior al Magistraturii în domeniul gestionării carierei judecătorilor şi procurorilor, respectiv al organizării instanţelor şi parchetelor.</w:t>
      </w:r>
    </w:p>
    <w:p w14:paraId="2615787B" w14:textId="61ADE5D2" w:rsidR="00773195" w:rsidRPr="00564DC7" w:rsidRDefault="00ED1524" w:rsidP="00690186">
      <w:pPr>
        <w:keepNext/>
        <w:keepLines/>
        <w:ind w:firstLine="709"/>
        <w:jc w:val="both"/>
        <w:rPr>
          <w:rFonts w:asciiTheme="minorHAnsi" w:hAnsiTheme="minorHAnsi" w:cstheme="minorHAnsi"/>
          <w:sz w:val="26"/>
          <w:szCs w:val="26"/>
        </w:rPr>
      </w:pPr>
      <w:r>
        <w:rPr>
          <w:rFonts w:asciiTheme="minorHAnsi" w:hAnsiTheme="minorHAnsi" w:cstheme="minorHAnsi"/>
          <w:sz w:val="26"/>
          <w:szCs w:val="26"/>
        </w:rPr>
        <w:t>A</w:t>
      </w:r>
      <w:r w:rsidR="00773195" w:rsidRPr="00564DC7">
        <w:rPr>
          <w:rFonts w:asciiTheme="minorHAnsi" w:hAnsiTheme="minorHAnsi" w:cstheme="minorHAnsi"/>
          <w:sz w:val="26"/>
          <w:szCs w:val="26"/>
        </w:rPr>
        <w:t>ctivităţile derulate în perioada analizată la nivelul Serviciului resurse umane pentru instanţele judecătoreşti şi al Serviciului resurse umane pentru parchete s-au concretizat în rezultatele expuse în prezentul raport la capitolele referitoare la gestionarea carierei profesionale a judecătorilor şi procurorilor (un rol important având aici şi Biroul concursuri din cadrul direcţiei, a cărui activitate va fi prezentată în cele ce urmează), organizarea instanţelor şi parchetelor şi managementul resurselor umane în aparatul propriu, motiv pentru care nu vor fi reluate.</w:t>
      </w:r>
    </w:p>
    <w:p w14:paraId="20BBD1B0" w14:textId="77777777" w:rsidR="00773195" w:rsidRPr="00564DC7" w:rsidRDefault="00773195" w:rsidP="00690186">
      <w:pPr>
        <w:tabs>
          <w:tab w:val="left" w:pos="8550"/>
        </w:tabs>
        <w:ind w:right="3" w:firstLine="720"/>
        <w:jc w:val="both"/>
        <w:rPr>
          <w:rFonts w:asciiTheme="minorHAnsi" w:hAnsiTheme="minorHAnsi" w:cstheme="minorHAnsi"/>
          <w:sz w:val="26"/>
          <w:szCs w:val="26"/>
        </w:rPr>
      </w:pPr>
      <w:r w:rsidRPr="00564DC7">
        <w:rPr>
          <w:rFonts w:asciiTheme="minorHAnsi" w:hAnsiTheme="minorHAnsi" w:cstheme="minorHAnsi"/>
          <w:sz w:val="26"/>
          <w:szCs w:val="26"/>
        </w:rPr>
        <w:t>Începând cu luna decembrie 2022 au fost în vigoare dispoziţiile Legii nr. 303/2022 privind statutul judecătorilor şi procurorilor, care statuează, în ceea ce priveşte instituţia transferului judecătorilor, că declanşarea procedurilor se apobă de preşedintele Consiliului Superior al Magistraturii.</w:t>
      </w:r>
    </w:p>
    <w:p w14:paraId="60681FF5" w14:textId="19FBDB60" w:rsidR="00773195" w:rsidRPr="00564DC7" w:rsidRDefault="00773195" w:rsidP="00690186">
      <w:pPr>
        <w:pStyle w:val="NormalWeb"/>
        <w:shd w:val="clear" w:color="auto" w:fill="FFFFFF"/>
        <w:spacing w:before="0" w:beforeAutospacing="0" w:after="0" w:afterAutospacing="0"/>
        <w:ind w:firstLine="708"/>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Ca şi element de noutate, în ceea ce priveşte modalitatea de depunere a cererilor de transfer, la nivelul Consiliului s-a aprobat ca acestea să fie depuse doar online, similar procedurilor deja utilizate pentru concursurile de admitere la INM, admitere în magistratură, promovare a judecătorilor, fiind elaborat un program în acest sens, accesibil</w:t>
      </w:r>
      <w:r w:rsidR="00ED1524" w:rsidRPr="00ED1524">
        <w:rPr>
          <w:rFonts w:asciiTheme="minorHAnsi" w:eastAsiaTheme="minorHAnsi" w:hAnsiTheme="minorHAnsi" w:cstheme="minorHAnsi"/>
          <w:sz w:val="26"/>
          <w:szCs w:val="26"/>
        </w:rPr>
        <w:t xml:space="preserve"> </w:t>
      </w:r>
      <w:r w:rsidR="00ED1524" w:rsidRPr="00564DC7">
        <w:rPr>
          <w:rFonts w:asciiTheme="minorHAnsi" w:eastAsiaTheme="minorHAnsi" w:hAnsiTheme="minorHAnsi" w:cstheme="minorHAnsi"/>
          <w:sz w:val="26"/>
          <w:szCs w:val="26"/>
        </w:rPr>
        <w:t>tuturor judecătorilor</w:t>
      </w:r>
      <w:r w:rsidRPr="00564DC7">
        <w:rPr>
          <w:rFonts w:asciiTheme="minorHAnsi" w:eastAsiaTheme="minorHAnsi" w:hAnsiTheme="minorHAnsi" w:cstheme="minorHAnsi"/>
          <w:sz w:val="26"/>
          <w:szCs w:val="26"/>
        </w:rPr>
        <w:t xml:space="preserve"> în sistemul informatic Emap. </w:t>
      </w:r>
    </w:p>
    <w:p w14:paraId="159EDDBD" w14:textId="3212CA9B" w:rsidR="00773195" w:rsidRPr="00564DC7" w:rsidRDefault="00773195" w:rsidP="00690186">
      <w:pPr>
        <w:pStyle w:val="NormalWeb"/>
        <w:shd w:val="clear" w:color="auto" w:fill="FFFFFF"/>
        <w:spacing w:before="0" w:beforeAutospacing="0" w:after="0" w:afterAutospacing="0"/>
        <w:ind w:firstLine="708"/>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Modificarea practicii anterioare în care cererile de transfer şi documentele transmise în motivare se depuneau în format scriptic a condus la o mai bună gestionare a cererilor de transfer, la folosirea în mod ef</w:t>
      </w:r>
      <w:r w:rsidR="00ED1524">
        <w:rPr>
          <w:rFonts w:asciiTheme="minorHAnsi" w:eastAsiaTheme="minorHAnsi" w:hAnsiTheme="minorHAnsi" w:cstheme="minorHAnsi"/>
          <w:sz w:val="26"/>
          <w:szCs w:val="26"/>
        </w:rPr>
        <w:t>i</w:t>
      </w:r>
      <w:r w:rsidRPr="00564DC7">
        <w:rPr>
          <w:rFonts w:asciiTheme="minorHAnsi" w:eastAsiaTheme="minorHAnsi" w:hAnsiTheme="minorHAnsi" w:cstheme="minorHAnsi"/>
          <w:sz w:val="26"/>
          <w:szCs w:val="26"/>
        </w:rPr>
        <w:t xml:space="preserve">cient a resurselor disponibile şi la reducerea situaţiilor în care apar erori </w:t>
      </w:r>
      <w:r w:rsidR="00ED1524">
        <w:rPr>
          <w:rFonts w:asciiTheme="minorHAnsi" w:eastAsiaTheme="minorHAnsi" w:hAnsiTheme="minorHAnsi" w:cstheme="minorHAnsi"/>
          <w:sz w:val="26"/>
          <w:szCs w:val="26"/>
        </w:rPr>
        <w:t xml:space="preserve">cu privire la </w:t>
      </w:r>
      <w:r w:rsidRPr="00564DC7">
        <w:rPr>
          <w:rFonts w:asciiTheme="minorHAnsi" w:eastAsiaTheme="minorHAnsi" w:hAnsiTheme="minorHAnsi" w:cstheme="minorHAnsi"/>
          <w:sz w:val="26"/>
          <w:szCs w:val="26"/>
        </w:rPr>
        <w:t>înaintarea şi înregistrarea cererilor.</w:t>
      </w:r>
    </w:p>
    <w:p w14:paraId="0AAD4613" w14:textId="7B753D07" w:rsidR="00773195" w:rsidRPr="00564DC7" w:rsidRDefault="00773195" w:rsidP="00690186">
      <w:pPr>
        <w:tabs>
          <w:tab w:val="left" w:pos="8550"/>
        </w:tabs>
        <w:ind w:right="3"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Astfel, în sesiunea declanşată la finalul lunii ianuarie 2023, la nivelul </w:t>
      </w:r>
      <w:r w:rsidRPr="00564DC7">
        <w:rPr>
          <w:rFonts w:asciiTheme="minorHAnsi" w:hAnsiTheme="minorHAnsi" w:cstheme="minorHAnsi"/>
          <w:iCs/>
          <w:sz w:val="26"/>
          <w:szCs w:val="26"/>
        </w:rPr>
        <w:t xml:space="preserve">Serviciului resurse umane pentru instanţele judecătoreşti </w:t>
      </w:r>
      <w:r w:rsidRPr="00564DC7">
        <w:rPr>
          <w:rFonts w:asciiTheme="minorHAnsi" w:hAnsiTheme="minorHAnsi" w:cstheme="minorHAnsi"/>
          <w:sz w:val="26"/>
          <w:szCs w:val="26"/>
        </w:rPr>
        <w:t xml:space="preserve">au fost elaborate lucrările necesare pentru analizarea a </w:t>
      </w:r>
      <w:r w:rsidRPr="00564DC7">
        <w:rPr>
          <w:rFonts w:asciiTheme="minorHAnsi" w:eastAsiaTheme="minorHAnsi" w:hAnsiTheme="minorHAnsi" w:cstheme="minorHAnsi"/>
          <w:sz w:val="26"/>
          <w:szCs w:val="26"/>
        </w:rPr>
        <w:t>594 de cereri de transfer depuse pentru etapa 1 şi 362 de cereri depuse pentru etapa a 2-a</w:t>
      </w:r>
      <w:r w:rsidRPr="00564DC7">
        <w:rPr>
          <w:rFonts w:asciiTheme="minorHAnsi" w:hAnsiTheme="minorHAnsi" w:cstheme="minorHAnsi"/>
          <w:sz w:val="26"/>
          <w:szCs w:val="26"/>
        </w:rPr>
        <w:t xml:space="preserve"> de transfer</w:t>
      </w:r>
      <w:r w:rsidRPr="00564DC7">
        <w:rPr>
          <w:rFonts w:asciiTheme="minorHAnsi" w:hAnsiTheme="minorHAnsi" w:cstheme="minorHAnsi"/>
          <w:b/>
          <w:sz w:val="26"/>
          <w:szCs w:val="26"/>
        </w:rPr>
        <w:t xml:space="preserve"> </w:t>
      </w:r>
      <w:r w:rsidR="00ED1524" w:rsidRPr="00255AD3">
        <w:rPr>
          <w:rFonts w:asciiTheme="minorHAnsi" w:hAnsiTheme="minorHAnsi" w:cstheme="minorHAnsi"/>
          <w:bCs/>
          <w:sz w:val="26"/>
          <w:szCs w:val="26"/>
        </w:rPr>
        <w:t>formulate de</w:t>
      </w:r>
      <w:r w:rsidR="00ED1524">
        <w:rPr>
          <w:rFonts w:asciiTheme="minorHAnsi" w:hAnsiTheme="minorHAnsi" w:cstheme="minorHAnsi"/>
          <w:b/>
          <w:sz w:val="26"/>
          <w:szCs w:val="26"/>
        </w:rPr>
        <w:t xml:space="preserve"> </w:t>
      </w:r>
      <w:r w:rsidRPr="00564DC7">
        <w:rPr>
          <w:rFonts w:asciiTheme="minorHAnsi" w:hAnsiTheme="minorHAnsi" w:cstheme="minorHAnsi"/>
          <w:sz w:val="26"/>
          <w:szCs w:val="26"/>
        </w:rPr>
        <w:t>judecători.</w:t>
      </w:r>
    </w:p>
    <w:p w14:paraId="3465F309" w14:textId="2AC57FA2" w:rsidR="00773195" w:rsidRPr="00564DC7" w:rsidRDefault="00773195" w:rsidP="00690186">
      <w:pPr>
        <w:tabs>
          <w:tab w:val="left" w:pos="8550"/>
        </w:tabs>
        <w:ind w:right="3" w:firstLine="720"/>
        <w:jc w:val="both"/>
        <w:rPr>
          <w:rFonts w:asciiTheme="minorHAnsi" w:hAnsiTheme="minorHAnsi" w:cstheme="minorHAnsi"/>
          <w:sz w:val="26"/>
          <w:szCs w:val="26"/>
        </w:rPr>
      </w:pPr>
      <w:r w:rsidRPr="00564DC7">
        <w:rPr>
          <w:rFonts w:asciiTheme="minorHAnsi" w:hAnsiTheme="minorHAnsi" w:cstheme="minorHAnsi"/>
          <w:sz w:val="26"/>
          <w:szCs w:val="26"/>
        </w:rPr>
        <w:t>Totodată, a fost declanşată procedura de transfer de la instanţele civile</w:t>
      </w:r>
      <w:r w:rsidR="00AB4BE5">
        <w:rPr>
          <w:rFonts w:asciiTheme="minorHAnsi" w:hAnsiTheme="minorHAnsi" w:cstheme="minorHAnsi"/>
          <w:sz w:val="26"/>
          <w:szCs w:val="26"/>
        </w:rPr>
        <w:t xml:space="preserve"> </w:t>
      </w:r>
      <w:r w:rsidRPr="00564DC7">
        <w:rPr>
          <w:rFonts w:asciiTheme="minorHAnsi" w:hAnsiTheme="minorHAnsi" w:cstheme="minorHAnsi"/>
          <w:sz w:val="26"/>
          <w:szCs w:val="26"/>
        </w:rPr>
        <w:t>la instanţele militare, pentru 8 posturi, respectiv: Curtea Militară de Apel București – 2 posturi, Tribunalul Militar București – 1 post, Tribunalul Militar Cluj – 1 post,</w:t>
      </w:r>
      <w:r w:rsidR="00AB4BE5">
        <w:rPr>
          <w:rFonts w:asciiTheme="minorHAnsi" w:hAnsiTheme="minorHAnsi" w:cstheme="minorHAnsi"/>
          <w:sz w:val="26"/>
          <w:szCs w:val="26"/>
        </w:rPr>
        <w:t xml:space="preserve"> </w:t>
      </w:r>
      <w:r w:rsidRPr="00564DC7">
        <w:rPr>
          <w:rFonts w:asciiTheme="minorHAnsi" w:hAnsiTheme="minorHAnsi" w:cstheme="minorHAnsi"/>
          <w:sz w:val="26"/>
          <w:szCs w:val="26"/>
        </w:rPr>
        <w:t>Tribunalul Militar Iaşi – 2 posturi şi Tribunalul Militar Timişoara – 2 posturi, fiind ocupate, însă, 5 dintre aceste posturi (la Curtea Militară de Apel Bucureşti, la Tribunalul Militar Iaşi, Tribunalul Militar Timi</w:t>
      </w:r>
      <w:r w:rsidR="00AB4BE5">
        <w:rPr>
          <w:rFonts w:asciiTheme="minorHAnsi" w:hAnsiTheme="minorHAnsi" w:cstheme="minorHAnsi"/>
          <w:sz w:val="26"/>
          <w:szCs w:val="26"/>
        </w:rPr>
        <w:t>ș</w:t>
      </w:r>
      <w:r w:rsidRPr="00564DC7">
        <w:rPr>
          <w:rFonts w:asciiTheme="minorHAnsi" w:hAnsiTheme="minorHAnsi" w:cstheme="minorHAnsi"/>
          <w:sz w:val="26"/>
          <w:szCs w:val="26"/>
        </w:rPr>
        <w:t xml:space="preserve"> – 2 posturi şi Tribunalul Militar Cluj).</w:t>
      </w:r>
    </w:p>
    <w:p w14:paraId="3B426AB7" w14:textId="77777777" w:rsidR="00E84B3F" w:rsidRPr="00E84B3F" w:rsidRDefault="00E84B3F" w:rsidP="00F8687F">
      <w:pPr>
        <w:pStyle w:val="NormalWeb"/>
        <w:shd w:val="clear" w:color="auto" w:fill="FFFFFF"/>
        <w:spacing w:before="0" w:beforeAutospacing="0" w:after="0" w:afterAutospacing="0"/>
        <w:ind w:firstLine="708"/>
        <w:jc w:val="both"/>
        <w:rPr>
          <w:rFonts w:asciiTheme="minorHAnsi" w:eastAsiaTheme="minorHAnsi" w:hAnsiTheme="minorHAnsi" w:cstheme="minorHAnsi"/>
          <w:sz w:val="26"/>
          <w:szCs w:val="26"/>
        </w:rPr>
      </w:pPr>
      <w:r w:rsidRPr="00E84B3F">
        <w:rPr>
          <w:rFonts w:asciiTheme="minorHAnsi" w:hAnsiTheme="minorHAnsi" w:cstheme="minorHAnsi"/>
          <w:sz w:val="26"/>
          <w:szCs w:val="26"/>
        </w:rPr>
        <w:t xml:space="preserve">Cea de a doua sesiune de transfer, finalizată în cursul lunii noiembrie 2023, a implicat elaborarea lucrărilor necesare pentru analizarea a </w:t>
      </w:r>
      <w:r w:rsidRPr="00E84B3F">
        <w:rPr>
          <w:rFonts w:asciiTheme="minorHAnsi" w:eastAsiaTheme="minorHAnsi" w:hAnsiTheme="minorHAnsi" w:cstheme="minorHAnsi"/>
          <w:sz w:val="26"/>
          <w:szCs w:val="26"/>
        </w:rPr>
        <w:t>425 de cereri de transfer depuse pentru etapa 1 şi 266 de cereri depuse pentru etapa a 2-a</w:t>
      </w:r>
      <w:r w:rsidRPr="00E84B3F">
        <w:rPr>
          <w:rFonts w:asciiTheme="minorHAnsi" w:hAnsiTheme="minorHAnsi" w:cstheme="minorHAnsi"/>
          <w:sz w:val="26"/>
          <w:szCs w:val="26"/>
        </w:rPr>
        <w:t xml:space="preserve"> de cereri de transfer</w:t>
      </w:r>
      <w:r w:rsidRPr="00E84B3F">
        <w:rPr>
          <w:rFonts w:asciiTheme="minorHAnsi" w:hAnsiTheme="minorHAnsi" w:cstheme="minorHAnsi"/>
          <w:b/>
          <w:sz w:val="26"/>
          <w:szCs w:val="26"/>
        </w:rPr>
        <w:t xml:space="preserve"> </w:t>
      </w:r>
      <w:r w:rsidRPr="00E84B3F">
        <w:rPr>
          <w:rFonts w:asciiTheme="minorHAnsi" w:hAnsiTheme="minorHAnsi" w:cstheme="minorHAnsi"/>
          <w:sz w:val="26"/>
          <w:szCs w:val="26"/>
        </w:rPr>
        <w:t>ale judecătorilor</w:t>
      </w:r>
      <w:r w:rsidRPr="00E84B3F">
        <w:rPr>
          <w:rFonts w:asciiTheme="minorHAnsi" w:eastAsiaTheme="minorHAnsi" w:hAnsiTheme="minorHAnsi" w:cstheme="minorHAnsi"/>
          <w:sz w:val="26"/>
          <w:szCs w:val="26"/>
        </w:rPr>
        <w:t xml:space="preserve">. </w:t>
      </w:r>
    </w:p>
    <w:p w14:paraId="402A36C0" w14:textId="2E8AD557" w:rsidR="00773195" w:rsidRPr="00564DC7" w:rsidRDefault="00773195" w:rsidP="00690186">
      <w:pPr>
        <w:keepNext/>
        <w:keepLines/>
        <w:ind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De asemenea, activitatea Direcţiei a vizat şi  elaborarea de puncte de vedere privind solicitările de continuare a activităţii în condiţiile art. 216 alin. (1) din Legea nr. 303/2022, respectiv au fost întocmite lucrările pentru analizarea</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propunerilor de delegare/încetare delegare/prelungire delegare</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în funcţii de conducere a judecătorilor, inclusiv pentru funcţiile de vicepreşedinte, precum şi cele vizând plângerile prealabile înaintate Consiliului de către judecători.</w:t>
      </w:r>
    </w:p>
    <w:p w14:paraId="2E8333A0" w14:textId="77777777" w:rsidR="00773195" w:rsidRPr="00564DC7" w:rsidRDefault="00773195" w:rsidP="00690186">
      <w:pPr>
        <w:ind w:firstLine="708"/>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rPr>
        <w:t>Un alt element de noutate în activitatea Serviciului resurse umane pentru instanţele judecătoreşti este dat de intrarea în vigoare, l</w:t>
      </w:r>
      <w:r w:rsidRPr="00564DC7">
        <w:rPr>
          <w:rFonts w:asciiTheme="minorHAnsi" w:hAnsiTheme="minorHAnsi" w:cstheme="minorHAnsi"/>
          <w:bCs/>
          <w:sz w:val="26"/>
          <w:szCs w:val="26"/>
        </w:rPr>
        <w:t xml:space="preserve">a data de 16 decembrie 2022 a dispoziţiilor noii Legi privind organizarea judiciară – Legea nr. 304/2022, care prevăd, printre altele, atribuţia Secţiei pentru judecători a Consiliului Superior al Magistraturii de a înfiinţa, prin hotărâre, la </w:t>
      </w:r>
      <w:r w:rsidRPr="00564DC7">
        <w:rPr>
          <w:rFonts w:asciiTheme="minorHAnsi" w:hAnsiTheme="minorHAnsi" w:cstheme="minorHAnsi"/>
          <w:sz w:val="26"/>
          <w:szCs w:val="26"/>
          <w:shd w:val="clear" w:color="auto" w:fill="FFFFFF"/>
        </w:rPr>
        <w:t>propunerea preşedintelui instanţei, completurile specializate, la curţile de apel şi tribunale, în cazul în care prin lege specială se prevede obligativitatea constituirii acestora [art. 45 alin. (2) din lege</w:t>
      </w:r>
      <w:r w:rsidRPr="00261D6B">
        <w:rPr>
          <w:rFonts w:asciiTheme="minorHAnsi" w:hAnsiTheme="minorHAnsi" w:cstheme="minorHAnsi"/>
          <w:sz w:val="26"/>
          <w:szCs w:val="26"/>
          <w:shd w:val="clear" w:color="auto" w:fill="FFFFFF"/>
        </w:rPr>
        <w:t>]</w:t>
      </w:r>
      <w:r w:rsidRPr="00564DC7">
        <w:rPr>
          <w:rFonts w:asciiTheme="minorHAnsi" w:hAnsiTheme="minorHAnsi" w:cstheme="minorHAnsi"/>
          <w:sz w:val="26"/>
          <w:szCs w:val="26"/>
          <w:shd w:val="clear" w:color="auto" w:fill="FFFFFF"/>
        </w:rPr>
        <w:t>.</w:t>
      </w:r>
    </w:p>
    <w:p w14:paraId="7A604CB9" w14:textId="2629B644" w:rsidR="00773195" w:rsidRPr="00564DC7" w:rsidRDefault="00773195" w:rsidP="006D2B12">
      <w:pPr>
        <w:ind w:firstLine="709"/>
        <w:jc w:val="both"/>
        <w:rPr>
          <w:rFonts w:asciiTheme="minorHAnsi" w:hAnsiTheme="minorHAnsi" w:cstheme="minorHAnsi"/>
          <w:sz w:val="26"/>
          <w:szCs w:val="26"/>
          <w:shd w:val="clear" w:color="auto" w:fill="FFFFFF"/>
        </w:rPr>
      </w:pPr>
      <w:r w:rsidRPr="00564DC7">
        <w:rPr>
          <w:rFonts w:asciiTheme="minorHAnsi" w:hAnsiTheme="minorHAnsi" w:cstheme="minorHAnsi"/>
          <w:sz w:val="26"/>
          <w:szCs w:val="26"/>
          <w:shd w:val="clear" w:color="auto" w:fill="FFFFFF"/>
        </w:rPr>
        <w:t>Relevante în acest sens sunt măsurile dispuse în şedinţa Comisiei nr. 1 – judecători -  Legislaţie şi cooperare interinstituţională din data de 19 ianuarie 2023, privind posibilitatea constituirii completurilor specializate la nivelul instanţelor judecătoreşti.</w:t>
      </w:r>
    </w:p>
    <w:p w14:paraId="5B6C5FF9" w14:textId="29420CAC" w:rsidR="00773195" w:rsidRPr="00564DC7" w:rsidRDefault="00773195" w:rsidP="006D2B12">
      <w:pPr>
        <w:ind w:firstLine="709"/>
        <w:jc w:val="both"/>
        <w:rPr>
          <w:rFonts w:asciiTheme="minorHAnsi" w:hAnsiTheme="minorHAnsi" w:cstheme="minorHAnsi"/>
          <w:bCs/>
          <w:sz w:val="26"/>
          <w:szCs w:val="26"/>
        </w:rPr>
      </w:pPr>
      <w:r w:rsidRPr="00564DC7">
        <w:rPr>
          <w:rFonts w:asciiTheme="minorHAnsi" w:hAnsiTheme="minorHAnsi" w:cstheme="minorHAnsi"/>
          <w:sz w:val="26"/>
          <w:szCs w:val="26"/>
          <w:shd w:val="clear" w:color="auto" w:fill="FFFFFF"/>
        </w:rPr>
        <w:t xml:space="preserve">Tot în domeniul organizării instanţelor, este de menţionat şi analiza efectuată la nivelul Serviciului resurse umane pentru instanţele judecătoreşti privind situaţia Judecătoriei Însurăţei, analiză care a condus la emiterea </w:t>
      </w:r>
      <w:r w:rsidRPr="00564DC7">
        <w:rPr>
          <w:rFonts w:asciiTheme="minorHAnsi" w:hAnsiTheme="minorHAnsi" w:cstheme="minorHAnsi"/>
          <w:bCs/>
          <w:sz w:val="26"/>
          <w:szCs w:val="26"/>
        </w:rPr>
        <w:t>Hotărârii Secţiei pentru Judecători nr. 1431 din 27 aprilie 2023, prin care s-a dispus sesizarea Ministerului Justiţiei în vederea iniţierii demersurilor pentru desfiinţarea acesteia.</w:t>
      </w:r>
    </w:p>
    <w:p w14:paraId="1C1173E7" w14:textId="65ECDE46" w:rsidR="00773195" w:rsidRPr="00564DC7" w:rsidRDefault="00773195" w:rsidP="006D2B12">
      <w:pPr>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De asemenea, Consiliul a emis şi avizul pentru rearondarea unui număr de 8 localităţi din circumscripţia Judecătoriei Balş la Judecătoria Slatina, rearondare care se regăseşte în proiectul de Hotărâre de Guvern elaborat de Ministerul Justiţiei în temeiul art. 42 alin.  (2) din legea nr. 304/2022, în baza unei analize efectuate la nivelul Direcţiei resurse umane şi organizare.</w:t>
      </w:r>
      <w:r w:rsidRPr="00564DC7">
        <w:rPr>
          <w:rFonts w:asciiTheme="minorHAnsi" w:hAnsiTheme="minorHAnsi" w:cstheme="minorHAnsi"/>
          <w:bCs/>
          <w:sz w:val="26"/>
          <w:szCs w:val="26"/>
        </w:rPr>
        <w:tab/>
      </w:r>
    </w:p>
    <w:p w14:paraId="64981B3D" w14:textId="191695EC" w:rsidR="00773195" w:rsidRPr="00564DC7" w:rsidRDefault="00773195" w:rsidP="00690186">
      <w:pPr>
        <w:ind w:right="3" w:firstLine="705"/>
        <w:jc w:val="both"/>
        <w:rPr>
          <w:rFonts w:asciiTheme="minorHAnsi" w:hAnsiTheme="minorHAnsi" w:cstheme="minorHAnsi"/>
          <w:sz w:val="26"/>
          <w:szCs w:val="26"/>
        </w:rPr>
      </w:pPr>
      <w:r w:rsidRPr="00564DC7">
        <w:rPr>
          <w:rFonts w:asciiTheme="minorHAnsi" w:hAnsiTheme="minorHAnsi" w:cstheme="minorHAnsi"/>
          <w:bCs/>
          <w:sz w:val="26"/>
          <w:szCs w:val="26"/>
        </w:rPr>
        <w:tab/>
        <w:t xml:space="preserve">Pornind de la obiectivele stabilite în cadrul </w:t>
      </w:r>
      <w:r w:rsidRPr="00564DC7">
        <w:rPr>
          <w:rFonts w:asciiTheme="minorHAnsi" w:hAnsiTheme="minorHAnsi" w:cstheme="minorHAnsi"/>
          <w:iCs/>
          <w:sz w:val="26"/>
          <w:szCs w:val="26"/>
        </w:rPr>
        <w:t>Grupului de lucru comun interinstituțional</w:t>
      </w:r>
      <w:r w:rsidRPr="00564DC7">
        <w:rPr>
          <w:rFonts w:asciiTheme="minorHAnsi" w:hAnsiTheme="minorHAnsi" w:cstheme="minorHAnsi"/>
          <w:sz w:val="26"/>
          <w:szCs w:val="26"/>
        </w:rPr>
        <w:t xml:space="preserve"> constituit la nivelul Ministerului Justiţiei vizând, printre altele, îndeplinirea obiectivului specific „3.6. – Suplimentarea posturilor de personal auxiliar: grefieri şi specialiști IT, la instanțe și parchete” din </w:t>
      </w:r>
      <w:r w:rsidRPr="00564DC7">
        <w:rPr>
          <w:rFonts w:asciiTheme="minorHAnsi" w:hAnsiTheme="minorHAnsi" w:cstheme="minorHAnsi"/>
          <w:bCs/>
          <w:sz w:val="26"/>
          <w:szCs w:val="26"/>
        </w:rPr>
        <w:t>Strategia pentru dezvoltarea sistemului judiciar (SDSJ) 2022-2025 și din Planul de activitate aferent acesteia (PASDSJ),</w:t>
      </w:r>
      <w:r w:rsidRPr="00564DC7">
        <w:rPr>
          <w:rFonts w:asciiTheme="minorHAnsi" w:hAnsiTheme="minorHAnsi" w:cstheme="minorHAnsi"/>
          <w:sz w:val="26"/>
          <w:szCs w:val="26"/>
        </w:rPr>
        <w:t xml:space="preserve"> la care participă reprezentanți ai Consiliului Superior al Magistraturii, ai Ministerului Justiției și Înaltei Curți de Casație și Justiție, propunerile formulate de compartimentul de specialitate</w:t>
      </w:r>
      <w:r w:rsidR="00255AD3">
        <w:rPr>
          <w:rFonts w:asciiTheme="minorHAnsi" w:hAnsiTheme="minorHAnsi" w:cstheme="minorHAnsi"/>
          <w:sz w:val="26"/>
          <w:szCs w:val="26"/>
        </w:rPr>
        <w:t>,</w:t>
      </w:r>
      <w:r w:rsidRPr="00564DC7">
        <w:rPr>
          <w:rFonts w:asciiTheme="minorHAnsi" w:hAnsiTheme="minorHAnsi" w:cstheme="minorHAnsi"/>
          <w:sz w:val="26"/>
          <w:szCs w:val="26"/>
        </w:rPr>
        <w:t xml:space="preserve"> având ca obiectiv </w:t>
      </w:r>
      <w:r w:rsidRPr="00564DC7">
        <w:rPr>
          <w:rFonts w:asciiTheme="minorHAnsi" w:hAnsiTheme="minorHAnsi" w:cstheme="minorHAnsi"/>
          <w:iCs/>
          <w:sz w:val="26"/>
          <w:szCs w:val="26"/>
        </w:rPr>
        <w:t>fundamentarea suplimentării posturilor de personal auxiliar de specialitate la nivelul instanțelor judecătorești cu 600 de posturi în cursul anului 2023</w:t>
      </w:r>
      <w:r w:rsidRPr="00564DC7">
        <w:rPr>
          <w:rFonts w:asciiTheme="minorHAnsi" w:hAnsiTheme="minorHAnsi" w:cstheme="minorHAnsi"/>
          <w:sz w:val="26"/>
          <w:szCs w:val="26"/>
        </w:rPr>
        <w:t>, au fost însuşite în şedinţa Comisiei nr. 2 – Judecători -  Resurse umane şi organizare din data de 3 octombrie 2023, cu menţiunea expresă c</w:t>
      </w:r>
      <w:r w:rsidR="00255AD3">
        <w:rPr>
          <w:rFonts w:asciiTheme="minorHAnsi" w:hAnsiTheme="minorHAnsi" w:cstheme="minorHAnsi"/>
          <w:sz w:val="26"/>
          <w:szCs w:val="26"/>
        </w:rPr>
        <w:t>ă</w:t>
      </w:r>
      <w:r w:rsidRPr="00564DC7">
        <w:rPr>
          <w:rFonts w:asciiTheme="minorHAnsi" w:hAnsiTheme="minorHAnsi" w:cstheme="minorHAnsi"/>
          <w:sz w:val="26"/>
          <w:szCs w:val="26"/>
        </w:rPr>
        <w:t xml:space="preserve"> la stabilirea necesarului de suplimentat să fie avută în vedere asigurarea raportului de 2 grefieri de şedinţă</w:t>
      </w:r>
      <w:r w:rsidR="00255AD3">
        <w:rPr>
          <w:rFonts w:asciiTheme="minorHAnsi" w:hAnsiTheme="minorHAnsi" w:cstheme="minorHAnsi"/>
          <w:sz w:val="26"/>
          <w:szCs w:val="26"/>
        </w:rPr>
        <w:t xml:space="preserve"> la un </w:t>
      </w:r>
      <w:r w:rsidRPr="00564DC7">
        <w:rPr>
          <w:rFonts w:asciiTheme="minorHAnsi" w:hAnsiTheme="minorHAnsi" w:cstheme="minorHAnsi"/>
          <w:sz w:val="26"/>
          <w:szCs w:val="26"/>
        </w:rPr>
        <w:t xml:space="preserve">judecător. </w:t>
      </w:r>
    </w:p>
    <w:p w14:paraId="3A59E773" w14:textId="77777777" w:rsidR="00773195" w:rsidRPr="00564DC7" w:rsidRDefault="00773195" w:rsidP="00690186">
      <w:pPr>
        <w:ind w:firstLine="705"/>
        <w:jc w:val="both"/>
        <w:rPr>
          <w:rFonts w:asciiTheme="minorHAnsi" w:hAnsiTheme="minorHAnsi" w:cstheme="minorHAnsi"/>
          <w:sz w:val="26"/>
          <w:szCs w:val="26"/>
          <w:shd w:val="clear" w:color="auto" w:fill="FFFFFF"/>
        </w:rPr>
      </w:pPr>
      <w:r w:rsidRPr="00564DC7">
        <w:rPr>
          <w:rFonts w:asciiTheme="minorHAnsi" w:hAnsiTheme="minorHAnsi" w:cstheme="minorHAnsi"/>
          <w:bCs/>
          <w:sz w:val="26"/>
          <w:szCs w:val="26"/>
        </w:rPr>
        <w:t xml:space="preserve">Totodată, problematica echilibrării schemelor de judecători şi procurori este analizată în cadrul </w:t>
      </w:r>
      <w:r w:rsidRPr="00564DC7">
        <w:rPr>
          <w:rFonts w:asciiTheme="minorHAnsi" w:hAnsiTheme="minorHAnsi" w:cstheme="minorHAnsi"/>
          <w:sz w:val="26"/>
          <w:szCs w:val="26"/>
        </w:rPr>
        <w:t>grupului de lucru interinstituţional constituit  î</w:t>
      </w:r>
      <w:r w:rsidRPr="00564DC7">
        <w:rPr>
          <w:rFonts w:asciiTheme="minorHAnsi" w:hAnsiTheme="minorHAnsi" w:cstheme="minorHAnsi"/>
          <w:bCs/>
          <w:sz w:val="26"/>
          <w:szCs w:val="26"/>
        </w:rPr>
        <w:t xml:space="preserve">n acord cu măsurile agreate în cadrul şedinţei </w:t>
      </w:r>
      <w:r w:rsidRPr="00564DC7">
        <w:rPr>
          <w:rFonts w:asciiTheme="minorHAnsi" w:hAnsiTheme="minorHAnsi" w:cstheme="minorHAnsi"/>
          <w:sz w:val="26"/>
          <w:szCs w:val="26"/>
        </w:rPr>
        <w:t>Consiliului de Management Strategic din data de 27.04.2023, vizând elaborarea unui studiu/concept privind o nouă hartă a instanţelor şi parchetelor, precum şi o strategie de resurse umane pe termen lung, inclusiv din perspectiva elementelor de dinamică demografică şi de dezvoltare economică a regiunilor pentru a aborda vulnerabilitatea constând în deficitul de resurse umane din sistemul judiciar, coordonat de Consiliul Superior al Magistraturii.</w:t>
      </w:r>
    </w:p>
    <w:p w14:paraId="2550D42E" w14:textId="77777777" w:rsidR="00773195" w:rsidRPr="00564DC7" w:rsidRDefault="00773195" w:rsidP="00690186">
      <w:pPr>
        <w:ind w:firstLine="708"/>
        <w:jc w:val="both"/>
        <w:rPr>
          <w:rFonts w:asciiTheme="minorHAnsi" w:hAnsiTheme="minorHAnsi" w:cstheme="minorHAnsi"/>
          <w:sz w:val="26"/>
          <w:szCs w:val="26"/>
        </w:rPr>
      </w:pPr>
      <w:r w:rsidRPr="00564DC7">
        <w:rPr>
          <w:rFonts w:asciiTheme="minorHAnsi" w:hAnsiTheme="minorHAnsi" w:cstheme="minorHAnsi"/>
          <w:sz w:val="26"/>
          <w:szCs w:val="26"/>
        </w:rPr>
        <w:t>Personalul din cadrul direcţiei a participat la activităţile comisiilor şi grupurilor de lucru constituite atât la nivelul Consiliului, cât şi la nivel interinstituţional, precum şi în cadrul proiectelor derulate de către instituţie.</w:t>
      </w:r>
    </w:p>
    <w:p w14:paraId="704B350C" w14:textId="77777777" w:rsidR="00370181" w:rsidRPr="00564DC7" w:rsidRDefault="00773195" w:rsidP="00370181">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egală măsură, Serviciul resurse umane pentru instanţele judecătoreşti şi Serviciul resurse umane pentru parchete au exercitat şi atribuţiile instituite de lege în sarcina Consiliului în domeniul declaraţiilor de avere şi de interese ale judecătorilor, procurorilor şi altor categorii de personal, în acord cu modificările legislative intervenite în privinţa modului de completare şi de </w:t>
      </w:r>
      <w:r w:rsidRPr="00564DC7">
        <w:rPr>
          <w:rFonts w:asciiTheme="minorHAnsi" w:hAnsiTheme="minorHAnsi" w:cstheme="minorHAnsi"/>
          <w:sz w:val="26"/>
          <w:szCs w:val="26"/>
        </w:rPr>
        <w:lastRenderedPageBreak/>
        <w:t>transmitere a declaraţiilor de avere şi de interese. Astfel, operaţiunile ce se efectuau pe suport de hârtie (formulare, registre, etc.) au fost realizate în format electronic</w:t>
      </w:r>
      <w:r w:rsidR="00370181">
        <w:rPr>
          <w:rFonts w:asciiTheme="minorHAnsi" w:hAnsiTheme="minorHAnsi" w:cstheme="minorHAnsi"/>
          <w:sz w:val="26"/>
          <w:szCs w:val="26"/>
        </w:rPr>
        <w:t xml:space="preserve">, </w:t>
      </w:r>
      <w:r w:rsidR="00370181" w:rsidRPr="00564DC7">
        <w:rPr>
          <w:rFonts w:asciiTheme="minorHAnsi" w:hAnsiTheme="minorHAnsi" w:cstheme="minorHAnsi"/>
          <w:sz w:val="26"/>
          <w:szCs w:val="26"/>
        </w:rPr>
        <w:t>prin intermediul aplicaţiei E-DAI a Agenţiei Naţionale de Integritate.</w:t>
      </w:r>
    </w:p>
    <w:p w14:paraId="7C0B6DA8" w14:textId="77777777" w:rsidR="00773195" w:rsidRPr="00564DC7" w:rsidRDefault="00773195" w:rsidP="00690186">
      <w:pPr>
        <w:ind w:firstLine="720"/>
        <w:jc w:val="both"/>
        <w:rPr>
          <w:rFonts w:asciiTheme="minorHAnsi" w:hAnsiTheme="minorHAnsi" w:cstheme="minorHAnsi"/>
          <w:b/>
          <w:sz w:val="26"/>
          <w:szCs w:val="26"/>
        </w:rPr>
      </w:pPr>
      <w:r w:rsidRPr="00564DC7">
        <w:rPr>
          <w:rFonts w:asciiTheme="minorHAnsi" w:hAnsiTheme="minorHAnsi" w:cstheme="minorHAnsi"/>
          <w:sz w:val="26"/>
          <w:szCs w:val="26"/>
        </w:rPr>
        <w:t>Volumul de activitate la nivelul Serviciului resurse umane pentru procurori a fost ridicat, fiind în continuare înregistrate numeroase solicitări de eliberare din funcţie prin pensionare, propuneri de delegare/încetare delegare/prelungire delegare, solicitări de numire în alte funcții de conducere decât cele care potrivit legii pot fi ocupate prin concurs sau examen, solicitări de continuare a activității la încetarea mandatului în funcția de conducere, solicitări privind acordarea de avize și alte lucrări,</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de competența Serviciului resurse umane pentru parchete, conform dispozițiilor art. 85 alin.( 4) din Regulamentul de organizare şi funcţionare a Consiliului Superior al Magistraturii, aprobat prin Hotărârea Plenului Consiliului Superior al Magistraturii nr. 122/2023</w:t>
      </w:r>
      <w:r w:rsidRPr="00255AD3">
        <w:rPr>
          <w:rFonts w:asciiTheme="minorHAnsi" w:hAnsiTheme="minorHAnsi" w:cstheme="minorHAnsi"/>
          <w:bCs/>
          <w:sz w:val="26"/>
          <w:szCs w:val="26"/>
        </w:rPr>
        <w:t>.</w:t>
      </w:r>
    </w:p>
    <w:p w14:paraId="3D4B2794" w14:textId="77777777" w:rsidR="00773195" w:rsidRPr="00564DC7" w:rsidRDefault="00773195"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cursul anului 2023 a fost declanșată o procedură de transfer a procurorilor, în perioada februarie - aprilie 2023. În cadrul acestei proceduri au fost înregistrate un număr de 207 cereri de transfer. </w:t>
      </w:r>
    </w:p>
    <w:p w14:paraId="1990C5B7" w14:textId="4EDF6088" w:rsidR="007A42F9" w:rsidRPr="007A42F9" w:rsidRDefault="007A42F9" w:rsidP="007A42F9">
      <w:pPr>
        <w:ind w:firstLine="720"/>
        <w:jc w:val="both"/>
        <w:rPr>
          <w:rFonts w:asciiTheme="minorHAnsi" w:hAnsiTheme="minorHAnsi" w:cstheme="minorHAnsi"/>
          <w:sz w:val="26"/>
          <w:szCs w:val="26"/>
        </w:rPr>
      </w:pPr>
      <w:r w:rsidRPr="007A42F9">
        <w:rPr>
          <w:rFonts w:asciiTheme="minorHAnsi" w:hAnsiTheme="minorHAnsi" w:cstheme="minorHAnsi"/>
          <w:sz w:val="26"/>
          <w:szCs w:val="26"/>
        </w:rPr>
        <w:t>În data de 15.12.2023 a fost declanșată a doua procedură de transfer a procurorilor care urmează a se finaliza în luna februarie 2024, fiind alocate 354 de posturi vacante de procuror.</w:t>
      </w:r>
    </w:p>
    <w:p w14:paraId="61FDCD21" w14:textId="77777777" w:rsidR="007A42F9" w:rsidRPr="007A42F9" w:rsidRDefault="007A42F9" w:rsidP="007A42F9">
      <w:pPr>
        <w:ind w:firstLine="720"/>
        <w:jc w:val="both"/>
        <w:rPr>
          <w:rFonts w:asciiTheme="minorHAnsi" w:hAnsiTheme="minorHAnsi" w:cstheme="minorHAnsi"/>
          <w:sz w:val="26"/>
          <w:szCs w:val="26"/>
        </w:rPr>
      </w:pPr>
      <w:r w:rsidRPr="007A42F9">
        <w:rPr>
          <w:rFonts w:asciiTheme="minorHAnsi" w:hAnsiTheme="minorHAnsi" w:cstheme="minorHAnsi"/>
          <w:sz w:val="26"/>
          <w:szCs w:val="26"/>
        </w:rPr>
        <w:t>De asemenea, în data de 08.11.2023, a fost publicat pe pagina de internet a instituției, anunțul referitor la organizarea unei sesiuni de transfer de la parchetele civile la parchetele militare. În ședința din data de 12.12.2023, Secția pentru procurori a admis cinci cereri de transfer ale procurorilor de la parchetele civile la cele militare.</w:t>
      </w:r>
    </w:p>
    <w:p w14:paraId="6E14B5DF" w14:textId="77777777" w:rsidR="00780209" w:rsidRDefault="00780209" w:rsidP="00690186">
      <w:pPr>
        <w:ind w:firstLine="720"/>
        <w:jc w:val="both"/>
        <w:rPr>
          <w:rFonts w:asciiTheme="minorHAnsi" w:eastAsiaTheme="minorHAnsi" w:hAnsiTheme="minorHAnsi" w:cstheme="minorHAnsi"/>
          <w:sz w:val="26"/>
          <w:szCs w:val="26"/>
        </w:rPr>
      </w:pPr>
    </w:p>
    <w:p w14:paraId="5D22B0D4" w14:textId="5E42DBB2" w:rsidR="00773195" w:rsidRPr="00564DC7" w:rsidRDefault="00773195" w:rsidP="00690186">
      <w:pPr>
        <w:ind w:firstLine="720"/>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În anul 2023,</w:t>
      </w:r>
      <w:r w:rsidRPr="00564DC7">
        <w:rPr>
          <w:rFonts w:asciiTheme="minorHAnsi" w:eastAsiaTheme="minorHAnsi" w:hAnsiTheme="minorHAnsi" w:cstheme="minorHAnsi"/>
          <w:b/>
          <w:sz w:val="26"/>
          <w:szCs w:val="26"/>
        </w:rPr>
        <w:t xml:space="preserve"> Biroul concursuri</w:t>
      </w:r>
      <w:r w:rsidRPr="00564DC7">
        <w:rPr>
          <w:rFonts w:asciiTheme="minorHAnsi" w:eastAsiaTheme="minorHAnsi" w:hAnsiTheme="minorHAnsi" w:cstheme="minorHAnsi"/>
          <w:sz w:val="26"/>
          <w:szCs w:val="26"/>
        </w:rPr>
        <w:t xml:space="preserve"> a fost implicat în derularea următoarelor concursuri/examene:</w:t>
      </w:r>
    </w:p>
    <w:p w14:paraId="16E6A124" w14:textId="77777777" w:rsidR="00773195" w:rsidRPr="00564DC7" w:rsidRDefault="00773195">
      <w:pPr>
        <w:pStyle w:val="ListParagraph"/>
        <w:widowControl w:val="0"/>
        <w:numPr>
          <w:ilvl w:val="0"/>
          <w:numId w:val="22"/>
        </w:numPr>
        <w:tabs>
          <w:tab w:val="left" w:pos="1080"/>
        </w:tabs>
        <w:suppressAutoHyphens/>
        <w:autoSpaceDN w:val="0"/>
        <w:jc w:val="both"/>
        <w:textAlignment w:val="baseline"/>
        <w:rPr>
          <w:rFonts w:asciiTheme="minorHAnsi" w:hAnsiTheme="minorHAnsi" w:cstheme="minorHAnsi"/>
          <w:sz w:val="26"/>
          <w:szCs w:val="26"/>
        </w:rPr>
      </w:pPr>
      <w:bookmarkStart w:id="131" w:name="_Hlk117501378"/>
      <w:r w:rsidRPr="00564DC7">
        <w:rPr>
          <w:rFonts w:asciiTheme="minorHAnsi" w:hAnsiTheme="minorHAnsi" w:cstheme="minorHAnsi"/>
          <w:b/>
          <w:sz w:val="26"/>
          <w:szCs w:val="26"/>
        </w:rPr>
        <w:t xml:space="preserve">Examenul de </w:t>
      </w:r>
      <w:bookmarkStart w:id="132" w:name="_Hlk117502882"/>
      <w:r w:rsidRPr="00564DC7">
        <w:rPr>
          <w:rFonts w:asciiTheme="minorHAnsi" w:hAnsiTheme="minorHAnsi" w:cstheme="minorHAnsi"/>
          <w:b/>
          <w:sz w:val="26"/>
          <w:szCs w:val="26"/>
        </w:rPr>
        <w:t>capacitate</w:t>
      </w:r>
      <w:bookmarkEnd w:id="132"/>
      <w:r w:rsidRPr="00564DC7">
        <w:rPr>
          <w:rFonts w:asciiTheme="minorHAnsi" w:hAnsiTheme="minorHAnsi" w:cstheme="minorHAnsi"/>
          <w:b/>
          <w:sz w:val="26"/>
          <w:szCs w:val="26"/>
        </w:rPr>
        <w:t xml:space="preserve"> al judecătorilor și procurorilor stagiari</w:t>
      </w:r>
      <w:r w:rsidRPr="00564DC7">
        <w:rPr>
          <w:rFonts w:asciiTheme="minorHAnsi" w:hAnsiTheme="minorHAnsi" w:cstheme="minorHAnsi"/>
          <w:sz w:val="26"/>
          <w:szCs w:val="26"/>
        </w:rPr>
        <w:t xml:space="preserve"> </w:t>
      </w:r>
    </w:p>
    <w:bookmarkEnd w:id="131"/>
    <w:p w14:paraId="28C099AD"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Examenul de capacitate organizat în perioada noiembrie 2022 - aprilie 2023;</w:t>
      </w:r>
    </w:p>
    <w:p w14:paraId="7FD45324" w14:textId="77777777" w:rsidR="00773195" w:rsidRPr="00564DC7" w:rsidRDefault="00773195" w:rsidP="00690186">
      <w:pPr>
        <w:rPr>
          <w:rFonts w:asciiTheme="minorHAnsi" w:hAnsiTheme="minorHAnsi" w:cstheme="minorHAnsi"/>
          <w:sz w:val="26"/>
          <w:szCs w:val="26"/>
        </w:rPr>
      </w:pPr>
      <w:r w:rsidRPr="00564DC7">
        <w:rPr>
          <w:rFonts w:asciiTheme="minorHAnsi" w:hAnsiTheme="minorHAnsi" w:cstheme="minorHAnsi"/>
          <w:sz w:val="26"/>
          <w:szCs w:val="26"/>
        </w:rPr>
        <w:t xml:space="preserve">         - Examenul de capacitate organizat în perioada noiembrie 2023 - aprilie 2024.</w:t>
      </w:r>
    </w:p>
    <w:p w14:paraId="0F868F5B" w14:textId="77777777" w:rsidR="00773195" w:rsidRPr="00564DC7" w:rsidRDefault="00773195">
      <w:pPr>
        <w:pStyle w:val="ListParagraph"/>
        <w:widowControl w:val="0"/>
        <w:numPr>
          <w:ilvl w:val="0"/>
          <w:numId w:val="22"/>
        </w:numPr>
        <w:tabs>
          <w:tab w:val="left" w:pos="1080"/>
        </w:tabs>
        <w:suppressAutoHyphens/>
        <w:autoSpaceDN w:val="0"/>
        <w:jc w:val="both"/>
        <w:textAlignment w:val="baseline"/>
        <w:rPr>
          <w:rFonts w:asciiTheme="minorHAnsi" w:hAnsiTheme="minorHAnsi" w:cstheme="minorHAnsi"/>
          <w:sz w:val="26"/>
          <w:szCs w:val="26"/>
        </w:rPr>
      </w:pPr>
      <w:r w:rsidRPr="00564DC7">
        <w:rPr>
          <w:rFonts w:asciiTheme="minorHAnsi" w:hAnsiTheme="minorHAnsi" w:cstheme="minorHAnsi"/>
          <w:b/>
          <w:sz w:val="26"/>
          <w:szCs w:val="26"/>
        </w:rPr>
        <w:t>Concursul de admitere la Școala Națională de Grefieri</w:t>
      </w:r>
      <w:r w:rsidRPr="00564DC7">
        <w:rPr>
          <w:rFonts w:asciiTheme="minorHAnsi" w:hAnsiTheme="minorHAnsi" w:cstheme="minorHAnsi"/>
          <w:sz w:val="26"/>
          <w:szCs w:val="26"/>
        </w:rPr>
        <w:t xml:space="preserve"> din 07 mai 2023;</w:t>
      </w:r>
    </w:p>
    <w:p w14:paraId="38365287" w14:textId="77777777" w:rsidR="00773195" w:rsidRPr="00564DC7" w:rsidRDefault="00773195">
      <w:pPr>
        <w:numPr>
          <w:ilvl w:val="0"/>
          <w:numId w:val="22"/>
        </w:numPr>
        <w:tabs>
          <w:tab w:val="left" w:pos="1080"/>
        </w:tabs>
        <w:contextualSpacing/>
        <w:jc w:val="both"/>
        <w:rPr>
          <w:rFonts w:asciiTheme="minorHAnsi" w:hAnsiTheme="minorHAnsi" w:cstheme="minorHAnsi"/>
          <w:b/>
          <w:sz w:val="26"/>
          <w:szCs w:val="26"/>
        </w:rPr>
      </w:pPr>
      <w:r w:rsidRPr="00564DC7">
        <w:rPr>
          <w:rFonts w:asciiTheme="minorHAnsi" w:hAnsiTheme="minorHAnsi" w:cstheme="minorHAnsi"/>
          <w:b/>
          <w:sz w:val="26"/>
          <w:szCs w:val="26"/>
        </w:rPr>
        <w:t>Numiri în funcții de conducere:</w:t>
      </w:r>
    </w:p>
    <w:p w14:paraId="1708CEED"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sau examenul pentru numirea în funcții de conducere a judecătorilor la curțile de apel, tribunale, tribunale specializate și judecătorii, organizat în perioada februarie - iunie 2023;</w:t>
      </w:r>
    </w:p>
    <w:p w14:paraId="47F71152"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sau examenul pentru numirea în funcții de conducere a judecătorilor la curțile de apel, tribunale, tribunale specializate şi judecătorii, organizat în perioada septembrie - decembrie 2023;</w:t>
      </w:r>
    </w:p>
    <w:p w14:paraId="6C604B9B"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sau examenul pentru numirea în funcții de conducere a procurorilor la parchetele de pe lângă curțile de apel, tribunale, tribunale specializate și judecătorii, organizat în perioada august - noiembrie 2023.</w:t>
      </w:r>
    </w:p>
    <w:p w14:paraId="45416AD3" w14:textId="77777777" w:rsidR="00773195" w:rsidRPr="00564DC7" w:rsidRDefault="00773195">
      <w:pPr>
        <w:numPr>
          <w:ilvl w:val="0"/>
          <w:numId w:val="22"/>
        </w:numPr>
        <w:tabs>
          <w:tab w:val="left" w:pos="1080"/>
        </w:tabs>
        <w:contextualSpacing/>
        <w:jc w:val="both"/>
        <w:rPr>
          <w:rFonts w:asciiTheme="minorHAnsi" w:hAnsiTheme="minorHAnsi" w:cstheme="minorHAnsi"/>
          <w:b/>
          <w:sz w:val="26"/>
          <w:szCs w:val="26"/>
        </w:rPr>
      </w:pPr>
      <w:r w:rsidRPr="00564DC7">
        <w:rPr>
          <w:rFonts w:asciiTheme="minorHAnsi" w:hAnsiTheme="minorHAnsi" w:cstheme="minorHAnsi"/>
          <w:b/>
          <w:sz w:val="26"/>
          <w:szCs w:val="26"/>
        </w:rPr>
        <w:t>Promovări în funcții de execuție:</w:t>
      </w:r>
    </w:p>
    <w:p w14:paraId="79AC01AE"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de promovare efectivă în funcții de execuție a judecătorilor, organizat in perioada mai - octombrie 2023;</w:t>
      </w:r>
    </w:p>
    <w:p w14:paraId="56C97907"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de promovare efectivă în funcții de execuție a procurorilor, organizat în perioada mai - octombrie 2023.</w:t>
      </w:r>
    </w:p>
    <w:p w14:paraId="0A34F576" w14:textId="77777777" w:rsidR="00773195" w:rsidRPr="00564DC7" w:rsidRDefault="00773195">
      <w:pPr>
        <w:pStyle w:val="ListParagraph"/>
        <w:numPr>
          <w:ilvl w:val="0"/>
          <w:numId w:val="22"/>
        </w:numPr>
        <w:jc w:val="both"/>
        <w:rPr>
          <w:rFonts w:asciiTheme="minorHAnsi" w:hAnsiTheme="minorHAnsi" w:cstheme="minorHAnsi"/>
          <w:sz w:val="26"/>
          <w:szCs w:val="26"/>
        </w:rPr>
      </w:pPr>
      <w:r w:rsidRPr="00564DC7">
        <w:rPr>
          <w:rFonts w:asciiTheme="minorHAnsi" w:hAnsiTheme="minorHAnsi" w:cstheme="minorHAnsi"/>
          <w:b/>
          <w:sz w:val="26"/>
          <w:szCs w:val="26"/>
        </w:rPr>
        <w:t>Concursul de promovare în funcția de judecător la Înalta Curte de Casație și Justiție</w:t>
      </w:r>
    </w:p>
    <w:p w14:paraId="2CB96345" w14:textId="77777777" w:rsidR="00773195" w:rsidRPr="00564DC7" w:rsidRDefault="00773195" w:rsidP="00690186">
      <w:pPr>
        <w:jc w:val="both"/>
        <w:rPr>
          <w:rFonts w:asciiTheme="minorHAnsi" w:hAnsiTheme="minorHAnsi" w:cstheme="minorHAnsi"/>
          <w:sz w:val="26"/>
          <w:szCs w:val="26"/>
        </w:rPr>
      </w:pPr>
      <w:r w:rsidRPr="00564DC7">
        <w:rPr>
          <w:rFonts w:asciiTheme="minorHAnsi" w:hAnsiTheme="minorHAnsi" w:cstheme="minorHAnsi"/>
          <w:sz w:val="26"/>
          <w:szCs w:val="26"/>
        </w:rPr>
        <w:t xml:space="preserve">        - Concurs de promovare în funcţia de judecător la Înalta Curte de Casaţie şi Justiţie - Secţia I Civilă, Secţia penală şi Secţia de contencios administrativ şi fiscal, organizat în perioada noiembrie 2022 - martie 2023;</w:t>
      </w:r>
    </w:p>
    <w:p w14:paraId="5F2218C5" w14:textId="77777777" w:rsidR="00773195" w:rsidRPr="00564DC7" w:rsidRDefault="00773195" w:rsidP="00690186">
      <w:pPr>
        <w:jc w:val="both"/>
        <w:rPr>
          <w:rFonts w:asciiTheme="minorHAnsi" w:hAnsiTheme="minorHAnsi" w:cstheme="minorHAnsi"/>
          <w:sz w:val="26"/>
          <w:szCs w:val="26"/>
        </w:rPr>
      </w:pPr>
      <w:r w:rsidRPr="00564DC7">
        <w:rPr>
          <w:rFonts w:asciiTheme="minorHAnsi" w:hAnsiTheme="minorHAnsi" w:cstheme="minorHAnsi"/>
          <w:sz w:val="26"/>
          <w:szCs w:val="26"/>
        </w:rPr>
        <w:t xml:space="preserve">        - Concurs de promovare în funcția de judecător la Înalta Curte de Casație și Justiție - Secția a II-a civilă, organizat în perioada noiembrie 2022 - martie 2023;</w:t>
      </w:r>
    </w:p>
    <w:p w14:paraId="3A1D1B14" w14:textId="77777777" w:rsidR="00773195" w:rsidRPr="00564DC7" w:rsidRDefault="00773195" w:rsidP="00690186">
      <w:pPr>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        - Concurs de promovare în funcția de judecător la Înalta Curte de Casație și Justiție, organizat în perioada aprilie - septembrie 2023;</w:t>
      </w:r>
    </w:p>
    <w:p w14:paraId="09A49C1F" w14:textId="77777777" w:rsidR="00773195" w:rsidRPr="00564DC7" w:rsidRDefault="00773195" w:rsidP="00690186">
      <w:pPr>
        <w:ind w:firstLine="360"/>
        <w:jc w:val="both"/>
        <w:rPr>
          <w:rFonts w:asciiTheme="minorHAnsi" w:hAnsiTheme="minorHAnsi" w:cstheme="minorHAnsi"/>
          <w:sz w:val="26"/>
          <w:szCs w:val="26"/>
        </w:rPr>
      </w:pPr>
      <w:r w:rsidRPr="00564DC7">
        <w:rPr>
          <w:rFonts w:asciiTheme="minorHAnsi" w:hAnsiTheme="minorHAnsi" w:cstheme="minorHAnsi"/>
          <w:sz w:val="26"/>
          <w:szCs w:val="26"/>
        </w:rPr>
        <w:t xml:space="preserve">  - Concurs de promovare în funcţia de judecător la Înalta Curte de Casaţie şi Justiţie, organizat în perioada noiembrie 2023 - martie 2024.</w:t>
      </w:r>
    </w:p>
    <w:p w14:paraId="0B05FA2D" w14:textId="77777777" w:rsidR="00773195" w:rsidRPr="00564DC7" w:rsidRDefault="00773195">
      <w:pPr>
        <w:numPr>
          <w:ilvl w:val="0"/>
          <w:numId w:val="22"/>
        </w:numPr>
        <w:tabs>
          <w:tab w:val="left" w:pos="1080"/>
        </w:tabs>
        <w:contextualSpacing/>
        <w:jc w:val="both"/>
        <w:rPr>
          <w:rFonts w:asciiTheme="minorHAnsi" w:hAnsiTheme="minorHAnsi" w:cstheme="minorHAnsi"/>
          <w:b/>
          <w:sz w:val="26"/>
          <w:szCs w:val="26"/>
        </w:rPr>
      </w:pPr>
      <w:r w:rsidRPr="00564DC7">
        <w:rPr>
          <w:rFonts w:asciiTheme="minorHAnsi" w:hAnsiTheme="minorHAnsi" w:cstheme="minorHAnsi"/>
          <w:b/>
          <w:sz w:val="26"/>
          <w:szCs w:val="26"/>
        </w:rPr>
        <w:t>Concursul de admitere în magistratură în condițiile art. 33 din Legea nr.  303/2004</w:t>
      </w:r>
    </w:p>
    <w:p w14:paraId="7F5B4A90" w14:textId="77777777" w:rsidR="00773195" w:rsidRPr="00564DC7" w:rsidRDefault="00773195" w:rsidP="00690186">
      <w:pPr>
        <w:tabs>
          <w:tab w:val="left" w:pos="1080"/>
        </w:tabs>
        <w:jc w:val="both"/>
        <w:rPr>
          <w:rFonts w:asciiTheme="minorHAnsi" w:hAnsiTheme="minorHAnsi" w:cstheme="minorHAnsi"/>
          <w:b/>
          <w:sz w:val="26"/>
          <w:szCs w:val="26"/>
        </w:rPr>
      </w:pPr>
      <w:r w:rsidRPr="00564DC7">
        <w:rPr>
          <w:rFonts w:asciiTheme="minorHAnsi" w:hAnsiTheme="minorHAnsi" w:cstheme="minorHAnsi"/>
          <w:bCs/>
          <w:sz w:val="26"/>
          <w:szCs w:val="26"/>
        </w:rPr>
        <w:t xml:space="preserve">        -</w:t>
      </w:r>
      <w:r w:rsidRPr="00564DC7">
        <w:rPr>
          <w:rFonts w:asciiTheme="minorHAnsi" w:hAnsiTheme="minorHAnsi" w:cstheme="minorHAnsi"/>
          <w:b/>
          <w:sz w:val="26"/>
          <w:szCs w:val="26"/>
        </w:rPr>
        <w:t xml:space="preserve"> </w:t>
      </w:r>
      <w:r w:rsidRPr="00564DC7">
        <w:rPr>
          <w:rFonts w:asciiTheme="minorHAnsi" w:hAnsiTheme="minorHAnsi" w:cstheme="minorHAnsi"/>
          <w:sz w:val="26"/>
          <w:szCs w:val="26"/>
        </w:rPr>
        <w:t>Concursul de admitere în magistratură, organizat în perioada 12 iulie 2022 - 02 martie 2023;</w:t>
      </w:r>
    </w:p>
    <w:p w14:paraId="6C487BAF" w14:textId="77777777" w:rsidR="00773195" w:rsidRPr="00564DC7" w:rsidRDefault="00773195" w:rsidP="00690186">
      <w:pPr>
        <w:tabs>
          <w:tab w:val="left" w:pos="1080"/>
        </w:tabs>
        <w:jc w:val="both"/>
        <w:rPr>
          <w:rFonts w:asciiTheme="minorHAnsi" w:hAnsiTheme="minorHAnsi" w:cstheme="minorHAnsi"/>
          <w:b/>
          <w:sz w:val="26"/>
          <w:szCs w:val="26"/>
        </w:rPr>
      </w:pPr>
      <w:r w:rsidRPr="00564DC7">
        <w:rPr>
          <w:rFonts w:asciiTheme="minorHAnsi" w:hAnsiTheme="minorHAnsi" w:cstheme="minorHAnsi"/>
          <w:b/>
          <w:sz w:val="26"/>
          <w:szCs w:val="26"/>
        </w:rPr>
        <w:t xml:space="preserve">        </w:t>
      </w:r>
      <w:r w:rsidRPr="00564DC7">
        <w:rPr>
          <w:rFonts w:asciiTheme="minorHAnsi" w:hAnsiTheme="minorHAnsi" w:cstheme="minorHAnsi"/>
          <w:bCs/>
          <w:sz w:val="26"/>
          <w:szCs w:val="26"/>
        </w:rPr>
        <w:t xml:space="preserve">- </w:t>
      </w:r>
      <w:r w:rsidRPr="00564DC7">
        <w:rPr>
          <w:rFonts w:asciiTheme="minorHAnsi" w:hAnsiTheme="minorHAnsi" w:cstheme="minorHAnsi"/>
          <w:sz w:val="26"/>
          <w:szCs w:val="26"/>
        </w:rPr>
        <w:t xml:space="preserve">Concursul de admitere în magistratură, </w:t>
      </w:r>
      <w:bookmarkStart w:id="133" w:name="_Hlk117502473"/>
      <w:r w:rsidRPr="00564DC7">
        <w:rPr>
          <w:rFonts w:asciiTheme="minorHAnsi" w:hAnsiTheme="minorHAnsi" w:cstheme="minorHAnsi"/>
          <w:sz w:val="26"/>
          <w:szCs w:val="26"/>
        </w:rPr>
        <w:t xml:space="preserve">organizat în perioada </w:t>
      </w:r>
      <w:bookmarkEnd w:id="133"/>
      <w:r w:rsidRPr="00564DC7">
        <w:rPr>
          <w:rFonts w:asciiTheme="minorHAnsi" w:hAnsiTheme="minorHAnsi" w:cstheme="minorHAnsi"/>
          <w:sz w:val="26"/>
          <w:szCs w:val="26"/>
        </w:rPr>
        <w:t>14 octombrie 2022 - 15 iunie 2023;</w:t>
      </w:r>
    </w:p>
    <w:p w14:paraId="33BDCEB4"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de admitere în magistratură, organizat în perioada 07 iulie 2023 – 06 martie 2024.</w:t>
      </w:r>
    </w:p>
    <w:p w14:paraId="13AF990C" w14:textId="77777777" w:rsidR="00773195" w:rsidRPr="00564DC7" w:rsidRDefault="00773195">
      <w:pPr>
        <w:numPr>
          <w:ilvl w:val="0"/>
          <w:numId w:val="22"/>
        </w:numPr>
        <w:tabs>
          <w:tab w:val="left" w:pos="1080"/>
        </w:tabs>
        <w:contextualSpacing/>
        <w:jc w:val="both"/>
        <w:rPr>
          <w:rFonts w:asciiTheme="minorHAnsi" w:hAnsiTheme="minorHAnsi" w:cstheme="minorHAnsi"/>
          <w:b/>
          <w:bCs/>
          <w:sz w:val="26"/>
          <w:szCs w:val="26"/>
        </w:rPr>
      </w:pPr>
      <w:r w:rsidRPr="00564DC7">
        <w:rPr>
          <w:rFonts w:asciiTheme="minorHAnsi" w:hAnsiTheme="minorHAnsi" w:cstheme="minorHAnsi"/>
          <w:b/>
          <w:sz w:val="26"/>
          <w:szCs w:val="26"/>
        </w:rPr>
        <w:t xml:space="preserve">Concursul de admitere la </w:t>
      </w:r>
      <w:r w:rsidRPr="00564DC7">
        <w:rPr>
          <w:rFonts w:asciiTheme="minorHAnsi" w:hAnsiTheme="minorHAnsi" w:cstheme="minorHAnsi"/>
          <w:b/>
          <w:bCs/>
          <w:sz w:val="26"/>
          <w:szCs w:val="26"/>
        </w:rPr>
        <w:t>Institutul Național al Magistraturii</w:t>
      </w:r>
    </w:p>
    <w:p w14:paraId="528F2A0A"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de admitere la Institutul Național al Magistraturii, organizat în perioada 12 iulie 2022 - 31 martie 2023;</w:t>
      </w:r>
    </w:p>
    <w:p w14:paraId="594CA2D0" w14:textId="77777777" w:rsidR="00773195" w:rsidRPr="00564DC7" w:rsidRDefault="00773195">
      <w:pPr>
        <w:widowControl w:val="0"/>
        <w:numPr>
          <w:ilvl w:val="0"/>
          <w:numId w:val="18"/>
        </w:numPr>
        <w:suppressAutoHyphens/>
        <w:autoSpaceDN w:val="0"/>
        <w:ind w:left="0" w:firstLine="567"/>
        <w:jc w:val="both"/>
        <w:textAlignment w:val="baseline"/>
        <w:rPr>
          <w:rFonts w:asciiTheme="minorHAnsi" w:hAnsiTheme="minorHAnsi" w:cstheme="minorHAnsi"/>
          <w:sz w:val="26"/>
          <w:szCs w:val="26"/>
        </w:rPr>
      </w:pPr>
      <w:r w:rsidRPr="00564DC7">
        <w:rPr>
          <w:rFonts w:asciiTheme="minorHAnsi" w:hAnsiTheme="minorHAnsi" w:cstheme="minorHAnsi"/>
          <w:sz w:val="26"/>
          <w:szCs w:val="26"/>
        </w:rPr>
        <w:t>Concursul de admitere la Institutul Național al Magistraturii, organizat în perioada 07 iulie 2023 – 28 martie 2024.</w:t>
      </w:r>
    </w:p>
    <w:p w14:paraId="6C0EF5F4" w14:textId="75BE244B" w:rsidR="00773195" w:rsidRPr="00564DC7" w:rsidRDefault="00773195" w:rsidP="00690186">
      <w:pPr>
        <w:widowControl w:val="0"/>
        <w:autoSpaceDE w:val="0"/>
        <w:autoSpaceDN w:val="0"/>
        <w:adjustRightInd w:val="0"/>
        <w:ind w:firstLine="567"/>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Având în vedere specificul fiecărui tip de concurs și activitățile ce se circumscriu sferei de competență a acestui compartiment, Biroul concursuri a realizat, în principal, următoarele tipuri de lucrări: documentația privind organizarea</w:t>
      </w:r>
      <w:r w:rsidRPr="00564DC7">
        <w:rPr>
          <w:rFonts w:asciiTheme="minorHAnsi" w:eastAsiaTheme="minorHAnsi" w:hAnsiTheme="minorHAnsi" w:cstheme="minorHAnsi"/>
          <w:i/>
          <w:sz w:val="26"/>
          <w:szCs w:val="26"/>
        </w:rPr>
        <w:t xml:space="preserve"> </w:t>
      </w:r>
      <w:r w:rsidRPr="00564DC7">
        <w:rPr>
          <w:rFonts w:asciiTheme="minorHAnsi" w:eastAsiaTheme="minorHAnsi" w:hAnsiTheme="minorHAnsi" w:cstheme="minorHAnsi"/>
          <w:sz w:val="26"/>
          <w:szCs w:val="26"/>
        </w:rPr>
        <w:t>concursurilor menționate, lucrările privind desemnarea componenței comisiilor de concurs, contractele de prestări servicii ale membrilor comisiilor de concurs, instrucțiunile privind desfășurarea probelor de concurs, analizarea și formularea de puncte de vedere asupra memoriilor formulate de candidați, instituții sau alte categorii de petenți, verificările privind îndeplinirea condiției de bună reputație a candidaților admiși la concursurile de admitere în magistratură, de admitere la Institutul Național al Magistraturii şi de admitere la Școala Națională de Grefieri, documentația privind validarea rezultatelor concursurilor și ale examenelor care se organizează de Consiliu, lucrările privind avizul Consiliului în vederea organizării concursurilor pentru ocuparea posturilor vacante de grefier la instanțe și parchete, elaborarea sau analizarea propunerilor de modificare a regulamentelor de concurs sau a dispozițiilor legale referitoare la concursuri.</w:t>
      </w:r>
    </w:p>
    <w:p w14:paraId="14FE7D2A" w14:textId="77777777" w:rsidR="00773195" w:rsidRPr="00564DC7" w:rsidRDefault="00773195" w:rsidP="00690186">
      <w:pPr>
        <w:widowControl w:val="0"/>
        <w:autoSpaceDE w:val="0"/>
        <w:autoSpaceDN w:val="0"/>
        <w:adjustRightInd w:val="0"/>
        <w:jc w:val="both"/>
        <w:rPr>
          <w:rFonts w:asciiTheme="minorHAnsi" w:hAnsiTheme="minorHAnsi" w:cstheme="minorHAnsi"/>
          <w:sz w:val="26"/>
          <w:szCs w:val="26"/>
        </w:rPr>
      </w:pPr>
    </w:p>
    <w:p w14:paraId="025CA234" w14:textId="787005F5" w:rsidR="006C1588" w:rsidRPr="006D2B12" w:rsidRDefault="006C1588" w:rsidP="006D2B12">
      <w:pPr>
        <w:pStyle w:val="Heading2"/>
        <w:keepNext w:val="0"/>
        <w:keepLines w:val="0"/>
        <w:suppressLineNumbers/>
        <w:suppressAutoHyphens/>
        <w:spacing w:line="240" w:lineRule="auto"/>
        <w:jc w:val="both"/>
        <w:rPr>
          <w:rFonts w:cstheme="minorHAnsi"/>
          <w:color w:val="auto"/>
          <w:lang w:val="ro-RO"/>
        </w:rPr>
      </w:pPr>
      <w:bookmarkStart w:id="134" w:name="_Toc155267909"/>
      <w:r w:rsidRPr="006D2B12">
        <w:rPr>
          <w:rFonts w:cstheme="minorHAnsi"/>
          <w:color w:val="auto"/>
          <w:lang w:val="ro-RO"/>
        </w:rPr>
        <w:t>VI.2. Activitatea Direcţiei legislaţie, documentare şi contencios</w:t>
      </w:r>
      <w:bookmarkEnd w:id="130"/>
      <w:bookmarkEnd w:id="134"/>
    </w:p>
    <w:p w14:paraId="4EBA3EEE" w14:textId="77777777" w:rsidR="00BC103D" w:rsidRPr="00BC103D" w:rsidRDefault="00BC103D" w:rsidP="00BC103D">
      <w:pPr>
        <w:autoSpaceDE w:val="0"/>
        <w:autoSpaceDN w:val="0"/>
        <w:adjustRightInd w:val="0"/>
        <w:ind w:firstLine="709"/>
        <w:jc w:val="both"/>
        <w:rPr>
          <w:rFonts w:ascii="Calibri" w:hAnsi="Calibri"/>
          <w:sz w:val="26"/>
          <w:szCs w:val="26"/>
        </w:rPr>
      </w:pPr>
      <w:r w:rsidRPr="00BC103D">
        <w:rPr>
          <w:rFonts w:ascii="Calibri" w:hAnsi="Calibri"/>
          <w:sz w:val="26"/>
          <w:szCs w:val="26"/>
        </w:rPr>
        <w:t>La nivelul Direcţiei Legislaţie, documentare şi contencios au fost înregistrate în perioada de referinţă 917 de lucrări, din care 395 la Serviciul legislaţie şi documentare şi 522 la Serviciul contencios.</w:t>
      </w:r>
    </w:p>
    <w:p w14:paraId="528F7011"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Activitatea derulată la nivelul </w:t>
      </w:r>
      <w:r w:rsidRPr="00564DC7">
        <w:rPr>
          <w:rFonts w:asciiTheme="minorHAnsi" w:hAnsiTheme="minorHAnsi" w:cstheme="minorHAnsi"/>
          <w:iCs/>
          <w:sz w:val="26"/>
          <w:szCs w:val="26"/>
        </w:rPr>
        <w:t>Serviciului legislaţie şi documentare</w:t>
      </w:r>
      <w:r w:rsidRPr="00564DC7">
        <w:rPr>
          <w:rFonts w:asciiTheme="minorHAnsi" w:hAnsiTheme="minorHAnsi" w:cstheme="minorHAnsi"/>
          <w:sz w:val="26"/>
          <w:szCs w:val="26"/>
        </w:rPr>
        <w:t xml:space="preserve"> este reflectată la Cap. I - secţiunea I.7. - Raporturile Consiliului Superior al Magistraturii cu puterea legislativă şi cea executivă şi la Cap. III – Activitatea derulată în legătură cu atribuţiile în materie legislativă ale Consiliului Superior al Magistraturii, astfel că nu va fi reluată.</w:t>
      </w:r>
    </w:p>
    <w:p w14:paraId="63CB2D04"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De asemenea, acest serviciu a sprijinit activitatea grupurilor de lucru constituite la nivelul Consiliului şi a asigurat participarea şi în cadrul şedinţelor comisiilor de specialitate.</w:t>
      </w:r>
    </w:p>
    <w:p w14:paraId="048AE16D"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Totodată, acest serviciu a efectuat toate demersurile în situațiile în care s-a impus consultarea instanțelor în legătură cu anumite propuneri sau proiecte legislative sau informarea instanțelor la solicitarea unor autorități.</w:t>
      </w:r>
    </w:p>
    <w:p w14:paraId="5EF6C672" w14:textId="6F7A0511"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În acest sens, în şedinţa din 19 ianuarie 2023, Comisia nr. 1 – judecători „Legislaţie şi cooperare interinstituţională” a analizat mai multe aspecte vizând interpretarea unor dispoziţii referitoare la completurile specializate din Regulamentul de ordine interioară al instanţelor judecătoreşti, aprobat prin Hotărârea Secţiei pentru judecători nr. 3243/2022, astfel încât să fie asigurate premisele pentru aplicarea unitară a acestora. Cu adresa nr. 1332/2023 din 19.01.2023 au fost informate curţile de apel cu privire la cele reţinute de comisie.</w:t>
      </w:r>
    </w:p>
    <w:p w14:paraId="3C27F7EE"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Prin adresa nr. 6192/2023 din 31.03.2023, instanţele au fost informate cu privire la necesitatea dispunerii măsurilor necesare pentru actualizarea informaţiilor de pe pagina de internet a instanţelor, raportat la dispoziţiile art. 12-14 din Regulamentul general privind protecţia datelor, prin art. 34 alin. (2) din Legea nr. 305/2022 privind Consiliul Superior al Magistraturii instituindu-se rolul Consiliului de autoritate competentă pentru supravegherea operaţiunilor de prelucrare a datelor cu caracter pesonal de către instanţele judecătoreşti în exercitarea atribuţiilor lor judiciare.</w:t>
      </w:r>
    </w:p>
    <w:p w14:paraId="645F2A3E"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Cu adresa nr. 13248 din 23.06.2023, a fost realizată consultarea instanţelor cu privire la adoptarea unei decizii preliminare privind normarea muncii. În acest sens, a fost solicitat punctul de vedere vizând modalitatea de determinare provizorie a volumului optim de muncă, reținând aspecte precum numărul de dosare sau puncte de complexitate - raportate fie la dosarele nou intrate, fie la dosarele rulate (cu luarea în considerare a operativității), într-un anumit interval de timp sau pe ședință (cu luarea în considerare a ritmicității ședințelor). Cu adresa nr. 5/13248 din 13.07.2023, reţinând situaţia actuală a resurselor umane de la nivelul instanţelor judecătoreşti raportat la numărul de cauze aflate pe rolul acestora, a fost transmisă instanţelor judecătoreşti Hotărârea Secţiei pentru judecători nr. 2040/2023 vizând unele măsuri provizorii privind normarea muncii.</w:t>
      </w:r>
    </w:p>
    <w:p w14:paraId="31E482FC" w14:textId="77777777" w:rsidR="0034506F" w:rsidRPr="00564DC7" w:rsidRDefault="0034506F" w:rsidP="00690186">
      <w:pPr>
        <w:tabs>
          <w:tab w:val="left" w:pos="720"/>
        </w:tabs>
        <w:ind w:firstLine="709"/>
        <w:jc w:val="both"/>
        <w:rPr>
          <w:rFonts w:asciiTheme="minorHAnsi" w:hAnsiTheme="minorHAnsi" w:cstheme="minorHAnsi"/>
          <w:sz w:val="26"/>
          <w:szCs w:val="26"/>
        </w:rPr>
      </w:pPr>
      <w:r w:rsidRPr="00564DC7">
        <w:rPr>
          <w:rFonts w:asciiTheme="minorHAnsi" w:hAnsiTheme="minorHAnsi" w:cstheme="minorHAnsi"/>
          <w:sz w:val="26"/>
          <w:szCs w:val="26"/>
        </w:rPr>
        <w:tab/>
        <w:t>Prin adresa nr. 1747 din 18.07.2023, Uniunea Naţională a Executorilor Judecătoreşti, având în vedere protestele declanşate în sistemul judiciar, a transmis Consiliului Superior al Magistraturii rugămintea de a acorda sprijin în vederea identificării unei soluţii cu privire la includerea pe lista cauzelor urgente, la nivel de judecătorii, a cererilor de încuviinţare a executărilor silite. În acest context, cu adresa nr. 15059/2023 din 19.07.2023, a fost transmis instanţelor judecătoreşti memoriul formulat de Uniunea Naţională a Executorilor Judecătoreşti în vederea analizării aspectelor semnalate.</w:t>
      </w:r>
    </w:p>
    <w:p w14:paraId="2681DE0E" w14:textId="77777777" w:rsidR="0034506F" w:rsidRPr="00564DC7" w:rsidRDefault="0034506F"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Serviciul legislație şi documentare a realizat consultarea instanţelor şi parchetelor în vederea exprimării unui punct de vedere referitor la necesitatea adoptării unui sistem real de etapizare a vârstei standard de pensionare, care să evite disfuncțiile și inechitățile din sistemul judiciar, cu asigurarea previzibilității și respectării statutului constituțional al magistraților (adresa nr. 11298 din 30.05.2023).</w:t>
      </w:r>
    </w:p>
    <w:p w14:paraId="5F309720" w14:textId="77777777" w:rsidR="0034506F" w:rsidRPr="00564DC7" w:rsidRDefault="0034506F"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De asemenea, Serviciul legislație şi documentare a realizat consultarea instanţelor în vederea comunicării propunerilor vizând plafonul maxim în limita căruia s-ar impune decontarea chiriei în localităţile în care se situează sediile instanţelor, precum şi informaţiile care au stat la baza fundamentării acestor propuneri (adresa nr. 26665/2022 din 11.09.2023).</w:t>
      </w:r>
    </w:p>
    <w:p w14:paraId="662290DF" w14:textId="1A83452A" w:rsidR="0034506F" w:rsidRPr="00564DC7" w:rsidRDefault="0034506F" w:rsidP="00690186">
      <w:pPr>
        <w:tabs>
          <w:tab w:val="left" w:pos="720"/>
        </w:tabs>
        <w:ind w:firstLine="709"/>
        <w:jc w:val="both"/>
        <w:rPr>
          <w:rFonts w:asciiTheme="minorHAnsi" w:hAnsiTheme="minorHAnsi" w:cstheme="minorHAnsi"/>
          <w:sz w:val="26"/>
          <w:szCs w:val="26"/>
        </w:rPr>
      </w:pPr>
      <w:r w:rsidRPr="00564DC7">
        <w:rPr>
          <w:rFonts w:asciiTheme="minorHAnsi" w:hAnsiTheme="minorHAnsi" w:cstheme="minorHAnsi"/>
          <w:sz w:val="26"/>
          <w:szCs w:val="26"/>
        </w:rPr>
        <w:tab/>
        <w:t>În procesul de elaborare a regulamentelor sau metodologiilor a căror adoptare intră în sfera de competenţă a Consiliului Superior al Magistraturii, Serviciul legislaţie şi documentare a realizat consultarea instanţelor sau, după caz, a parchetelor cu privire următoarele proiecte de regulament</w:t>
      </w:r>
      <w:r w:rsidR="00AB4BE5">
        <w:rPr>
          <w:rFonts w:asciiTheme="minorHAnsi" w:hAnsiTheme="minorHAnsi" w:cstheme="minorHAnsi"/>
          <w:sz w:val="26"/>
          <w:szCs w:val="26"/>
        </w:rPr>
        <w:t>e</w:t>
      </w:r>
      <w:r w:rsidRPr="00564DC7">
        <w:rPr>
          <w:rFonts w:asciiTheme="minorHAnsi" w:hAnsiTheme="minorHAnsi" w:cstheme="minorHAnsi"/>
          <w:sz w:val="26"/>
          <w:szCs w:val="26"/>
        </w:rPr>
        <w:t xml:space="preserve"> sau metodologii: proiectul Regulamentului privind concursul de promovare a judecătorilor, proiectul Regulamentului privind concursul de promovare a procurorilor, proiectul Regulamentului de ordine interioară al parchetelor, proiectul Regulamentului privind numirea în funcţii de conducere a procurorilor, proiectul de Metodologie privind detaşarea şi delegarea judecătorilor.</w:t>
      </w:r>
    </w:p>
    <w:p w14:paraId="571CAA94" w14:textId="77777777" w:rsidR="0034506F" w:rsidRPr="00564DC7" w:rsidRDefault="0034506F" w:rsidP="00690186">
      <w:pPr>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Dat fiind rolul Consiliului Superior al Magistraturii în îndeplinirea condiționalităților stabilite prin mecanismul de monitorizare al Strategiei naționale anticorupție 2021 - 2025, raportările privind implementarea noii strategii sunt centralizate la nivelul Consiliului pentru întregul sistem judiciar și, ulterior, transmise Secretariatului tehnic al SNA din cadrul Ministerului Justiţiei. În acest context, dată fiind necesitatea elaborării raportului interimar menționat, Serviciul legislaţie şi documentare a transmis parchetelor rugămintea de a transmite evoluțiile în implementarea măsurilor din SNA ce revin acestora în anul 2023, inclusiv cele cu caracter anual sau permanant (adresa 19150/09.10.2023).</w:t>
      </w:r>
    </w:p>
    <w:p w14:paraId="01C8DB5E"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Serviciul legislație şi documentare a întocmit şi note sau puncte de vedere referitoare la cererile de apărare a independenţei judecătorilor sau cererile de apărare a independenţei autorităţii judecătoreşti în ansamblul său. </w:t>
      </w:r>
    </w:p>
    <w:p w14:paraId="11945255" w14:textId="78C570F7" w:rsidR="0034506F" w:rsidRPr="00564DC7" w:rsidRDefault="0034506F" w:rsidP="00690186">
      <w:pPr>
        <w:tabs>
          <w:tab w:val="left" w:pos="720"/>
        </w:tabs>
        <w:ind w:firstLine="709"/>
        <w:jc w:val="both"/>
        <w:rPr>
          <w:rFonts w:asciiTheme="minorHAnsi" w:hAnsiTheme="minorHAnsi" w:cstheme="minorHAnsi"/>
          <w:sz w:val="26"/>
          <w:szCs w:val="26"/>
        </w:rPr>
      </w:pPr>
      <w:r w:rsidRPr="00564DC7">
        <w:rPr>
          <w:rFonts w:asciiTheme="minorHAnsi" w:hAnsiTheme="minorHAnsi" w:cstheme="minorHAnsi"/>
          <w:sz w:val="26"/>
          <w:szCs w:val="26"/>
        </w:rPr>
        <w:tab/>
        <w:t>De asemenea, Serviciul legislație şi documentare a transmis atât Institutului Naţional al Magistraturii, cât şi curţilor de apel şi parchetelor de pe lângă curţile de apel hotărârile pronunțate de Curtea Europeană a Drepturilor Omului în cauzele în care s-au constatat încălcări ale Convenţiei pentru apărarea drepturilor omului şi a libertăţilor fundamentale de către Statul rom</w:t>
      </w:r>
      <w:r w:rsidR="00AB4BE5">
        <w:rPr>
          <w:rFonts w:asciiTheme="minorHAnsi" w:hAnsiTheme="minorHAnsi" w:cstheme="minorHAnsi"/>
          <w:sz w:val="26"/>
          <w:szCs w:val="26"/>
        </w:rPr>
        <w:t>â</w:t>
      </w:r>
      <w:r w:rsidRPr="00564DC7">
        <w:rPr>
          <w:rFonts w:asciiTheme="minorHAnsi" w:hAnsiTheme="minorHAnsi" w:cstheme="minorHAnsi"/>
          <w:sz w:val="26"/>
          <w:szCs w:val="26"/>
        </w:rPr>
        <w:t>n, în vederea diseminării acestora în cadrul activităților de formare și pregătire profesională inițială și continuă, derulate în mod descentralizat sau organizate de Institutul Național al Magistraturii, respectiv în cadrul întâlnirilor profesionale periodice.</w:t>
      </w:r>
    </w:p>
    <w:p w14:paraId="02274EAB"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Nu în ultimul rând, Serviciul legislaţie şi documentare a întocmit puncte de vedere în legătură cu incompatibilitățile şi interdicțiile funcției de judecător şi procuror, la solicitarea acestora.</w:t>
      </w:r>
    </w:p>
    <w:p w14:paraId="39019AB0"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Conform prevederilor art. 95 alin. (2) lit. f) din Regulamentul de organizare și funcționare a Consiliului Superior al Magistraturii, aprobat prin Hotărârea Plenului Consiliului Superior al Magistraturii nr. 122/06.07.2023, una dintre atribuțiile </w:t>
      </w:r>
      <w:r w:rsidRPr="0019743C">
        <w:rPr>
          <w:rFonts w:asciiTheme="minorHAnsi" w:hAnsiTheme="minorHAnsi" w:cstheme="minorHAnsi"/>
          <w:iCs/>
          <w:sz w:val="26"/>
          <w:szCs w:val="26"/>
        </w:rPr>
        <w:t>Serviciului contencios</w:t>
      </w:r>
      <w:r w:rsidRPr="00564DC7">
        <w:rPr>
          <w:rFonts w:asciiTheme="minorHAnsi" w:hAnsiTheme="minorHAnsi" w:cstheme="minorHAnsi"/>
          <w:sz w:val="26"/>
          <w:szCs w:val="26"/>
        </w:rPr>
        <w:t xml:space="preserve"> este aceea de a întocmi lucrările referitoare la plângerile prealabile </w:t>
      </w:r>
      <w:r w:rsidRPr="00564DC7">
        <w:rPr>
          <w:rFonts w:asciiTheme="minorHAnsi" w:hAnsiTheme="minorHAnsi" w:cstheme="minorHAnsi"/>
          <w:sz w:val="26"/>
          <w:szCs w:val="26"/>
          <w:shd w:val="clear" w:color="auto" w:fill="FFFFFF"/>
        </w:rPr>
        <w:t>formulate împotriva hotărârilor secțiilor de către alte persoane decât judecătorii sau procurorii vizați de acestea şi la cele formulate împotriva hotărârilor Plenului Consiliului</w:t>
      </w:r>
      <w:r w:rsidRPr="00564DC7">
        <w:rPr>
          <w:rFonts w:asciiTheme="minorHAnsi" w:hAnsiTheme="minorHAnsi" w:cstheme="minorHAnsi"/>
          <w:sz w:val="26"/>
          <w:szCs w:val="26"/>
        </w:rPr>
        <w:t>.</w:t>
      </w:r>
    </w:p>
    <w:p w14:paraId="0D981DFF" w14:textId="60A1D2F6"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bCs/>
          <w:sz w:val="26"/>
          <w:szCs w:val="26"/>
        </w:rPr>
        <w:t xml:space="preserve">De asemenea, potrivit </w:t>
      </w:r>
      <w:r w:rsidRPr="00564DC7">
        <w:rPr>
          <w:rFonts w:asciiTheme="minorHAnsi" w:hAnsiTheme="minorHAnsi" w:cstheme="minorHAnsi"/>
          <w:sz w:val="26"/>
          <w:szCs w:val="26"/>
        </w:rPr>
        <w:t xml:space="preserve">prevederilor art. 95 alin. (2) lit. a), b), c), d) şi e) din Regulamentul de organizare şi funcţionare a Consiliului Superior al Magistraturii, Serviciul contencios </w:t>
      </w:r>
      <w:r w:rsidRPr="00564DC7">
        <w:rPr>
          <w:rFonts w:asciiTheme="minorHAnsi" w:hAnsiTheme="minorHAnsi" w:cstheme="minorHAnsi"/>
          <w:sz w:val="26"/>
          <w:szCs w:val="26"/>
          <w:shd w:val="clear" w:color="auto" w:fill="FFFFFF"/>
        </w:rPr>
        <w:t>avizează din punct de vedere al legalităţii orice măsură de natură să angajeze răspunderea patrimonială a ordonatorului principal de credite şi, dacă este cazul, formulează puncte de vedere pe aceste aspecte</w:t>
      </w:r>
      <w:r w:rsidRPr="00564DC7">
        <w:rPr>
          <w:rFonts w:asciiTheme="minorHAnsi" w:hAnsiTheme="minorHAnsi" w:cstheme="minorHAnsi"/>
          <w:sz w:val="26"/>
          <w:szCs w:val="26"/>
        </w:rPr>
        <w:t xml:space="preserve">, </w:t>
      </w:r>
      <w:r w:rsidRPr="00564DC7">
        <w:rPr>
          <w:rFonts w:asciiTheme="minorHAnsi" w:hAnsiTheme="minorHAnsi" w:cstheme="minorHAnsi"/>
          <w:sz w:val="26"/>
          <w:szCs w:val="26"/>
          <w:shd w:val="clear" w:color="auto" w:fill="FFFFFF"/>
        </w:rPr>
        <w:t xml:space="preserve">avizează din perspectiva  legalităţii orice măsură care ar putea aduce atingere drepturilor Consiliului, </w:t>
      </w:r>
      <w:r w:rsidRPr="00564DC7">
        <w:rPr>
          <w:rFonts w:asciiTheme="minorHAnsi" w:hAnsiTheme="minorHAnsi" w:cstheme="minorHAnsi"/>
          <w:sz w:val="26"/>
          <w:szCs w:val="26"/>
          <w:bdr w:val="none" w:sz="0" w:space="0" w:color="auto" w:frame="1"/>
          <w:shd w:val="clear" w:color="auto" w:fill="FFFFFF"/>
        </w:rPr>
        <w:t>avizează contractele încheiate de Consiliu în calitate de ordonator principal de credite, referatul de necesitate care se întocmeşte în conformitate cu </w:t>
      </w:r>
      <w:r w:rsidRPr="00564DC7">
        <w:rPr>
          <w:rStyle w:val="Hyperlink"/>
          <w:rFonts w:asciiTheme="minorHAnsi" w:hAnsiTheme="minorHAnsi" w:cstheme="minorHAnsi"/>
          <w:color w:val="auto"/>
          <w:sz w:val="26"/>
          <w:szCs w:val="26"/>
          <w:u w:val="none"/>
          <w:bdr w:val="none" w:sz="0" w:space="0" w:color="auto" w:frame="1"/>
          <w:shd w:val="clear" w:color="auto" w:fill="FFFFFF"/>
        </w:rPr>
        <w:t>HG</w:t>
      </w:r>
      <w:r w:rsidRPr="00564DC7">
        <w:rPr>
          <w:rFonts w:asciiTheme="minorHAnsi" w:hAnsiTheme="minorHAnsi" w:cstheme="minorHAnsi"/>
          <w:sz w:val="26"/>
          <w:szCs w:val="26"/>
          <w:bdr w:val="none" w:sz="0" w:space="0" w:color="auto" w:frame="1"/>
          <w:shd w:val="clear" w:color="auto" w:fill="FFFFFF"/>
        </w:rPr>
        <w:t xml:space="preserve"> nr. 395/2016, strategia de contractare privind achiziţia de servicii, precum şi contractele de achiziţie publică/acordul-cadru, </w:t>
      </w:r>
      <w:r w:rsidRPr="00564DC7">
        <w:rPr>
          <w:rFonts w:asciiTheme="minorHAnsi" w:hAnsiTheme="minorHAnsi" w:cstheme="minorHAnsi"/>
          <w:sz w:val="26"/>
          <w:szCs w:val="26"/>
          <w:shd w:val="clear" w:color="auto" w:fill="FFFFFF"/>
        </w:rPr>
        <w:t>avizează, la solicitarea unităţilor aflate în coordonarea Consiliului, contractele încheiate de acestea</w:t>
      </w:r>
      <w:r w:rsidRPr="00564DC7">
        <w:rPr>
          <w:rFonts w:asciiTheme="minorHAnsi" w:hAnsiTheme="minorHAnsi" w:cstheme="minorHAnsi"/>
          <w:sz w:val="26"/>
          <w:szCs w:val="26"/>
        </w:rPr>
        <w:t>.</w:t>
      </w:r>
    </w:p>
    <w:p w14:paraId="1FC371C4" w14:textId="77777777" w:rsidR="0034506F" w:rsidRPr="00564DC7" w:rsidRDefault="0034506F" w:rsidP="00690186">
      <w:pPr>
        <w:autoSpaceDE w:val="0"/>
        <w:autoSpaceDN w:val="0"/>
        <w:adjustRightInd w:val="0"/>
        <w:ind w:firstLine="709"/>
        <w:jc w:val="both"/>
        <w:rPr>
          <w:rFonts w:asciiTheme="minorHAnsi" w:hAnsiTheme="minorHAnsi" w:cstheme="minorHAnsi"/>
          <w:sz w:val="26"/>
          <w:szCs w:val="26"/>
        </w:rPr>
      </w:pPr>
      <w:r w:rsidRPr="00564DC7">
        <w:rPr>
          <w:rFonts w:asciiTheme="minorHAnsi" w:hAnsiTheme="minorHAnsi" w:cstheme="minorHAnsi"/>
          <w:sz w:val="26"/>
          <w:szCs w:val="26"/>
        </w:rPr>
        <w:t>Conform prevederilor art. 95 alin. (2) lit. g) din Regulamentul de organizare și funcționare a Consiliului Superior al Magistraturii, Serviciul contencios reprezintă Consiliul şi apără drepturile şi interesele acestuia în fața instanţelor judecătoreşti şi a altor organe de jurisdicții, formulând, în acest sens, acțiuni, cereri, întâmpinări şi alte lucrări.</w:t>
      </w:r>
    </w:p>
    <w:p w14:paraId="27F03389" w14:textId="77777777" w:rsidR="0034506F" w:rsidRPr="00564DC7" w:rsidRDefault="0034506F" w:rsidP="00690186">
      <w:pPr>
        <w:autoSpaceDE w:val="0"/>
        <w:autoSpaceDN w:val="0"/>
        <w:adjustRightInd w:val="0"/>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Ca şi în anii anteriori, dintre litigiile în care Consiliul Superior al Magistraturii a fost parte în cursul anului 2023, un loc important l-au ocupat acţiunile formulate de judecători şi procurori, în temeiul art. 29 alin. (6) din Legea nr. 305/2022, precum şi în temeiul Legii nr. 554/2004 privind contenciosul administrativ, împotriva hotărârilor adoptate de Plen şi de Secţiile corespunzătoare ale Consiliului privind cariera şi drepturile judecătorilor şi procurorilor. În acest sens, pot fi indicate cu titlu de exemplu contestațiile formulate împotriva hotărârilor privind transferul judecătorilor și procurilor, numirea din funcția de judecător în funcția de procuror sau viceversa, suspendarea din funcția de judecător sau procuror, acţiunile în anularea hotărârilor vizând organizarea şi desfăşurarea diferitelor concursuri (de admitere în magistratură, de promovare în funcţii de execuţie, numire în funcţii de conducere).</w:t>
      </w:r>
    </w:p>
    <w:p w14:paraId="785B560C" w14:textId="77777777" w:rsidR="00BC103D" w:rsidRPr="00BC103D" w:rsidRDefault="00BC103D" w:rsidP="00BC103D">
      <w:pPr>
        <w:autoSpaceDE w:val="0"/>
        <w:autoSpaceDN w:val="0"/>
        <w:adjustRightInd w:val="0"/>
        <w:ind w:firstLine="709"/>
        <w:jc w:val="both"/>
        <w:rPr>
          <w:rFonts w:asciiTheme="minorHAnsi" w:hAnsiTheme="minorHAnsi" w:cstheme="minorHAnsi"/>
          <w:bCs/>
          <w:sz w:val="26"/>
          <w:szCs w:val="26"/>
        </w:rPr>
      </w:pPr>
      <w:r w:rsidRPr="00BC103D">
        <w:rPr>
          <w:rFonts w:asciiTheme="minorHAnsi" w:hAnsiTheme="minorHAnsi" w:cstheme="minorHAnsi"/>
          <w:bCs/>
          <w:sz w:val="26"/>
          <w:szCs w:val="26"/>
        </w:rPr>
        <w:t>Astfel, până la data de 29 decembrie 2023, a fost înregistrat un număr de 178 de acţiuni având ca obiect astfel de hotărâri.</w:t>
      </w:r>
    </w:p>
    <w:p w14:paraId="63010ED5" w14:textId="77777777" w:rsidR="00BC103D" w:rsidRDefault="00BC103D" w:rsidP="00BC103D">
      <w:pPr>
        <w:suppressAutoHyphens/>
        <w:ind w:firstLine="720"/>
        <w:jc w:val="both"/>
        <w:rPr>
          <w:rFonts w:asciiTheme="minorHAnsi" w:hAnsiTheme="minorHAnsi" w:cstheme="minorHAnsi"/>
          <w:bCs/>
          <w:sz w:val="26"/>
          <w:szCs w:val="26"/>
        </w:rPr>
      </w:pPr>
      <w:r>
        <w:rPr>
          <w:rFonts w:asciiTheme="minorHAnsi" w:hAnsiTheme="minorHAnsi" w:cstheme="minorHAnsi"/>
          <w:bCs/>
          <w:sz w:val="26"/>
          <w:szCs w:val="26"/>
        </w:rPr>
        <w:t xml:space="preserve">De asemenea, au fost înregistrate o serie de acțiuni având ca obiect transformarea funcţiilor de personal contractual în funcții publice de execuţie, fără concurs, promovate de angajații Consiliului. </w:t>
      </w:r>
    </w:p>
    <w:p w14:paraId="3AA2E09D" w14:textId="77777777" w:rsidR="00BC103D" w:rsidRPr="00BC103D" w:rsidRDefault="00BC103D" w:rsidP="00BC103D">
      <w:pPr>
        <w:autoSpaceDE w:val="0"/>
        <w:autoSpaceDN w:val="0"/>
        <w:adjustRightInd w:val="0"/>
        <w:ind w:firstLine="709"/>
        <w:jc w:val="both"/>
        <w:rPr>
          <w:rFonts w:asciiTheme="minorHAnsi" w:hAnsiTheme="minorHAnsi" w:cstheme="minorHAnsi"/>
          <w:bCs/>
          <w:sz w:val="26"/>
          <w:szCs w:val="26"/>
        </w:rPr>
      </w:pPr>
      <w:r w:rsidRPr="00BC103D">
        <w:rPr>
          <w:rFonts w:asciiTheme="minorHAnsi" w:hAnsiTheme="minorHAnsi" w:cstheme="minorHAnsi"/>
          <w:bCs/>
          <w:sz w:val="26"/>
          <w:szCs w:val="26"/>
        </w:rPr>
        <w:lastRenderedPageBreak/>
        <w:t>Până la data de 29 decembrie 2023 au fost înregistrate în total 446 cauze noi în care Consiliul Superior al Magistraturii a figurat ca parte, la care se adaugă un stoc de 344 dosare rămase nesoluționate din anii anteriori (2006 - 2022).</w:t>
      </w:r>
    </w:p>
    <w:p w14:paraId="158FBBB5" w14:textId="77777777" w:rsidR="00BC103D" w:rsidRPr="00BC103D" w:rsidRDefault="00BC103D" w:rsidP="00BC103D">
      <w:pPr>
        <w:autoSpaceDE w:val="0"/>
        <w:autoSpaceDN w:val="0"/>
        <w:adjustRightInd w:val="0"/>
        <w:ind w:firstLine="709"/>
        <w:jc w:val="both"/>
        <w:rPr>
          <w:rFonts w:asciiTheme="minorHAnsi" w:hAnsiTheme="minorHAnsi" w:cstheme="minorHAnsi"/>
          <w:bCs/>
          <w:sz w:val="26"/>
          <w:szCs w:val="26"/>
        </w:rPr>
      </w:pPr>
      <w:r w:rsidRPr="00BC103D">
        <w:rPr>
          <w:rFonts w:asciiTheme="minorHAnsi" w:hAnsiTheme="minorHAnsi" w:cstheme="minorHAnsi"/>
          <w:bCs/>
          <w:sz w:val="26"/>
          <w:szCs w:val="26"/>
        </w:rPr>
        <w:t>În anul curent, din totalul de 790 de cauze rulate, 55 acţiuni au fost admise, 221 au fost respinse, 49 au fost suspendate, 20 au fost perimate şi în 24 cauze s-au înregistrat cereri de renunţare la judecată, rămânând astfel la data de 29 decembrie 2023, un număr de 470 cauze nesoluţionate.</w:t>
      </w:r>
    </w:p>
    <w:p w14:paraId="4620CBF8" w14:textId="77777777" w:rsidR="00BC103D" w:rsidRPr="00BC103D" w:rsidRDefault="00BC103D" w:rsidP="00BC103D">
      <w:pPr>
        <w:autoSpaceDE w:val="0"/>
        <w:autoSpaceDN w:val="0"/>
        <w:adjustRightInd w:val="0"/>
        <w:ind w:firstLine="709"/>
        <w:jc w:val="both"/>
        <w:rPr>
          <w:rFonts w:ascii="Calibri" w:hAnsi="Calibri"/>
          <w:bCs/>
          <w:sz w:val="26"/>
          <w:szCs w:val="26"/>
        </w:rPr>
      </w:pPr>
      <w:r w:rsidRPr="00BC103D">
        <w:rPr>
          <w:rFonts w:ascii="Calibri" w:hAnsi="Calibri"/>
          <w:bCs/>
          <w:sz w:val="26"/>
          <w:szCs w:val="26"/>
        </w:rPr>
        <w:t xml:space="preserve">De asemenea, în cursul anului 2023, până la data de 29 decembrie 2023, au fost înregistrate 76 plângeri prealabile, contestații, reclamații administrative formulate în temeiul Legii nr. 544/2001 privind liberul acces la informațiile de interes public, cu modificările şi completările ulterioare, precum şi alte solicitări adresate Consiliului Superior al Magistraturii, referitoare la aspecte ce ţin de activitatea acestuia, cu privire la care au fost întocmite puncte de vedere şi au fost transmise răspunsuri către petenți. </w:t>
      </w:r>
    </w:p>
    <w:p w14:paraId="733DD24A" w14:textId="77777777" w:rsidR="00BC103D" w:rsidRPr="00BC103D" w:rsidRDefault="00BC103D" w:rsidP="00BC103D">
      <w:pPr>
        <w:autoSpaceDE w:val="0"/>
        <w:autoSpaceDN w:val="0"/>
        <w:adjustRightInd w:val="0"/>
        <w:ind w:firstLine="709"/>
        <w:jc w:val="both"/>
        <w:rPr>
          <w:rFonts w:ascii="Calibri" w:hAnsi="Calibri"/>
          <w:bCs/>
          <w:sz w:val="26"/>
          <w:szCs w:val="26"/>
        </w:rPr>
      </w:pPr>
      <w:r w:rsidRPr="00BC103D">
        <w:rPr>
          <w:rFonts w:ascii="Calibri" w:hAnsi="Calibri"/>
          <w:bCs/>
          <w:sz w:val="26"/>
          <w:szCs w:val="26"/>
        </w:rPr>
        <w:t>În activitatea curentă, au fost avizate din punct de vedere al legalității un număr de 1522  de note şi contracte privitoare la angajarea răspunderii patrimoniale a instituţiei şi punerea în executare a unor hotărâri judecătoreşti, întocmite de celelalte compartimente din cadrul aparatului propriu al Consiliului Superior al Magistraturii.</w:t>
      </w:r>
    </w:p>
    <w:p w14:paraId="36C4FD19" w14:textId="225524B1" w:rsidR="0019743C" w:rsidRDefault="0019743C" w:rsidP="00780209">
      <w:pPr>
        <w:autoSpaceDE w:val="0"/>
        <w:autoSpaceDN w:val="0"/>
        <w:adjustRightInd w:val="0"/>
        <w:ind w:firstLine="709"/>
        <w:jc w:val="both"/>
        <w:rPr>
          <w:rFonts w:asciiTheme="minorHAnsi" w:hAnsiTheme="minorHAnsi" w:cstheme="minorHAnsi"/>
          <w:bCs/>
          <w:sz w:val="26"/>
          <w:szCs w:val="26"/>
        </w:rPr>
      </w:pPr>
      <w:r>
        <w:rPr>
          <w:rFonts w:asciiTheme="minorHAnsi" w:hAnsiTheme="minorHAnsi" w:cstheme="minorHAnsi"/>
          <w:bCs/>
          <w:sz w:val="26"/>
          <w:szCs w:val="26"/>
        </w:rPr>
        <w:t>U</w:t>
      </w:r>
      <w:r w:rsidR="0034506F" w:rsidRPr="00564DC7">
        <w:rPr>
          <w:rFonts w:asciiTheme="minorHAnsi" w:hAnsiTheme="minorHAnsi" w:cstheme="minorHAnsi"/>
          <w:bCs/>
          <w:sz w:val="26"/>
          <w:szCs w:val="26"/>
        </w:rPr>
        <w:t xml:space="preserve">n segment important al activităţii Serviciului contencios în perioada de referinţă a fost reprezentat de activităţile desfăşurate de personalul acestuia în cadrul comisiilor constituite la nivelul Consiliului Superior al Magistraturii, cum ar fi: </w:t>
      </w:r>
      <w:r w:rsidR="0034506F" w:rsidRPr="00564DC7">
        <w:rPr>
          <w:rFonts w:asciiTheme="minorHAnsi" w:hAnsiTheme="minorHAnsi" w:cstheme="minorHAnsi"/>
          <w:sz w:val="26"/>
          <w:szCs w:val="26"/>
        </w:rPr>
        <w:t xml:space="preserve">Comisia de soluţionare a reclamaţiilor administrative constituită în baza art. 21 din Legea nr. 544/2001, </w:t>
      </w:r>
      <w:r w:rsidR="0034506F" w:rsidRPr="00564DC7">
        <w:rPr>
          <w:rFonts w:asciiTheme="minorHAnsi" w:hAnsiTheme="minorHAnsi" w:cstheme="minorHAnsi"/>
          <w:bCs/>
          <w:sz w:val="26"/>
          <w:szCs w:val="26"/>
          <w:shd w:val="clear" w:color="auto" w:fill="FFFFFF"/>
        </w:rPr>
        <w:t xml:space="preserve">cu modificările şi completările ulterioare, </w:t>
      </w:r>
      <w:r w:rsidR="0034506F" w:rsidRPr="00564DC7">
        <w:rPr>
          <w:rFonts w:asciiTheme="minorHAnsi" w:hAnsiTheme="minorHAnsi" w:cstheme="minorHAnsi"/>
          <w:bCs/>
          <w:sz w:val="26"/>
          <w:szCs w:val="26"/>
        </w:rPr>
        <w:t>şi în cadrul diverselor proiecte, cum ar fi: „TAEJ – Transparenţă, accesibilitate şi educaţie juridică prin îmbunătăţirea comunicării publice la nivelul sistemului judiciar” (cod MYSMIS 118765/SIPOCA454), proiectul „Optimizarea managementului la nivelul sistemului judiciar. Componenta de instanţe judecătoreşti” (cod MYSMIS 129513/SIPOCA 751), proiectul „Eliminarea factorilor pentru inflaţia de cauze, identificarea elementelor normative şi a tendinţelor de aglomerare – EFICIENŢĂ” (cod MySMIS 129914/ cod SIPOCA 752) şi CPCI – Creșterea performanței și calității instituționale prin îmbunătățirea sistemului de evaluare și asistență psihologică la nivelul sistemului judiciar" (cod SIPOCA 762/MySMIS 135456), „Consolidarea capacității organizaționale și administrative a Consiliului Superior al Magistraturii” (cod SIPOCA/MySMIS 760/135225) şi „Formarea profesională și consolidarea capacității la nivelul sistemului judiciar”, finanțat prin Programul „Justiție”, în cadrul Mecanismului Financiar Norvegian (MFN) 2014-2021.</w:t>
      </w:r>
    </w:p>
    <w:p w14:paraId="6B2BC769" w14:textId="77777777" w:rsidR="00780209" w:rsidRDefault="00780209" w:rsidP="00780209">
      <w:pPr>
        <w:autoSpaceDE w:val="0"/>
        <w:autoSpaceDN w:val="0"/>
        <w:adjustRightInd w:val="0"/>
        <w:ind w:firstLine="709"/>
        <w:jc w:val="both"/>
        <w:rPr>
          <w:rFonts w:asciiTheme="minorHAnsi" w:hAnsiTheme="minorHAnsi" w:cstheme="minorHAnsi"/>
          <w:bCs/>
          <w:sz w:val="26"/>
          <w:szCs w:val="26"/>
        </w:rPr>
      </w:pPr>
    </w:p>
    <w:p w14:paraId="6170BB29" w14:textId="225C3ADD" w:rsidR="006D3862" w:rsidRPr="00564DC7" w:rsidRDefault="006C1588" w:rsidP="006D2B12">
      <w:pPr>
        <w:pStyle w:val="Heading2"/>
        <w:keepNext w:val="0"/>
        <w:keepLines w:val="0"/>
        <w:suppressLineNumbers/>
        <w:suppressAutoHyphens/>
        <w:spacing w:line="240" w:lineRule="auto"/>
        <w:jc w:val="both"/>
        <w:rPr>
          <w:rFonts w:cstheme="minorHAnsi"/>
          <w:color w:val="auto"/>
          <w:lang w:val="ro-RO"/>
        </w:rPr>
      </w:pPr>
      <w:bookmarkStart w:id="135" w:name="_Toc155267910"/>
      <w:r w:rsidRPr="00564DC7">
        <w:rPr>
          <w:rFonts w:cstheme="minorHAnsi"/>
          <w:color w:val="auto"/>
          <w:lang w:val="ro-RO"/>
        </w:rPr>
        <w:t>VI.3.</w:t>
      </w:r>
      <w:r w:rsidR="00143852" w:rsidRPr="00564DC7">
        <w:rPr>
          <w:rFonts w:cstheme="minorHAnsi"/>
          <w:color w:val="auto"/>
          <w:lang w:val="ro-RO"/>
        </w:rPr>
        <w:t xml:space="preserve"> </w:t>
      </w:r>
      <w:r w:rsidRPr="00564DC7">
        <w:rPr>
          <w:rFonts w:cstheme="minorHAnsi"/>
          <w:color w:val="auto"/>
          <w:lang w:val="ro-RO"/>
        </w:rPr>
        <w:t>Activitatea Direcţiei afaceri europene, relaţii internaţionale şi programe</w:t>
      </w:r>
      <w:bookmarkStart w:id="136" w:name="_Toc430867130"/>
      <w:bookmarkEnd w:id="135"/>
      <w:r w:rsidRPr="00564DC7">
        <w:rPr>
          <w:rFonts w:cstheme="minorHAnsi"/>
          <w:color w:val="auto"/>
          <w:lang w:val="ro-RO"/>
        </w:rPr>
        <w:t xml:space="preserve"> </w:t>
      </w:r>
      <w:bookmarkStart w:id="137" w:name="_Toc381021553"/>
      <w:bookmarkStart w:id="138" w:name="_Toc430867131"/>
      <w:bookmarkEnd w:id="136"/>
    </w:p>
    <w:p w14:paraId="42D0E4A6" w14:textId="77777777" w:rsidR="0034506F" w:rsidRPr="00564DC7" w:rsidRDefault="0034506F"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Consolidarea relațiilor interne și internaționale ale Consiliului Superior al Magistraturii se înscrie drept un capitol distinct în cadrul direcțiilor prioritare de acțiune pentru mandatul în curs</w:t>
      </w:r>
      <w:r w:rsidRPr="00564DC7">
        <w:rPr>
          <w:rStyle w:val="FootnoteReference"/>
          <w:rFonts w:asciiTheme="minorHAnsi" w:eastAsia="Trebuchet MS" w:hAnsiTheme="minorHAnsi" w:cstheme="minorHAnsi"/>
          <w:sz w:val="26"/>
          <w:szCs w:val="26"/>
        </w:rPr>
        <w:footnoteReference w:id="1"/>
      </w:r>
      <w:r w:rsidRPr="00564DC7">
        <w:rPr>
          <w:rFonts w:asciiTheme="minorHAnsi" w:hAnsiTheme="minorHAnsi" w:cstheme="minorHAnsi"/>
          <w:sz w:val="26"/>
          <w:szCs w:val="26"/>
        </w:rPr>
        <w:t>.</w:t>
      </w:r>
    </w:p>
    <w:p w14:paraId="62E07CD5" w14:textId="152790FA" w:rsidR="0034506F" w:rsidRPr="00564DC7" w:rsidRDefault="0034506F"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Astfel, în ceea ce privește cooperarea loială cu celelalte autorități și instituții publice, inclusiv din perspectiva îndeplinirii recomandărilor și obiectivelor asumate în domeniul afacerilor europene, Consiliul își reafirmă preocuparea și implicarea constantă și activă în îndeplinirea direcțiilor asumate în domeniul reformării sistemului judiciar și al păstrării caracterului ireversibil al acestora, în contextul recomandărilor formulate la nivel european, precum și deschiderea spre continuarea cooperării loiale cu celelalte autorități implicate în procesul de reformă.</w:t>
      </w:r>
    </w:p>
    <w:p w14:paraId="5921F0FC" w14:textId="77777777" w:rsidR="0034506F" w:rsidRPr="00564DC7" w:rsidRDefault="0034506F" w:rsidP="00690186">
      <w:pPr>
        <w:shd w:val="clear" w:color="auto" w:fill="FFFFFF"/>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 De asemenea, un alt obiectiv vizează menținerea unei bune colaborări cu instituții omoloage din celelalte sisteme judiciare din cadrul Uniunii Europene, la nivel bilateral, dar și în cadrul Rețelei Europene a Consiliilor Judiciare, precum și a colaborării cu entitățile din cadrul </w:t>
      </w:r>
      <w:r w:rsidRPr="00564DC7">
        <w:rPr>
          <w:rFonts w:asciiTheme="minorHAnsi" w:hAnsiTheme="minorHAnsi" w:cstheme="minorHAnsi"/>
          <w:sz w:val="26"/>
          <w:szCs w:val="26"/>
        </w:rPr>
        <w:lastRenderedPageBreak/>
        <w:t xml:space="preserve">Consiliului Europei sau cu alte organisme internaționale în domeniile de competență ale Consiliului Superior al Magistraturii. Consiliul își manifestă același interes și cu privire la implicarea în domeniul relațiilor internaționale, la nivel european și internațional. Experiența schimbului de bune practici, relaționarea deja consolidată cu instituții omoloage la nivel european sau internațional ori în cadrul rețelelor de cooperare vor fi fructificate și dezvoltate pe parcursul acestui mandat. </w:t>
      </w:r>
    </w:p>
    <w:p w14:paraId="26E53938" w14:textId="0626EC2F" w:rsidR="0034506F" w:rsidRPr="00564DC7" w:rsidRDefault="0034506F" w:rsidP="00690186">
      <w:pPr>
        <w:ind w:firstLine="709"/>
        <w:jc w:val="both"/>
        <w:rPr>
          <w:rFonts w:asciiTheme="minorHAnsi" w:hAnsiTheme="minorHAnsi" w:cstheme="minorHAnsi"/>
        </w:rPr>
      </w:pPr>
      <w:r w:rsidRPr="00564DC7">
        <w:rPr>
          <w:rFonts w:asciiTheme="minorHAnsi" w:hAnsiTheme="minorHAnsi" w:cstheme="minorHAnsi"/>
          <w:sz w:val="26"/>
          <w:szCs w:val="26"/>
        </w:rPr>
        <w:t>Consiliul își reafirmă, în contextul politicii sale de relații internaționale, preocuparea pentru menținerea unei colaborări dinamice, eficiente, care să aducă perspective noi, utile în contextul reformării sistemului judiciar și care să permită, totodată, afirmarea în plan extern a conceptelor inovatoare promovate deja la nivel național, dar mai ales care să faciliteze dialogul direct, schimbul de experiență și cooperarea magistraților români cu colegii din alte sisteme judiciare.</w:t>
      </w:r>
    </w:p>
    <w:p w14:paraId="36C754EC" w14:textId="1A9FC4D7" w:rsidR="006C1588" w:rsidRPr="00564DC7" w:rsidRDefault="006C1588" w:rsidP="00690186">
      <w:pPr>
        <w:pStyle w:val="Heading3"/>
        <w:keepNext w:val="0"/>
        <w:keepLines w:val="0"/>
        <w:suppressLineNumbers/>
        <w:suppressAutoHyphens/>
        <w:spacing w:line="240" w:lineRule="auto"/>
        <w:jc w:val="both"/>
        <w:rPr>
          <w:rFonts w:cstheme="minorHAnsi"/>
          <w:color w:val="auto"/>
        </w:rPr>
      </w:pPr>
      <w:bookmarkStart w:id="139" w:name="_Toc155267911"/>
      <w:r w:rsidRPr="00564DC7">
        <w:rPr>
          <w:rFonts w:cstheme="minorHAnsi"/>
          <w:color w:val="auto"/>
        </w:rPr>
        <w:t>VI.3.1.</w:t>
      </w:r>
      <w:r w:rsidR="000B639A" w:rsidRPr="00564DC7">
        <w:rPr>
          <w:rFonts w:cstheme="minorHAnsi"/>
          <w:color w:val="auto"/>
        </w:rPr>
        <w:t xml:space="preserve"> </w:t>
      </w:r>
      <w:bookmarkStart w:id="140" w:name="_Toc381021554"/>
      <w:bookmarkStart w:id="141" w:name="_Toc430867132"/>
      <w:bookmarkEnd w:id="137"/>
      <w:bookmarkEnd w:id="138"/>
      <w:r w:rsidR="0034506F" w:rsidRPr="00564DC7">
        <w:rPr>
          <w:rFonts w:cstheme="minorHAnsi"/>
          <w:bCs/>
          <w:color w:val="auto"/>
          <w:szCs w:val="26"/>
        </w:rPr>
        <w:t>Activitatea referitoare la Mecanismul european  privind statul de drept</w:t>
      </w:r>
      <w:bookmarkEnd w:id="139"/>
    </w:p>
    <w:p w14:paraId="2BC8E761" w14:textId="77777777" w:rsidR="0034506F" w:rsidRPr="00F8687F" w:rsidRDefault="0034506F" w:rsidP="00690186">
      <w:pPr>
        <w:ind w:firstLine="720"/>
        <w:jc w:val="both"/>
        <w:rPr>
          <w:rFonts w:asciiTheme="minorHAnsi" w:hAnsiTheme="minorHAnsi" w:cstheme="minorHAnsi"/>
          <w:sz w:val="26"/>
          <w:szCs w:val="26"/>
        </w:rPr>
      </w:pPr>
      <w:r w:rsidRPr="00F8687F">
        <w:rPr>
          <w:rFonts w:asciiTheme="minorHAnsi" w:hAnsiTheme="minorHAnsi" w:cstheme="minorHAnsi"/>
          <w:sz w:val="26"/>
          <w:szCs w:val="26"/>
        </w:rPr>
        <w:t>După cum se cunoaște, începând cu anul 2020, Comisia Europeană (CE) a introdus un nou instrument de evaluare a tuturor statelor membre, sub aspectul funcționării statului de drept – mecanismul statului de drept, prin care CE şi-a propus facilitarea înțelegerii reciproce prin intermediul dialogului, abordarea unitară a provocărilor privind statul de drept, stimularea cooperării interinstituționale, tratarea egală a statelor membre, stabilirea unui ritm anual de dezbatere în Consiliul și în Parlamentul European, impulsionarea reformelor necesare la nivel național.</w:t>
      </w:r>
    </w:p>
    <w:p w14:paraId="5561362D" w14:textId="77777777" w:rsidR="0034506F" w:rsidRPr="00F8687F" w:rsidRDefault="0034506F" w:rsidP="00690186">
      <w:pPr>
        <w:ind w:firstLine="720"/>
        <w:jc w:val="both"/>
        <w:rPr>
          <w:rFonts w:asciiTheme="minorHAnsi" w:hAnsiTheme="minorHAnsi" w:cstheme="minorHAnsi"/>
          <w:sz w:val="26"/>
          <w:szCs w:val="26"/>
        </w:rPr>
      </w:pPr>
      <w:r w:rsidRPr="00F8687F">
        <w:rPr>
          <w:rFonts w:asciiTheme="minorHAnsi" w:hAnsiTheme="minorHAnsi" w:cstheme="minorHAnsi"/>
          <w:sz w:val="26"/>
          <w:szCs w:val="26"/>
        </w:rPr>
        <w:t xml:space="preserve">Astfel, o primă etapă în contextul acestui nou mecanism o constituie </w:t>
      </w:r>
      <w:r w:rsidRPr="00F8687F">
        <w:rPr>
          <w:rFonts w:asciiTheme="minorHAnsi" w:hAnsiTheme="minorHAnsi" w:cstheme="minorHAnsi"/>
          <w:iCs/>
          <w:sz w:val="26"/>
          <w:szCs w:val="26"/>
        </w:rPr>
        <w:t>elaborarea unui raport național</w:t>
      </w:r>
      <w:r w:rsidRPr="00F8687F">
        <w:rPr>
          <w:rFonts w:asciiTheme="minorHAnsi" w:hAnsiTheme="minorHAnsi" w:cstheme="minorHAnsi"/>
          <w:sz w:val="26"/>
          <w:szCs w:val="26"/>
        </w:rPr>
        <w:t>, pe baza structurii şi temelor indicate de Comisia Europeană, structurat pe 4 piloni: sistemul de justiţie (independenţa, calitatea, eficienţa), cadrul anticorupţie, pluralismul media şi echilibrul puterilor în stat, aceasta fiind urmată de organizarea unor vizite (</w:t>
      </w:r>
      <w:r w:rsidRPr="00F8687F">
        <w:rPr>
          <w:rFonts w:asciiTheme="minorHAnsi" w:hAnsiTheme="minorHAnsi" w:cstheme="minorHAnsi"/>
          <w:iCs/>
          <w:sz w:val="26"/>
          <w:szCs w:val="26"/>
        </w:rPr>
        <w:t>country visits)</w:t>
      </w:r>
      <w:r w:rsidRPr="00F8687F">
        <w:rPr>
          <w:rFonts w:asciiTheme="minorHAnsi" w:hAnsiTheme="minorHAnsi" w:cstheme="minorHAnsi"/>
          <w:i/>
          <w:sz w:val="26"/>
          <w:szCs w:val="26"/>
        </w:rPr>
        <w:t xml:space="preserve"> </w:t>
      </w:r>
      <w:r w:rsidRPr="00F8687F">
        <w:rPr>
          <w:rFonts w:asciiTheme="minorHAnsi" w:hAnsiTheme="minorHAnsi" w:cstheme="minorHAnsi"/>
          <w:sz w:val="26"/>
          <w:szCs w:val="26"/>
        </w:rPr>
        <w:t>pentru discuţii cu autorităţile din fiecare stat membru.</w:t>
      </w:r>
    </w:p>
    <w:p w14:paraId="0D683032" w14:textId="77777777" w:rsidR="0034506F" w:rsidRPr="00261D6B" w:rsidRDefault="0034506F"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În acest sens, ca în fiecare an, Comisia a solicitat informaţii autorităților naționale, prin intermediul Ministerului Justiţiei, dar şi prin intermediul altor entități cu care colaborează precum Rețeaua Europeană a Consiliilor Judiciare (RECJ).</w:t>
      </w:r>
    </w:p>
    <w:p w14:paraId="710DAB74" w14:textId="77777777" w:rsidR="0034506F" w:rsidRPr="00261D6B" w:rsidRDefault="0034506F"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 xml:space="preserve"> În acest sens, Consiliul Superior al Magistraturii a transmis contribuția sa, elaborată la nivel tehnic în cadrul DAERIP-SAERI, cu colaborarea celorlalte departamente din cadrul CSM, precum și a INM și a SNG, la chestionarul Comisiei Europene.</w:t>
      </w:r>
    </w:p>
    <w:p w14:paraId="3477714F" w14:textId="77777777" w:rsidR="0034506F" w:rsidRPr="00261D6B" w:rsidRDefault="0034506F"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În ceea ce priveşte reuniunile de dialog (country visits) ale CE cu toate statele membre, trebuie precizat că, în contextul discuțiilor bilaterale cu reprezentanți  ai principalelor autorități naționale din România, în data de 10 martie 2023 a avut loc reuniunea online cu reprezentanții Consiliului Superior al Magistraturii.</w:t>
      </w:r>
    </w:p>
    <w:p w14:paraId="7CE36D5E" w14:textId="77777777" w:rsidR="00034A77" w:rsidRPr="00261D6B" w:rsidRDefault="00034A77" w:rsidP="00034A77">
      <w:pPr>
        <w:ind w:firstLine="720"/>
        <w:jc w:val="both"/>
        <w:rPr>
          <w:rFonts w:asciiTheme="minorHAnsi" w:hAnsiTheme="minorHAnsi" w:cstheme="minorHAnsi"/>
          <w:sz w:val="26"/>
          <w:szCs w:val="26"/>
        </w:rPr>
      </w:pPr>
      <w:r w:rsidRPr="00261D6B">
        <w:rPr>
          <w:rFonts w:asciiTheme="minorHAnsi" w:hAnsiTheme="minorHAnsi" w:cstheme="minorHAnsi"/>
          <w:sz w:val="26"/>
          <w:szCs w:val="26"/>
        </w:rPr>
        <w:t>În pregătirea acestor dezbateri au fost actualizate informațiile transmise în cadrul contribuției, la începutul acestui an şi, ulterior, a fost transmis un răspuns de follow-up agreat în cadrul reuniunii.</w:t>
      </w:r>
    </w:p>
    <w:p w14:paraId="4BF56E3C" w14:textId="77777777" w:rsidR="0034506F" w:rsidRPr="00261D6B" w:rsidRDefault="0034506F"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shd w:val="clear" w:color="auto" w:fill="FFFFFF"/>
        </w:rPr>
        <w:t xml:space="preserve">Consiliul Superior al Magistraturii a luat act de publicarea la data de 05 iulie 2023 a celui de-al patrulea Raport al Comisiei Europene privind Statul de Drept - </w:t>
      </w:r>
      <w:r w:rsidRPr="00261D6B">
        <w:rPr>
          <w:rFonts w:asciiTheme="minorHAnsi" w:hAnsiTheme="minorHAnsi" w:cstheme="minorHAnsi"/>
          <w:sz w:val="26"/>
          <w:szCs w:val="26"/>
        </w:rPr>
        <w:t xml:space="preserve">o sinteză a evoluțiilor relevante, din perspectiva Statului de Drept, la nivelul tuturor statelor membre ale Uniunii Europene, respectiv un raport general privind situaţia Statului de Drept în Uniunea Europeană şi câte un raport de stat pentru fiecare stat membru. </w:t>
      </w:r>
    </w:p>
    <w:p w14:paraId="2192E0D2" w14:textId="367EDA68" w:rsidR="0034506F" w:rsidRPr="00261D6B" w:rsidRDefault="0034506F" w:rsidP="00690186">
      <w:pPr>
        <w:shd w:val="clear" w:color="auto" w:fill="FFFFFF"/>
        <w:ind w:firstLine="720"/>
        <w:jc w:val="both"/>
        <w:rPr>
          <w:rFonts w:asciiTheme="minorHAnsi" w:hAnsiTheme="minorHAnsi" w:cstheme="minorHAnsi"/>
          <w:sz w:val="26"/>
          <w:szCs w:val="26"/>
        </w:rPr>
      </w:pPr>
      <w:r w:rsidRPr="00261D6B">
        <w:rPr>
          <w:rFonts w:asciiTheme="minorHAnsi" w:hAnsiTheme="minorHAnsi" w:cstheme="minorHAnsi"/>
          <w:sz w:val="26"/>
          <w:szCs w:val="26"/>
        </w:rPr>
        <w:t>Raportul din acest an al Comisiei Europene privind Statul de Drept, în capitolul dedicat României, notează, într-o notă pozitivă,</w:t>
      </w:r>
      <w:r w:rsidR="00AB4BE5" w:rsidRPr="00261D6B">
        <w:rPr>
          <w:rFonts w:asciiTheme="minorHAnsi" w:hAnsiTheme="minorHAnsi" w:cstheme="minorHAnsi"/>
          <w:sz w:val="26"/>
          <w:szCs w:val="26"/>
        </w:rPr>
        <w:t xml:space="preserve"> </w:t>
      </w:r>
      <w:r w:rsidR="00AB4BE5" w:rsidRPr="00261D6B">
        <w:rPr>
          <w:rFonts w:asciiTheme="minorHAnsi" w:hAnsiTheme="minorHAnsi" w:cstheme="minorHAnsi"/>
          <w:bCs/>
          <w:sz w:val="26"/>
          <w:szCs w:val="26"/>
        </w:rPr>
        <w:t>„</w:t>
      </w:r>
      <w:r w:rsidRPr="00261D6B">
        <w:rPr>
          <w:rFonts w:asciiTheme="minorHAnsi" w:hAnsiTheme="minorHAnsi" w:cstheme="minorHAnsi"/>
          <w:sz w:val="26"/>
          <w:szCs w:val="26"/>
        </w:rPr>
        <w:t>progresele semnificative</w:t>
      </w:r>
      <w:r w:rsidR="00AB4BE5" w:rsidRPr="00261D6B">
        <w:rPr>
          <w:rFonts w:asciiTheme="minorHAnsi" w:hAnsiTheme="minorHAnsi" w:cstheme="minorHAnsi"/>
          <w:sz w:val="26"/>
          <w:szCs w:val="26"/>
        </w:rPr>
        <w:t>”</w:t>
      </w:r>
      <w:r w:rsidRPr="00261D6B">
        <w:rPr>
          <w:rFonts w:asciiTheme="minorHAnsi" w:hAnsiTheme="minorHAnsi" w:cstheme="minorHAnsi"/>
          <w:sz w:val="26"/>
          <w:szCs w:val="26"/>
        </w:rPr>
        <w:t xml:space="preserve"> realizate </w:t>
      </w:r>
      <w:r w:rsidR="00AB4BE5" w:rsidRPr="00261D6B">
        <w:rPr>
          <w:rFonts w:asciiTheme="minorHAnsi" w:hAnsiTheme="minorHAnsi" w:cstheme="minorHAnsi"/>
          <w:bCs/>
          <w:sz w:val="26"/>
          <w:szCs w:val="26"/>
        </w:rPr>
        <w:t>„</w:t>
      </w:r>
      <w:r w:rsidRPr="00261D6B">
        <w:rPr>
          <w:rFonts w:asciiTheme="minorHAnsi" w:hAnsiTheme="minorHAnsi" w:cstheme="minorHAnsi"/>
          <w:sz w:val="26"/>
          <w:szCs w:val="26"/>
        </w:rPr>
        <w:t xml:space="preserve">în asigurarea faptului că revizuirea legilor justiției consolidează garanțiile privind independența sistemului judiciar”. Comisia reține, astfel, că </w:t>
      </w:r>
      <w:r w:rsidR="00AB4BE5" w:rsidRPr="00261D6B">
        <w:rPr>
          <w:rFonts w:asciiTheme="minorHAnsi" w:hAnsiTheme="minorHAnsi" w:cstheme="minorHAnsi"/>
          <w:bCs/>
          <w:sz w:val="26"/>
          <w:szCs w:val="26"/>
        </w:rPr>
        <w:t>„</w:t>
      </w:r>
      <w:r w:rsidRPr="00261D6B">
        <w:rPr>
          <w:rFonts w:asciiTheme="minorHAnsi" w:hAnsiTheme="minorHAnsi" w:cstheme="minorHAnsi"/>
          <w:sz w:val="26"/>
          <w:szCs w:val="26"/>
        </w:rPr>
        <w:t xml:space="preserve">noile legi ale justiției au adus schimbări importante în ceea ce privește organizarea carierei și regimurile privind răspunderea magistraților, numirea, revocarea și competențele procurorilor de rang înalt, precum și guvernanța Inspecției Judiciare”. </w:t>
      </w:r>
    </w:p>
    <w:p w14:paraId="1AC796C8" w14:textId="4130E869" w:rsidR="0034506F" w:rsidRPr="00261D6B" w:rsidRDefault="0034506F" w:rsidP="00690186">
      <w:pPr>
        <w:shd w:val="clear" w:color="auto" w:fill="FFFFFF"/>
        <w:ind w:firstLine="720"/>
        <w:jc w:val="both"/>
        <w:rPr>
          <w:rFonts w:asciiTheme="minorHAnsi" w:hAnsiTheme="minorHAnsi" w:cstheme="minorHAnsi"/>
          <w:sz w:val="26"/>
          <w:szCs w:val="26"/>
        </w:rPr>
      </w:pPr>
      <w:r w:rsidRPr="00261D6B">
        <w:rPr>
          <w:rFonts w:asciiTheme="minorHAnsi" w:hAnsiTheme="minorHAnsi" w:cstheme="minorHAnsi"/>
          <w:sz w:val="26"/>
          <w:szCs w:val="26"/>
        </w:rPr>
        <w:lastRenderedPageBreak/>
        <w:t>Cu referire concretă la progresele înregistrate din perspectiva Consiliului Superior al Magistraturii, se subliniază că, „astfel cum se menționează în Raportul MCV din 2022, noua componență a CSM, care și-a început mandatul în ianuarie 2023, reprezintă o oportunitate pentru asigurarea transparenței și a responsabilității”, dar și că </w:t>
      </w:r>
      <w:r w:rsidR="00AB4BE5" w:rsidRPr="00261D6B">
        <w:rPr>
          <w:rFonts w:asciiTheme="minorHAnsi" w:hAnsiTheme="minorHAnsi" w:cstheme="minorHAnsi"/>
          <w:bCs/>
          <w:sz w:val="26"/>
          <w:szCs w:val="26"/>
        </w:rPr>
        <w:t>„</w:t>
      </w:r>
      <w:r w:rsidRPr="00261D6B">
        <w:rPr>
          <w:rFonts w:asciiTheme="minorHAnsi" w:hAnsiTheme="minorHAnsi" w:cstheme="minorHAnsi"/>
          <w:sz w:val="26"/>
          <w:szCs w:val="26"/>
        </w:rPr>
        <w:t>noul CSM și-a demonstrat angajamentul de a da un nou impuls în ceea ce privește transparența și responsabilitatea, prin publicarea online, în aprilie 2023, a unui plan de acțiune privind transparența și responsabilitatea”.</w:t>
      </w:r>
    </w:p>
    <w:p w14:paraId="75F03CDC" w14:textId="77777777" w:rsidR="0034506F" w:rsidRDefault="0034506F" w:rsidP="00690186">
      <w:pPr>
        <w:ind w:firstLine="720"/>
        <w:jc w:val="both"/>
        <w:rPr>
          <w:rFonts w:asciiTheme="minorHAnsi" w:hAnsiTheme="minorHAnsi" w:cstheme="minorHAnsi"/>
          <w:sz w:val="26"/>
          <w:szCs w:val="26"/>
        </w:rPr>
      </w:pPr>
      <w:r w:rsidRPr="00261D6B">
        <w:rPr>
          <w:rFonts w:asciiTheme="minorHAnsi" w:hAnsiTheme="minorHAnsi" w:cstheme="minorHAnsi"/>
          <w:sz w:val="26"/>
          <w:szCs w:val="26"/>
        </w:rPr>
        <w:t>Totodată, discuţiile pe marginea raportului privind Statul de Drept au continuat la nivel european şi în contextul unor reuniuni ulterioare, un exemplu în acest sens fiind webinarele organizate de RECJ.</w:t>
      </w:r>
    </w:p>
    <w:p w14:paraId="6764BE67" w14:textId="4A7F6698" w:rsidR="00034A77" w:rsidRPr="00564DC7" w:rsidRDefault="00034A77" w:rsidP="00690186">
      <w:pPr>
        <w:ind w:firstLine="720"/>
        <w:jc w:val="both"/>
        <w:rPr>
          <w:rFonts w:asciiTheme="minorHAnsi" w:hAnsiTheme="minorHAnsi" w:cstheme="minorHAnsi"/>
          <w:sz w:val="26"/>
          <w:szCs w:val="26"/>
        </w:rPr>
      </w:pPr>
      <w:r w:rsidRPr="00034A77">
        <w:rPr>
          <w:rFonts w:asciiTheme="minorHAnsi" w:hAnsiTheme="minorHAnsi" w:cstheme="minorHAnsi"/>
          <w:sz w:val="26"/>
          <w:szCs w:val="26"/>
        </w:rPr>
        <w:t>În continuarea colaborării în contextul Mecanismului UE privind statul de drept, trebuie menționat și că, la finalul anului 2023, a început pregătirea contribuției pentru următorul Raport privind statul de drept.</w:t>
      </w:r>
    </w:p>
    <w:p w14:paraId="1C5BCBB2" w14:textId="7B4CE0B2" w:rsidR="0034506F" w:rsidRPr="00564DC7" w:rsidRDefault="0034506F" w:rsidP="00690186">
      <w:pPr>
        <w:ind w:firstLine="720"/>
        <w:jc w:val="both"/>
        <w:rPr>
          <w:rStyle w:val="Strong"/>
          <w:rFonts w:asciiTheme="minorHAnsi" w:eastAsiaTheme="majorEastAsia" w:hAnsiTheme="minorHAnsi" w:cstheme="minorHAnsi"/>
          <w:b w:val="0"/>
          <w:bCs w:val="0"/>
          <w:sz w:val="26"/>
          <w:szCs w:val="26"/>
          <w:shd w:val="clear" w:color="auto" w:fill="FFFFFF"/>
        </w:rPr>
      </w:pPr>
      <w:r w:rsidRPr="00564DC7">
        <w:rPr>
          <w:rFonts w:asciiTheme="minorHAnsi" w:hAnsiTheme="minorHAnsi" w:cstheme="minorHAnsi"/>
          <w:sz w:val="26"/>
          <w:szCs w:val="26"/>
        </w:rPr>
        <w:t xml:space="preserve">În ceea ce privește </w:t>
      </w:r>
      <w:r w:rsidRPr="00564DC7">
        <w:rPr>
          <w:rStyle w:val="Strong"/>
          <w:rFonts w:asciiTheme="minorHAnsi" w:eastAsiaTheme="majorEastAsia" w:hAnsiTheme="minorHAnsi" w:cstheme="minorHAnsi"/>
          <w:b w:val="0"/>
          <w:bCs w:val="0"/>
          <w:sz w:val="26"/>
          <w:szCs w:val="26"/>
          <w:shd w:val="clear" w:color="auto" w:fill="FFFFFF"/>
        </w:rPr>
        <w:t>Mecanismul</w:t>
      </w:r>
      <w:r w:rsidR="00AB4BE5">
        <w:rPr>
          <w:rStyle w:val="Strong"/>
          <w:rFonts w:asciiTheme="minorHAnsi" w:eastAsiaTheme="majorEastAsia" w:hAnsiTheme="minorHAnsi" w:cstheme="minorHAnsi"/>
          <w:b w:val="0"/>
          <w:bCs w:val="0"/>
          <w:sz w:val="26"/>
          <w:szCs w:val="26"/>
          <w:shd w:val="clear" w:color="auto" w:fill="FFFFFF"/>
        </w:rPr>
        <w:t xml:space="preserve"> </w:t>
      </w:r>
      <w:r w:rsidRPr="00564DC7">
        <w:rPr>
          <w:rStyle w:val="Strong"/>
          <w:rFonts w:asciiTheme="minorHAnsi" w:eastAsiaTheme="majorEastAsia" w:hAnsiTheme="minorHAnsi" w:cstheme="minorHAnsi"/>
          <w:b w:val="0"/>
          <w:bCs w:val="0"/>
          <w:sz w:val="26"/>
          <w:szCs w:val="26"/>
          <w:shd w:val="clear" w:color="auto" w:fill="FFFFFF"/>
        </w:rPr>
        <w:t>de Cooperare și Verificare pentru România, în data de 15 septembrie 2023, Comisia Europeană a făcut publică închiderea/ridicarea oficială a MCV pentru România și Bulgaria, decizie comunicată anterior, la 5 iulie 2023 către Consiliul și Parlamentul European. De altfel, în Raportul Comisiei privind progresele înregistrate în România în cadrul Mecanismului de Cooperare și Verificare, dat publicității la data de 22.11.2022, se arăta că CE consideră că progresele înregistrate de România în cadrul MCV sunt suficiente pentru a respecta angajamentul asumat de România la momentul aderării sale la UE.</w:t>
      </w:r>
    </w:p>
    <w:p w14:paraId="5E655BF1" w14:textId="7C9A28BD" w:rsidR="00536124" w:rsidRDefault="0034506F" w:rsidP="00690186">
      <w:pPr>
        <w:ind w:firstLine="720"/>
        <w:jc w:val="both"/>
        <w:rPr>
          <w:rFonts w:asciiTheme="minorHAnsi" w:hAnsiTheme="minorHAnsi" w:cstheme="minorHAnsi"/>
          <w:sz w:val="26"/>
          <w:szCs w:val="26"/>
          <w:shd w:val="clear" w:color="auto" w:fill="FFFFFF"/>
        </w:rPr>
      </w:pPr>
      <w:r w:rsidRPr="00564DC7">
        <w:rPr>
          <w:rStyle w:val="Strong"/>
          <w:rFonts w:asciiTheme="minorHAnsi" w:eastAsiaTheme="majorEastAsia" w:hAnsiTheme="minorHAnsi" w:cstheme="minorHAnsi"/>
          <w:b w:val="0"/>
          <w:bCs w:val="0"/>
          <w:sz w:val="26"/>
          <w:szCs w:val="26"/>
          <w:shd w:val="clear" w:color="auto" w:fill="FFFFFF"/>
        </w:rPr>
        <w:t>Cu acest prilej</w:t>
      </w:r>
      <w:r w:rsidR="00016C07">
        <w:rPr>
          <w:rStyle w:val="Strong"/>
          <w:rFonts w:asciiTheme="minorHAnsi" w:eastAsiaTheme="majorEastAsia" w:hAnsiTheme="minorHAnsi" w:cstheme="minorHAnsi"/>
          <w:b w:val="0"/>
          <w:bCs w:val="0"/>
          <w:sz w:val="26"/>
          <w:szCs w:val="26"/>
          <w:shd w:val="clear" w:color="auto" w:fill="FFFFFF"/>
        </w:rPr>
        <w:t>,</w:t>
      </w:r>
      <w:r w:rsidRPr="00564DC7">
        <w:rPr>
          <w:rFonts w:asciiTheme="minorHAnsi" w:hAnsiTheme="minorHAnsi" w:cstheme="minorHAnsi"/>
          <w:b/>
          <w:bCs/>
          <w:sz w:val="26"/>
          <w:szCs w:val="26"/>
          <w:shd w:val="clear" w:color="auto" w:fill="FFFFFF"/>
        </w:rPr>
        <w:t xml:space="preserve"> </w:t>
      </w:r>
      <w:r w:rsidRPr="00564DC7">
        <w:rPr>
          <w:rFonts w:asciiTheme="minorHAnsi" w:hAnsiTheme="minorHAnsi" w:cstheme="minorHAnsi"/>
          <w:sz w:val="26"/>
          <w:szCs w:val="26"/>
          <w:shd w:val="clear" w:color="auto" w:fill="FFFFFF"/>
        </w:rPr>
        <w:t>Consiliul Superior al Magistraturii a subliniat că ridicarea MCV față de România reprezintă un reper esențial în recunoașterea progreselor sistemului judiciar român, fiind un moment de referință pentru parcursul european al României.</w:t>
      </w:r>
    </w:p>
    <w:p w14:paraId="1811A5C6" w14:textId="784DA9F5" w:rsidR="006C1588" w:rsidRPr="00564DC7" w:rsidRDefault="006C1588" w:rsidP="00690186">
      <w:pPr>
        <w:pStyle w:val="Heading3"/>
        <w:keepNext w:val="0"/>
        <w:keepLines w:val="0"/>
        <w:suppressLineNumbers/>
        <w:suppressAutoHyphens/>
        <w:spacing w:line="240" w:lineRule="auto"/>
        <w:rPr>
          <w:rFonts w:cstheme="minorHAnsi"/>
          <w:color w:val="auto"/>
        </w:rPr>
      </w:pPr>
      <w:bookmarkStart w:id="142" w:name="_Toc381021555"/>
      <w:bookmarkStart w:id="143" w:name="_Toc430867133"/>
      <w:bookmarkStart w:id="144" w:name="_Toc155267912"/>
      <w:bookmarkEnd w:id="140"/>
      <w:bookmarkEnd w:id="141"/>
      <w:r w:rsidRPr="00564DC7">
        <w:rPr>
          <w:rFonts w:cstheme="minorHAnsi"/>
          <w:color w:val="auto"/>
        </w:rPr>
        <w:t>VI.3.2. Dezvoltarea dialogului bilateral</w:t>
      </w:r>
      <w:bookmarkStart w:id="145" w:name="_Toc381021556"/>
      <w:bookmarkStart w:id="146" w:name="_Toc430867134"/>
      <w:bookmarkEnd w:id="142"/>
      <w:bookmarkEnd w:id="143"/>
      <w:bookmarkEnd w:id="144"/>
    </w:p>
    <w:p w14:paraId="42C3EDC1"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cursul anului 2023, a continuat dialogul de cooperare cu reprezentanţi ai sistemelor judiciare atât din spaţiul european, cât şi la nivel internaţional, Consiliul Superior al Magistraturii manifestând deschidere spre dialog și colaborare în domenii de interes comun. </w:t>
      </w:r>
    </w:p>
    <w:p w14:paraId="7184D92E"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acest an, majoritatea activităților cu caracter internațional s-au desfășurat în format fizic. Cu toate acestea, adaptarea la progresele înregistrate în domeniul digitalizării a permis derularea, în format online, a unora dintre evenimentele cu caracter internațional.</w:t>
      </w:r>
    </w:p>
    <w:p w14:paraId="108CB246"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Ca în fiecare an, Consiliul Superior al Magistraturii a avut aceeași implicare în activitatea Rețelei Europene a Consiliilor Judiciare (RECJ), prin participarea la activităţile Reţelei, respectiv la reuniunile echipelor de proiect, la Adunarea Generală, la reuniunile Comitetului Executiv, la reuniunea Digital Justice Forum sau prin participarea la seminare de zi, intitulate lunch-seminars, pe diverse teme de interes comun. Formatul reuniunilor Rețelei a fost unul hibrid și în anul 2023, acestea fiind organizate atât fizic, cât și online. De asemenea, Consiliul şi-a adus contribuția la activitӑțile Rețelei și prin elaborarea documentelor de lucru, a rapoartelor şi chestionarelor.</w:t>
      </w:r>
    </w:p>
    <w:p w14:paraId="009FE4F3"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Și în acest an a continuat implicarea Consiliului în activitatea Proiectului nr. 1 al RECJ - „Independență, responsabilitate și calitate în sistemul judiciar”, în luna septembrie acesta fiind lansat pentru perioada 2023 - 2024.</w:t>
      </w:r>
    </w:p>
    <w:p w14:paraId="111EF6A0"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lang w:eastAsia="ro-RO"/>
        </w:rPr>
        <w:t xml:space="preserve">Astfel, Proiectul nr. 1 și-a propus și în perioada 2022 - 2023 să urmărească schimbul de bune practici între membrii și observatorii Rețelei, dar și provocările cu care se confruntă sistemele judiciare europene, încercând, totodată, identificarea unor elemente care ar putea avea o aplicabilitate generală pentru remedierea eventualelor deficiențe amintite de participanți.  </w:t>
      </w:r>
      <w:r w:rsidRPr="00564DC7">
        <w:rPr>
          <w:rFonts w:asciiTheme="minorHAnsi" w:eastAsia="Cambria" w:hAnsiTheme="minorHAnsi" w:cstheme="minorHAnsi"/>
          <w:sz w:val="26"/>
          <w:szCs w:val="26"/>
        </w:rPr>
        <w:t xml:space="preserve">Activitățile </w:t>
      </w:r>
      <w:r w:rsidRPr="00564DC7">
        <w:rPr>
          <w:rFonts w:asciiTheme="minorHAnsi" w:hAnsiTheme="minorHAnsi" w:cstheme="minorHAnsi"/>
          <w:sz w:val="26"/>
          <w:szCs w:val="26"/>
        </w:rPr>
        <w:t xml:space="preserve">s-au derulat, ca și în anii anteriori, ținând cont de cele trei mari componente, și anume: Independența și Responsabilitatea sistemului judiciar (Independence and Accoundability); Sondajul privind gradul de satisfacție a justițiabililor (Court Users Survey); Calitatea (Quality). </w:t>
      </w:r>
    </w:p>
    <w:p w14:paraId="6BE82261" w14:textId="77777777" w:rsidR="0034506F" w:rsidRPr="00564DC7" w:rsidRDefault="0034506F" w:rsidP="00690186">
      <w:pPr>
        <w:ind w:firstLine="720"/>
        <w:jc w:val="both"/>
        <w:rPr>
          <w:rStyle w:val="Bodytext1"/>
          <w:rFonts w:asciiTheme="minorHAnsi" w:hAnsiTheme="minorHAnsi" w:cstheme="minorHAnsi"/>
          <w:bCs/>
          <w:sz w:val="26"/>
          <w:szCs w:val="26"/>
        </w:rPr>
      </w:pPr>
      <w:r w:rsidRPr="00564DC7">
        <w:rPr>
          <w:rFonts w:asciiTheme="minorHAnsi" w:hAnsiTheme="minorHAnsi" w:cstheme="minorHAnsi"/>
          <w:sz w:val="26"/>
          <w:szCs w:val="26"/>
        </w:rPr>
        <w:t xml:space="preserve">Cu privire la prima componentă, în prima parte a acestui an, </w:t>
      </w:r>
      <w:r w:rsidRPr="00564DC7">
        <w:rPr>
          <w:rStyle w:val="Bodytext1"/>
          <w:rFonts w:asciiTheme="minorHAnsi" w:hAnsiTheme="minorHAnsi" w:cstheme="minorHAnsi"/>
          <w:bCs/>
          <w:sz w:val="26"/>
          <w:szCs w:val="26"/>
        </w:rPr>
        <w:t xml:space="preserve">conform etapelor prevăzute în ciclul de îmbunătățire, a avut loc măsurarea indicatorilor rezultați în urma completării </w:t>
      </w:r>
      <w:r w:rsidRPr="00564DC7">
        <w:rPr>
          <w:rStyle w:val="Bodytext1"/>
          <w:rFonts w:asciiTheme="minorHAnsi" w:hAnsiTheme="minorHAnsi" w:cstheme="minorHAnsi"/>
          <w:bCs/>
          <w:sz w:val="26"/>
          <w:szCs w:val="26"/>
        </w:rPr>
        <w:lastRenderedPageBreak/>
        <w:t>chestionarelor din anul anterior, concluziile urmând a se regăsi în profilele naționale ale fiecărui sistem judiciar. Ulterior, rezultatele au fost prezentate în raportul echipei de proiect, adoptat în cadrul Adunării Generale, în luna iunie 2023. În cea de-a doua parte a anului, s-a urmărit valorificarea rezultatelor obținute, precum și abordarea unor noi aspecte ce vizează independența sistemelor judiciare.</w:t>
      </w:r>
    </w:p>
    <w:p w14:paraId="437BC8CE" w14:textId="77777777" w:rsidR="0034506F" w:rsidRPr="00564DC7" w:rsidRDefault="0034506F" w:rsidP="00690186">
      <w:pPr>
        <w:pStyle w:val="Bodytext10"/>
        <w:ind w:firstLine="720"/>
        <w:jc w:val="both"/>
        <w:rPr>
          <w:rStyle w:val="Bodytext1"/>
          <w:rFonts w:asciiTheme="minorHAnsi" w:hAnsiTheme="minorHAnsi" w:cstheme="minorHAnsi"/>
          <w:sz w:val="26"/>
          <w:szCs w:val="26"/>
          <w:lang w:val="pt-PT"/>
        </w:rPr>
      </w:pPr>
      <w:r w:rsidRPr="00564DC7">
        <w:rPr>
          <w:rStyle w:val="Bodytext1"/>
          <w:rFonts w:asciiTheme="minorHAnsi" w:hAnsiTheme="minorHAnsi" w:cstheme="minorHAnsi"/>
          <w:sz w:val="26"/>
          <w:szCs w:val="26"/>
          <w:lang w:val="pt-PT"/>
        </w:rPr>
        <w:t xml:space="preserve">Referitor la sondajul privind gradul de satisfacție a justițiabililor, în cursul acestui an s-a discutat cu privire la identificarea diverselor modalități pentru a implica activ acele consilii judiciare care nu au o cultură în aplicarea sondajelor privind gradul de satisfacție a justițiabililor. S-a reamintitit, și cu această ocazie, implicarea activă a Consiliului Superior al Magistraturii în subgrupul dedicat acestui sondaj, precum și aportul semnificativ pe care îl aduc în continuare bunele practici legate de aplicarea sondajelor naționale, puse la dispoziție de Consiliu. De asemenea, la nivelul echipei de proiect s-a abordat și posibilitatea efectuării unui sondaj paneuropean, pentru concretizarea unei astfel de inițiative, fiind necesară o implicare amplă a cât mai multor membri ai echipei de proiect. </w:t>
      </w:r>
    </w:p>
    <w:p w14:paraId="7ED355BB" w14:textId="1B19C24F" w:rsidR="0034506F" w:rsidRPr="00564DC7" w:rsidRDefault="0034506F" w:rsidP="00690186">
      <w:pPr>
        <w:tabs>
          <w:tab w:val="left" w:pos="630"/>
        </w:tabs>
        <w:ind w:right="62" w:firstLine="720"/>
        <w:jc w:val="both"/>
        <w:rPr>
          <w:rStyle w:val="Bodytext1"/>
          <w:rFonts w:asciiTheme="minorHAnsi" w:hAnsiTheme="minorHAnsi" w:cstheme="minorHAnsi"/>
          <w:sz w:val="26"/>
          <w:szCs w:val="26"/>
        </w:rPr>
      </w:pPr>
      <w:r w:rsidRPr="00564DC7">
        <w:rPr>
          <w:rFonts w:asciiTheme="minorHAnsi" w:hAnsiTheme="minorHAnsi" w:cstheme="minorHAnsi"/>
          <w:sz w:val="26"/>
          <w:szCs w:val="26"/>
        </w:rPr>
        <w:t xml:space="preserve">În privința componentei privind calitatea, </w:t>
      </w:r>
      <w:r w:rsidRPr="00564DC7">
        <w:rPr>
          <w:rStyle w:val="Bodytext1"/>
          <w:rFonts w:asciiTheme="minorHAnsi" w:hAnsiTheme="minorHAnsi" w:cstheme="minorHAnsi"/>
          <w:sz w:val="26"/>
          <w:szCs w:val="26"/>
        </w:rPr>
        <w:t>scopul a rămas în continuare conceperea unor instrumente menite să ajute consiliile judiciare să evalueze și să îmbunătățească, acolo unde este cazul, influența pe care o au în asigurarea și promovarea calității sistemelor judiciare naționale.</w:t>
      </w:r>
    </w:p>
    <w:p w14:paraId="0C8CF168" w14:textId="77777777" w:rsidR="0034506F" w:rsidRPr="00564DC7" w:rsidRDefault="0034506F" w:rsidP="00690186">
      <w:pPr>
        <w:pStyle w:val="Bodytext10"/>
        <w:ind w:firstLine="720"/>
        <w:jc w:val="both"/>
        <w:rPr>
          <w:rFonts w:asciiTheme="minorHAnsi" w:hAnsiTheme="minorHAnsi" w:cstheme="minorHAnsi"/>
          <w:sz w:val="26"/>
          <w:szCs w:val="26"/>
          <w:lang w:val="pt-PT"/>
        </w:rPr>
      </w:pPr>
      <w:r w:rsidRPr="00564DC7">
        <w:rPr>
          <w:rStyle w:val="Bodytext1"/>
          <w:rFonts w:asciiTheme="minorHAnsi" w:hAnsiTheme="minorHAnsi" w:cstheme="minorHAnsi"/>
          <w:sz w:val="26"/>
          <w:szCs w:val="26"/>
          <w:lang w:val="pt-PT"/>
        </w:rPr>
        <w:t>De asemenea, în cadrul acestui proiect s-a lansat apelul pentru participarea, în perioada 2023-2024, la grupuri de dialog al căror scop este atât de a analiza, în echipe mici alc</w:t>
      </w:r>
      <w:r w:rsidRPr="00564DC7">
        <w:rPr>
          <w:rStyle w:val="Bodytext1"/>
          <w:rFonts w:asciiTheme="minorHAnsi" w:hAnsiTheme="minorHAnsi" w:cstheme="minorHAnsi"/>
          <w:sz w:val="26"/>
          <w:szCs w:val="26"/>
        </w:rPr>
        <w:t>ӑ</w:t>
      </w:r>
      <w:r w:rsidRPr="00564DC7">
        <w:rPr>
          <w:rStyle w:val="Bodytext1"/>
          <w:rFonts w:asciiTheme="minorHAnsi" w:hAnsiTheme="minorHAnsi" w:cstheme="minorHAnsi"/>
          <w:sz w:val="26"/>
          <w:szCs w:val="26"/>
          <w:lang w:val="pt-PT"/>
        </w:rPr>
        <w:t>tuite din membri și observatori ai Rețelei, provocările și problemele pe care le poate ridica aplicarea acestor indicatori, precum și de a dezvolta idei de îmbunătățire a acestora la nivel național. Se dorește a se crea un cadru care s</w:t>
      </w:r>
      <w:r w:rsidRPr="00564DC7">
        <w:rPr>
          <w:rStyle w:val="Bodytext1"/>
          <w:rFonts w:asciiTheme="minorHAnsi" w:hAnsiTheme="minorHAnsi" w:cstheme="minorHAnsi"/>
          <w:sz w:val="26"/>
          <w:szCs w:val="26"/>
        </w:rPr>
        <w:t>ӑ</w:t>
      </w:r>
      <w:r w:rsidRPr="00564DC7">
        <w:rPr>
          <w:rStyle w:val="Bodytext1"/>
          <w:rFonts w:asciiTheme="minorHAnsi" w:hAnsiTheme="minorHAnsi" w:cstheme="minorHAnsi"/>
          <w:sz w:val="26"/>
          <w:szCs w:val="26"/>
          <w:lang w:val="pt-PT"/>
        </w:rPr>
        <w:t xml:space="preserve"> permit</w:t>
      </w:r>
      <w:r w:rsidRPr="00564DC7">
        <w:rPr>
          <w:rStyle w:val="Bodytext1"/>
          <w:rFonts w:asciiTheme="minorHAnsi" w:hAnsiTheme="minorHAnsi" w:cstheme="minorHAnsi"/>
          <w:sz w:val="26"/>
          <w:szCs w:val="26"/>
        </w:rPr>
        <w:t>ӑ</w:t>
      </w:r>
      <w:r w:rsidRPr="00564DC7">
        <w:rPr>
          <w:rStyle w:val="Bodytext1"/>
          <w:rFonts w:asciiTheme="minorHAnsi" w:hAnsiTheme="minorHAnsi" w:cstheme="minorHAnsi"/>
          <w:sz w:val="26"/>
          <w:szCs w:val="26"/>
          <w:lang w:val="pt-PT"/>
        </w:rPr>
        <w:t xml:space="preserve"> participanților un schimb aprofundat de bune practici și, totodat</w:t>
      </w:r>
      <w:r w:rsidRPr="00564DC7">
        <w:rPr>
          <w:rStyle w:val="Bodytext1"/>
          <w:rFonts w:asciiTheme="minorHAnsi" w:hAnsiTheme="minorHAnsi" w:cstheme="minorHAnsi"/>
          <w:sz w:val="26"/>
          <w:szCs w:val="26"/>
        </w:rPr>
        <w:t>ӑ</w:t>
      </w:r>
      <w:r w:rsidRPr="00564DC7">
        <w:rPr>
          <w:rStyle w:val="Bodytext1"/>
          <w:rFonts w:asciiTheme="minorHAnsi" w:hAnsiTheme="minorHAnsi" w:cstheme="minorHAnsi"/>
          <w:sz w:val="26"/>
          <w:szCs w:val="26"/>
          <w:lang w:val="pt-PT"/>
        </w:rPr>
        <w:t>, o mai bun</w:t>
      </w:r>
      <w:r w:rsidRPr="00564DC7">
        <w:rPr>
          <w:rStyle w:val="Bodytext1"/>
          <w:rFonts w:asciiTheme="minorHAnsi" w:hAnsiTheme="minorHAnsi" w:cstheme="minorHAnsi"/>
          <w:sz w:val="26"/>
          <w:szCs w:val="26"/>
        </w:rPr>
        <w:t>ӑ</w:t>
      </w:r>
      <w:r w:rsidRPr="00564DC7">
        <w:rPr>
          <w:rStyle w:val="Bodytext1"/>
          <w:rFonts w:asciiTheme="minorHAnsi" w:hAnsiTheme="minorHAnsi" w:cstheme="minorHAnsi"/>
          <w:sz w:val="26"/>
          <w:szCs w:val="26"/>
          <w:lang w:val="pt-PT"/>
        </w:rPr>
        <w:t xml:space="preserve"> înțelegere a altor sisteme judiciare și a provocărilor cu care se confruntă acestea, Consiliul urmând a fi reprezentat și în cadrul acestei activități.</w:t>
      </w:r>
    </w:p>
    <w:p w14:paraId="1615C9AC"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anul 2023 RECJ a continuat organizarea, în format online, a seminarelor de </w:t>
      </w:r>
      <w:r w:rsidRPr="00564DC7">
        <w:rPr>
          <w:rFonts w:asciiTheme="minorHAnsi" w:hAnsiTheme="minorHAnsi" w:cstheme="minorHAnsi"/>
          <w:sz w:val="26"/>
          <w:szCs w:val="26"/>
        </w:rPr>
        <w:br/>
        <w:t>zi/lunch-seminar, reuniuni țintite pe anumite teme de interes comun pentru membrii săi, reuniuni la care Consiliul a fost reprezentat. În cadrul acestor seminare au fost abordate teme precum: folosirea inteligenței artificiale în instanțe, guvernare judiciară și democrație în Europa, Statul de Drept.</w:t>
      </w:r>
    </w:p>
    <w:p w14:paraId="5CE68960" w14:textId="1A11A300" w:rsidR="0034506F" w:rsidRPr="00564DC7" w:rsidRDefault="0034506F" w:rsidP="00690186">
      <w:pPr>
        <w:shd w:val="clear" w:color="auto" w:fill="FFFFFF"/>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De asemenea, în ceea ce privește reuniunile organizate de RECJ, trebuie menționatӑ și Adunarea Generalӑ, derulatӑ, ca în fiecare an, în luna iunie și care a avut ca temӑ centralӑ „instanțe adaptate viitorului”. Pe baza </w:t>
      </w:r>
      <w:r w:rsidRPr="00564DC7">
        <w:rPr>
          <w:rFonts w:asciiTheme="minorHAnsi" w:hAnsiTheme="minorHAnsi" w:cstheme="minorHAnsi"/>
          <w:sz w:val="26"/>
          <w:szCs w:val="26"/>
          <w:lang w:eastAsia="ro-RO"/>
        </w:rPr>
        <w:t xml:space="preserve">concluziilor generale a fost elaborată, revizuită și adoptată </w:t>
      </w:r>
      <w:bookmarkStart w:id="147" w:name="_Hlk106629938"/>
      <w:r w:rsidRPr="00564DC7">
        <w:rPr>
          <w:rFonts w:asciiTheme="minorHAnsi" w:hAnsiTheme="minorHAnsi" w:cstheme="minorHAnsi"/>
          <w:sz w:val="26"/>
          <w:szCs w:val="26"/>
          <w:lang w:eastAsia="ro-RO"/>
        </w:rPr>
        <w:t xml:space="preserve">declarația de la </w:t>
      </w:r>
      <w:bookmarkEnd w:id="147"/>
      <w:r w:rsidRPr="00564DC7">
        <w:rPr>
          <w:rFonts w:asciiTheme="minorHAnsi" w:hAnsiTheme="minorHAnsi" w:cstheme="minorHAnsi"/>
          <w:sz w:val="26"/>
          <w:szCs w:val="26"/>
          <w:lang w:eastAsia="ro-RO"/>
        </w:rPr>
        <w:t xml:space="preserve">Ljubljana, în conținutul căreia se reiterează rolul pe care sistemele judiciare îl au în societatea modernă și se subliniază necesitatea comunicării externe, a utilizării instrumentelor digitale și de inteligență artificială.  De asemenea, au fost adoptate recomandările proiectelor prezentate anterior, derulate în perioada 2022 - 2023, a fost adoptat planul de lucru pentru perioada următoare 2022 - 2023, cu menținerea proiectelor aflate în derulare și cu propunerea de introducere a grupurilor de dialog în perioada 2023-2024. Se impune, de asemenea, a preciza că </w:t>
      </w:r>
      <w:r w:rsidRPr="00564DC7">
        <w:rPr>
          <w:rFonts w:asciiTheme="minorHAnsi" w:hAnsiTheme="minorHAnsi" w:cstheme="minorHAnsi"/>
          <w:sz w:val="26"/>
          <w:szCs w:val="26"/>
        </w:rPr>
        <w:t xml:space="preserve"> în cadrul Adunării Generale a avut loc ceremonia de decernare a premiului The ENCJ Award for Positive Change 2023/Schimbare Pozitivă, inițiativă lansată în anul 2018, cu ocazia Adunării Generale din Lisabona. În urma deliberării, dintre cele trei proiecte care au participat în competiția din acest an, participanții la Adunarea Generală au desemnat câștigător proiectul TAEJ – </w:t>
      </w:r>
      <w:r w:rsidR="00AB4BE5" w:rsidRPr="00564DC7">
        <w:rPr>
          <w:rFonts w:asciiTheme="minorHAnsi" w:hAnsiTheme="minorHAnsi" w:cstheme="minorHAnsi"/>
          <w:bCs/>
          <w:sz w:val="26"/>
          <w:szCs w:val="26"/>
        </w:rPr>
        <w:t>„</w:t>
      </w:r>
      <w:r w:rsidRPr="00564DC7">
        <w:rPr>
          <w:rFonts w:asciiTheme="minorHAnsi" w:hAnsiTheme="minorHAnsi" w:cstheme="minorHAnsi"/>
          <w:sz w:val="26"/>
          <w:szCs w:val="26"/>
        </w:rPr>
        <w:t>Transparență, accesibilitate și educație juridică prin îmbunătățirea comunicării publice la nivelul sistemului judiciar” derulat de Consiliul Superior al Magistraturii din România.</w:t>
      </w:r>
    </w:p>
    <w:p w14:paraId="13310311" w14:textId="46400081" w:rsidR="0034506F" w:rsidRPr="00034A77" w:rsidRDefault="0034506F" w:rsidP="00690186">
      <w:pPr>
        <w:shd w:val="clear" w:color="auto" w:fill="FFFFFF"/>
        <w:ind w:firstLine="720"/>
        <w:jc w:val="both"/>
        <w:rPr>
          <w:rFonts w:asciiTheme="minorHAnsi" w:hAnsiTheme="minorHAnsi" w:cstheme="minorHAnsi"/>
          <w:bCs/>
          <w:sz w:val="26"/>
          <w:szCs w:val="26"/>
        </w:rPr>
      </w:pPr>
      <w:r w:rsidRPr="00564DC7">
        <w:rPr>
          <w:rFonts w:asciiTheme="minorHAnsi" w:hAnsiTheme="minorHAnsi" w:cstheme="minorHAnsi"/>
          <w:sz w:val="26"/>
          <w:szCs w:val="26"/>
        </w:rPr>
        <w:t xml:space="preserve">Nu în ultimul rând, se impune a menționa și participarea Consiliului la </w:t>
      </w:r>
      <w:r w:rsidRPr="00564DC7">
        <w:rPr>
          <w:rFonts w:asciiTheme="minorHAnsi" w:hAnsiTheme="minorHAnsi" w:cstheme="minorHAnsi"/>
          <w:bCs/>
          <w:sz w:val="26"/>
          <w:szCs w:val="26"/>
        </w:rPr>
        <w:t xml:space="preserve">seminarul cu tema „Asigurarea unui echilibru între protecția datelor și transparența judiciară”, organizat în cadrul Forumului Justiție Digitală (Digital Justice Forum) al Rețelei. Evenimentul a fost găzduit, în data de 17 martie 2023, de Consiliul Judiciar spaniol, la sediul Centrului de Documentare Judiciară (CENDOJ) din San Sebastian, Spania. Scopul Digital Justice Forum este: de a crea o rețea de schimb </w:t>
      </w:r>
      <w:r w:rsidRPr="00564DC7">
        <w:rPr>
          <w:rFonts w:asciiTheme="minorHAnsi" w:hAnsiTheme="minorHAnsi" w:cstheme="minorHAnsi"/>
          <w:bCs/>
          <w:sz w:val="26"/>
          <w:szCs w:val="26"/>
        </w:rPr>
        <w:lastRenderedPageBreak/>
        <w:t>de informații și consiliere pentru experții naționali care se ocupă cu aspecte privind digitalizarea; de a promova dialogul privind provocările și oportunitățile – echilibrarea eficienței și a accesului la o justiție independentă;</w:t>
      </w:r>
      <w:r w:rsidRPr="00564DC7">
        <w:rPr>
          <w:rFonts w:asciiTheme="minorHAnsi" w:hAnsiTheme="minorHAnsi" w:cstheme="minorHAnsi"/>
          <w:sz w:val="26"/>
          <w:szCs w:val="26"/>
        </w:rPr>
        <w:t xml:space="preserve"> </w:t>
      </w:r>
      <w:r w:rsidRPr="00564DC7">
        <w:rPr>
          <w:rFonts w:asciiTheme="minorHAnsi" w:hAnsiTheme="minorHAnsi" w:cstheme="minorHAnsi"/>
          <w:bCs/>
          <w:sz w:val="26"/>
          <w:szCs w:val="26"/>
        </w:rPr>
        <w:t xml:space="preserve">de a monitoriza evoluțiile din domeniul inteligenței artificiale, precum și provocările și oportunitățile pe care aceasta le poate oferi sistemului judiciar;  de a crea cadrul propice schimbului de bune practici; de a oferi Comisiei Europene (CE) o perspectivă a sistemelor judiciare asupra e-Justice; de a asigura legătura cu Grupul de lucru CEPEJ privind justiția </w:t>
      </w:r>
      <w:r w:rsidRPr="00034A77">
        <w:rPr>
          <w:rFonts w:asciiTheme="minorHAnsi" w:hAnsiTheme="minorHAnsi" w:cstheme="minorHAnsi"/>
          <w:bCs/>
          <w:sz w:val="26"/>
          <w:szCs w:val="26"/>
        </w:rPr>
        <w:t>cibernetică, CCBE, Direcția E-Justice DG Just a CE.</w:t>
      </w:r>
    </w:p>
    <w:p w14:paraId="3527C99B" w14:textId="2C154C09" w:rsidR="00034A77" w:rsidRPr="00034A77" w:rsidRDefault="00034A77" w:rsidP="00034A77">
      <w:pPr>
        <w:shd w:val="clear" w:color="auto" w:fill="FFFFFF"/>
        <w:ind w:firstLine="720"/>
        <w:jc w:val="both"/>
        <w:rPr>
          <w:rFonts w:asciiTheme="minorHAnsi" w:hAnsiTheme="minorHAnsi" w:cstheme="minorHAnsi"/>
          <w:bCs/>
          <w:sz w:val="26"/>
          <w:szCs w:val="26"/>
        </w:rPr>
      </w:pPr>
      <w:r w:rsidRPr="00034A77">
        <w:rPr>
          <w:rFonts w:asciiTheme="minorHAnsi" w:hAnsiTheme="minorHAnsi" w:cstheme="minorHAnsi"/>
          <w:bCs/>
          <w:sz w:val="26"/>
          <w:szCs w:val="26"/>
        </w:rPr>
        <w:t>În contextul derulării proiectelor RECJ pentru perioada 2023-2024, co-coordonarea proiectului Digital Justice Forum va fi asigurată din partea CSM România, prin d</w:t>
      </w:r>
      <w:r>
        <w:rPr>
          <w:rFonts w:asciiTheme="minorHAnsi" w:hAnsiTheme="minorHAnsi" w:cstheme="minorHAnsi"/>
          <w:bCs/>
          <w:sz w:val="26"/>
          <w:szCs w:val="26"/>
        </w:rPr>
        <w:t>omnul</w:t>
      </w:r>
      <w:r w:rsidRPr="00034A77">
        <w:rPr>
          <w:rFonts w:asciiTheme="minorHAnsi" w:hAnsiTheme="minorHAnsi" w:cstheme="minorHAnsi"/>
          <w:bCs/>
          <w:sz w:val="26"/>
          <w:szCs w:val="26"/>
        </w:rPr>
        <w:t xml:space="preserve"> judecător Claudiu Drăgușin, membru ales al CSM.</w:t>
      </w:r>
    </w:p>
    <w:p w14:paraId="526E182C" w14:textId="351CD780" w:rsidR="00034A77" w:rsidRPr="00034A77" w:rsidRDefault="00034A77" w:rsidP="00034A77">
      <w:pPr>
        <w:shd w:val="clear" w:color="auto" w:fill="FFFFFF"/>
        <w:ind w:firstLine="720"/>
        <w:jc w:val="both"/>
        <w:rPr>
          <w:rFonts w:asciiTheme="minorHAnsi" w:hAnsiTheme="minorHAnsi" w:cstheme="minorHAnsi"/>
          <w:bCs/>
          <w:sz w:val="26"/>
          <w:szCs w:val="26"/>
        </w:rPr>
      </w:pPr>
      <w:r w:rsidRPr="00034A77">
        <w:rPr>
          <w:rFonts w:asciiTheme="minorHAnsi" w:hAnsiTheme="minorHAnsi" w:cstheme="minorHAnsi"/>
          <w:bCs/>
          <w:sz w:val="26"/>
          <w:szCs w:val="26"/>
        </w:rPr>
        <w:t>De asemenea, Consiliul va fi reprezentat și în cadrul grupul de dialog tematic dedicat atractivității carierei de judecător, prin d</w:t>
      </w:r>
      <w:r>
        <w:rPr>
          <w:rFonts w:asciiTheme="minorHAnsi" w:hAnsiTheme="minorHAnsi" w:cstheme="minorHAnsi"/>
          <w:bCs/>
          <w:sz w:val="26"/>
          <w:szCs w:val="26"/>
        </w:rPr>
        <w:t>omnul</w:t>
      </w:r>
      <w:r w:rsidRPr="00034A77">
        <w:rPr>
          <w:rFonts w:asciiTheme="minorHAnsi" w:hAnsiTheme="minorHAnsi" w:cstheme="minorHAnsi"/>
          <w:bCs/>
          <w:sz w:val="26"/>
          <w:szCs w:val="26"/>
        </w:rPr>
        <w:t xml:space="preserve"> judecător Alin Ene, membru ales al CSM, o primă întânire a membrilor proiectului fiind organizată în luna noiembrie. Trebuie precizat că ulterior a avut loc și un Forum dedicat profesiilor juridice, prin intermediul Academiei de Drept European (ERA). </w:t>
      </w:r>
    </w:p>
    <w:p w14:paraId="567E049A" w14:textId="5B94F3C4" w:rsidR="00A944DA" w:rsidRPr="00564DC7" w:rsidRDefault="0034506F" w:rsidP="00690186">
      <w:pPr>
        <w:ind w:firstLine="720"/>
        <w:jc w:val="both"/>
        <w:rPr>
          <w:rFonts w:asciiTheme="minorHAnsi" w:hAnsiTheme="minorHAnsi" w:cstheme="minorHAnsi"/>
        </w:rPr>
      </w:pPr>
      <w:r w:rsidRPr="00564DC7">
        <w:rPr>
          <w:rFonts w:asciiTheme="minorHAnsi" w:hAnsiTheme="minorHAnsi" w:cstheme="minorHAnsi"/>
          <w:sz w:val="26"/>
          <w:szCs w:val="26"/>
        </w:rPr>
        <w:t>Beneficiind de colaborarea cu instituţiile omoloage din statele membre şi observatoare ale RECJ, la nivelul Direcţiei a fost continuată activitatea de dialog şi schimb de experienţă şi bune practici prin transmiterea şi solicitarea de informaţii pe diverse teme de interes recent, cele mai multe dintre acestea servind la elaborarea de studii de drept comparat necesare pentru fundamentarea unor propuneri de modificări legislative/de legislaţie secundară, de implementare a unor noi instituţii/concepte juridice,</w:t>
      </w:r>
      <w:r w:rsidR="00AB4BE5">
        <w:rPr>
          <w:rFonts w:asciiTheme="minorHAnsi" w:hAnsiTheme="minorHAnsi" w:cstheme="minorHAnsi"/>
          <w:sz w:val="26"/>
          <w:szCs w:val="26"/>
        </w:rPr>
        <w:t xml:space="preserve"> </w:t>
      </w:r>
      <w:r w:rsidRPr="00564DC7">
        <w:rPr>
          <w:rFonts w:asciiTheme="minorHAnsi" w:hAnsiTheme="minorHAnsi" w:cstheme="minorHAnsi"/>
          <w:sz w:val="26"/>
          <w:szCs w:val="26"/>
        </w:rPr>
        <w:t>la punerea în aplicare a unor noi dispoziţii legislative, precum și la implementarea unor proiecte privind optimizarea și eficientizarea activităţii instanţelor sau parchetelor.</w:t>
      </w:r>
    </w:p>
    <w:p w14:paraId="781164B5" w14:textId="3FD1A27C" w:rsidR="006C1588" w:rsidRPr="00564DC7" w:rsidRDefault="006C1588" w:rsidP="00690186">
      <w:pPr>
        <w:pStyle w:val="Heading3"/>
        <w:keepLines w:val="0"/>
        <w:suppressLineNumbers/>
        <w:suppressAutoHyphens/>
        <w:spacing w:line="240" w:lineRule="auto"/>
        <w:rPr>
          <w:rFonts w:cstheme="minorHAnsi"/>
          <w:color w:val="auto"/>
        </w:rPr>
      </w:pPr>
      <w:bookmarkStart w:id="148" w:name="_Toc155267913"/>
      <w:r w:rsidRPr="00564DC7">
        <w:rPr>
          <w:rFonts w:cstheme="minorHAnsi"/>
          <w:color w:val="auto"/>
        </w:rPr>
        <w:t>VI.3.3. Alte activităţi în domeniul relaţiilor externe</w:t>
      </w:r>
      <w:bookmarkEnd w:id="145"/>
      <w:bookmarkEnd w:id="146"/>
      <w:bookmarkEnd w:id="148"/>
      <w:r w:rsidRPr="00564DC7">
        <w:rPr>
          <w:rFonts w:cstheme="minorHAnsi"/>
          <w:color w:val="auto"/>
        </w:rPr>
        <w:t xml:space="preserve"> </w:t>
      </w:r>
      <w:bookmarkStart w:id="149" w:name="_Toc381021557"/>
      <w:bookmarkStart w:id="150" w:name="_Toc430867135"/>
    </w:p>
    <w:p w14:paraId="77D47260" w14:textId="77777777" w:rsidR="0034506F" w:rsidRPr="00AB4BE5" w:rsidRDefault="0034506F" w:rsidP="00690186">
      <w:pPr>
        <w:keepNext/>
        <w:ind w:firstLine="720"/>
        <w:jc w:val="both"/>
        <w:rPr>
          <w:rFonts w:asciiTheme="minorHAnsi" w:hAnsiTheme="minorHAnsi" w:cstheme="minorHAnsi"/>
          <w:b/>
          <w:bCs/>
          <w:sz w:val="26"/>
          <w:szCs w:val="26"/>
        </w:rPr>
      </w:pPr>
      <w:r w:rsidRPr="00AB4BE5">
        <w:rPr>
          <w:rFonts w:asciiTheme="minorHAnsi" w:hAnsiTheme="minorHAnsi" w:cstheme="minorHAnsi"/>
          <w:b/>
          <w:bCs/>
          <w:sz w:val="26"/>
          <w:szCs w:val="26"/>
        </w:rPr>
        <w:t>La nivelul Uniunii Europene</w:t>
      </w:r>
    </w:p>
    <w:p w14:paraId="2C34C0A4"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anul 2023 a fost reluată seria de vizite de studiu derulate la Consiliul Superior al Magistraturii, în cadrul Programului de schimb între autorităţile judiciare EJTN.</w:t>
      </w:r>
    </w:p>
    <w:p w14:paraId="7ECF1F7A" w14:textId="1C6EC34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Astfel, în cursul anului 2023, Consiliul Superior al Magistraturii a primit vizitele de studiu ale unor delegaţii de magistraţi străini în cadrul programului de schimb între autorităţile judiciare derulat în cadrul REFJ/EJTN. În acest context, DAERIP - SAERI a asigurat cadrul discuţiilor şi materialele necesare pentru a prezenta judecătorilor și procurorilor străini funcţiile şi atribuțiile Consiliului Superior al Magistraturii şi organizarea sistemului judiciar din România.</w:t>
      </w:r>
    </w:p>
    <w:p w14:paraId="6AF78B98"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anul 2023, Consiliul Superior al Magistraturii a continuat să participe la reuniunile persoanelor de contact organizate de Comisia Europeană în legӑturӑ cu Tabloul de bord privind Justiția în UE – EU Justice Scoreboard. Reuniunile, în cadrul cărora Consiliul este reprezentat la nivel tehnic prin SAERI, s-au derulat în acest an în format hibrid, reprezentarea CSM asigurându-se online. CSM, în colaborare cu Ministerul Justiției, a continuat implicarea activă prin completarea chestionarului transmis de Comisia Europeană, chestionar care va sta la baza elaborării ediției 2024 a Raportului EU Justice Scoreboard, contribuția fiind transmisă cu respectarea termenelor CE. Totodată, precizăm că Raportul EU Justice Scoreboard a fost publicat în acest an la data de 8 iunie 2023.</w:t>
      </w:r>
    </w:p>
    <w:p w14:paraId="35B34539"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De asemenea, trebuie menţionată reprezentarea Consiliului Superior al Magistraturii în activitatea Grupului de lucru Contencios al Uniunii Europene (GLCUE), organism interguvernamental/interinstituţional, la nivelul Agentului Guvernamental pentru Curtea de Justiție a Uniunii Europene (AgCJUE), activitate concretizată în participarea la nivel tehnic, la reuniunile GLCUE şi colaborarea prin transmiterea de observaţii și puncte de vedere relevante din perspectiva competențelor CSM, ori de câte ori au fost primite solicitări în acest sens.</w:t>
      </w:r>
    </w:p>
    <w:p w14:paraId="3973710D"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Colaborarea a continuat în aceeași manieră și în 2023, iar, spre deosebire de anul trecut, condițiile ulterioare crizei sanitare au permis reluarea reuniunilor periodice ale GLCUE în format </w:t>
      </w:r>
      <w:r w:rsidRPr="00564DC7">
        <w:rPr>
          <w:rFonts w:asciiTheme="minorHAnsi" w:hAnsiTheme="minorHAnsi" w:cstheme="minorHAnsi"/>
          <w:i/>
          <w:sz w:val="26"/>
          <w:szCs w:val="26"/>
        </w:rPr>
        <w:t>face to face</w:t>
      </w:r>
      <w:r w:rsidRPr="00564DC7">
        <w:rPr>
          <w:rFonts w:asciiTheme="minorHAnsi" w:hAnsiTheme="minorHAnsi" w:cstheme="minorHAnsi"/>
          <w:sz w:val="26"/>
          <w:szCs w:val="26"/>
        </w:rPr>
        <w:t>, agenda discuțiilor urmărind, în continuare, alături de activitatea în perioada de referință a AgCJUE și aspecte tehnice care țin de colaborarea în cadrul grupului.</w:t>
      </w:r>
    </w:p>
    <w:p w14:paraId="1CC4D54B" w14:textId="77777777" w:rsidR="0034506F" w:rsidRPr="00AB4BE5" w:rsidRDefault="0034506F" w:rsidP="00690186">
      <w:pPr>
        <w:ind w:firstLine="720"/>
        <w:jc w:val="both"/>
        <w:rPr>
          <w:rFonts w:asciiTheme="minorHAnsi" w:hAnsiTheme="minorHAnsi" w:cstheme="minorHAnsi"/>
          <w:b/>
          <w:bCs/>
          <w:sz w:val="26"/>
          <w:szCs w:val="26"/>
        </w:rPr>
      </w:pPr>
      <w:r w:rsidRPr="00AB4BE5">
        <w:rPr>
          <w:rFonts w:asciiTheme="minorHAnsi" w:hAnsiTheme="minorHAnsi" w:cstheme="minorHAnsi"/>
          <w:b/>
          <w:bCs/>
          <w:sz w:val="26"/>
          <w:szCs w:val="26"/>
        </w:rPr>
        <w:t>La nivelul Consiliului Europei (CoE)</w:t>
      </w:r>
    </w:p>
    <w:p w14:paraId="4637625B" w14:textId="4E3C4E34"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Referitor la colaborarea în cadrul proiectului Consiliului Europei - CEPEJ,</w:t>
      </w:r>
      <w:r w:rsidRPr="00564DC7">
        <w:rPr>
          <w:rFonts w:asciiTheme="minorHAnsi" w:hAnsiTheme="minorHAnsi" w:cstheme="minorHAnsi"/>
          <w:b/>
          <w:i/>
          <w:sz w:val="26"/>
          <w:szCs w:val="26"/>
        </w:rPr>
        <w:t xml:space="preserve"> </w:t>
      </w:r>
      <w:r w:rsidRPr="00564DC7">
        <w:rPr>
          <w:rFonts w:asciiTheme="minorHAnsi" w:hAnsiTheme="minorHAnsi" w:cstheme="minorHAnsi"/>
          <w:bCs/>
          <w:iCs/>
          <w:sz w:val="26"/>
          <w:szCs w:val="26"/>
        </w:rPr>
        <w:t xml:space="preserve">trebuie menționat că atât </w:t>
      </w:r>
      <w:r w:rsidRPr="00564DC7">
        <w:rPr>
          <w:rFonts w:asciiTheme="minorHAnsi" w:hAnsiTheme="minorHAnsi" w:cstheme="minorHAnsi"/>
          <w:sz w:val="26"/>
          <w:szCs w:val="26"/>
        </w:rPr>
        <w:t>reprezentarea CSM, de la nivelul conducerii DAERIP - SAERI, în activitatea tehnică implicată de acesta, cât și contribuția constând în completarea amplelor chestionare elaborate în acest sens la nivelul CEPEJ a continuat în aceeași manieră. Specificitatea chestionarelor online de evaluare a sistemelor judiciare în cadrul CEPEJ, constă într-o</w:t>
      </w:r>
      <w:r w:rsidR="00AB4BE5">
        <w:rPr>
          <w:rFonts w:asciiTheme="minorHAnsi" w:hAnsiTheme="minorHAnsi" w:cstheme="minorHAnsi"/>
          <w:sz w:val="26"/>
          <w:szCs w:val="26"/>
        </w:rPr>
        <w:t xml:space="preserve"> </w:t>
      </w:r>
      <w:r w:rsidRPr="00564DC7">
        <w:rPr>
          <w:rFonts w:asciiTheme="minorHAnsi" w:hAnsiTheme="minorHAnsi" w:cstheme="minorHAnsi"/>
          <w:sz w:val="26"/>
          <w:szCs w:val="26"/>
        </w:rPr>
        <w:t>amplă evaluare a sistemelor judiciare naționale ale statelor membre ale Consiliului Europei (CoE), realizată la fiecare doi ani. Distinct, prin proiectul de colaborare cu Comisia Europeană are loc și o evaluare anuală a statelor membre UE prin prisma răspunsului la o parte din chestionarul</w:t>
      </w:r>
      <w:r w:rsidR="00AB4BE5">
        <w:rPr>
          <w:rFonts w:asciiTheme="minorHAnsi" w:hAnsiTheme="minorHAnsi" w:cstheme="minorHAnsi"/>
          <w:sz w:val="26"/>
          <w:szCs w:val="26"/>
        </w:rPr>
        <w:t xml:space="preserve"> </w:t>
      </w:r>
      <w:r w:rsidRPr="00564DC7">
        <w:rPr>
          <w:rFonts w:asciiTheme="minorHAnsi" w:hAnsiTheme="minorHAnsi" w:cstheme="minorHAnsi"/>
          <w:sz w:val="26"/>
          <w:szCs w:val="26"/>
        </w:rPr>
        <w:t xml:space="preserve">CEPEJ care este comunicat şi evaluat în contextul EU Justice Scoreboard. Ca şi până acum, implicarea CSM a fost una activă, în colaborare cu Ministerul Justiţiei. În acest an a fost completat chestionarul CEPEJ în contextul evaluării ample a sistemelor judiciare, menționate anterior, urmărind-se, printre altele, reformele recente în domeniul justiției, modificările legislative, dar și o serie de date statistice relevante, evaluate la nivelul anului 2022. Rolul DAERIP este unul cheie în centralizarea și completarea acestor date, fiind sprijinit de principalele departamente cu competențe, în aceste sens, din CSM, respectiv, Serviciul Informatică și Statistică Judiciară, Direcția Resurse Umane, Biroul Grefa Secțiilor, dar și din cadrul INM și SNG, alături de reprezentanții MJ implicați în CEPEJ. </w:t>
      </w:r>
    </w:p>
    <w:p w14:paraId="55C51B2B"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Totodată, în data de 18 octombrie 2023, reprezentantul CSM a luat parte la Strasbourg, la cea de-a 17-a reuniune a corespondenților naționali.</w:t>
      </w:r>
    </w:p>
    <w:p w14:paraId="3833C222" w14:textId="37A65E0E" w:rsidR="00034A77" w:rsidRDefault="00034A77" w:rsidP="00034A77">
      <w:pPr>
        <w:ind w:firstLine="720"/>
        <w:jc w:val="both"/>
        <w:rPr>
          <w:rFonts w:asciiTheme="minorHAnsi" w:hAnsiTheme="minorHAnsi" w:cstheme="minorHAnsi"/>
          <w:sz w:val="26"/>
          <w:szCs w:val="26"/>
        </w:rPr>
      </w:pPr>
      <w:r>
        <w:rPr>
          <w:rFonts w:asciiTheme="minorHAnsi" w:hAnsiTheme="minorHAnsi" w:cstheme="minorHAnsi"/>
          <w:sz w:val="26"/>
          <w:szCs w:val="26"/>
        </w:rPr>
        <w:t xml:space="preserve">O altă implicare pe plan extern vizează reprezentarea CSM în cadrul activităților derulate în cadrul proiectului TJENI – Foster Transparency of Judicial Decisions and Enhancing the National Implementation of ECHR, al cărui scop este de a propune soluții metodologice și tehnologice de anonimizare (pseudonimizare) a hotărârilor judecătorești, în vederea publicării și clasificării acestora. Consiliul a fost </w:t>
      </w:r>
      <w:r w:rsidRPr="00034A77">
        <w:rPr>
          <w:rFonts w:asciiTheme="minorHAnsi" w:hAnsiTheme="minorHAnsi" w:cstheme="minorHAnsi"/>
          <w:sz w:val="26"/>
          <w:szCs w:val="26"/>
        </w:rPr>
        <w:t>reprezentat în cadrul proiectului</w:t>
      </w:r>
      <w:r>
        <w:rPr>
          <w:rFonts w:asciiTheme="minorHAnsi" w:hAnsiTheme="minorHAnsi" w:cstheme="minorHAnsi"/>
          <w:sz w:val="26"/>
          <w:szCs w:val="26"/>
        </w:rPr>
        <w:t>,și în acest an de la nivelul conducerii Serviciului Informatică și Statistică Judiciară, reprezentantul Consiliului având un rol important în cadrul derulării activităților proiectului și contribuind esențial cu experiența CSM în acest domeniu, în cadrul discuțiilor</w:t>
      </w:r>
      <w:r w:rsidRPr="00034A77">
        <w:rPr>
          <w:rFonts w:asciiTheme="minorHAnsi" w:hAnsiTheme="minorHAnsi" w:cstheme="minorHAnsi"/>
          <w:sz w:val="26"/>
          <w:szCs w:val="26"/>
        </w:rPr>
        <w:t xml:space="preserve">. De altfel, acesta a participat și în calitate de mentor la evenimentul de tip Hackathon organizat la Paris, în perioada 17-19 noiembrie. Amintim, de asemenea și reprezentarea Consiliului în acest an la întâlnirile și vizitele de studiu organizate în cadrul acestui proiect, ce au avut loc în Cipru, Franța, Norvegia, temele de discuție vizând subiecte precum: </w:t>
      </w:r>
      <w:r>
        <w:rPr>
          <w:rFonts w:asciiTheme="minorHAnsi" w:hAnsiTheme="minorHAnsi" w:cstheme="minorHAnsi"/>
          <w:sz w:val="26"/>
          <w:szCs w:val="26"/>
        </w:rPr>
        <w:t>digitalizarea în cadrul sistemului judiciar, date deschise în sistemul judiciar: cadrul de reglementare și măsurile corective, standarde și recomandări privind publicarea hotărârilor judecătorești.</w:t>
      </w:r>
    </w:p>
    <w:p w14:paraId="50C2E93A" w14:textId="60B1CB8A"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contextul colaborării în cadrul CoE - CEDO, trebuie menționată implicarea Consiliului în materia drepturilor omului şi colaborarea cu Agentul Guvernamental pentru Curtea Europeană a Drepturilor Omului prin diseminarea jurisprudenței relevante, la solicitarea Agentului Guvernamental pentru CEDO, </w:t>
      </w:r>
      <w:r w:rsidR="00120E2B" w:rsidRPr="00120E2B">
        <w:rPr>
          <w:rFonts w:ascii="Calibri" w:hAnsi="Calibri" w:cs="Calibri"/>
          <w:sz w:val="26"/>
          <w:szCs w:val="26"/>
        </w:rPr>
        <w:t>dar și prin răspunsurile, în limitele competențelor, la solicitările în materia punerii în executare a hotărârilor Curții, precum și participarea, la nivel tehnic, la activități comune, spre exemplu, în acest an participarea la discuțiile cu echipa Comisarului pentru Drepturile Omului în România, în data de 6 decembrie, la sediul Ministerului Afacerilor Externe.</w:t>
      </w:r>
    </w:p>
    <w:p w14:paraId="607A39A6"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În același context, DAERIP a continuat colaborarea cu Institutul European din România în ceea ce privește jurisprudența Curții Europene a Drepturilor Omului, transmisă de IER în forma tradusă în limba română.</w:t>
      </w:r>
    </w:p>
    <w:p w14:paraId="4C027E81" w14:textId="77777777" w:rsidR="0034506F" w:rsidRPr="00AB4BE5" w:rsidRDefault="0034506F" w:rsidP="008C03E4">
      <w:pPr>
        <w:keepNext/>
        <w:ind w:firstLine="720"/>
        <w:jc w:val="both"/>
        <w:rPr>
          <w:rFonts w:asciiTheme="minorHAnsi" w:hAnsiTheme="minorHAnsi" w:cstheme="minorHAnsi"/>
          <w:b/>
          <w:bCs/>
          <w:sz w:val="26"/>
          <w:szCs w:val="26"/>
        </w:rPr>
      </w:pPr>
      <w:r w:rsidRPr="00AB4BE5">
        <w:rPr>
          <w:rFonts w:asciiTheme="minorHAnsi" w:hAnsiTheme="minorHAnsi" w:cstheme="minorHAnsi"/>
          <w:b/>
          <w:bCs/>
          <w:sz w:val="26"/>
          <w:szCs w:val="26"/>
        </w:rPr>
        <w:lastRenderedPageBreak/>
        <w:t>La nivelul Organizației Națiunilor Unite</w:t>
      </w:r>
    </w:p>
    <w:p w14:paraId="16BBF59B" w14:textId="50D33388" w:rsidR="0034506F" w:rsidRPr="00564DC7" w:rsidRDefault="0034506F" w:rsidP="00690186">
      <w:pPr>
        <w:pStyle w:val="PlainText"/>
        <w:ind w:firstLine="720"/>
        <w:jc w:val="both"/>
        <w:rPr>
          <w:rFonts w:asciiTheme="minorHAnsi" w:hAnsiTheme="minorHAnsi" w:cstheme="minorHAnsi"/>
          <w:sz w:val="26"/>
          <w:szCs w:val="26"/>
          <w:lang w:val="ro-RO"/>
        </w:rPr>
      </w:pPr>
      <w:r w:rsidRPr="00564DC7">
        <w:rPr>
          <w:rFonts w:asciiTheme="minorHAnsi" w:hAnsiTheme="minorHAnsi" w:cstheme="minorHAnsi"/>
          <w:sz w:val="26"/>
          <w:szCs w:val="26"/>
          <w:lang w:val="ro-RO"/>
        </w:rPr>
        <w:t>În data de 2 mai 2023 a avut loc evaluarea periodică Universal Periodic Review (UPR),  mecanism de evaluare periodică universală a respectării drepturilor omului de către statele membre ale Organizației Națiunilor Unite, instituit prin Rezoluția Adunării Generale a Organizației Națiunilor Unite nr.</w:t>
      </w:r>
      <w:r w:rsidR="00C71D9D">
        <w:rPr>
          <w:rFonts w:asciiTheme="minorHAnsi" w:hAnsiTheme="minorHAnsi" w:cstheme="minorHAnsi"/>
          <w:sz w:val="26"/>
          <w:szCs w:val="26"/>
          <w:lang w:val="ro-RO"/>
        </w:rPr>
        <w:t xml:space="preserve"> </w:t>
      </w:r>
      <w:r w:rsidRPr="00564DC7">
        <w:rPr>
          <w:rFonts w:asciiTheme="minorHAnsi" w:hAnsiTheme="minorHAnsi" w:cstheme="minorHAnsi"/>
          <w:sz w:val="26"/>
          <w:szCs w:val="26"/>
          <w:lang w:val="ro-RO"/>
        </w:rPr>
        <w:t xml:space="preserve">60/251. </w:t>
      </w:r>
    </w:p>
    <w:p w14:paraId="43C9ED83" w14:textId="77777777" w:rsidR="0034506F" w:rsidRPr="00564DC7" w:rsidRDefault="0034506F" w:rsidP="00690186">
      <w:pPr>
        <w:pStyle w:val="PlainText"/>
        <w:ind w:firstLine="720"/>
        <w:jc w:val="both"/>
        <w:rPr>
          <w:rFonts w:asciiTheme="minorHAnsi" w:hAnsiTheme="minorHAnsi" w:cstheme="minorHAnsi"/>
          <w:sz w:val="26"/>
          <w:szCs w:val="26"/>
          <w:lang w:val="ro-RO"/>
        </w:rPr>
      </w:pPr>
      <w:r w:rsidRPr="00564DC7">
        <w:rPr>
          <w:rFonts w:asciiTheme="minorHAnsi" w:hAnsiTheme="minorHAnsi" w:cstheme="minorHAnsi"/>
          <w:sz w:val="26"/>
          <w:szCs w:val="26"/>
          <w:lang w:val="ro-RO"/>
        </w:rPr>
        <w:t>În acest context, ca membru al Consiliului Drepturilor Omului, România a susținut evaluarea din al patrulea ciclu UPR în prima parte a anului 2023, la data de 06 februarie 2023 fiind transmis raportul național care urma să sprijine evaluarea orală care a avut loc la Geneva. Consiliul Superior al Magistraturii a fost reprezentat de la nivelul conducerii DAERIP, inclusiv la reuniunea de evaluare orală de la Geneva, atât prin contribuții transmise în pregătirea susținerii orale, cât și prin intervenția prezentată în sesiunea din 02 mai 2023.</w:t>
      </w:r>
    </w:p>
    <w:p w14:paraId="34A988E4" w14:textId="77777777"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Analizând recomandările formulate în cadrul sesiunii orale UPR din 2023, Consiliul a transmis către MAE, în luna iulie 2023, observații privind atât acceptarea, cât și respingerea unora dintre aceste recomandări.</w:t>
      </w:r>
    </w:p>
    <w:p w14:paraId="6F459A14" w14:textId="7A90EFF0" w:rsidR="0034506F" w:rsidRPr="00564DC7" w:rsidRDefault="0034506F" w:rsidP="00690186">
      <w:pPr>
        <w:ind w:firstLine="720"/>
        <w:jc w:val="both"/>
        <w:rPr>
          <w:rFonts w:asciiTheme="minorHAnsi" w:hAnsiTheme="minorHAnsi" w:cstheme="minorHAnsi"/>
          <w:strike/>
          <w:sz w:val="26"/>
          <w:szCs w:val="26"/>
          <w:highlight w:val="cyan"/>
        </w:rPr>
      </w:pPr>
      <w:r w:rsidRPr="00564DC7">
        <w:rPr>
          <w:rFonts w:asciiTheme="minorHAnsi" w:hAnsiTheme="minorHAnsi" w:cstheme="minorHAnsi"/>
          <w:sz w:val="26"/>
          <w:szCs w:val="26"/>
        </w:rPr>
        <w:t>Pe un loc important se află şi relațiile bilaterale dezvoltate cu autoritățile omoloage din Republica Moldova. De altfel, ulterior primirii de către Consiliul Superior al Magistraturii din Republica Moldova a calității de observator al RECJ, CSM a adoptat în ședința Plenului din data de 6 iulie 2023 „Declarația privind colaborarea dintre Consiliul Superior al Magistraturii din România şi Consiliul Superior al Magistraturii din Republica Moldova”. Prin aceasta, s-a exprimat sprijinul pentru reforma sistemului judiciar din Republica Moldova şi intenția de a facilita dialogul direct, schimbul de experienţe şi cooperarea între cele două instituţii, precum şi între magistraţii din România şi Republica Moldova.</w:t>
      </w:r>
    </w:p>
    <w:p w14:paraId="5C34D285" w14:textId="4BAEE898"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De asemenea trebuie precizat că, în perioada 28 septembrie 2023 – 01 octombrie 2023, o delegație a Consiliul</w:t>
      </w:r>
      <w:r w:rsidR="00AB4BE5">
        <w:rPr>
          <w:rFonts w:asciiTheme="minorHAnsi" w:hAnsiTheme="minorHAnsi" w:cstheme="minorHAnsi"/>
          <w:sz w:val="26"/>
          <w:szCs w:val="26"/>
        </w:rPr>
        <w:t>ui</w:t>
      </w:r>
      <w:r w:rsidRPr="00564DC7">
        <w:rPr>
          <w:rFonts w:asciiTheme="minorHAnsi" w:hAnsiTheme="minorHAnsi" w:cstheme="minorHAnsi"/>
          <w:sz w:val="26"/>
          <w:szCs w:val="26"/>
        </w:rPr>
        <w:t xml:space="preserve"> Superior al Magistraturii, condusă de președintele Consiliului, a luat parte la reuniunea organizată la Chișinău, cu această ocazie fiind prevăzute o serie de întâlniri cu membri ai CSM Republica Moldova, dar și alți reprezentanți ai instituțiilor din cadrul sistemului judiciar moldovenesc, pentru a se discuta viitoare activități de colaborare. Consiliul Superior al Magistraturii a reiterat pe această cale intenția de consolidare a parteneriatului bilateral în domeniul justiției între cele două instituții, în vederea implementării reformelor sistemului judiciar din Republica Moldova, în acord cu cele statuate prin Declarația adoptată la data de 06 iulie 2023 și și-a exprimat susținerea instituțională pentru o colaborare dinamică și în viitor, </w:t>
      </w:r>
      <w:r w:rsidRPr="00564DC7">
        <w:rPr>
          <w:rFonts w:asciiTheme="minorHAnsi" w:hAnsiTheme="minorHAnsi" w:cstheme="minorHAnsi"/>
          <w:sz w:val="26"/>
          <w:szCs w:val="26"/>
          <w:shd w:val="clear" w:color="auto" w:fill="FFFFFF"/>
        </w:rPr>
        <w:t>concretizată în sprijinul ce va fi acordat pentru implementarea reformei judiciare din statul omolog, într-un moment crucial al acestuia pentru asumarea parcursului european, ca urmare a obținerii statutului de candidat în vederea aderării la Uniunea Europeană.</w:t>
      </w:r>
    </w:p>
    <w:p w14:paraId="717D2FD3" w14:textId="77777777" w:rsidR="0034506F"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Totodată, în data de 19 octombrie 2023, a fost primită, la sediul CSM, vizita delegației Consiliul Superior al Procurorilor din Republica Moldova (CSP). Întâlnirea membrilor CSP cu membrii Secției pentru Procurori din CSM a vizat abordarea unor teme de interes precum: apărarea independenței/reputației procurorilor, evaluarea procurorilor – limite și standarde, comunicarea internă/externă, transparența în procesul decizional, activitatea consilierilor de etică, modul de funcționare a votului electronic, cooptarea soft-urilor IT și/sau a inteligenței artificiale în activitatea publică/procesuală/administrativă. S-a subliniat și cu acest prilej preocuparea pentru  consolidarea bunei cooperări instituționale si pentru continuarea dialogului cu instituțiile omoloage din Republica Moldova, reiterându-se temele comune de interes in domeniul reformei judiciare.</w:t>
      </w:r>
    </w:p>
    <w:p w14:paraId="14040E94" w14:textId="0701703B" w:rsidR="00120E2B" w:rsidRPr="00564DC7" w:rsidRDefault="00120E2B" w:rsidP="00690186">
      <w:pPr>
        <w:ind w:firstLine="720"/>
        <w:jc w:val="both"/>
        <w:rPr>
          <w:rFonts w:asciiTheme="minorHAnsi" w:hAnsiTheme="minorHAnsi" w:cstheme="minorHAnsi"/>
          <w:sz w:val="26"/>
          <w:szCs w:val="26"/>
        </w:rPr>
      </w:pPr>
      <w:r w:rsidRPr="00120E2B">
        <w:rPr>
          <w:rFonts w:ascii="Calibri" w:hAnsi="Calibri" w:cs="Calibri"/>
          <w:sz w:val="26"/>
          <w:szCs w:val="26"/>
        </w:rPr>
        <w:t xml:space="preserve">De asemenea, în perioada de referință au avut loc, vizita delegației franceze, formate din președinți de curți de apel și procurori generali de la parchetele de pe lângă curți de apel din Franța, organizată în cadrul Proiectului de program pentru cursul internațional de formare „Magistratul și interdicțiile sale” de Școala Superioară de Magistratură din Franța și de Magistratul francez de legătură în România, precum și vizita delegației unor reprezentanți ai serviciilor de </w:t>
      </w:r>
      <w:r w:rsidRPr="00120E2B">
        <w:rPr>
          <w:rFonts w:ascii="Calibri" w:hAnsi="Calibri" w:cs="Calibri"/>
          <w:sz w:val="26"/>
          <w:szCs w:val="26"/>
        </w:rPr>
        <w:lastRenderedPageBreak/>
        <w:t>inspecție judiciară din cadrul Rețelei europene a inspecțiilor judiciare, organizată în cadrul proiectului CPPEIJ – Cooperare pentru protecția mediului prin serviciile de Inspecție Judiciară derulat de Comisia Europeană.</w:t>
      </w:r>
    </w:p>
    <w:p w14:paraId="6AA0A6FD" w14:textId="7C2DE4C6" w:rsidR="0034506F" w:rsidRPr="00564DC7"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Trebuie menționate, în același context al activității la nivel internațional, contribuțiile sau punctele de vedere referitoare la diferite rapoarte de evaluare sau analize realizate de către organisme internaționale pe teme precum situația drepturilor omului în România, sens în care merită amintit Raportul Departamentului de Stat al Statelor Unite ale Americii, cu privire la care, ca în fiecare an, au fost făcute analize şi transmise observaţii, precum şi promovarea statului de drept, combaterea antisemitismului, libertatea presei, drepturile omului şi antidiscriminarea.</w:t>
      </w:r>
    </w:p>
    <w:p w14:paraId="34D7A66B" w14:textId="4DAFB4A2" w:rsidR="0034506F" w:rsidRDefault="0034506F" w:rsidP="00690186">
      <w:pPr>
        <w:ind w:firstLine="720"/>
        <w:jc w:val="both"/>
        <w:rPr>
          <w:rFonts w:asciiTheme="minorHAnsi" w:hAnsiTheme="minorHAnsi" w:cstheme="minorHAnsi"/>
          <w:sz w:val="26"/>
          <w:szCs w:val="26"/>
        </w:rPr>
      </w:pPr>
      <w:r w:rsidRPr="00564DC7">
        <w:rPr>
          <w:rFonts w:asciiTheme="minorHAnsi" w:hAnsiTheme="minorHAnsi" w:cstheme="minorHAnsi"/>
          <w:iCs/>
          <w:sz w:val="26"/>
          <w:szCs w:val="26"/>
        </w:rPr>
        <w:t xml:space="preserve">În legătură cu reprezentarea Consiliului Superior al Magistraturii la reuniunile cu caracter internațional, trebuie menționată și conferința cu tema </w:t>
      </w:r>
      <w:r w:rsidR="00AB4BE5" w:rsidRPr="00564DC7">
        <w:rPr>
          <w:rFonts w:asciiTheme="minorHAnsi" w:hAnsiTheme="minorHAnsi" w:cstheme="minorHAnsi"/>
          <w:bCs/>
          <w:sz w:val="26"/>
          <w:szCs w:val="26"/>
        </w:rPr>
        <w:t>„</w:t>
      </w:r>
      <w:r w:rsidRPr="00564DC7">
        <w:rPr>
          <w:rFonts w:asciiTheme="minorHAnsi" w:hAnsiTheme="minorHAnsi" w:cstheme="minorHAnsi"/>
          <w:sz w:val="26"/>
          <w:szCs w:val="26"/>
        </w:rPr>
        <w:t xml:space="preserve">Instanța înființată prin lege”, organizată de către asociația MEDEL – </w:t>
      </w:r>
      <w:r w:rsidR="00AB4BE5" w:rsidRPr="00564DC7">
        <w:rPr>
          <w:rFonts w:asciiTheme="minorHAnsi" w:hAnsiTheme="minorHAnsi" w:cstheme="minorHAnsi"/>
          <w:bCs/>
          <w:sz w:val="26"/>
          <w:szCs w:val="26"/>
        </w:rPr>
        <w:t>„</w:t>
      </w:r>
      <w:r w:rsidRPr="00564DC7">
        <w:rPr>
          <w:rFonts w:asciiTheme="minorHAnsi" w:hAnsiTheme="minorHAnsi" w:cstheme="minorHAnsi"/>
          <w:sz w:val="26"/>
          <w:szCs w:val="26"/>
        </w:rPr>
        <w:t>Magistrați europeni pentru democrație și libertăți”, de asociația Iustiția (membrul MEDEL din Polonia), precum și de către Universitatea din Varșovia. Evenimentul a avut loc în data de 14 aprilie 2023, la Varșovia, Polonia.</w:t>
      </w:r>
      <w:r w:rsidRPr="00564DC7">
        <w:rPr>
          <w:rFonts w:asciiTheme="minorHAnsi" w:hAnsiTheme="minorHAnsi" w:cstheme="minorHAnsi"/>
          <w:iCs/>
          <w:sz w:val="26"/>
          <w:szCs w:val="26"/>
        </w:rPr>
        <w:t xml:space="preserve"> Reprezentantul CSM, la acea dată, în Comitetul Executiv al RECJ a participat la această reuniune, prilej cu care a ținut un discurs, în virtutea calității sale </w:t>
      </w:r>
      <w:r w:rsidRPr="00564DC7">
        <w:rPr>
          <w:rFonts w:asciiTheme="minorHAnsi" w:hAnsiTheme="minorHAnsi" w:cstheme="minorHAnsi"/>
          <w:sz w:val="26"/>
          <w:szCs w:val="26"/>
        </w:rPr>
        <w:t>în cadrul organismului de conducere al RECJ și a desemnării făcute de președintele Rețelei în acest scop.</w:t>
      </w:r>
    </w:p>
    <w:p w14:paraId="4F5384FA" w14:textId="04F3DB21" w:rsidR="00034A77" w:rsidRDefault="00034A77" w:rsidP="00034A77">
      <w:pPr>
        <w:spacing w:line="300" w:lineRule="exact"/>
        <w:ind w:firstLine="708"/>
        <w:jc w:val="both"/>
        <w:rPr>
          <w:rFonts w:asciiTheme="minorHAnsi" w:hAnsiTheme="minorHAnsi" w:cstheme="minorHAnsi"/>
          <w:sz w:val="26"/>
          <w:szCs w:val="26"/>
        </w:rPr>
      </w:pPr>
      <w:r w:rsidRPr="00034A77">
        <w:rPr>
          <w:rFonts w:asciiTheme="minorHAnsi" w:hAnsiTheme="minorHAnsi" w:cstheme="minorHAnsi"/>
          <w:sz w:val="26"/>
          <w:szCs w:val="26"/>
        </w:rPr>
        <w:t>De asemenea, Consiliul a fost reprezentat, de la nivelul conducerii DAERIP, la atelierul de lucru organizat la Poznan, Polonia, în data de 25 ianuarie, în cadrul proiectului ”The Improving the application of the presumption of innocence when applying electronic evidence’ (innocent)”, iar de la nivelul conducerii DAERIP-SPEI s-a asigurat participarea la forumul destinat magistraților, organizat de Curtea de Justiție a Uniunii Europene, în perioada 26-28 noiembrie 2023, la Luxemburg.</w:t>
      </w:r>
    </w:p>
    <w:p w14:paraId="4E517468" w14:textId="45F465C4" w:rsidR="006C1588" w:rsidRPr="00564DC7" w:rsidRDefault="006C1588" w:rsidP="00690186">
      <w:pPr>
        <w:pStyle w:val="Heading3"/>
        <w:keepNext w:val="0"/>
        <w:keepLines w:val="0"/>
        <w:suppressLineNumbers/>
        <w:suppressAutoHyphens/>
        <w:spacing w:line="240" w:lineRule="auto"/>
        <w:rPr>
          <w:rFonts w:cstheme="minorHAnsi"/>
          <w:color w:val="auto"/>
        </w:rPr>
      </w:pPr>
      <w:bookmarkStart w:id="151" w:name="_Toc155267914"/>
      <w:r w:rsidRPr="00564DC7">
        <w:rPr>
          <w:rFonts w:cstheme="minorHAnsi"/>
          <w:color w:val="auto"/>
        </w:rPr>
        <w:t>VI.3.4. Activitatea în domeniul programelor cu finanţare europeană şi internaţională</w:t>
      </w:r>
      <w:bookmarkStart w:id="152" w:name="_Toc430867136"/>
      <w:bookmarkEnd w:id="149"/>
      <w:bookmarkEnd w:id="150"/>
      <w:bookmarkEnd w:id="151"/>
    </w:p>
    <w:p w14:paraId="63935B14"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Serviciul Programe Europene și Internaționale a continuat în anul 2023 activitatea de implementare a proiectelor cu finanțare externă nerambursabilă demarate în anii anteriori, după cum urmează:</w:t>
      </w:r>
    </w:p>
    <w:p w14:paraId="271A0BFF"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b/>
          <w:sz w:val="26"/>
          <w:szCs w:val="26"/>
        </w:rPr>
        <w:t xml:space="preserve">1. Proiectul „TAEJ-Transparență, accesibilitate și educație juridică prin îmbunătățirea comunicării publice la nivelul sistemului judiciar” </w:t>
      </w:r>
      <w:r w:rsidRPr="00564DC7">
        <w:rPr>
          <w:rFonts w:asciiTheme="minorHAnsi" w:hAnsiTheme="minorHAnsi" w:cstheme="minorHAnsi"/>
          <w:sz w:val="26"/>
          <w:szCs w:val="26"/>
        </w:rPr>
        <w:t>(cod SIPOCA 454/cod MySMIS 118765), finanțat în cadrul Programului Operațional Capacitate Administrativă 2014-2020, a fost implementat în perioada 5 septembrie 2018 – 30 iunie 2023, de Consiliul Superior al Magistraturii în parteneriat cu Institutul Național al Magistraturii, Școala Națională de Grefieri, Ministerul Justiției, Inspecția Judiciară și Parchetul de pe lângă Înalta Curte de Casație și Justiție.</w:t>
      </w:r>
    </w:p>
    <w:p w14:paraId="2D4B0789"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Obiectivul general al proiectului a constat în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14:paraId="326CDAB4"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Dintre activitățile relevante realizate în perioada de referinţă, amintim:</w:t>
      </w:r>
    </w:p>
    <w:p w14:paraId="150EED41" w14:textId="77777777" w:rsidR="00DA3665" w:rsidRPr="00564DC7" w:rsidRDefault="00DA3665">
      <w:pPr>
        <w:widowControl w:val="0"/>
        <w:numPr>
          <w:ilvl w:val="0"/>
          <w:numId w:val="25"/>
        </w:numPr>
        <w:tabs>
          <w:tab w:val="left" w:pos="1134"/>
        </w:tabs>
        <w:autoSpaceDE w:val="0"/>
        <w:autoSpaceDN w:val="0"/>
        <w:adjustRightInd w:val="0"/>
        <w:ind w:left="0"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Cu privire la diseminarea Strategiei de comunicare, asigurarea sustenabilității acțiunilor derulate, precum și pentru consolidarea competențelor în domeniul comunicării pentru personalul din cadrul sistemului judiciar, modulele de instruire în domeniul comunicării în format </w:t>
      </w:r>
      <w:r w:rsidRPr="00564DC7">
        <w:rPr>
          <w:rFonts w:asciiTheme="minorHAnsi" w:hAnsiTheme="minorHAnsi" w:cstheme="minorHAnsi"/>
          <w:i/>
          <w:iCs/>
          <w:sz w:val="26"/>
          <w:szCs w:val="26"/>
        </w:rPr>
        <w:t>e-learning</w:t>
      </w:r>
      <w:r w:rsidRPr="00564DC7">
        <w:rPr>
          <w:rFonts w:asciiTheme="minorHAnsi" w:hAnsiTheme="minorHAnsi" w:cstheme="minorHAnsi"/>
          <w:sz w:val="26"/>
          <w:szCs w:val="26"/>
        </w:rPr>
        <w:t xml:space="preserve">, dezvoltate în cadrul proiectului au fost incluse în programele de formare continuă ale Institutului Național al Magistraturii și Școlii Naționale de Grefieri, fiind disponibile în cursul anului 2023 pentru persoanele interesate. </w:t>
      </w:r>
    </w:p>
    <w:p w14:paraId="78B0A37D" w14:textId="77777777" w:rsidR="00DA3665" w:rsidRPr="00564DC7" w:rsidRDefault="00DA3665">
      <w:pPr>
        <w:widowControl w:val="0"/>
        <w:numPr>
          <w:ilvl w:val="0"/>
          <w:numId w:val="25"/>
        </w:numPr>
        <w:tabs>
          <w:tab w:val="left" w:pos="1134"/>
        </w:tabs>
        <w:autoSpaceDE w:val="0"/>
        <w:autoSpaceDN w:val="0"/>
        <w:adjustRightInd w:val="0"/>
        <w:ind w:left="0"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Cu referire la rezultatul propus în proiect, privind transparentizarea și clarificarea relaționării cu puterea executivă și legislativă, în cursul anului 2023, au fost asumate bilateral cele două livrabile elaborate în cadrul proiectului. Astfel, </w:t>
      </w:r>
      <w:r w:rsidRPr="00564DC7">
        <w:rPr>
          <w:rFonts w:asciiTheme="minorHAnsi" w:hAnsiTheme="minorHAnsi" w:cstheme="minorHAnsi"/>
          <w:i/>
          <w:sz w:val="26"/>
          <w:szCs w:val="26"/>
        </w:rPr>
        <w:t xml:space="preserve">Ghidul de bune practici în relația sistemului </w:t>
      </w:r>
      <w:r w:rsidRPr="00564DC7">
        <w:rPr>
          <w:rFonts w:asciiTheme="minorHAnsi" w:hAnsiTheme="minorHAnsi" w:cstheme="minorHAnsi"/>
          <w:i/>
          <w:sz w:val="26"/>
          <w:szCs w:val="26"/>
        </w:rPr>
        <w:lastRenderedPageBreak/>
        <w:t>judiciar cu puterea executivă</w:t>
      </w:r>
      <w:r w:rsidRPr="00564DC7">
        <w:rPr>
          <w:rFonts w:asciiTheme="minorHAnsi" w:hAnsiTheme="minorHAnsi" w:cstheme="minorHAnsi"/>
          <w:sz w:val="26"/>
          <w:szCs w:val="26"/>
        </w:rPr>
        <w:t xml:space="preserve"> a fost aprobat prin Memorandum în ședința Guvernului din 17 mai 2023, precum și prin hotărârea Plenului Consiliului Superior al Magistraturii nr. 89/2023. </w:t>
      </w:r>
      <w:r w:rsidRPr="00564DC7">
        <w:rPr>
          <w:rFonts w:asciiTheme="minorHAnsi" w:hAnsiTheme="minorHAnsi" w:cstheme="minorHAnsi"/>
          <w:i/>
          <w:sz w:val="26"/>
          <w:szCs w:val="26"/>
        </w:rPr>
        <w:t>Ghidul de bune practici în relația Consiliului Superior al Magistraturii cu puterea legislativă</w:t>
      </w:r>
      <w:r w:rsidRPr="00564DC7">
        <w:rPr>
          <w:rFonts w:asciiTheme="minorHAnsi" w:hAnsiTheme="minorHAnsi" w:cstheme="minorHAnsi"/>
          <w:sz w:val="26"/>
          <w:szCs w:val="26"/>
        </w:rPr>
        <w:t xml:space="preserve"> a fost aprobat în ședința Biroului Permanent al Senatului României din data de 20 martie 2023, precum și prin Hotărârea Plenului </w:t>
      </w:r>
      <w:r w:rsidRPr="00564DC7">
        <w:rPr>
          <w:rFonts w:asciiTheme="minorHAnsi" w:hAnsiTheme="minorHAnsi" w:cstheme="minorHAnsi"/>
          <w:iCs/>
          <w:sz w:val="26"/>
          <w:szCs w:val="26"/>
        </w:rPr>
        <w:t>Consiliului Superior al Magistraturii</w:t>
      </w:r>
      <w:r w:rsidRPr="00564DC7">
        <w:rPr>
          <w:rFonts w:asciiTheme="minorHAnsi" w:hAnsiTheme="minorHAnsi" w:cstheme="minorHAnsi"/>
          <w:sz w:val="26"/>
          <w:szCs w:val="26"/>
        </w:rPr>
        <w:t xml:space="preserve"> nr. 46/2023. Ambele ghiduri au fost tipărite în câte 200 de exemplare, care au fost distribuite beneficiarilor, inclusiv cu ocazia conferinței finale a proiectului, care a avut loc la data de 22 mai 2023. </w:t>
      </w:r>
    </w:p>
    <w:p w14:paraId="2B7CDA30" w14:textId="77777777" w:rsidR="00DA3665" w:rsidRPr="00564DC7" w:rsidRDefault="00DA3665">
      <w:pPr>
        <w:widowControl w:val="0"/>
        <w:numPr>
          <w:ilvl w:val="0"/>
          <w:numId w:val="25"/>
        </w:numPr>
        <w:tabs>
          <w:tab w:val="left" w:pos="1134"/>
        </w:tabs>
        <w:autoSpaceDE w:val="0"/>
        <w:autoSpaceDN w:val="0"/>
        <w:adjustRightInd w:val="0"/>
        <w:ind w:left="0" w:firstLine="709"/>
        <w:jc w:val="both"/>
        <w:rPr>
          <w:rFonts w:asciiTheme="minorHAnsi" w:hAnsiTheme="minorHAnsi" w:cstheme="minorHAnsi"/>
          <w:iCs/>
          <w:sz w:val="26"/>
          <w:szCs w:val="26"/>
        </w:rPr>
      </w:pPr>
      <w:r w:rsidRPr="00564DC7">
        <w:rPr>
          <w:rFonts w:asciiTheme="minorHAnsi" w:hAnsiTheme="minorHAnsi" w:cstheme="minorHAnsi"/>
          <w:sz w:val="26"/>
          <w:szCs w:val="26"/>
        </w:rPr>
        <w:t xml:space="preserve">În privinţa rezultatului proiectului constând în creșterea transparenței și accesibilității serviciilor furnizate de sistemul judiciar prin derularea unei campanii de informare a cetățenilor, dezvoltarea prezenței în cadrul spațiului/platformelor social media, diversificarea mijloacelor/canalelor de comunicare a sistemului judiciar către public, inclusiv prin elaborarea unor materiale audio – video privind serviciile furnizate de instanțe/parchete, circuitul și modalitatea de soluționare a cererilor, </w:t>
      </w:r>
      <w:r w:rsidRPr="00564DC7">
        <w:rPr>
          <w:rFonts w:asciiTheme="minorHAnsi" w:hAnsiTheme="minorHAnsi" w:cstheme="minorHAnsi"/>
          <w:iCs/>
          <w:sz w:val="26"/>
          <w:szCs w:val="26"/>
        </w:rPr>
        <w:t>în 2023 au fost înregistrate următoarele evoluții:</w:t>
      </w:r>
    </w:p>
    <w:p w14:paraId="6FCB2CF1" w14:textId="77777777" w:rsidR="00DA3665" w:rsidRPr="00564DC7" w:rsidRDefault="00DA3665">
      <w:pPr>
        <w:widowControl w:val="0"/>
        <w:numPr>
          <w:ilvl w:val="0"/>
          <w:numId w:val="10"/>
        </w:numPr>
        <w:autoSpaceDE w:val="0"/>
        <w:autoSpaceDN w:val="0"/>
        <w:adjustRightInd w:val="0"/>
        <w:ind w:left="0" w:firstLine="1134"/>
        <w:jc w:val="both"/>
        <w:rPr>
          <w:rFonts w:asciiTheme="minorHAnsi" w:hAnsiTheme="minorHAnsi" w:cstheme="minorHAnsi"/>
          <w:iCs/>
          <w:sz w:val="26"/>
          <w:szCs w:val="26"/>
        </w:rPr>
      </w:pPr>
      <w:r w:rsidRPr="00564DC7">
        <w:rPr>
          <w:rFonts w:asciiTheme="minorHAnsi" w:hAnsiTheme="minorHAnsi" w:cstheme="minorHAnsi"/>
          <w:iCs/>
          <w:sz w:val="26"/>
          <w:szCs w:val="26"/>
        </w:rPr>
        <w:t>Derularea și finalizarea campaniei integrate de informare publică, sub sloganul „</w:t>
      </w:r>
      <w:r w:rsidRPr="00564DC7">
        <w:rPr>
          <w:rFonts w:asciiTheme="minorHAnsi" w:hAnsiTheme="minorHAnsi" w:cstheme="minorHAnsi"/>
          <w:i/>
          <w:sz w:val="26"/>
          <w:szCs w:val="26"/>
        </w:rPr>
        <w:t>Oameni pentru justiție. Justiție pentru oameni</w:t>
      </w:r>
      <w:r w:rsidRPr="00564DC7">
        <w:rPr>
          <w:rFonts w:asciiTheme="minorHAnsi" w:hAnsiTheme="minorHAnsi" w:cstheme="minorHAnsi"/>
          <w:iCs/>
          <w:sz w:val="26"/>
          <w:szCs w:val="26"/>
        </w:rPr>
        <w:t xml:space="preserve">”, care s-a desfășurat pe parcursul a șase luni, în perioada 12 august 2022 - 8 februarie 2023. Difuzarea campaniei s-a realizat la nivel național, atât în mediul off-line, prin canalele media TV, radio și prin panouri stradale, cât și în mediul on-line, prin platformele Facebook, Instagram, Twitter, LinkedIn, TikTok, pe canalul YouTube și pe site-ul </w:t>
      </w:r>
      <w:r w:rsidR="00000000">
        <w:fldChar w:fldCharType="begin"/>
      </w:r>
      <w:r w:rsidR="00000000">
        <w:instrText>HYPERLINK "http://www.justitiepentruoameni.ro"</w:instrText>
      </w:r>
      <w:r w:rsidR="00000000">
        <w:fldChar w:fldCharType="separate"/>
      </w:r>
      <w:r w:rsidRPr="00564DC7">
        <w:rPr>
          <w:rStyle w:val="Hyperlink"/>
          <w:rFonts w:asciiTheme="minorHAnsi" w:hAnsiTheme="minorHAnsi" w:cstheme="minorHAnsi"/>
          <w:iCs/>
          <w:color w:val="auto"/>
          <w:sz w:val="26"/>
          <w:szCs w:val="26"/>
          <w:u w:val="none"/>
        </w:rPr>
        <w:t>www.justitiepentruoameni.ro</w:t>
      </w:r>
      <w:r w:rsidR="00000000">
        <w:rPr>
          <w:rStyle w:val="Hyperlink"/>
          <w:rFonts w:asciiTheme="minorHAnsi" w:hAnsiTheme="minorHAnsi" w:cstheme="minorHAnsi"/>
          <w:iCs/>
          <w:color w:val="auto"/>
          <w:sz w:val="26"/>
          <w:szCs w:val="26"/>
          <w:u w:val="none"/>
        </w:rPr>
        <w:fldChar w:fldCharType="end"/>
      </w:r>
      <w:r w:rsidRPr="00564DC7">
        <w:rPr>
          <w:rFonts w:asciiTheme="minorHAnsi" w:hAnsiTheme="minorHAnsi" w:cstheme="minorHAnsi"/>
          <w:iCs/>
          <w:sz w:val="26"/>
          <w:szCs w:val="26"/>
        </w:rPr>
        <w:t xml:space="preserve">. </w:t>
      </w:r>
    </w:p>
    <w:p w14:paraId="6087FAA8" w14:textId="77777777" w:rsidR="00DA3665" w:rsidRPr="00564DC7" w:rsidRDefault="00DA3665">
      <w:pPr>
        <w:widowControl w:val="0"/>
        <w:numPr>
          <w:ilvl w:val="0"/>
          <w:numId w:val="10"/>
        </w:numPr>
        <w:autoSpaceDE w:val="0"/>
        <w:autoSpaceDN w:val="0"/>
        <w:adjustRightInd w:val="0"/>
        <w:ind w:left="0" w:firstLine="1134"/>
        <w:jc w:val="both"/>
        <w:rPr>
          <w:rFonts w:asciiTheme="minorHAnsi" w:hAnsiTheme="minorHAnsi" w:cstheme="minorHAnsi"/>
          <w:iCs/>
          <w:sz w:val="26"/>
          <w:szCs w:val="26"/>
        </w:rPr>
      </w:pPr>
      <w:r w:rsidRPr="00564DC7">
        <w:rPr>
          <w:rFonts w:asciiTheme="minorHAnsi" w:hAnsiTheme="minorHAnsi" w:cstheme="minorHAnsi"/>
          <w:iCs/>
          <w:sz w:val="26"/>
          <w:szCs w:val="26"/>
        </w:rPr>
        <w:t xml:space="preserve">Distribuirea a patru broșuri de informare în domeniile </w:t>
      </w:r>
      <w:r w:rsidRPr="00564DC7">
        <w:rPr>
          <w:rFonts w:asciiTheme="minorHAnsi" w:hAnsiTheme="minorHAnsi" w:cstheme="minorHAnsi"/>
          <w:i/>
          <w:sz w:val="26"/>
          <w:szCs w:val="26"/>
        </w:rPr>
        <w:t>Executare silită în materie civilă</w:t>
      </w:r>
      <w:r w:rsidRPr="00564DC7">
        <w:rPr>
          <w:rFonts w:asciiTheme="minorHAnsi" w:hAnsiTheme="minorHAnsi" w:cstheme="minorHAnsi"/>
          <w:iCs/>
          <w:sz w:val="26"/>
          <w:szCs w:val="26"/>
        </w:rPr>
        <w:t xml:space="preserve">, </w:t>
      </w:r>
      <w:r w:rsidRPr="00564DC7">
        <w:rPr>
          <w:rFonts w:asciiTheme="minorHAnsi" w:hAnsiTheme="minorHAnsi" w:cstheme="minorHAnsi"/>
          <w:i/>
          <w:sz w:val="26"/>
          <w:szCs w:val="26"/>
        </w:rPr>
        <w:t>Drepturi cetățenești</w:t>
      </w:r>
      <w:r w:rsidRPr="00564DC7">
        <w:rPr>
          <w:rFonts w:asciiTheme="minorHAnsi" w:hAnsiTheme="minorHAnsi" w:cstheme="minorHAnsi"/>
          <w:iCs/>
          <w:sz w:val="26"/>
          <w:szCs w:val="26"/>
        </w:rPr>
        <w:t xml:space="preserve">, </w:t>
      </w:r>
      <w:r w:rsidRPr="00564DC7">
        <w:rPr>
          <w:rFonts w:asciiTheme="minorHAnsi" w:hAnsiTheme="minorHAnsi" w:cstheme="minorHAnsi"/>
          <w:i/>
          <w:sz w:val="26"/>
          <w:szCs w:val="26"/>
        </w:rPr>
        <w:t>Procesul penal pe înțelesul tuturor</w:t>
      </w:r>
      <w:r w:rsidRPr="00564DC7">
        <w:rPr>
          <w:rFonts w:asciiTheme="minorHAnsi" w:hAnsiTheme="minorHAnsi" w:cstheme="minorHAnsi"/>
          <w:iCs/>
          <w:sz w:val="26"/>
          <w:szCs w:val="26"/>
        </w:rPr>
        <w:t xml:space="preserve"> și </w:t>
      </w:r>
      <w:r w:rsidRPr="00564DC7">
        <w:rPr>
          <w:rFonts w:asciiTheme="minorHAnsi" w:hAnsiTheme="minorHAnsi" w:cstheme="minorHAnsi"/>
          <w:i/>
          <w:sz w:val="26"/>
          <w:szCs w:val="26"/>
        </w:rPr>
        <w:t>Drept civil</w:t>
      </w:r>
      <w:r w:rsidRPr="00564DC7">
        <w:rPr>
          <w:rFonts w:asciiTheme="minorHAnsi" w:hAnsiTheme="minorHAnsi" w:cstheme="minorHAnsi"/>
          <w:iCs/>
          <w:sz w:val="26"/>
          <w:szCs w:val="26"/>
        </w:rPr>
        <w:t>, tipărite într-un tiraj de 80.000 de exemplare, la sediile tuturor instanțelor și parchetelor din țară.</w:t>
      </w:r>
    </w:p>
    <w:p w14:paraId="538D99C8" w14:textId="4BA4A07A" w:rsidR="00DA3665" w:rsidRPr="00564DC7" w:rsidRDefault="00DA3665" w:rsidP="00690186">
      <w:pPr>
        <w:widowControl w:val="0"/>
        <w:autoSpaceDE w:val="0"/>
        <w:autoSpaceDN w:val="0"/>
        <w:adjustRightInd w:val="0"/>
        <w:ind w:firstLine="708"/>
        <w:jc w:val="both"/>
        <w:rPr>
          <w:rFonts w:asciiTheme="minorHAnsi" w:hAnsiTheme="minorHAnsi" w:cstheme="minorHAnsi"/>
        </w:rPr>
      </w:pPr>
      <w:r w:rsidRPr="00564DC7">
        <w:rPr>
          <w:rFonts w:asciiTheme="minorHAnsi" w:hAnsiTheme="minorHAnsi" w:cstheme="minorHAnsi"/>
          <w:iCs/>
          <w:sz w:val="26"/>
          <w:szCs w:val="26"/>
        </w:rPr>
        <w:t xml:space="preserve">Complexitatea activităților derulate și rezultatele obținute în cadrul proiectului au fost recunoscute în plan internațional în cursul lunii iunie 2023, când Consiliul Superior al Magistraturii a primit </w:t>
      </w:r>
      <w:r w:rsidRPr="00EA0549">
        <w:rPr>
          <w:rFonts w:asciiTheme="minorHAnsi" w:hAnsiTheme="minorHAnsi" w:cstheme="minorHAnsi"/>
          <w:iCs/>
          <w:sz w:val="26"/>
          <w:szCs w:val="26"/>
        </w:rPr>
        <w:t>ENCJ Award for positive change</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 xml:space="preserve">cu ocazia Adunării Generale a Rețelei Europene a Consiliilor Judiciare. Cu acest prilej, proiectul SIPOCA 454 s-a clasat pe primul loc în cadrul competiției </w:t>
      </w:r>
      <w:r w:rsidRPr="00EA0549">
        <w:rPr>
          <w:rFonts w:asciiTheme="minorHAnsi" w:hAnsiTheme="minorHAnsi" w:cstheme="minorHAnsi"/>
          <w:iCs/>
          <w:sz w:val="26"/>
          <w:szCs w:val="26"/>
        </w:rPr>
        <w:t>Positive Change 2023</w:t>
      </w:r>
      <w:r w:rsidRPr="00564DC7">
        <w:rPr>
          <w:rFonts w:asciiTheme="minorHAnsi" w:hAnsiTheme="minorHAnsi" w:cstheme="minorHAnsi"/>
          <w:i/>
          <w:sz w:val="26"/>
          <w:szCs w:val="26"/>
        </w:rPr>
        <w:t xml:space="preserve">, </w:t>
      </w:r>
      <w:r w:rsidRPr="00564DC7">
        <w:rPr>
          <w:rFonts w:asciiTheme="minorHAnsi" w:hAnsiTheme="minorHAnsi" w:cstheme="minorHAnsi"/>
          <w:iCs/>
          <w:sz w:val="26"/>
          <w:szCs w:val="26"/>
        </w:rPr>
        <w:t xml:space="preserve">inițiativă menită să premieze cele mai inovatoare proiecte și/ sau bune practici implementate la nivelul sistemelor judiciare din statele membre ale Rețelei, care au generat o schimbare. </w:t>
      </w:r>
    </w:p>
    <w:p w14:paraId="7A518038"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b/>
          <w:bCs/>
          <w:sz w:val="26"/>
          <w:szCs w:val="26"/>
        </w:rPr>
        <w:t>2</w:t>
      </w:r>
      <w:r w:rsidRPr="00564DC7">
        <w:rPr>
          <w:rFonts w:asciiTheme="minorHAnsi" w:hAnsiTheme="minorHAnsi" w:cstheme="minorHAnsi"/>
          <w:sz w:val="26"/>
          <w:szCs w:val="26"/>
        </w:rPr>
        <w:t xml:space="preserve">. </w:t>
      </w:r>
      <w:r w:rsidRPr="00564DC7">
        <w:rPr>
          <w:rFonts w:asciiTheme="minorHAnsi" w:hAnsiTheme="minorHAnsi" w:cstheme="minorHAnsi"/>
          <w:b/>
          <w:bCs/>
          <w:sz w:val="26"/>
          <w:szCs w:val="26"/>
        </w:rPr>
        <w:t>Proiectul</w:t>
      </w:r>
      <w:r w:rsidRPr="00564DC7">
        <w:rPr>
          <w:rFonts w:asciiTheme="minorHAnsi" w:hAnsiTheme="minorHAnsi" w:cstheme="minorHAnsi"/>
          <w:sz w:val="26"/>
          <w:szCs w:val="26"/>
        </w:rPr>
        <w:t xml:space="preserve"> </w:t>
      </w:r>
      <w:r w:rsidRPr="00564DC7">
        <w:rPr>
          <w:rFonts w:asciiTheme="minorHAnsi" w:hAnsiTheme="minorHAnsi" w:cstheme="minorHAnsi"/>
          <w:b/>
          <w:i/>
          <w:sz w:val="26"/>
          <w:szCs w:val="26"/>
        </w:rPr>
        <w:t xml:space="preserve">„Consolidarea capacității organizaționale și administrative a Consiliului Superior al Magistraturii” </w:t>
      </w:r>
      <w:r w:rsidRPr="00564DC7">
        <w:rPr>
          <w:rFonts w:asciiTheme="minorHAnsi" w:hAnsiTheme="minorHAnsi" w:cstheme="minorHAnsi"/>
          <w:bCs/>
          <w:sz w:val="26"/>
          <w:szCs w:val="26"/>
        </w:rPr>
        <w:t xml:space="preserve">(cod SIPOCA/MySMIS 760/135225), demarat la data </w:t>
      </w:r>
      <w:r w:rsidRPr="00564DC7">
        <w:rPr>
          <w:rFonts w:asciiTheme="minorHAnsi" w:hAnsiTheme="minorHAnsi" w:cstheme="minorHAnsi"/>
          <w:sz w:val="26"/>
          <w:szCs w:val="26"/>
        </w:rPr>
        <w:t>de 4 august 2020, s-a aflat în 2023 în ultimul an de implementare.</w:t>
      </w:r>
    </w:p>
    <w:p w14:paraId="23B0DA22" w14:textId="22294EA8"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sz w:val="26"/>
          <w:szCs w:val="26"/>
        </w:rPr>
        <w:t xml:space="preserve">Reamintim că obiectivele generale ale proiectului </w:t>
      </w:r>
      <w:r w:rsidR="008874A8">
        <w:rPr>
          <w:rFonts w:asciiTheme="minorHAnsi" w:hAnsiTheme="minorHAnsi" w:cstheme="minorHAnsi"/>
          <w:sz w:val="26"/>
          <w:szCs w:val="26"/>
        </w:rPr>
        <w:t>au fost</w:t>
      </w:r>
      <w:r w:rsidRPr="00564DC7">
        <w:rPr>
          <w:rFonts w:asciiTheme="minorHAnsi" w:hAnsiTheme="minorHAnsi" w:cstheme="minorHAnsi"/>
          <w:sz w:val="26"/>
          <w:szCs w:val="26"/>
        </w:rPr>
        <w:t>: dezvoltarea unui sistem de justiţie modern, adaptat cerinţelor societăţii contemporane, prin îmbunătăţirea competenţelor strategice şi manageriale, consolidarea capacităţii operaţionale, în calitate de factor de decizie responsabil pentru buna gestionare a sistemului judiciar, pentru asigurarea condiţiilor de organizare şi funcţionare a instanţelor şi parchetelor, precum şi pentru gestionarea corectă şi echilibrată a carierei judecătorilor şi procurorilor.</w:t>
      </w:r>
    </w:p>
    <w:p w14:paraId="52AD1282"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Pe parcursul anului 2023, în implementarea proiectului, au fost realizate următoarele activităţi semnificative:</w:t>
      </w:r>
    </w:p>
    <w:p w14:paraId="54ABDBFE"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În executarea contractului de achiziţie publică pentru prestarea serviciilor de arhivare fizică și electronică a documentelor Consiliului Superior al Magistraturii, au continuat activitățile de arhivare a documentelor create în cadrul compartimentelor instituției, fiind utilizat noul Nomenclator arhivistic, aprobat prin Hotărârea nr. 145/11.10.2022 a Plenului Consiliului Superior al Magistraturii și confirmat de Arhivele Naționale ale României.</w:t>
      </w:r>
    </w:p>
    <w:p w14:paraId="60238626"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bCs/>
          <w:sz w:val="26"/>
          <w:szCs w:val="26"/>
        </w:rPr>
        <w:t xml:space="preserve">De asemenea, a continuat implementarea </w:t>
      </w:r>
      <w:r w:rsidRPr="00564DC7">
        <w:rPr>
          <w:rFonts w:asciiTheme="minorHAnsi" w:hAnsiTheme="minorHAnsi" w:cstheme="minorHAnsi"/>
          <w:sz w:val="26"/>
          <w:szCs w:val="26"/>
        </w:rPr>
        <w:t>contractului de achiziţie publică având ca obiect „Servicii privind elaborarea unui sistem informatic integrat pentru gestionarea activităţii aparatului tehnic şi de relaţionare cu alte instituţii/organizaţii din interiorul şi din afara sistemului judiciar (CSMapp)”, semnat la data de 19.09.2022.</w:t>
      </w:r>
    </w:p>
    <w:p w14:paraId="4DDE48B4"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lastRenderedPageBreak/>
        <w:t>Prin implementarea sistemului informatic „CSMapp”, Consiliul Superior al Magistraturii urmăreşte să deţină în gestiune o aplicație funcțională, aptă să răspundă nevoilor sale de digitalizare, care să utilizeze cele mai recente tehnologii.</w:t>
      </w:r>
    </w:p>
    <w:p w14:paraId="6398069E" w14:textId="60EEFAF1"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bCs/>
          <w:sz w:val="26"/>
          <w:szCs w:val="26"/>
        </w:rPr>
        <w:t xml:space="preserve">Sistemul informatic </w:t>
      </w:r>
      <w:r w:rsidR="008874A8" w:rsidRPr="00564DC7">
        <w:rPr>
          <w:rFonts w:asciiTheme="minorHAnsi" w:hAnsiTheme="minorHAnsi" w:cstheme="minorHAnsi"/>
          <w:bCs/>
          <w:sz w:val="26"/>
          <w:szCs w:val="26"/>
        </w:rPr>
        <w:t>„CSMapp”</w:t>
      </w:r>
      <w:r w:rsidRPr="00564DC7">
        <w:rPr>
          <w:rFonts w:asciiTheme="minorHAnsi" w:hAnsiTheme="minorHAnsi" w:cstheme="minorHAnsi"/>
          <w:bCs/>
          <w:sz w:val="26"/>
          <w:szCs w:val="26"/>
        </w:rPr>
        <w:t xml:space="preserve"> va asigura integrarea cu sisteme naţionale precum ECRIS şi site-ul instituţiei, dar și cu alte aplicații informatice care sunt dezvoltate în prezent sau care urmează să fie dezvoltate în perioada următoare în cadrul altor proiecte</w:t>
      </w:r>
      <w:r w:rsidRPr="00564DC7">
        <w:rPr>
          <w:rFonts w:asciiTheme="minorHAnsi" w:hAnsiTheme="minorHAnsi" w:cstheme="minorHAnsi"/>
          <w:sz w:val="26"/>
          <w:szCs w:val="26"/>
        </w:rPr>
        <w:t>.</w:t>
      </w:r>
    </w:p>
    <w:p w14:paraId="49BF1574" w14:textId="025A1CD6"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sz w:val="26"/>
          <w:szCs w:val="26"/>
        </w:rPr>
        <w:t>În esență, conform calendarului, în executarea contractului, au fost derulate următoarele activități:</w:t>
      </w:r>
      <w:r w:rsidRPr="00C06491">
        <w:rPr>
          <w:rFonts w:asciiTheme="minorHAnsi" w:hAnsiTheme="minorHAnsi" w:cstheme="minorHAnsi"/>
          <w:bCs/>
          <w:sz w:val="26"/>
          <w:szCs w:val="26"/>
        </w:rPr>
        <w:t xml:space="preserve"> dezvoltarea/implementarea aplicațiilor și produselor software; testarea și optimizarea soluției informatice dezvoltate; instruirea utilizatorilor și elaborarea manualelor de administrare și de utilizare; testarea-acceptanța finală a sistemului informatic </w:t>
      </w:r>
      <w:r w:rsidR="008874A8" w:rsidRPr="00564DC7">
        <w:rPr>
          <w:rFonts w:asciiTheme="minorHAnsi" w:hAnsiTheme="minorHAnsi" w:cstheme="minorHAnsi"/>
          <w:bCs/>
          <w:sz w:val="26"/>
          <w:szCs w:val="26"/>
        </w:rPr>
        <w:t>„CSMapp”</w:t>
      </w:r>
      <w:r w:rsidR="008874A8">
        <w:rPr>
          <w:rFonts w:asciiTheme="minorHAnsi" w:hAnsiTheme="minorHAnsi" w:cstheme="minorHAnsi"/>
          <w:bCs/>
          <w:sz w:val="26"/>
          <w:szCs w:val="26"/>
        </w:rPr>
        <w:t>.</w:t>
      </w:r>
    </w:p>
    <w:p w14:paraId="4E773C94"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În ceea ce privește </w:t>
      </w:r>
      <w:r w:rsidRPr="00564DC7">
        <w:rPr>
          <w:rFonts w:asciiTheme="minorHAnsi" w:hAnsiTheme="minorHAnsi" w:cstheme="minorHAnsi"/>
          <w:sz w:val="26"/>
          <w:szCs w:val="26"/>
        </w:rPr>
        <w:t>demersurile privind consolidarea capacității instituționale prin asigurarea formării profesionale a personalului, pentru dezvoltarea abilităților manageriale și în alte domenii de referință stabilite prin raportare la sfera de activitate a Consiliului, menționăm că, în întreaga perioadă de implementare a proiectului,</w:t>
      </w:r>
      <w:r w:rsidRPr="00564DC7">
        <w:rPr>
          <w:rFonts w:asciiTheme="minorHAnsi" w:hAnsiTheme="minorHAnsi" w:cstheme="minorHAnsi"/>
          <w:bCs/>
          <w:sz w:val="26"/>
          <w:szCs w:val="26"/>
        </w:rPr>
        <w:t xml:space="preserve"> au fost susținute şi finalizate cursurile de formare profesională în domenii variate, după cum urmează: ECDL (standard şi avansat); Management de proiect; Management organizațional: tehnici şi metode de management; Control intern managerial şi managementul riscurilor la entităţile publice (SCIM);  Limba engleză; Norme şi proceduri de tehnici legislative; Managementul achizițiilor publice – planificare, proceduri şi asigurarea calităţii; Protecţia datelor cu caracter personal în instituţiile publice (GDPR).</w:t>
      </w:r>
    </w:p>
    <w:p w14:paraId="4F5BDA93"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La sesiunile de formare derulate în proiect au participat în total un număr de 190 de persoane din grupul țintă, dintre care 126 de persoane au fost înregistrate o singură dată ca participant la sesiunile de formare finalizate.</w:t>
      </w:r>
    </w:p>
    <w:p w14:paraId="4614C7F9" w14:textId="77777777"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Conferința de închidere a proiectului s-a desfășurat la data de 27 noiembrie 2023.</w:t>
      </w:r>
    </w:p>
    <w:p w14:paraId="7FC3987B"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iCs/>
          <w:sz w:val="26"/>
          <w:szCs w:val="26"/>
        </w:rPr>
      </w:pPr>
      <w:r w:rsidRPr="00564DC7">
        <w:rPr>
          <w:rFonts w:asciiTheme="minorHAnsi" w:hAnsiTheme="minorHAnsi" w:cstheme="minorHAnsi"/>
          <w:b/>
          <w:sz w:val="26"/>
          <w:szCs w:val="26"/>
        </w:rPr>
        <w:t>3. Proiectul „</w:t>
      </w:r>
      <w:r w:rsidRPr="00564DC7">
        <w:rPr>
          <w:rFonts w:asciiTheme="minorHAnsi" w:hAnsiTheme="minorHAnsi" w:cstheme="minorHAnsi"/>
          <w:b/>
          <w:i/>
          <w:sz w:val="26"/>
          <w:szCs w:val="26"/>
        </w:rPr>
        <w:t>Optimizarea managementului la nivelul sistemului judiciar. Componenta de instanțe judecătorești</w:t>
      </w:r>
      <w:r w:rsidRPr="00564DC7">
        <w:rPr>
          <w:rFonts w:asciiTheme="minorHAnsi" w:hAnsiTheme="minorHAnsi" w:cstheme="minorHAnsi"/>
          <w:b/>
          <w:sz w:val="26"/>
          <w:szCs w:val="26"/>
        </w:rPr>
        <w:t xml:space="preserve">” </w:t>
      </w:r>
      <w:r w:rsidRPr="00564DC7">
        <w:rPr>
          <w:rFonts w:asciiTheme="minorHAnsi" w:hAnsiTheme="minorHAnsi" w:cstheme="minorHAnsi"/>
          <w:iCs/>
          <w:sz w:val="26"/>
          <w:szCs w:val="26"/>
        </w:rPr>
        <w:t>(cod SIPOCA 751/cod My SMIS 129513)</w:t>
      </w:r>
      <w:r w:rsidRPr="00564DC7">
        <w:rPr>
          <w:rFonts w:asciiTheme="minorHAnsi" w:hAnsiTheme="minorHAnsi" w:cstheme="minorHAnsi"/>
          <w:i/>
          <w:sz w:val="26"/>
          <w:szCs w:val="26"/>
        </w:rPr>
        <w:t>.</w:t>
      </w:r>
      <w:r w:rsidRPr="00564DC7">
        <w:rPr>
          <w:rFonts w:asciiTheme="minorHAnsi" w:hAnsiTheme="minorHAnsi" w:cstheme="minorHAnsi"/>
          <w:iCs/>
          <w:sz w:val="26"/>
          <w:szCs w:val="26"/>
        </w:rPr>
        <w:t xml:space="preserve"> </w:t>
      </w:r>
    </w:p>
    <w:p w14:paraId="0DBDAA90" w14:textId="24BADE4E"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Proiectul, implementat de Consiliul Superior al Magistraturii, începând cu data de 02.10.2019, a</w:t>
      </w:r>
      <w:r w:rsidR="008874A8">
        <w:rPr>
          <w:rFonts w:asciiTheme="minorHAnsi" w:hAnsiTheme="minorHAnsi" w:cstheme="minorHAnsi"/>
          <w:sz w:val="26"/>
          <w:szCs w:val="26"/>
        </w:rPr>
        <w:t xml:space="preserve"> avut c</w:t>
      </w:r>
      <w:r w:rsidRPr="00564DC7">
        <w:rPr>
          <w:rFonts w:asciiTheme="minorHAnsi" w:hAnsiTheme="minorHAnsi" w:cstheme="minorHAnsi"/>
          <w:sz w:val="26"/>
          <w:szCs w:val="26"/>
        </w:rPr>
        <w:t>a obiectiv general identificarea mecanismelor necesare creării unui sistem de justiție modern, adaptat cerințelor societății contemporane și este dezvoltat prin următoarele obiective specifice</w:t>
      </w:r>
      <w:r w:rsidRPr="00564DC7">
        <w:rPr>
          <w:rFonts w:asciiTheme="minorHAnsi" w:hAnsiTheme="minorHAnsi" w:cstheme="minorHAnsi"/>
          <w:bCs/>
          <w:sz w:val="26"/>
          <w:szCs w:val="26"/>
        </w:rPr>
        <w:t>:</w:t>
      </w:r>
    </w:p>
    <w:p w14:paraId="4044FDCD"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1. Identificarea și dezvoltarea mecanismelor necesare pentru reducerea duratei proceselor, îmbunătățirea ratei de soluționare a cauzelor, scăderea duratei de soluționare a cauzelor;</w:t>
      </w:r>
    </w:p>
    <w:p w14:paraId="31C970BF" w14:textId="77777777" w:rsidR="00DA3665"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2. Dezvoltarea și implementarea unor instrumente standard de management integrat, pentru a fi introduse la nivelul instanțelor, care să permită îmbunătățirea practicilor manageriale, să asigure predictibilitate în luarea deciziilor ce privesc buna funcționare a instanțelor și, totodată, să permită adaptarea soluțiilor manageriale la specificul fiecărei instanțe.</w:t>
      </w:r>
    </w:p>
    <w:p w14:paraId="111FFAA7" w14:textId="77777777" w:rsidR="008874A8" w:rsidRPr="008874A8" w:rsidRDefault="00C06491" w:rsidP="008874A8">
      <w:pPr>
        <w:widowControl w:val="0"/>
        <w:autoSpaceDE w:val="0"/>
        <w:autoSpaceDN w:val="0"/>
        <w:adjustRightInd w:val="0"/>
        <w:ind w:firstLine="708"/>
        <w:jc w:val="both"/>
        <w:rPr>
          <w:rFonts w:asciiTheme="minorHAnsi" w:hAnsiTheme="minorHAnsi" w:cstheme="minorHAnsi"/>
          <w:sz w:val="26"/>
          <w:szCs w:val="26"/>
        </w:rPr>
      </w:pPr>
      <w:r w:rsidRPr="00C06491">
        <w:rPr>
          <w:rFonts w:asciiTheme="minorHAnsi" w:hAnsiTheme="minorHAnsi" w:cstheme="minorHAnsi"/>
          <w:sz w:val="26"/>
          <w:szCs w:val="26"/>
        </w:rPr>
        <w:t>Din perspectiva continuării demersurilor pentru generalizarea categoriei de personal - suport a asistentului judecătorului, având în vedere impactul pozitiv al activității desfășurate în cadrul exercițiului pilot,  asupra duratei de soluționare a cauzelor, a termenelor de redactare a hotărârilor judecătorești și, în general, asupra actului de justiție, această categorie de personal fiind asumată, prin prisma rezultatelor, de Guvernul României prin </w:t>
      </w:r>
      <w:hyperlink r:id="rId28" w:history="1">
        <w:r w:rsidRPr="00C06491">
          <w:rPr>
            <w:rStyle w:val="Hyperlink"/>
            <w:rFonts w:asciiTheme="minorHAnsi" w:hAnsiTheme="minorHAnsi" w:cstheme="minorHAnsi"/>
            <w:color w:val="auto"/>
            <w:sz w:val="26"/>
            <w:szCs w:val="26"/>
            <w:u w:val="none"/>
          </w:rPr>
          <w:t>Hot</w:t>
        </w:r>
      </w:hyperlink>
      <w:hyperlink r:id="rId29" w:history="1">
        <w:r w:rsidRPr="00C06491">
          <w:rPr>
            <w:rStyle w:val="Hyperlink"/>
            <w:rFonts w:asciiTheme="minorHAnsi" w:hAnsiTheme="minorHAnsi" w:cstheme="minorHAnsi"/>
            <w:color w:val="auto"/>
            <w:sz w:val="26"/>
            <w:szCs w:val="26"/>
            <w:u w:val="none"/>
          </w:rPr>
          <w:t>ă</w:t>
        </w:r>
      </w:hyperlink>
      <w:r w:rsidRPr="00C06491">
        <w:rPr>
          <w:rFonts w:asciiTheme="minorHAnsi" w:hAnsiTheme="minorHAnsi" w:cstheme="minorHAnsi"/>
          <w:sz w:val="26"/>
          <w:szCs w:val="26"/>
        </w:rPr>
        <w:t>r</w:t>
      </w:r>
      <w:hyperlink r:id="rId30" w:history="1">
        <w:r w:rsidRPr="00C06491">
          <w:rPr>
            <w:rStyle w:val="Hyperlink"/>
            <w:rFonts w:asciiTheme="minorHAnsi" w:hAnsiTheme="minorHAnsi" w:cstheme="minorHAnsi"/>
            <w:color w:val="auto"/>
            <w:sz w:val="26"/>
            <w:szCs w:val="26"/>
            <w:u w:val="none"/>
          </w:rPr>
          <w:t>â</w:t>
        </w:r>
      </w:hyperlink>
      <w:hyperlink r:id="rId31" w:history="1">
        <w:r w:rsidRPr="00C06491">
          <w:rPr>
            <w:rStyle w:val="Hyperlink"/>
            <w:rFonts w:asciiTheme="minorHAnsi" w:hAnsiTheme="minorHAnsi" w:cstheme="minorHAnsi"/>
            <w:color w:val="auto"/>
            <w:sz w:val="26"/>
            <w:szCs w:val="26"/>
            <w:u w:val="none"/>
          </w:rPr>
          <w:t>rea</w:t>
        </w:r>
      </w:hyperlink>
      <w:r w:rsidRPr="00C06491">
        <w:rPr>
          <w:rFonts w:asciiTheme="minorHAnsi" w:hAnsiTheme="minorHAnsi" w:cstheme="minorHAnsi"/>
          <w:sz w:val="26"/>
          <w:szCs w:val="26"/>
        </w:rPr>
        <w:t xml:space="preserve"> Guvernului nr. 436/2022, prin care au fost adoptate noua Strategie de dezvoltare a sistemului judiciar 2022 - 2025 şi planul de acțiune aferent acesteia, menționăm că, în urma parcurgerii tuturor etapelor aferente procesului legislativ, </w:t>
      </w:r>
      <w:r w:rsidR="008874A8" w:rsidRPr="008874A8">
        <w:rPr>
          <w:rFonts w:asciiTheme="minorHAnsi" w:hAnsiTheme="minorHAnsi" w:cstheme="minorHAnsi"/>
          <w:sz w:val="26"/>
          <w:szCs w:val="26"/>
        </w:rPr>
        <w:t>a fost adoptată Legea nr. 393 privind statutul asistentului judecătorului, publicată în  Monitorul Oficial nr. 1132 din 14 decembrie 2023.</w:t>
      </w:r>
    </w:p>
    <w:p w14:paraId="17F72FF9" w14:textId="12DF8BEC"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La data de 17 martie 2023, a fost semnat c</w:t>
      </w:r>
      <w:r w:rsidRPr="00564DC7">
        <w:rPr>
          <w:rFonts w:asciiTheme="minorHAnsi" w:hAnsiTheme="minorHAnsi" w:cstheme="minorHAnsi"/>
          <w:bCs/>
          <w:sz w:val="26"/>
          <w:szCs w:val="26"/>
        </w:rPr>
        <w:t xml:space="preserve">ontractul de achiziție publică privind dezvoltarea </w:t>
      </w:r>
      <w:r w:rsidRPr="002929B2">
        <w:rPr>
          <w:rFonts w:asciiTheme="minorHAnsi" w:hAnsiTheme="minorHAnsi" w:cstheme="minorHAnsi"/>
          <w:sz w:val="26"/>
          <w:szCs w:val="26"/>
        </w:rPr>
        <w:t>Sistemului informatic integrat pentru managementul instanțelor (OptiMapp)</w:t>
      </w:r>
      <w:r w:rsidRPr="00564DC7">
        <w:rPr>
          <w:rFonts w:asciiTheme="minorHAnsi" w:hAnsiTheme="minorHAnsi" w:cstheme="minorHAnsi"/>
          <w:sz w:val="26"/>
          <w:szCs w:val="26"/>
        </w:rPr>
        <w:t xml:space="preserve">, conceput pentru a veni în sprijinul activităților manageriale și administrative ale instanțelor judecătorești. </w:t>
      </w:r>
    </w:p>
    <w:p w14:paraId="00F81C1B" w14:textId="4C881FA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Noul sistem informatic </w:t>
      </w:r>
      <w:r w:rsidR="008874A8">
        <w:rPr>
          <w:rFonts w:asciiTheme="minorHAnsi" w:hAnsiTheme="minorHAnsi" w:cstheme="minorHAnsi"/>
          <w:sz w:val="26"/>
          <w:szCs w:val="26"/>
        </w:rPr>
        <w:t>c</w:t>
      </w:r>
      <w:r w:rsidRPr="00564DC7">
        <w:rPr>
          <w:rFonts w:asciiTheme="minorHAnsi" w:hAnsiTheme="minorHAnsi" w:cstheme="minorHAnsi"/>
          <w:sz w:val="26"/>
          <w:szCs w:val="26"/>
        </w:rPr>
        <w:t xml:space="preserve">onține funcționalități care facilitează desfășurarea activităților cu </w:t>
      </w:r>
      <w:r w:rsidRPr="00564DC7">
        <w:rPr>
          <w:rFonts w:asciiTheme="minorHAnsi" w:hAnsiTheme="minorHAnsi" w:cstheme="minorHAnsi"/>
          <w:sz w:val="26"/>
          <w:szCs w:val="26"/>
        </w:rPr>
        <w:lastRenderedPageBreak/>
        <w:t>caracter administrativ din cadrul instanțelor judecătorești, fiind un instrument util atât pentru judecătorii care ocupă funcții de conducere, cât și pentru prim-grefieri și grefierii-șefi, prin crearea unor fluxuri de lucru în mediul virtual, mult mai rapide și mai eficiente decât cele utilizate în prezent. De asemenea, noua aplicație va pune la dispoziția judecătorilor și a celorlalte categorii de personal din cadrul instanțelor judecătorești o serie de module specifice, prin care se va asigura o transmitere facilă a informațiilor utile, dar și accesul la biblioteci virtuale și la soluții moderne de management electronic al documentelor.</w:t>
      </w:r>
    </w:p>
    <w:p w14:paraId="3E4FF91E" w14:textId="6C7E3D82" w:rsidR="00C06491" w:rsidRPr="00C06491" w:rsidRDefault="00DA3665" w:rsidP="00C06491">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În perioada de implementare a contractului, au fost desfășurate activități precum:</w:t>
      </w:r>
      <w:r w:rsidR="00B732F8">
        <w:rPr>
          <w:rFonts w:asciiTheme="minorHAnsi" w:hAnsiTheme="minorHAnsi" w:cstheme="minorHAnsi"/>
          <w:sz w:val="26"/>
          <w:szCs w:val="26"/>
        </w:rPr>
        <w:t xml:space="preserve"> </w:t>
      </w:r>
      <w:r w:rsidRPr="00564DC7">
        <w:rPr>
          <w:rFonts w:asciiTheme="minorHAnsi" w:hAnsiTheme="minorHAnsi" w:cstheme="minorHAnsi"/>
          <w:sz w:val="26"/>
          <w:szCs w:val="26"/>
        </w:rPr>
        <w:t>analiză detaliată, în cadrul căreia au avut loc o serie de întâlniri și interviuri cu personalul din cadrul instanțelor judecătorești cu atribuții manageriale, în vederea colectării datelor necesare pentru conturarea situației existente și structurarea cerințelor pentru viitoarea aplicație informatică; proiectarea sistemului informatic</w:t>
      </w:r>
      <w:r w:rsidR="008874A8">
        <w:rPr>
          <w:rFonts w:asciiTheme="minorHAnsi" w:hAnsiTheme="minorHAnsi" w:cstheme="minorHAnsi"/>
          <w:sz w:val="26"/>
          <w:szCs w:val="26"/>
        </w:rPr>
        <w:t>;</w:t>
      </w:r>
      <w:r w:rsidR="008874A8" w:rsidRPr="008874A8">
        <w:rPr>
          <w:rFonts w:asciiTheme="minorHAnsi" w:hAnsiTheme="minorHAnsi" w:cstheme="minorHAnsi"/>
          <w:color w:val="FF0000"/>
          <w:sz w:val="26"/>
          <w:szCs w:val="26"/>
        </w:rPr>
        <w:t xml:space="preserve"> </w:t>
      </w:r>
      <w:r w:rsidR="008874A8" w:rsidRPr="008874A8">
        <w:rPr>
          <w:rFonts w:asciiTheme="minorHAnsi" w:hAnsiTheme="minorHAnsi" w:cstheme="minorHAnsi"/>
          <w:sz w:val="26"/>
          <w:szCs w:val="26"/>
        </w:rPr>
        <w:t xml:space="preserve">etapa </w:t>
      </w:r>
      <w:r w:rsidR="008874A8" w:rsidRPr="008874A8">
        <w:rPr>
          <w:rFonts w:asciiTheme="minorHAnsi" w:hAnsiTheme="minorHAnsi" w:cstheme="minorHAnsi"/>
          <w:i/>
          <w:iCs/>
          <w:sz w:val="26"/>
          <w:szCs w:val="26"/>
        </w:rPr>
        <w:t>Dezvoltarea și testarea</w:t>
      </w:r>
      <w:r w:rsidR="008874A8" w:rsidRPr="008874A8">
        <w:rPr>
          <w:rFonts w:asciiTheme="minorHAnsi" w:hAnsiTheme="minorHAnsi" w:cstheme="minorHAnsi"/>
          <w:sz w:val="26"/>
          <w:szCs w:val="26"/>
        </w:rPr>
        <w:t xml:space="preserve"> modulelor noului sistem informatic; etapa de instruire a personalului pentru utilizarea sistemului și administrarea acestuia, precum și acceptanța finală. </w:t>
      </w:r>
    </w:p>
    <w:p w14:paraId="41D88BFC" w14:textId="1D14D36F" w:rsidR="00DA3665" w:rsidRPr="00564DC7" w:rsidRDefault="002929B2" w:rsidP="00690186">
      <w:pPr>
        <w:widowControl w:val="0"/>
        <w:autoSpaceDE w:val="0"/>
        <w:autoSpaceDN w:val="0"/>
        <w:adjustRightInd w:val="0"/>
        <w:ind w:firstLine="708"/>
        <w:jc w:val="both"/>
        <w:rPr>
          <w:rFonts w:asciiTheme="minorHAnsi" w:hAnsiTheme="minorHAnsi" w:cstheme="minorHAnsi"/>
          <w:bCs/>
          <w:sz w:val="26"/>
          <w:szCs w:val="26"/>
        </w:rPr>
      </w:pPr>
      <w:r>
        <w:rPr>
          <w:rFonts w:asciiTheme="minorHAnsi" w:hAnsiTheme="minorHAnsi" w:cstheme="minorHAnsi"/>
          <w:bCs/>
          <w:sz w:val="26"/>
          <w:szCs w:val="26"/>
        </w:rPr>
        <w:t>Î</w:t>
      </w:r>
      <w:r w:rsidR="00DA3665" w:rsidRPr="00564DC7">
        <w:rPr>
          <w:rFonts w:asciiTheme="minorHAnsi" w:hAnsiTheme="minorHAnsi" w:cstheme="minorHAnsi"/>
          <w:bCs/>
          <w:sz w:val="26"/>
          <w:szCs w:val="26"/>
        </w:rPr>
        <w:t>n cadrul etapei a 2-a a contractului, au fost livrate și recepționate cantitativ și calitativ echipamentele</w:t>
      </w:r>
      <w:r w:rsidR="00DA3665" w:rsidRPr="00564DC7">
        <w:rPr>
          <w:rFonts w:asciiTheme="minorHAnsi" w:hAnsiTheme="minorHAnsi" w:cstheme="minorHAnsi"/>
          <w:sz w:val="26"/>
          <w:szCs w:val="26"/>
        </w:rPr>
        <w:t xml:space="preserve"> IT (componente hardware și licențe) </w:t>
      </w:r>
      <w:r w:rsidR="00DA3665" w:rsidRPr="00564DC7">
        <w:rPr>
          <w:rFonts w:asciiTheme="minorHAnsi" w:hAnsiTheme="minorHAnsi" w:cstheme="minorHAnsi"/>
          <w:bCs/>
          <w:sz w:val="26"/>
          <w:szCs w:val="26"/>
        </w:rPr>
        <w:t>necesare dezvoltării și punerii în funcțiune a Sistemului informatic integrat pentru managementul instanţelor („OptiMapp”).</w:t>
      </w:r>
    </w:p>
    <w:p w14:paraId="3C8F21C3" w14:textId="77777777"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Conferința de închidere a proiectului s-a derulat la data de 8 decembrie 2023.</w:t>
      </w:r>
    </w:p>
    <w:p w14:paraId="24F80616"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
          <w:sz w:val="26"/>
          <w:szCs w:val="26"/>
        </w:rPr>
      </w:pPr>
      <w:r w:rsidRPr="00564DC7">
        <w:rPr>
          <w:rFonts w:asciiTheme="minorHAnsi" w:hAnsiTheme="minorHAnsi" w:cstheme="minorHAnsi"/>
          <w:b/>
          <w:sz w:val="26"/>
          <w:szCs w:val="26"/>
        </w:rPr>
        <w:t xml:space="preserve">4. Proiectul </w:t>
      </w:r>
      <w:r w:rsidRPr="00564DC7">
        <w:rPr>
          <w:rFonts w:asciiTheme="minorHAnsi" w:hAnsiTheme="minorHAnsi" w:cstheme="minorHAnsi"/>
          <w:b/>
          <w:i/>
          <w:sz w:val="26"/>
          <w:szCs w:val="26"/>
        </w:rPr>
        <w:t>„CPCI – Creșterea performanței și calității instituționale prin îmbunătățirea sistemului de evaluare și asistență psihologică la nivelul sistemului judiciar”</w:t>
      </w:r>
      <w:r w:rsidRPr="00564DC7">
        <w:rPr>
          <w:rFonts w:asciiTheme="minorHAnsi" w:hAnsiTheme="minorHAnsi" w:cstheme="minorHAnsi"/>
          <w:b/>
          <w:sz w:val="26"/>
          <w:szCs w:val="26"/>
        </w:rPr>
        <w:t xml:space="preserve"> (cod SIPOCA/MySMIS 762/135456)</w:t>
      </w:r>
    </w:p>
    <w:p w14:paraId="5A0E2F44" w14:textId="0DAEE0C2"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Proiectul, implementat de Consiliul Superior al Magistraturii în parteneriat cu Parchetul de pe lâng</w:t>
      </w:r>
      <w:r w:rsidR="001F0ED8">
        <w:rPr>
          <w:rFonts w:asciiTheme="minorHAnsi" w:hAnsiTheme="minorHAnsi" w:cstheme="minorHAnsi"/>
          <w:bCs/>
          <w:sz w:val="26"/>
          <w:szCs w:val="26"/>
        </w:rPr>
        <w:t>ă</w:t>
      </w:r>
      <w:r w:rsidRPr="00564DC7">
        <w:rPr>
          <w:rFonts w:asciiTheme="minorHAnsi" w:hAnsiTheme="minorHAnsi" w:cstheme="minorHAnsi"/>
          <w:bCs/>
          <w:sz w:val="26"/>
          <w:szCs w:val="26"/>
        </w:rPr>
        <w:t xml:space="preserve"> Înalta Curte de Casație și Justiție,  Institutul Naţional al Magistraturii şi Inspecţia Judiciară începând cu data de 4.08.2020, s-a aflat în anul 2023 în ultimul an de implementare. </w:t>
      </w:r>
    </w:p>
    <w:p w14:paraId="6D382329" w14:textId="4BFE9EA4"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Reamintim că obiectivele generale ale proiectului </w:t>
      </w:r>
      <w:r w:rsidR="008874A8">
        <w:rPr>
          <w:rFonts w:asciiTheme="minorHAnsi" w:hAnsiTheme="minorHAnsi" w:cstheme="minorHAnsi"/>
          <w:bCs/>
          <w:sz w:val="26"/>
          <w:szCs w:val="26"/>
        </w:rPr>
        <w:t>au fost</w:t>
      </w:r>
      <w:r w:rsidRPr="00564DC7">
        <w:rPr>
          <w:rFonts w:asciiTheme="minorHAnsi" w:hAnsiTheme="minorHAnsi" w:cstheme="minorHAnsi"/>
          <w:bCs/>
          <w:sz w:val="26"/>
          <w:szCs w:val="26"/>
        </w:rPr>
        <w:t>: îmbunătățirea sistemelor de recrutare a judecătorilor și procurorilor și de asistență și evaluare psihologică a acestora pe întreg parcursul evoluției profesionale, inclusiv sub aspectul accesului în funcții de conducere, în scopul final al creșterii calității actului de justiție și îmbunătățirii performanței profesionale a sistemului judiciar, în ansamblul său.</w:t>
      </w:r>
    </w:p>
    <w:p w14:paraId="1DA9C579" w14:textId="707B6A4F"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Pe parcursul anului 2023, au fost realizate următoarele activităţi semnificative:</w:t>
      </w:r>
    </w:p>
    <w:p w14:paraId="150963E3" w14:textId="49AA5A2D"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Au fost finalizate procedurile de achiziţie publică pentru serviciile de dezvoltare a soluției IT integrate pentru evaluarea și asistența psihologică la nivelul sistemului judiciar</w:t>
      </w:r>
      <w:r w:rsidRPr="00564DC7">
        <w:rPr>
          <w:rFonts w:asciiTheme="minorHAnsi" w:hAnsiTheme="minorHAnsi" w:cstheme="minorHAnsi"/>
          <w:bCs/>
          <w:i/>
          <w:iCs/>
          <w:sz w:val="26"/>
          <w:szCs w:val="26"/>
        </w:rPr>
        <w:t xml:space="preserve"> </w:t>
      </w:r>
      <w:r w:rsidRPr="00564DC7">
        <w:rPr>
          <w:rFonts w:asciiTheme="minorHAnsi" w:hAnsiTheme="minorHAnsi" w:cstheme="minorHAnsi"/>
          <w:bCs/>
          <w:sz w:val="26"/>
          <w:szCs w:val="26"/>
        </w:rPr>
        <w:t>şi, respectiv, pentru serviciile de dezvoltare/adaptare a instrumentelor de testare și asistență psihologică. Contractele de achiziţie publică au fost încheiate la datele de 27.04.2023 şi, respectiv, 09.03.2023.</w:t>
      </w:r>
    </w:p>
    <w:p w14:paraId="2449C665"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În prima etapă de realizare a serviciilor de dezvoltare/adaptare a instrumentelor de testare şi asistenţă psihologică, a fost realizat un sondaj aprofundat în rândul judecătorilor și procurorilor și au fost organizate în București, în perioada 17-19 mai, cu participarea judecătorilor şi procurorilor, o serie de workshopuri având ca obiect definirea profilului psiho-profesional specific profesiilor de judecător și procuror pentru admiterea în profesie, evaluarea psihologică periodică și ocuparea funcțiilor de conducere.</w:t>
      </w:r>
    </w:p>
    <w:p w14:paraId="3D4CDCBE" w14:textId="27524565"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Faza întâi de implementare a acestui contract a fost finalizată prin recepţia, la data de 28.06.2023, a Raportului de cercetare şi rezultate asociate, ca prim document de cercetare destinat elaborării profilurilor ocupaţionale specifice profesiilor de judecător şi procuror. </w:t>
      </w:r>
    </w:p>
    <w:p w14:paraId="48BD4CE0"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În cea de a doua etapă de implementare a contractului, a fost elaborat un Raport privind analiza aprofundată la nivelul sistemului judiciar, care a fost recepționat la data de 04.07.2023.</w:t>
      </w:r>
    </w:p>
    <w:p w14:paraId="213AFDC6" w14:textId="1FCCDA99"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În baza acestor documente de cercetare, au fost elaborate: un profil psiho-profesional pentru funcţia de judecător; un profil psiho-profesional pentru funcţia de procuror; un profil psiho-profesional pentru funcţiile de conducere ocupate de judecători; un profil psiho-profesional pentru funcţiile de conducere din parchete; un trunchi comun în privinţa celor două profiluri, care </w:t>
      </w:r>
      <w:r w:rsidRPr="00564DC7">
        <w:rPr>
          <w:rFonts w:asciiTheme="minorHAnsi" w:hAnsiTheme="minorHAnsi" w:cstheme="minorHAnsi"/>
          <w:bCs/>
          <w:sz w:val="26"/>
          <w:szCs w:val="26"/>
        </w:rPr>
        <w:lastRenderedPageBreak/>
        <w:t>va fi utilizat în procedurile de admitere în profesie</w:t>
      </w:r>
      <w:r w:rsidR="001921CD">
        <w:rPr>
          <w:rFonts w:asciiTheme="minorHAnsi" w:hAnsiTheme="minorHAnsi" w:cstheme="minorHAnsi"/>
          <w:bCs/>
          <w:sz w:val="26"/>
          <w:szCs w:val="26"/>
        </w:rPr>
        <w:t>.</w:t>
      </w:r>
      <w:r w:rsidRPr="00564DC7">
        <w:rPr>
          <w:rFonts w:asciiTheme="minorHAnsi" w:hAnsiTheme="minorHAnsi" w:cstheme="minorHAnsi"/>
          <w:bCs/>
          <w:sz w:val="26"/>
          <w:szCs w:val="26"/>
        </w:rPr>
        <w:t xml:space="preserve"> Aceste livrabile au fost avizate prin Hotărârea nr. 131/13.07.2023 a Plenului Consiliului Superior al Magistraturii și recepționate la data de 17.07.2023.</w:t>
      </w:r>
    </w:p>
    <w:p w14:paraId="6F266AF2" w14:textId="26D05708"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F72F7D">
        <w:rPr>
          <w:rFonts w:asciiTheme="minorHAnsi" w:hAnsiTheme="minorHAnsi" w:cstheme="minorHAnsi"/>
          <w:bCs/>
          <w:sz w:val="26"/>
          <w:szCs w:val="26"/>
        </w:rPr>
        <w:t xml:space="preserve">În implementarea contractului de achiziţie publică a serviciilor de dezvoltare a soluției IT integrate pentru evaluarea și asistența psihologică la nivelul sistemului judiciar, până la acest moment au fost livrate şi recepţionate echipamentele hardware şi a fost recepţionat Raportul de analiză realizat de prestator, ca primă etapă în dezvoltarea sistemului informatic. </w:t>
      </w:r>
    </w:p>
    <w:p w14:paraId="2FE1B3D6" w14:textId="773A218F"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A fost realizată analiza sistemului de conformitate si evaluare a riscurilor privind prelucrarea datelor cu caracter personal şi definirea instrumentelor de securizare, pornind de la dispoziţiile obligatorii din Regulamentul (UE) 2016/679 al Parlamentului European şi al Consiliului din 27 aprilie 2016 privind protecţia persoanelor fizice în ceea ce priveşte prelucrarea datelor cu caracter personal şi privind libera circulaţie a acestor date. Această analiză a pornit de la evaluarea tututor documentelor şi procedurilor avute în vedere în procedura de evaluare psihologică şi a fost identificat mecanismul optim de maximă securizare a datelor obţinute în privința bateriilor de teste psihologice şi a aplicației </w:t>
      </w:r>
      <w:r w:rsidRPr="001F0ED8">
        <w:rPr>
          <w:rFonts w:asciiTheme="minorHAnsi" w:hAnsiTheme="minorHAnsi" w:cstheme="minorHAnsi"/>
          <w:bCs/>
          <w:sz w:val="26"/>
          <w:szCs w:val="26"/>
        </w:rPr>
        <w:t>informatice</w:t>
      </w:r>
      <w:r w:rsidRPr="00564DC7">
        <w:rPr>
          <w:rFonts w:asciiTheme="minorHAnsi" w:hAnsiTheme="minorHAnsi" w:cstheme="minorHAnsi"/>
          <w:bCs/>
          <w:sz w:val="26"/>
          <w:szCs w:val="26"/>
        </w:rPr>
        <w:t xml:space="preserve"> implementate, cu asigurarea tuturor garanţiilor de securitate.</w:t>
      </w:r>
    </w:p>
    <w:p w14:paraId="765376D9" w14:textId="17EB6CFA"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 xml:space="preserve">Bateriile de probe psihologice destinate măsurării compatibilităţii dintre profilul individual identificat şi cerinţele rezultate din profilul psiho-profesional specific profesiilor de judecător şi procuror, precum și bateriile de teste psihologice destinate evaluării profilului psihologic la momentul accesului în profesie, evaluării candidaţilor la funcţiile de conducere şi evaluării periodice o dată la 5 ani, dar şi asistenţei psihologice permanente, la cererea persoanei aflate în nevoie au fost finalizate şi </w:t>
      </w:r>
      <w:r w:rsidR="008874A8">
        <w:rPr>
          <w:rFonts w:asciiTheme="minorHAnsi" w:hAnsiTheme="minorHAnsi" w:cstheme="minorHAnsi"/>
          <w:bCs/>
          <w:sz w:val="26"/>
          <w:szCs w:val="26"/>
        </w:rPr>
        <w:t>recepționate</w:t>
      </w:r>
      <w:r w:rsidRPr="00C06491">
        <w:rPr>
          <w:rFonts w:asciiTheme="minorHAnsi" w:hAnsiTheme="minorHAnsi" w:cstheme="minorHAnsi"/>
          <w:bCs/>
          <w:sz w:val="26"/>
          <w:szCs w:val="26"/>
        </w:rPr>
        <w:t>.</w:t>
      </w:r>
    </w:p>
    <w:p w14:paraId="7B0350E6" w14:textId="3D5E1C9B" w:rsidR="00C06491" w:rsidRPr="00C06491" w:rsidRDefault="008874A8" w:rsidP="00C06491">
      <w:pPr>
        <w:widowControl w:val="0"/>
        <w:autoSpaceDE w:val="0"/>
        <w:autoSpaceDN w:val="0"/>
        <w:adjustRightInd w:val="0"/>
        <w:ind w:firstLine="708"/>
        <w:jc w:val="both"/>
        <w:rPr>
          <w:rFonts w:asciiTheme="minorHAnsi" w:hAnsiTheme="minorHAnsi" w:cstheme="minorHAnsi"/>
          <w:bCs/>
          <w:sz w:val="26"/>
          <w:szCs w:val="26"/>
        </w:rPr>
      </w:pPr>
      <w:r>
        <w:rPr>
          <w:rFonts w:asciiTheme="minorHAnsi" w:hAnsiTheme="minorHAnsi" w:cstheme="minorHAnsi"/>
          <w:bCs/>
          <w:sz w:val="26"/>
          <w:szCs w:val="26"/>
        </w:rPr>
        <w:t xml:space="preserve">De asemenea, soluţia informatică destinată bunei gestionări a procesului de evaluare şi asistenţă psihologică, securizată, care </w:t>
      </w:r>
      <w:r w:rsidR="00C06491" w:rsidRPr="00C06491">
        <w:rPr>
          <w:rFonts w:asciiTheme="minorHAnsi" w:hAnsiTheme="minorHAnsi" w:cstheme="minorHAnsi"/>
          <w:bCs/>
          <w:sz w:val="26"/>
          <w:szCs w:val="26"/>
        </w:rPr>
        <w:t>va funcţiona exclusiv pe unităţile informatice ale Consiliului Superior al Magistraturii, ale curţilor de apel şi parchetelor de pe lângă curţile de apel, ale Înaltei Curţi de Casaţie şi Jusţie, ale Parchetului de pe lângă Înalta Curte de Casaţie şi Justiţie, Direcţiei Naţionale Anticorupţie, Direcţiei de Investigare a Infracţiunilor de Criminalitate Organizată şi Terorism, Inspecţiei Judiciare şi Institutului Naţional al Magistraturii</w:t>
      </w:r>
      <w:r>
        <w:rPr>
          <w:rFonts w:asciiTheme="minorHAnsi" w:hAnsiTheme="minorHAnsi" w:cstheme="minorHAnsi"/>
          <w:bCs/>
          <w:sz w:val="26"/>
          <w:szCs w:val="26"/>
        </w:rPr>
        <w:t xml:space="preserve">, </w:t>
      </w:r>
      <w:r w:rsidRPr="008874A8">
        <w:rPr>
          <w:rFonts w:asciiTheme="minorHAnsi" w:hAnsiTheme="minorHAnsi" w:cstheme="minorHAnsi"/>
          <w:bCs/>
          <w:sz w:val="26"/>
          <w:szCs w:val="26"/>
        </w:rPr>
        <w:t>a fost finalizată și recepționată</w:t>
      </w:r>
      <w:r w:rsidR="00C06491" w:rsidRPr="00C06491">
        <w:rPr>
          <w:rFonts w:asciiTheme="minorHAnsi" w:hAnsiTheme="minorHAnsi" w:cstheme="minorHAnsi"/>
          <w:bCs/>
          <w:sz w:val="26"/>
          <w:szCs w:val="26"/>
        </w:rPr>
        <w:t>. Soluţia informatică dezvoltată cuprinde mai multe module adaptate necesităţilor sistemului judiciar, identificate în etapele anterioare şi încorporează bateriile de teste dezvoltate pe cele trei componente (profilul psihologic ideal destinat accesului în profesie, evaluarea candidaţilor la funcţiile de conducere şi evaluarea periodică o dată la 5 ani), cu asigurarea tuturor condiţii</w:t>
      </w:r>
      <w:r>
        <w:rPr>
          <w:rFonts w:asciiTheme="minorHAnsi" w:hAnsiTheme="minorHAnsi" w:cstheme="minorHAnsi"/>
          <w:bCs/>
          <w:sz w:val="26"/>
          <w:szCs w:val="26"/>
        </w:rPr>
        <w:t>lor</w:t>
      </w:r>
      <w:r w:rsidR="00C06491" w:rsidRPr="00C06491">
        <w:rPr>
          <w:rFonts w:asciiTheme="minorHAnsi" w:hAnsiTheme="minorHAnsi" w:cstheme="minorHAnsi"/>
          <w:bCs/>
          <w:sz w:val="26"/>
          <w:szCs w:val="26"/>
        </w:rPr>
        <w:t xml:space="preserve"> de securitate necesare pentru securitatea datelor stocate, prelucrate şi accesate, conform  analizei sistemului de conformitate şi evaluare a riscurilor privind prelucrarea datelor cu caracter personal realizate în cursul proiectului.</w:t>
      </w:r>
    </w:p>
    <w:p w14:paraId="49438150" w14:textId="77777777"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S-a derulat activitatea de formare şi pregătire a personalului responsabil cu implementarea mecanismelor îmbunătăţite de evaluare şi asistenţă psihologică (psihologi angajaţi în cadrul sistemului judiciar, formatori din cadrul Institutului Naţional al Magistraturii şi administratorii IT).</w:t>
      </w:r>
    </w:p>
    <w:p w14:paraId="631C34D2" w14:textId="77777777" w:rsidR="00DA3665" w:rsidRPr="00C06491" w:rsidRDefault="00DA3665"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 xml:space="preserve">De asemenea, în cadrul acestui proiect s-a realizat şi îmbunătăţirea reţelei de structuri pentru implementarea sistemului de evaluare şi asistenţă psihologică, prin dotarea cu mobilier şi echipament tehnic a cabinetelor de specialitate unde funcţionează psihologi, organizate la nivelul curţilor de apel şi parchetelor de pe lângă acestea, Înaltei Curţi de Casaţie şi Justiţie, Parchetului de pe lângă Înalta Curte de Casație și Justiție şi structurilor specializate – DNA şi DIICOT. </w:t>
      </w:r>
    </w:p>
    <w:p w14:paraId="56B0C5B9" w14:textId="43FCD1CE"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 xml:space="preserve">Rezultatele proiectului au fost larg diseminate la nivelul sistemului judiciar în cadrul unei campanii de informare şi conştientizare, prin prezentarea demersurilor care au stat la baza elaborării mecanismului de evaluare psihologică şi de acordare a asistenţei psihologice, a tuturor măsurilor luate pentru a asigura securitatea datelor şi respectarea legislaţiei în materie de protecţie a datelor cu caracter personal. Un al doilea scop al campaniei </w:t>
      </w:r>
      <w:r w:rsidR="00332B75">
        <w:rPr>
          <w:rFonts w:asciiTheme="minorHAnsi" w:hAnsiTheme="minorHAnsi" w:cstheme="minorHAnsi"/>
          <w:bCs/>
          <w:sz w:val="26"/>
          <w:szCs w:val="26"/>
        </w:rPr>
        <w:t>a fost</w:t>
      </w:r>
      <w:r w:rsidRPr="00C06491">
        <w:rPr>
          <w:rFonts w:asciiTheme="minorHAnsi" w:hAnsiTheme="minorHAnsi" w:cstheme="minorHAnsi"/>
          <w:bCs/>
          <w:sz w:val="26"/>
          <w:szCs w:val="26"/>
        </w:rPr>
        <w:t xml:space="preserve"> obţinerea de date concrete cu privire la: aşteptările judecătorilor şi procurorilor de la noul sistem de asistenţă </w:t>
      </w:r>
      <w:r w:rsidRPr="00C06491">
        <w:rPr>
          <w:rFonts w:asciiTheme="minorHAnsi" w:hAnsiTheme="minorHAnsi" w:cstheme="minorHAnsi"/>
          <w:bCs/>
          <w:sz w:val="26"/>
          <w:szCs w:val="26"/>
        </w:rPr>
        <w:lastRenderedPageBreak/>
        <w:t>psihologică, posibile obiecţii şi observaţii în legatură cu modalitatea în care va funcţiona evaluarea, sugestii utile cu privire la abordarea în viitor a modului de utilizare a aplicaţiei informatice, date concretizate într-un Raport de evaluare a gradului de satisfacţie, ce cuprinde şi constatarea unor posibile vulnerabilităţi, sugestii şi propuneri de îmbunătăţire, previziuni de evoluţie.</w:t>
      </w:r>
    </w:p>
    <w:p w14:paraId="569E26BE" w14:textId="77777777"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Vizibilitatea proiectului la nivel național a fost completată prin susţinerea conferinţei finale la data de 6 decembrie 2023.</w:t>
      </w:r>
    </w:p>
    <w:p w14:paraId="15450B01"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
          <w:bCs/>
          <w:sz w:val="26"/>
          <w:szCs w:val="26"/>
        </w:rPr>
        <w:t>5. Proiectul „</w:t>
      </w:r>
      <w:r w:rsidRPr="00564DC7">
        <w:rPr>
          <w:rFonts w:asciiTheme="minorHAnsi" w:hAnsiTheme="minorHAnsi" w:cstheme="minorHAnsi"/>
          <w:b/>
          <w:bCs/>
          <w:i/>
          <w:sz w:val="26"/>
          <w:szCs w:val="26"/>
        </w:rPr>
        <w:t>Formarea profesională și consolidarea capacității la nivelul sistemului judiciar”</w:t>
      </w:r>
      <w:r w:rsidRPr="00564DC7">
        <w:rPr>
          <w:rFonts w:asciiTheme="minorHAnsi" w:hAnsiTheme="minorHAnsi" w:cstheme="minorHAnsi"/>
          <w:bCs/>
          <w:i/>
          <w:sz w:val="26"/>
          <w:szCs w:val="26"/>
        </w:rPr>
        <w:t>,</w:t>
      </w:r>
      <w:r w:rsidRPr="00564DC7">
        <w:rPr>
          <w:rFonts w:asciiTheme="minorHAnsi" w:hAnsiTheme="minorHAnsi" w:cstheme="minorHAnsi"/>
          <w:b/>
          <w:bCs/>
          <w:i/>
          <w:sz w:val="26"/>
          <w:szCs w:val="26"/>
        </w:rPr>
        <w:t xml:space="preserve"> </w:t>
      </w:r>
      <w:r w:rsidRPr="00564DC7">
        <w:rPr>
          <w:rFonts w:asciiTheme="minorHAnsi" w:hAnsiTheme="minorHAnsi" w:cstheme="minorHAnsi"/>
          <w:bCs/>
          <w:sz w:val="26"/>
          <w:szCs w:val="26"/>
        </w:rPr>
        <w:t>finanțat în cadrul Mecanismul Financiar Norvegian 2014-2021 (MFN 2014-2021)</w:t>
      </w:r>
    </w:p>
    <w:p w14:paraId="14C3EE32"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Contractul de finanțare aferent proiectului </w:t>
      </w:r>
      <w:r w:rsidRPr="00F41ABF">
        <w:rPr>
          <w:rFonts w:asciiTheme="minorHAnsi" w:hAnsiTheme="minorHAnsi" w:cstheme="minorHAnsi"/>
          <w:bCs/>
          <w:iCs/>
          <w:sz w:val="26"/>
          <w:szCs w:val="26"/>
        </w:rPr>
        <w:t>Formarea judiciară și capacitate instituțională</w:t>
      </w:r>
      <w:r w:rsidRPr="00564DC7">
        <w:rPr>
          <w:rFonts w:asciiTheme="minorHAnsi" w:hAnsiTheme="minorHAnsi" w:cstheme="minorHAnsi"/>
          <w:bCs/>
          <w:sz w:val="26"/>
          <w:szCs w:val="26"/>
        </w:rPr>
        <w:t xml:space="preserve"> a fost semnat la data de 28 februarie 2019, activitățile fiind implementate de către Consiliul Superior al Magistraturii, în calitate de Promotor de Proiect, în parteneriat cu Institutul Național al Magistraturii, Școala Națională de Grefieri și Administrația Instanțelor din Norvegia, în vederea realizării obiectivului general constând în consolidarea sistemului judiciar prin îmbunătățirea eficienței acestuia, precum și dezvoltarea conceptului de cultură juridică europeană la nivelul sistemului judiciar din România.</w:t>
      </w:r>
    </w:p>
    <w:p w14:paraId="0B10FE29" w14:textId="77777777"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Ȋn cursul anului 2023, a continuat implementarea activităţilor proiectului, fiind organizate 31 de sesiuni de formare profesională, în următoarele domenii: achiziţii publice (2), reguli de procedură aplicabile litigiilor administrative (2), procedură fiscală (3), cooperare judiciară în materie civilă (1), cooperare judiciară în materie civilă și penală (3), jurisprudenţa CEDO şi drepturile fundamentale (4), executare hotărâri în materie penală (6), tehnici de audiere a minorilor (6), accesul la justiție al populației de etnie romă și grupurilor vulnerabile (4).</w:t>
      </w:r>
    </w:p>
    <w:p w14:paraId="25F32963" w14:textId="77777777" w:rsidR="00C06491" w:rsidRP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 xml:space="preserve">De asemenea, s-a finalizat procedura de dotare a camerelor de audiere a minorilor în cadrul a 50 de instanțe de judecată, la nivel național, fiind de altfel suplimentat numărul de beneficiari finali în luna septembrie 2023, prin introducerea a 3 noi beneficiari finali. </w:t>
      </w:r>
    </w:p>
    <w:p w14:paraId="3892B997"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Nu în ultimul rând, în luna septembrie 2023, proiectul predefinit a fost restructurat prin introducerea de noi activități și suplimentarea anumitor activități existente, pentru a asigura o absorbție ridicată a fondurilor. Astfel, au fost introduse noi activități menite să genereze un plus valoare proiectului predefinit, respectiv: organizarea unei misiuni de bune practici pentru îmbunătățirea formării la nivelul sistemului judiciar; organizarea de sesiuni de formare privind utilizarea camerelor de audiere a minorilor la nivelul instanțelor, precum și a unei misiuni de formare în domeniul tehnicilor de audiere a minorilor. </w:t>
      </w:r>
    </w:p>
    <w:p w14:paraId="7A99DFE8" w14:textId="2BAD4534" w:rsidR="00C06491" w:rsidRDefault="00C06491" w:rsidP="00C06491">
      <w:pPr>
        <w:widowControl w:val="0"/>
        <w:autoSpaceDE w:val="0"/>
        <w:autoSpaceDN w:val="0"/>
        <w:adjustRightInd w:val="0"/>
        <w:ind w:firstLine="708"/>
        <w:jc w:val="both"/>
        <w:rPr>
          <w:rFonts w:asciiTheme="minorHAnsi" w:hAnsiTheme="minorHAnsi" w:cstheme="minorHAnsi"/>
          <w:bCs/>
          <w:sz w:val="26"/>
          <w:szCs w:val="26"/>
        </w:rPr>
      </w:pPr>
      <w:r w:rsidRPr="00C06491">
        <w:rPr>
          <w:rFonts w:asciiTheme="minorHAnsi" w:hAnsiTheme="minorHAnsi" w:cstheme="minorHAnsi"/>
          <w:bCs/>
          <w:sz w:val="26"/>
          <w:szCs w:val="26"/>
        </w:rPr>
        <w:t>De asemenea, în cadrul output 4, în cursul anului 2023 a fost extinsă dotarea instituțiilor centrale și instanțelor, finalizată anterior, la achiziționarea de echipamente IT pentru Consiliul Superior al Magistraturii, Institutul Național al Magistraturii și Școala Națională de Grefieri, echipamente audio-video pentru instanțe, precum și echipamente frigotehnice și de birou pentru Consiliul Superior al Magistraturii.</w:t>
      </w:r>
    </w:p>
    <w:p w14:paraId="43353B27"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
          <w:bCs/>
          <w:sz w:val="26"/>
          <w:szCs w:val="26"/>
        </w:rPr>
        <w:t xml:space="preserve">6. Proiectul </w:t>
      </w:r>
      <w:r w:rsidRPr="00564DC7">
        <w:rPr>
          <w:rFonts w:asciiTheme="minorHAnsi" w:hAnsiTheme="minorHAnsi" w:cstheme="minorHAnsi"/>
          <w:b/>
          <w:bCs/>
          <w:i/>
          <w:sz w:val="26"/>
          <w:szCs w:val="26"/>
        </w:rPr>
        <w:t xml:space="preserve">„Optimizarea managementului la nivelul sistemului judiciar. Componenta de parchete” </w:t>
      </w:r>
      <w:r w:rsidRPr="00564DC7">
        <w:rPr>
          <w:rFonts w:asciiTheme="minorHAnsi" w:hAnsiTheme="minorHAnsi" w:cstheme="minorHAnsi"/>
          <w:bCs/>
          <w:iCs/>
          <w:sz w:val="26"/>
          <w:szCs w:val="26"/>
        </w:rPr>
        <w:t xml:space="preserve">(cod SIPOCA/MySMIS 761/133850) a fost demarat prin semnarea contractului de finanțare la data de 4 august 2020, având ca obiectiv </w:t>
      </w:r>
      <w:r w:rsidRPr="00564DC7">
        <w:rPr>
          <w:rFonts w:asciiTheme="minorHAnsi" w:hAnsiTheme="minorHAnsi" w:cstheme="minorHAnsi"/>
          <w:bCs/>
          <w:sz w:val="26"/>
          <w:szCs w:val="26"/>
        </w:rPr>
        <w:t>îmbunătăţirea capacităţii manageriale a Ministerului Public, ca parte esenţială a sistemului de justiţie în materie penală, prin implementarea unor instrumente standard de management integrat la nivelul unităţilor teritoriale ale parchetelor, cu scopul de a crea premisele necesare pentru un proces predictibil de luare a deciziilor manageriale, în special în privinţa componentelor de resursă umană, capacitate de gestionare a volumului de muncă, estimare corectă a necesarului de resursă umană şi distribuire a sarcinilor la nivelul procurorilor din cadrul aceleiaşi unităţi teritoriale.</w:t>
      </w:r>
    </w:p>
    <w:p w14:paraId="6C2B2367" w14:textId="6827FCF3" w:rsidR="00DA3665" w:rsidRPr="00564DC7" w:rsidRDefault="00DA3665" w:rsidP="00690186">
      <w:pPr>
        <w:widowControl w:val="0"/>
        <w:autoSpaceDE w:val="0"/>
        <w:autoSpaceDN w:val="0"/>
        <w:adjustRightInd w:val="0"/>
        <w:ind w:firstLine="708"/>
        <w:jc w:val="both"/>
        <w:rPr>
          <w:rFonts w:asciiTheme="minorHAnsi" w:hAnsiTheme="minorHAnsi" w:cstheme="minorHAnsi"/>
          <w:bCs/>
          <w:iCs/>
          <w:sz w:val="26"/>
          <w:szCs w:val="26"/>
        </w:rPr>
      </w:pPr>
      <w:r w:rsidRPr="00564DC7">
        <w:rPr>
          <w:rFonts w:asciiTheme="minorHAnsi" w:hAnsiTheme="minorHAnsi" w:cstheme="minorHAnsi"/>
          <w:bCs/>
          <w:sz w:val="26"/>
          <w:szCs w:val="26"/>
        </w:rPr>
        <w:t xml:space="preserve">Proiectul </w:t>
      </w:r>
      <w:r w:rsidR="00332B75">
        <w:rPr>
          <w:rFonts w:asciiTheme="minorHAnsi" w:hAnsiTheme="minorHAnsi" w:cstheme="minorHAnsi"/>
          <w:bCs/>
          <w:sz w:val="26"/>
          <w:szCs w:val="26"/>
        </w:rPr>
        <w:t xml:space="preserve">a fost </w:t>
      </w:r>
      <w:r w:rsidRPr="00564DC7">
        <w:rPr>
          <w:rFonts w:asciiTheme="minorHAnsi" w:hAnsiTheme="minorHAnsi" w:cstheme="minorHAnsi"/>
          <w:bCs/>
          <w:sz w:val="26"/>
          <w:szCs w:val="26"/>
        </w:rPr>
        <w:t>implementat de Consiliul Superior al Magistraturii, în parteneriat cu Parchetul de pe lângă Înalta Curte de Casație și Justiție.</w:t>
      </w:r>
    </w:p>
    <w:p w14:paraId="4DFA1742"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În cursul anului 2023, au fost implementate activitățile 2, 3 și 4 din cadrul proiectului, </w:t>
      </w:r>
      <w:r w:rsidRPr="00564DC7">
        <w:rPr>
          <w:rFonts w:asciiTheme="minorHAnsi" w:hAnsiTheme="minorHAnsi" w:cstheme="minorHAnsi"/>
          <w:bCs/>
          <w:sz w:val="26"/>
          <w:szCs w:val="26"/>
        </w:rPr>
        <w:lastRenderedPageBreak/>
        <w:t xml:space="preserve">acestea constând în: </w:t>
      </w:r>
    </w:p>
    <w:p w14:paraId="0E5B2E19" w14:textId="51CD6F96" w:rsidR="00DA3665" w:rsidRPr="00564DC7" w:rsidRDefault="00F41ABF" w:rsidP="006D2B12">
      <w:pPr>
        <w:widowControl w:val="0"/>
        <w:autoSpaceDE w:val="0"/>
        <w:autoSpaceDN w:val="0"/>
        <w:adjustRightInd w:val="0"/>
        <w:ind w:firstLine="709"/>
        <w:jc w:val="both"/>
        <w:rPr>
          <w:rFonts w:asciiTheme="minorHAnsi" w:hAnsiTheme="minorHAnsi" w:cstheme="minorHAnsi"/>
          <w:bCs/>
          <w:sz w:val="26"/>
          <w:szCs w:val="26"/>
        </w:rPr>
      </w:pPr>
      <w:r>
        <w:rPr>
          <w:rFonts w:asciiTheme="minorHAnsi" w:hAnsiTheme="minorHAnsi" w:cstheme="minorHAnsi"/>
          <w:bCs/>
          <w:sz w:val="26"/>
          <w:szCs w:val="26"/>
        </w:rPr>
        <w:t xml:space="preserve">- </w:t>
      </w:r>
      <w:r w:rsidR="00DA3665" w:rsidRPr="00564DC7">
        <w:rPr>
          <w:rFonts w:asciiTheme="minorHAnsi" w:hAnsiTheme="minorHAnsi" w:cstheme="minorHAnsi"/>
          <w:bCs/>
          <w:sz w:val="26"/>
          <w:szCs w:val="26"/>
        </w:rPr>
        <w:t xml:space="preserve">realizarea  aplicației informatice de calcul al complexității şi volumului de muncă al procurorilor/unităților de parchet. Soluţia informatică a fost astfel concepută încât să poată fi ulterior replicată, îmbunătăţită şi ajustată în funcţie de specificul de competenţă şi logistică al celorlalte unităţi de parchet ce funcţionează la nivel naţional. Prin implementarea modulului informatic s-a urmărit obținerea următoarelor beneficii: (1) implementarea unui mecanism automat de extragere automată a datelor din ECRIS  necesare calculării punctajelor asociate indicatorilor stabiliți prin metodologia de calcul al volumului și complexității activității procurorilor; (2) implementarea unui mecanism automat de calcul al punctajelor asociate indicatorilor stabiliți prin metodologia de calcul al volumului și complexității activității procurorilor și prezentarea punctajelor obținute pe baza implementării metodologiei către părțile interesate – procurori cu funcții de execuție și procurori cu funcții de conducere; (3) disponibilitatea unor mecanisme de analiză a volumului și complexității activității procurorilor și parchetelor pentru procurorii cu funcții de conducere; (4) asigurarea procurorilor cu funcții de conducere cu instrumente moderne pentru efectuarea de analize ale volumului și complexității activității, reprezentarea grafică a informațiilor sub formă de tablouri de bord care să asigure afișarea agregată a informațiilor. </w:t>
      </w:r>
    </w:p>
    <w:p w14:paraId="5B0436DE" w14:textId="58B1CF10" w:rsidR="00DA3665" w:rsidRPr="00564DC7" w:rsidRDefault="00F41ABF" w:rsidP="006D2B12">
      <w:pPr>
        <w:widowControl w:val="0"/>
        <w:autoSpaceDE w:val="0"/>
        <w:autoSpaceDN w:val="0"/>
        <w:adjustRightInd w:val="0"/>
        <w:ind w:firstLine="709"/>
        <w:jc w:val="both"/>
        <w:rPr>
          <w:rFonts w:asciiTheme="minorHAnsi" w:hAnsiTheme="minorHAnsi" w:cstheme="minorHAnsi"/>
          <w:bCs/>
          <w:sz w:val="26"/>
          <w:szCs w:val="26"/>
        </w:rPr>
      </w:pPr>
      <w:r>
        <w:rPr>
          <w:rFonts w:asciiTheme="minorHAnsi" w:hAnsiTheme="minorHAnsi" w:cstheme="minorHAnsi"/>
          <w:bCs/>
          <w:sz w:val="26"/>
          <w:szCs w:val="26"/>
        </w:rPr>
        <w:t xml:space="preserve">-  </w:t>
      </w:r>
      <w:r w:rsidR="00DA3665" w:rsidRPr="00564DC7">
        <w:rPr>
          <w:rFonts w:asciiTheme="minorHAnsi" w:hAnsiTheme="minorHAnsi" w:cstheme="minorHAnsi"/>
          <w:bCs/>
          <w:sz w:val="26"/>
          <w:szCs w:val="26"/>
        </w:rPr>
        <w:t xml:space="preserve">în august 2023 a demarat activitatea de testare a calculului complexității și a volumului de muncă la nivelul parchetelor pilot (Parchetul de pe lângă Tribunalul București, Parchetul de pe lângă Judecătoria Sectorului 3 București, Parchetul de pe lângă Judecătoria Sectorului 6 București, Parchetul de pe lângă Judecătoria Craiova şi Parchetul de pe lângă Judecătoria Cluj Napoca). Activitatea s-a finalizat în luna octombrie 2023, iar concluziile acesteia au fost incluse în rapoartele redactate de grefierii desemnați în acest sens prin Ordin al Procurorului General al României. </w:t>
      </w:r>
    </w:p>
    <w:p w14:paraId="4BB9CEEB" w14:textId="10F63A1F" w:rsidR="00DA3665" w:rsidRPr="00564DC7" w:rsidRDefault="00F41ABF" w:rsidP="006D2B12">
      <w:pPr>
        <w:widowControl w:val="0"/>
        <w:autoSpaceDE w:val="0"/>
        <w:autoSpaceDN w:val="0"/>
        <w:adjustRightInd w:val="0"/>
        <w:ind w:firstLine="709"/>
        <w:jc w:val="both"/>
        <w:rPr>
          <w:rFonts w:asciiTheme="minorHAnsi" w:hAnsiTheme="minorHAnsi" w:cstheme="minorHAnsi"/>
          <w:bCs/>
          <w:sz w:val="26"/>
          <w:szCs w:val="26"/>
        </w:rPr>
      </w:pPr>
      <w:r>
        <w:rPr>
          <w:rFonts w:asciiTheme="minorHAnsi" w:hAnsiTheme="minorHAnsi" w:cstheme="minorHAnsi"/>
          <w:bCs/>
          <w:sz w:val="26"/>
          <w:szCs w:val="26"/>
        </w:rPr>
        <w:t xml:space="preserve">- </w:t>
      </w:r>
      <w:r w:rsidR="00DA3665" w:rsidRPr="00564DC7">
        <w:rPr>
          <w:rFonts w:asciiTheme="minorHAnsi" w:hAnsiTheme="minorHAnsi" w:cstheme="minorHAnsi"/>
          <w:bCs/>
          <w:sz w:val="26"/>
          <w:szCs w:val="26"/>
        </w:rPr>
        <w:t xml:space="preserve">evaluarea impactului implementării </w:t>
      </w:r>
      <w:r w:rsidR="00DA3665" w:rsidRPr="00564DC7">
        <w:rPr>
          <w:rFonts w:asciiTheme="minorHAnsi" w:hAnsiTheme="minorHAnsi" w:cstheme="minorHAnsi"/>
          <w:bCs/>
          <w:i/>
          <w:iCs/>
          <w:sz w:val="26"/>
          <w:szCs w:val="26"/>
        </w:rPr>
        <w:t>Analizei de management standard integrat la nivelul parchetelor</w:t>
      </w:r>
      <w:r w:rsidR="00DA3665" w:rsidRPr="00564DC7">
        <w:rPr>
          <w:rFonts w:asciiTheme="minorHAnsi" w:hAnsiTheme="minorHAnsi" w:cstheme="minorHAnsi"/>
          <w:bCs/>
          <w:sz w:val="26"/>
          <w:szCs w:val="26"/>
        </w:rPr>
        <w:t xml:space="preserve">, activitate derulată în perioada decembrie 2022 – noiembrie 2023. Astfel, în baza concluziilor analizei de management şi având în vedere inclusiv modificările aduse legilor justiţiei, a fost realizată analiza cadrului legislativ pentru a fi identificate modalităţile în care acesta poate fi îmbunătăţit, la nivelul legislaţiei primare şi/sau secundare, în vederea creării cadrului necesar pentru implementarea concluziilor deduse din instrumentul de management aprobat de Secţia de procurori din cadrul Consiliului Superior al Magistraturii. De asemenea, a fost organizat un atelier de lucru în perioada 2-3 octombrie 2023. Livrabilul </w:t>
      </w:r>
      <w:r w:rsidR="00DA3665" w:rsidRPr="00564DC7">
        <w:rPr>
          <w:rFonts w:asciiTheme="minorHAnsi" w:hAnsiTheme="minorHAnsi" w:cstheme="minorHAnsi"/>
          <w:bCs/>
          <w:i/>
          <w:iCs/>
          <w:sz w:val="26"/>
          <w:szCs w:val="26"/>
        </w:rPr>
        <w:t xml:space="preserve">Raport de analiză legislativă din perspectiva optimizării activității unităților de parchet </w:t>
      </w:r>
      <w:r w:rsidR="00DA3665" w:rsidRPr="00564DC7">
        <w:rPr>
          <w:rFonts w:asciiTheme="minorHAnsi" w:hAnsiTheme="minorHAnsi" w:cstheme="minorHAnsi"/>
          <w:bCs/>
          <w:sz w:val="26"/>
          <w:szCs w:val="26"/>
        </w:rPr>
        <w:t xml:space="preserve">a fost avizat de Secția pentru procurori a Consiliului Superior al Magistraturii, la data de 8 noiembrie 2023. </w:t>
      </w:r>
    </w:p>
    <w:p w14:paraId="3243F945" w14:textId="295AC5EF" w:rsidR="00DA3665" w:rsidRPr="00564DC7" w:rsidRDefault="00F41ABF" w:rsidP="006D2B12">
      <w:pPr>
        <w:widowControl w:val="0"/>
        <w:autoSpaceDE w:val="0"/>
        <w:autoSpaceDN w:val="0"/>
        <w:adjustRightInd w:val="0"/>
        <w:ind w:firstLine="709"/>
        <w:jc w:val="both"/>
        <w:rPr>
          <w:rFonts w:asciiTheme="minorHAnsi" w:hAnsiTheme="minorHAnsi" w:cstheme="minorHAnsi"/>
          <w:bCs/>
          <w:sz w:val="26"/>
          <w:szCs w:val="26"/>
        </w:rPr>
      </w:pPr>
      <w:r>
        <w:rPr>
          <w:rFonts w:asciiTheme="minorHAnsi" w:hAnsiTheme="minorHAnsi" w:cstheme="minorHAnsi"/>
          <w:bCs/>
          <w:sz w:val="26"/>
          <w:szCs w:val="26"/>
        </w:rPr>
        <w:t xml:space="preserve">-  </w:t>
      </w:r>
      <w:r w:rsidR="00DA3665" w:rsidRPr="00564DC7">
        <w:rPr>
          <w:rFonts w:asciiTheme="minorHAnsi" w:hAnsiTheme="minorHAnsi" w:cstheme="minorHAnsi"/>
          <w:bCs/>
          <w:sz w:val="26"/>
          <w:szCs w:val="26"/>
        </w:rPr>
        <w:t xml:space="preserve">în ceea ce privește elaborarea unui plan de dezvoltare a resurselor umane la nivelul parchetelor, a fost organizat un atelier de lucru în perioada 4-5 octombrie 2023. Livrabilul </w:t>
      </w:r>
      <w:r w:rsidR="00DA3665" w:rsidRPr="00564DC7">
        <w:rPr>
          <w:rFonts w:asciiTheme="minorHAnsi" w:hAnsiTheme="minorHAnsi" w:cstheme="minorHAnsi"/>
          <w:bCs/>
          <w:i/>
          <w:iCs/>
          <w:sz w:val="26"/>
          <w:szCs w:val="26"/>
        </w:rPr>
        <w:t>Strategia de resurse umane la nivelul parchetelor</w:t>
      </w:r>
      <w:r w:rsidR="00DA3665" w:rsidRPr="00564DC7">
        <w:rPr>
          <w:rFonts w:asciiTheme="minorHAnsi" w:hAnsiTheme="minorHAnsi" w:cstheme="minorHAnsi"/>
          <w:bCs/>
          <w:sz w:val="26"/>
          <w:szCs w:val="26"/>
        </w:rPr>
        <w:t xml:space="preserve"> a fost avizat, la data de 8 noiembrie 2023, la nivelul Secției pentru procurori a Consiliului Superior al Magistraturii.</w:t>
      </w:r>
    </w:p>
    <w:p w14:paraId="74BE951E"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Livrabilele realizate în cadrul proiectului sunt disponibile la adresa </w:t>
      </w:r>
      <w:hyperlink r:id="rId32" w:history="1">
        <w:r w:rsidRPr="00564DC7">
          <w:rPr>
            <w:rStyle w:val="Hyperlink"/>
            <w:rFonts w:asciiTheme="minorHAnsi" w:hAnsiTheme="minorHAnsi" w:cstheme="minorHAnsi"/>
            <w:bCs/>
            <w:color w:val="auto"/>
            <w:sz w:val="26"/>
            <w:szCs w:val="26"/>
            <w:u w:val="none"/>
          </w:rPr>
          <w:t>https://sites.google.com/csm.csm1909.ro/sipoca761/rezultate</w:t>
        </w:r>
      </w:hyperlink>
      <w:r w:rsidRPr="00564DC7">
        <w:rPr>
          <w:rFonts w:asciiTheme="minorHAnsi" w:hAnsiTheme="minorHAnsi" w:cstheme="minorHAnsi"/>
          <w:bCs/>
          <w:sz w:val="26"/>
          <w:szCs w:val="26"/>
        </w:rPr>
        <w:t xml:space="preserve">. </w:t>
      </w:r>
    </w:p>
    <w:p w14:paraId="74F1427F" w14:textId="77777777" w:rsidR="00F7106C" w:rsidRPr="00F7106C" w:rsidRDefault="00F7106C" w:rsidP="00F7106C">
      <w:pPr>
        <w:widowControl w:val="0"/>
        <w:autoSpaceDE w:val="0"/>
        <w:autoSpaceDN w:val="0"/>
        <w:adjustRightInd w:val="0"/>
        <w:ind w:firstLine="708"/>
        <w:jc w:val="both"/>
        <w:rPr>
          <w:rFonts w:asciiTheme="minorHAnsi" w:hAnsiTheme="minorHAnsi" w:cstheme="minorHAnsi"/>
          <w:bCs/>
          <w:sz w:val="26"/>
          <w:szCs w:val="26"/>
        </w:rPr>
      </w:pPr>
      <w:r w:rsidRPr="00F7106C">
        <w:rPr>
          <w:rFonts w:asciiTheme="minorHAnsi" w:hAnsiTheme="minorHAnsi" w:cstheme="minorHAnsi"/>
          <w:bCs/>
          <w:sz w:val="26"/>
          <w:szCs w:val="26"/>
        </w:rPr>
        <w:t>Nu în ultimul rând, în data de 14 noiembrie 2023 a fost organizată conferința finală a proiectului SIPOCA 761, eveniment de vizibilitate la care au participat reprezentanți ai parchetelor la nivel național, precum și reprezentanți ai Consiliului Superior al Magistraturii și Parchetului de pe lângă Înalta Curte de Casație și Justiție.</w:t>
      </w:r>
    </w:p>
    <w:p w14:paraId="6690F034" w14:textId="611FE971" w:rsidR="00F7106C" w:rsidRPr="00F7106C" w:rsidRDefault="00F7106C" w:rsidP="00F7106C">
      <w:pPr>
        <w:widowControl w:val="0"/>
        <w:autoSpaceDE w:val="0"/>
        <w:autoSpaceDN w:val="0"/>
        <w:adjustRightInd w:val="0"/>
        <w:ind w:firstLine="708"/>
        <w:jc w:val="both"/>
        <w:rPr>
          <w:rFonts w:asciiTheme="minorHAnsi" w:hAnsiTheme="minorHAnsi" w:cstheme="minorHAnsi"/>
          <w:bCs/>
          <w:sz w:val="26"/>
          <w:szCs w:val="26"/>
        </w:rPr>
      </w:pPr>
      <w:r w:rsidRPr="00F7106C">
        <w:rPr>
          <w:rFonts w:asciiTheme="minorHAnsi" w:hAnsiTheme="minorHAnsi" w:cstheme="minorHAnsi"/>
          <w:bCs/>
          <w:sz w:val="26"/>
          <w:szCs w:val="26"/>
        </w:rPr>
        <w:t>În data de 4 decembrie 2023</w:t>
      </w:r>
      <w:r w:rsidR="00332B75">
        <w:rPr>
          <w:rFonts w:asciiTheme="minorHAnsi" w:hAnsiTheme="minorHAnsi" w:cstheme="minorHAnsi"/>
          <w:bCs/>
          <w:sz w:val="26"/>
          <w:szCs w:val="26"/>
        </w:rPr>
        <w:t>,</w:t>
      </w:r>
      <w:r w:rsidRPr="00F7106C">
        <w:rPr>
          <w:rFonts w:asciiTheme="minorHAnsi" w:hAnsiTheme="minorHAnsi" w:cstheme="minorHAnsi"/>
          <w:bCs/>
          <w:sz w:val="26"/>
          <w:szCs w:val="26"/>
        </w:rPr>
        <w:t xml:space="preserve"> s-a finalizat implementarea acestui proiect, prin îndeplinirea integrală a rezultatelor și obiectivelor asumate.  </w:t>
      </w:r>
    </w:p>
    <w:p w14:paraId="4C800226" w14:textId="39C7B301"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b/>
          <w:bCs/>
          <w:sz w:val="26"/>
          <w:szCs w:val="26"/>
        </w:rPr>
        <w:t>7. Planul Național de Redresare și Reziliență (PNRR)</w:t>
      </w:r>
    </w:p>
    <w:p w14:paraId="65DF480A"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La data de 23 februarie 2023, Consiliul Superior al Magistraturii a semnat contractul de finanțare nr. 5/84920/2022/23.02.2023 aferent proiectului </w:t>
      </w:r>
      <w:r w:rsidRPr="00F41ABF">
        <w:rPr>
          <w:rFonts w:asciiTheme="minorHAnsi" w:hAnsiTheme="minorHAnsi" w:cstheme="minorHAnsi"/>
          <w:sz w:val="26"/>
          <w:szCs w:val="26"/>
        </w:rPr>
        <w:t>Îmbunătățirea digitalizării la nivelul Consiliului Superior al Magistraturii</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 xml:space="preserve">Proiectul este finanțat prin Mecanismul de Redresare și </w:t>
      </w:r>
      <w:r w:rsidRPr="00564DC7">
        <w:rPr>
          <w:rFonts w:asciiTheme="minorHAnsi" w:hAnsiTheme="minorHAnsi" w:cstheme="minorHAnsi"/>
          <w:sz w:val="26"/>
          <w:szCs w:val="26"/>
        </w:rPr>
        <w:lastRenderedPageBreak/>
        <w:t xml:space="preserve">Reziliență, în cadrul componentei 7 - „Transformare digitală”, investiția 4 - „Digitalizarea sistemului judiciar” din Planul Național de Redresare și Reziliență. În calitate de beneficiar, Consiliul Superior al Magistraturii va implementa proiectul pe parcursul a 18 luni, până la data de 23 august 2024. </w:t>
      </w:r>
    </w:p>
    <w:p w14:paraId="41DB987A"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Obiectivul proiectului este consolidarea capacității instituționale a Consiliului Superior al Magistraturii pentru asigurarea îndeplinirii adecvate a atribuțiilor, prin furnizarea de resurse digitale, pentru a crea premisele necesare în vederea îmbunătățirii guvernării electronice și accelerării transformării digitale în sectorul judiciar. </w:t>
      </w:r>
    </w:p>
    <w:p w14:paraId="207548EE"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În concret, infrastructura IT și securitatea informatică a instituției vor fi sprijinite prin:</w:t>
      </w:r>
    </w:p>
    <w:p w14:paraId="4E7B8650" w14:textId="77777777" w:rsidR="00DA3665" w:rsidRPr="00564DC7" w:rsidRDefault="00DA3665">
      <w:pPr>
        <w:pStyle w:val="ListParagraph"/>
        <w:widowControl w:val="0"/>
        <w:numPr>
          <w:ilvl w:val="0"/>
          <w:numId w:val="26"/>
        </w:numPr>
        <w:tabs>
          <w:tab w:val="left" w:pos="993"/>
        </w:tabs>
        <w:autoSpaceDE w:val="0"/>
        <w:autoSpaceDN w:val="0"/>
        <w:adjustRightInd w:val="0"/>
        <w:ind w:left="0" w:firstLine="709"/>
        <w:jc w:val="both"/>
        <w:rPr>
          <w:rFonts w:asciiTheme="minorHAnsi" w:hAnsiTheme="minorHAnsi" w:cstheme="minorHAnsi"/>
          <w:sz w:val="26"/>
          <w:szCs w:val="26"/>
        </w:rPr>
      </w:pPr>
      <w:r w:rsidRPr="00564DC7">
        <w:rPr>
          <w:rFonts w:asciiTheme="minorHAnsi" w:hAnsiTheme="minorHAnsi" w:cstheme="minorHAnsi"/>
          <w:sz w:val="26"/>
          <w:szCs w:val="26"/>
        </w:rPr>
        <w:t>upgrade tehnologic al platformei tehnice din sălile de ședințe ale instituției, cu echipamente care permit o comunicare mai sigură în condiții de distanțare socială, intereconectarea cu sisteme de comunicare audio-video la distanță, transmisia online și înregistrarea ședințelor publice la calitate superioară;</w:t>
      </w:r>
    </w:p>
    <w:p w14:paraId="73DC7936" w14:textId="77777777" w:rsidR="00DA3665" w:rsidRPr="00564DC7" w:rsidRDefault="00DA3665">
      <w:pPr>
        <w:pStyle w:val="ListParagraph"/>
        <w:widowControl w:val="0"/>
        <w:numPr>
          <w:ilvl w:val="0"/>
          <w:numId w:val="26"/>
        </w:numPr>
        <w:tabs>
          <w:tab w:val="left" w:pos="993"/>
        </w:tabs>
        <w:autoSpaceDE w:val="0"/>
        <w:autoSpaceDN w:val="0"/>
        <w:adjustRightInd w:val="0"/>
        <w:ind w:left="0" w:firstLine="709"/>
        <w:jc w:val="both"/>
        <w:rPr>
          <w:rFonts w:asciiTheme="minorHAnsi" w:hAnsiTheme="minorHAnsi" w:cstheme="minorHAnsi"/>
          <w:sz w:val="26"/>
          <w:szCs w:val="26"/>
        </w:rPr>
      </w:pPr>
      <w:r w:rsidRPr="00564DC7">
        <w:rPr>
          <w:rFonts w:asciiTheme="minorHAnsi" w:hAnsiTheme="minorHAnsi" w:cstheme="minorHAnsi"/>
          <w:sz w:val="26"/>
          <w:szCs w:val="26"/>
        </w:rPr>
        <w:t>creșterea nivelului de securitate pentru infrastructura cibernetică de la nivelul Consiliului, precum și dotări pentru virtualizare;</w:t>
      </w:r>
    </w:p>
    <w:p w14:paraId="6C22F7C3" w14:textId="77777777" w:rsidR="00DA3665" w:rsidRPr="00564DC7" w:rsidRDefault="00DA3665">
      <w:pPr>
        <w:pStyle w:val="ListParagraph"/>
        <w:widowControl w:val="0"/>
        <w:numPr>
          <w:ilvl w:val="0"/>
          <w:numId w:val="26"/>
        </w:numPr>
        <w:tabs>
          <w:tab w:val="left" w:pos="993"/>
        </w:tabs>
        <w:autoSpaceDE w:val="0"/>
        <w:autoSpaceDN w:val="0"/>
        <w:adjustRightInd w:val="0"/>
        <w:ind w:left="0" w:firstLine="709"/>
        <w:jc w:val="both"/>
        <w:rPr>
          <w:rFonts w:asciiTheme="minorHAnsi" w:hAnsiTheme="minorHAnsi" w:cstheme="minorHAnsi"/>
          <w:sz w:val="26"/>
          <w:szCs w:val="26"/>
        </w:rPr>
      </w:pPr>
      <w:r w:rsidRPr="00564DC7">
        <w:rPr>
          <w:rFonts w:asciiTheme="minorHAnsi" w:hAnsiTheme="minorHAnsi" w:cstheme="minorHAnsi"/>
          <w:sz w:val="26"/>
          <w:szCs w:val="26"/>
        </w:rPr>
        <w:t>dotarea cu mijloace tehnice pentru desfășurarea activității atât în cadrul Consiliului, cât și în regim de muncă la domiciliu.</w:t>
      </w:r>
    </w:p>
    <w:p w14:paraId="1487EA74"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 xml:space="preserve">În cursul anului 2023, la nivelul Consiliului Superior al Magistraturii au fost făcute demersurile pentru pregătirea, lansarea și derularea procedurii de achiziție publică pentru achiziția echipamentelor prevăzute în cuprinsul proiectului, procedură finalizată în cursul lunii octombrie 2023 prin atribuirea contractelor de achiziție publică de produse. De asemenea, s-au făcut demersuri pentru achiziția materialelor de informare și publicitate, conform regulilor specifice mecanismului de finanțare.  </w:t>
      </w:r>
    </w:p>
    <w:p w14:paraId="7BC2365F"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
          <w:bCs/>
          <w:sz w:val="26"/>
          <w:szCs w:val="26"/>
        </w:rPr>
      </w:pPr>
      <w:r w:rsidRPr="00564DC7">
        <w:rPr>
          <w:rFonts w:asciiTheme="minorHAnsi" w:hAnsiTheme="minorHAnsi" w:cstheme="minorHAnsi"/>
          <w:b/>
          <w:sz w:val="26"/>
          <w:szCs w:val="26"/>
        </w:rPr>
        <w:t>8. Proiectul „Dezvoltarea sistemului de management al cauzelor – Ecris V” (cod My SMIS 142520</w:t>
      </w:r>
      <w:r w:rsidRPr="00564DC7">
        <w:rPr>
          <w:rFonts w:asciiTheme="minorHAnsi" w:hAnsiTheme="minorHAnsi" w:cstheme="minorHAnsi"/>
          <w:b/>
          <w:bCs/>
          <w:sz w:val="26"/>
          <w:szCs w:val="26"/>
        </w:rPr>
        <w:t>)</w:t>
      </w:r>
    </w:p>
    <w:p w14:paraId="64ACE7C0"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bCs/>
          <w:sz w:val="26"/>
          <w:szCs w:val="26"/>
        </w:rPr>
      </w:pPr>
      <w:r w:rsidRPr="00564DC7">
        <w:rPr>
          <w:rFonts w:asciiTheme="minorHAnsi" w:hAnsiTheme="minorHAnsi" w:cstheme="minorHAnsi"/>
          <w:bCs/>
          <w:sz w:val="26"/>
          <w:szCs w:val="26"/>
        </w:rPr>
        <w:t xml:space="preserve">Consiliul Superior al Magistraturii, alături de Curtea de Apel București şi Parchetul de pe lângă Înalta Curte de Casație și Justiție (Ministerul Public), participă, în calitate de parteneri, ȋn cadrul proiectului </w:t>
      </w:r>
      <w:r w:rsidRPr="00F41ABF">
        <w:rPr>
          <w:rFonts w:asciiTheme="minorHAnsi" w:hAnsiTheme="minorHAnsi" w:cstheme="minorHAnsi"/>
          <w:bCs/>
          <w:iCs/>
          <w:sz w:val="26"/>
          <w:szCs w:val="26"/>
        </w:rPr>
        <w:t>„Dezvoltarea sistemului de management al cauzelor – Ecris V”</w:t>
      </w:r>
      <w:r w:rsidRPr="00564DC7">
        <w:rPr>
          <w:rFonts w:asciiTheme="minorHAnsi" w:hAnsiTheme="minorHAnsi" w:cstheme="minorHAnsi"/>
          <w:bCs/>
          <w:sz w:val="26"/>
          <w:szCs w:val="26"/>
        </w:rPr>
        <w:t xml:space="preserve">, implementat de Ministerul Justiției </w:t>
      </w:r>
      <w:r w:rsidRPr="00564DC7">
        <w:rPr>
          <w:rFonts w:asciiTheme="minorHAnsi" w:hAnsiTheme="minorHAnsi" w:cstheme="minorHAnsi"/>
          <w:sz w:val="26"/>
          <w:szCs w:val="26"/>
        </w:rPr>
        <w:t>în cadrul Programului Operațional Capacitate Administrativă</w:t>
      </w:r>
      <w:r w:rsidRPr="00564DC7">
        <w:rPr>
          <w:rFonts w:asciiTheme="minorHAnsi" w:hAnsiTheme="minorHAnsi" w:cstheme="minorHAnsi"/>
          <w:bCs/>
          <w:sz w:val="26"/>
          <w:szCs w:val="26"/>
        </w:rPr>
        <w:t>.</w:t>
      </w:r>
    </w:p>
    <w:p w14:paraId="584399B9" w14:textId="77777777" w:rsidR="00DA3665" w:rsidRPr="00564DC7" w:rsidRDefault="00DA3665" w:rsidP="00690186">
      <w:pPr>
        <w:widowControl w:val="0"/>
        <w:autoSpaceDE w:val="0"/>
        <w:autoSpaceDN w:val="0"/>
        <w:adjustRightInd w:val="0"/>
        <w:ind w:firstLine="708"/>
        <w:jc w:val="both"/>
        <w:rPr>
          <w:rFonts w:asciiTheme="minorHAnsi" w:hAnsiTheme="minorHAnsi" w:cstheme="minorHAnsi"/>
          <w:sz w:val="26"/>
          <w:szCs w:val="26"/>
        </w:rPr>
      </w:pPr>
      <w:r w:rsidRPr="00564DC7">
        <w:rPr>
          <w:rFonts w:asciiTheme="minorHAnsi" w:hAnsiTheme="minorHAnsi" w:cstheme="minorHAnsi"/>
          <w:sz w:val="26"/>
          <w:szCs w:val="26"/>
        </w:rPr>
        <w:t>Proiectul are ca obiectiv general eficientizarea sistemului judiciar prin punerea la dispoziția acestuia a unui sistem informatic modern și adaptat nevoilor actuale, care să susțină activitatea specifică a acestuia.</w:t>
      </w:r>
    </w:p>
    <w:p w14:paraId="346D3A68" w14:textId="77777777" w:rsidR="00DA3665" w:rsidRPr="00564DC7" w:rsidRDefault="00DA3665" w:rsidP="00690186">
      <w:pPr>
        <w:jc w:val="both"/>
        <w:rPr>
          <w:rFonts w:asciiTheme="minorHAnsi" w:hAnsiTheme="minorHAnsi" w:cstheme="minorHAnsi"/>
          <w:sz w:val="26"/>
          <w:szCs w:val="26"/>
        </w:rPr>
      </w:pPr>
      <w:r w:rsidRPr="00564DC7">
        <w:rPr>
          <w:rFonts w:asciiTheme="minorHAnsi" w:hAnsiTheme="minorHAnsi" w:cstheme="minorHAnsi"/>
          <w:sz w:val="26"/>
          <w:szCs w:val="26"/>
        </w:rPr>
        <w:tab/>
        <w:t>În prezent, proiectul se află în implementare, în etapa de dezvoltare și testare a funcționalităților sistemului informatic.</w:t>
      </w:r>
    </w:p>
    <w:p w14:paraId="5CB2180C" w14:textId="77777777" w:rsidR="00586A66" w:rsidRPr="00261D6B" w:rsidRDefault="00586A66" w:rsidP="00690186">
      <w:pPr>
        <w:jc w:val="both"/>
        <w:rPr>
          <w:rFonts w:asciiTheme="minorHAnsi" w:hAnsiTheme="minorHAnsi" w:cstheme="minorHAnsi"/>
          <w:sz w:val="26"/>
          <w:szCs w:val="26"/>
          <w:lang w:val="fr-FR"/>
        </w:rPr>
      </w:pPr>
    </w:p>
    <w:p w14:paraId="25EB8EFA" w14:textId="34C36560" w:rsidR="006C1588" w:rsidRPr="00564DC7" w:rsidRDefault="006C1588" w:rsidP="00690186">
      <w:pPr>
        <w:pStyle w:val="Heading2"/>
        <w:keepLines w:val="0"/>
        <w:suppressLineNumbers/>
        <w:suppressAutoHyphens/>
        <w:spacing w:line="240" w:lineRule="auto"/>
        <w:jc w:val="both"/>
        <w:rPr>
          <w:rFonts w:cstheme="minorHAnsi"/>
          <w:color w:val="auto"/>
          <w:lang w:val="ro-RO"/>
        </w:rPr>
      </w:pPr>
      <w:bookmarkStart w:id="153" w:name="_Toc155267915"/>
      <w:r w:rsidRPr="00564DC7">
        <w:rPr>
          <w:rFonts w:cstheme="minorHAnsi"/>
          <w:color w:val="auto"/>
          <w:lang w:val="ro-RO"/>
        </w:rPr>
        <w:t>VI.4.</w:t>
      </w:r>
      <w:r w:rsidR="00143852" w:rsidRPr="00564DC7">
        <w:rPr>
          <w:rFonts w:cstheme="minorHAnsi"/>
          <w:color w:val="auto"/>
          <w:lang w:val="ro-RO"/>
        </w:rPr>
        <w:t xml:space="preserve"> </w:t>
      </w:r>
      <w:r w:rsidRPr="00564DC7">
        <w:rPr>
          <w:rFonts w:cstheme="minorHAnsi"/>
          <w:color w:val="auto"/>
          <w:lang w:val="ro-RO"/>
        </w:rPr>
        <w:t>Activitatea Serviciului sinteze şi pregătirea lucrărilor şedinţelor Consiliului Superior al Magistraturii</w:t>
      </w:r>
      <w:bookmarkEnd w:id="152"/>
      <w:bookmarkEnd w:id="153"/>
    </w:p>
    <w:p w14:paraId="451B4394" w14:textId="01596628" w:rsidR="00586A66" w:rsidRPr="00F41ABF" w:rsidRDefault="00F41ABF" w:rsidP="00690186">
      <w:pPr>
        <w:tabs>
          <w:tab w:val="left" w:pos="1134"/>
        </w:tabs>
        <w:jc w:val="both"/>
        <w:rPr>
          <w:rStyle w:val="Strong"/>
          <w:rFonts w:asciiTheme="minorHAnsi" w:hAnsiTheme="minorHAnsi" w:cstheme="minorHAnsi"/>
          <w:b w:val="0"/>
          <w:iCs/>
          <w:sz w:val="26"/>
          <w:szCs w:val="26"/>
        </w:rPr>
      </w:pPr>
      <w:bookmarkStart w:id="154" w:name="_Toc430867137"/>
      <w:r>
        <w:rPr>
          <w:rStyle w:val="Strong"/>
          <w:rFonts w:asciiTheme="minorHAnsi" w:hAnsiTheme="minorHAnsi" w:cstheme="minorHAnsi"/>
          <w:b w:val="0"/>
          <w:sz w:val="26"/>
          <w:szCs w:val="26"/>
        </w:rPr>
        <w:t xml:space="preserve">            </w:t>
      </w:r>
      <w:r w:rsidR="00586A66" w:rsidRPr="00564DC7">
        <w:rPr>
          <w:rStyle w:val="Strong"/>
          <w:rFonts w:asciiTheme="minorHAnsi" w:hAnsiTheme="minorHAnsi" w:cstheme="minorHAnsi"/>
          <w:b w:val="0"/>
          <w:sz w:val="26"/>
          <w:szCs w:val="26"/>
        </w:rPr>
        <w:t xml:space="preserve">Unul dintre compartimentele Consiliului Superior al Magistraturii a cărui funcţionare optimă se reflectă în calitatea lucrărilor instituţiei este </w:t>
      </w:r>
      <w:r w:rsidR="00586A66" w:rsidRPr="00F41ABF">
        <w:rPr>
          <w:rStyle w:val="Strong"/>
          <w:rFonts w:asciiTheme="minorHAnsi" w:hAnsiTheme="minorHAnsi" w:cstheme="minorHAnsi"/>
          <w:b w:val="0"/>
          <w:iCs/>
          <w:sz w:val="26"/>
          <w:szCs w:val="26"/>
        </w:rPr>
        <w:t>Serviciul sinteze şi pregătirea lucrărilor şedinţelor.</w:t>
      </w:r>
    </w:p>
    <w:p w14:paraId="41FC523E" w14:textId="742B05C7" w:rsidR="00586A66" w:rsidRPr="00564DC7" w:rsidRDefault="00F41ABF" w:rsidP="00690186">
      <w:pPr>
        <w:tabs>
          <w:tab w:val="left" w:pos="1134"/>
        </w:tabs>
        <w:jc w:val="both"/>
        <w:rPr>
          <w:rStyle w:val="Strong"/>
          <w:rFonts w:asciiTheme="minorHAnsi" w:hAnsiTheme="minorHAnsi" w:cstheme="minorHAnsi"/>
          <w:b w:val="0"/>
          <w:sz w:val="26"/>
          <w:szCs w:val="26"/>
        </w:rPr>
      </w:pPr>
      <w:r>
        <w:rPr>
          <w:rStyle w:val="Strong"/>
          <w:rFonts w:asciiTheme="minorHAnsi" w:hAnsiTheme="minorHAnsi" w:cstheme="minorHAnsi"/>
          <w:b w:val="0"/>
          <w:sz w:val="26"/>
          <w:szCs w:val="26"/>
        </w:rPr>
        <w:t xml:space="preserve">            </w:t>
      </w:r>
      <w:r w:rsidR="00586A66" w:rsidRPr="00564DC7">
        <w:rPr>
          <w:rStyle w:val="Strong"/>
          <w:rFonts w:asciiTheme="minorHAnsi" w:hAnsiTheme="minorHAnsi" w:cstheme="minorHAnsi"/>
          <w:b w:val="0"/>
          <w:sz w:val="26"/>
          <w:szCs w:val="26"/>
        </w:rPr>
        <w:t>În anul 2023, activitatea proprie a compartimentului de specialitate a presupus nu doar efectuarea tuturor demersurilor necesare ca lucrările cu care sunt învestite Secţiile şi Plenul Consiliului să fie înregistrate şi încărcate în mapa electronică E – map, ci şi întocmirea tuturor documentelor pentru buna desfăşurare a şedinţelor în care aceste lucrări sunt analizate şi soluţionate (transmitere invitaţii, elaborare buletine de vot, elaborarea ordinii de zi şi a ordinii de zi soluționate, întocmirea proiectelor de hotărâre).</w:t>
      </w:r>
    </w:p>
    <w:p w14:paraId="43C3E323" w14:textId="77777777" w:rsidR="00813691" w:rsidRPr="00813691" w:rsidRDefault="00813691" w:rsidP="00813691">
      <w:pPr>
        <w:spacing w:line="276" w:lineRule="auto"/>
        <w:ind w:firstLine="709"/>
        <w:jc w:val="both"/>
        <w:rPr>
          <w:rFonts w:asciiTheme="minorHAnsi" w:hAnsiTheme="minorHAnsi" w:cstheme="minorHAnsi"/>
          <w:sz w:val="26"/>
          <w:szCs w:val="26"/>
        </w:rPr>
      </w:pPr>
      <w:r w:rsidRPr="00813691">
        <w:rPr>
          <w:rFonts w:asciiTheme="minorHAnsi" w:hAnsiTheme="minorHAnsi" w:cstheme="minorHAnsi"/>
          <w:sz w:val="26"/>
          <w:szCs w:val="26"/>
        </w:rPr>
        <w:lastRenderedPageBreak/>
        <w:t xml:space="preserve">Pe parcursul anului 2023, Serviciul sinteze a asigurat buna desfășurare a ședințelor Consiliului Superior al Magistraturii, fiind organizate </w:t>
      </w:r>
      <w:r w:rsidRPr="00813691">
        <w:rPr>
          <w:rFonts w:asciiTheme="minorHAnsi" w:hAnsiTheme="minorHAnsi" w:cstheme="minorHAnsi"/>
          <w:bCs/>
          <w:sz w:val="26"/>
          <w:szCs w:val="26"/>
        </w:rPr>
        <w:t>49</w:t>
      </w:r>
      <w:r w:rsidRPr="00813691">
        <w:rPr>
          <w:rFonts w:asciiTheme="minorHAnsi" w:hAnsiTheme="minorHAnsi" w:cstheme="minorHAnsi"/>
          <w:b/>
          <w:sz w:val="26"/>
          <w:szCs w:val="26"/>
        </w:rPr>
        <w:t xml:space="preserve"> </w:t>
      </w:r>
      <w:r w:rsidRPr="00813691">
        <w:rPr>
          <w:rFonts w:asciiTheme="minorHAnsi" w:hAnsiTheme="minorHAnsi" w:cstheme="minorHAnsi"/>
          <w:sz w:val="26"/>
          <w:szCs w:val="26"/>
        </w:rPr>
        <w:t xml:space="preserve">de şedinţe ale Secţiei pentru judecători, </w:t>
      </w:r>
      <w:r w:rsidRPr="00813691">
        <w:rPr>
          <w:rFonts w:asciiTheme="minorHAnsi" w:hAnsiTheme="minorHAnsi" w:cstheme="minorHAnsi"/>
          <w:bCs/>
          <w:sz w:val="26"/>
          <w:szCs w:val="26"/>
        </w:rPr>
        <w:t xml:space="preserve">67 </w:t>
      </w:r>
      <w:r w:rsidRPr="00813691">
        <w:rPr>
          <w:rFonts w:asciiTheme="minorHAnsi" w:hAnsiTheme="minorHAnsi" w:cstheme="minorHAnsi"/>
          <w:sz w:val="26"/>
          <w:szCs w:val="26"/>
        </w:rPr>
        <w:t xml:space="preserve">de şedinţe ale Secţiei pentru procurori şi </w:t>
      </w:r>
      <w:r w:rsidRPr="00813691">
        <w:rPr>
          <w:rFonts w:asciiTheme="minorHAnsi" w:hAnsiTheme="minorHAnsi" w:cstheme="minorHAnsi"/>
          <w:bCs/>
          <w:sz w:val="26"/>
          <w:szCs w:val="26"/>
        </w:rPr>
        <w:t xml:space="preserve">29 </w:t>
      </w:r>
      <w:r w:rsidRPr="00813691">
        <w:rPr>
          <w:rFonts w:asciiTheme="minorHAnsi" w:hAnsiTheme="minorHAnsi" w:cstheme="minorHAnsi"/>
          <w:sz w:val="26"/>
          <w:szCs w:val="26"/>
        </w:rPr>
        <w:t>şedinţe ale Plenului.</w:t>
      </w:r>
    </w:p>
    <w:p w14:paraId="0016039E" w14:textId="0CA1254B" w:rsidR="00586A66" w:rsidRPr="00564DC7" w:rsidRDefault="00586A66"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anul 2023, date fiind competenţele distincte ale Secţiilor pentru judecători, respectiv pentru procurori sub aspectul carierei celor două profesii, trendul ascendent al numărului de hotărâri ale secţiilor faţă de cele ale Plenului Consiliului s-a menţinut, reflectându-se în datele statistice prezentate în cele ce urmează. </w:t>
      </w:r>
    </w:p>
    <w:p w14:paraId="67957B2B" w14:textId="77777777" w:rsidR="00586A66" w:rsidRPr="00564DC7" w:rsidRDefault="00586A66" w:rsidP="00690186">
      <w:pPr>
        <w:ind w:firstLine="709"/>
        <w:jc w:val="both"/>
        <w:rPr>
          <w:rFonts w:asciiTheme="minorHAnsi" w:hAnsiTheme="minorHAnsi" w:cstheme="minorHAnsi"/>
          <w:sz w:val="26"/>
          <w:szCs w:val="26"/>
        </w:rPr>
      </w:pPr>
    </w:p>
    <w:p w14:paraId="6CA3185B" w14:textId="77777777" w:rsidR="00586A66" w:rsidRPr="00564DC7" w:rsidRDefault="00586A66" w:rsidP="006D2B12">
      <w:pPr>
        <w:keepNext/>
        <w:jc w:val="center"/>
        <w:rPr>
          <w:rFonts w:asciiTheme="minorHAnsi" w:hAnsiTheme="minorHAnsi" w:cstheme="minorHAnsi"/>
          <w:b/>
          <w:sz w:val="26"/>
          <w:szCs w:val="26"/>
        </w:rPr>
      </w:pPr>
      <w:r w:rsidRPr="00564DC7">
        <w:rPr>
          <w:rFonts w:asciiTheme="minorHAnsi" w:hAnsiTheme="minorHAnsi" w:cstheme="minorHAnsi"/>
          <w:b/>
          <w:sz w:val="26"/>
          <w:szCs w:val="26"/>
        </w:rPr>
        <w:t>HOTĂRÂRILE PLENULUI ŞI ALE SECŢIILOR PENTRU JUDECĂTORI ŞI PENTRU PROCURORI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1"/>
        <w:gridCol w:w="1231"/>
        <w:gridCol w:w="1649"/>
        <w:gridCol w:w="1403"/>
      </w:tblGrid>
      <w:tr w:rsidR="00564DC7" w:rsidRPr="006D2B12" w14:paraId="349F82DB"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EA4C93" w14:textId="77777777" w:rsidR="00586A66" w:rsidRPr="006D2B12" w:rsidRDefault="00586A66" w:rsidP="00690186">
            <w:pPr>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Categoria</w:t>
            </w:r>
          </w:p>
        </w:tc>
        <w:tc>
          <w:tcPr>
            <w:tcW w:w="6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888470" w14:textId="77777777" w:rsidR="00586A66" w:rsidRPr="006D2B12" w:rsidRDefault="00586A66" w:rsidP="00690186">
            <w:pPr>
              <w:ind w:left="69"/>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Plen</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4D78C8" w14:textId="77777777" w:rsidR="00586A66" w:rsidRPr="006D2B12" w:rsidRDefault="00586A66" w:rsidP="00690186">
            <w:pPr>
              <w:ind w:left="25"/>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Secţie</w:t>
            </w:r>
          </w:p>
          <w:p w14:paraId="191F5E10" w14:textId="77777777" w:rsidR="00586A66" w:rsidRPr="006D2B12" w:rsidRDefault="00586A66" w:rsidP="00690186">
            <w:pPr>
              <w:ind w:left="25"/>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judecători</w:t>
            </w:r>
          </w:p>
        </w:tc>
        <w:tc>
          <w:tcPr>
            <w:tcW w:w="6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684847" w14:textId="77777777" w:rsidR="00586A66" w:rsidRPr="006D2B12" w:rsidRDefault="00586A66" w:rsidP="00690186">
            <w:pPr>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Secţie</w:t>
            </w:r>
          </w:p>
          <w:p w14:paraId="32A9BC09" w14:textId="77777777" w:rsidR="00586A66" w:rsidRPr="006D2B12" w:rsidRDefault="00586A66" w:rsidP="00690186">
            <w:pPr>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procurori</w:t>
            </w:r>
          </w:p>
        </w:tc>
      </w:tr>
      <w:tr w:rsidR="00564DC7" w:rsidRPr="006D2B12" w14:paraId="5B5E433F" w14:textId="77777777" w:rsidTr="00586A66">
        <w:trPr>
          <w:trHeight w:val="70"/>
          <w:jc w:val="center"/>
        </w:trPr>
        <w:tc>
          <w:tcPr>
            <w:tcW w:w="28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66BE060" w14:textId="77777777" w:rsidR="00586A66" w:rsidRPr="006D2B12" w:rsidRDefault="00586A66" w:rsidP="00690186">
            <w:pPr>
              <w:jc w:val="both"/>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 xml:space="preserve">Total </w:t>
            </w:r>
          </w:p>
        </w:tc>
        <w:tc>
          <w:tcPr>
            <w:tcW w:w="6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8BB464" w14:textId="5B09691B" w:rsidR="00586A66" w:rsidRPr="006D2B12" w:rsidRDefault="00586A66" w:rsidP="00690186">
            <w:pPr>
              <w:ind w:left="69"/>
              <w:jc w:val="center"/>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1</w:t>
            </w:r>
            <w:r w:rsidR="00813691">
              <w:rPr>
                <w:rFonts w:asciiTheme="minorHAnsi" w:hAnsiTheme="minorHAnsi" w:cstheme="minorHAnsi"/>
                <w:b/>
                <w:sz w:val="26"/>
                <w:szCs w:val="26"/>
                <w:lang w:eastAsia="ro-RO"/>
              </w:rPr>
              <w:t>86</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944149" w14:textId="6FA7DB53" w:rsidR="00586A66" w:rsidRPr="006D2B12" w:rsidRDefault="000E34D7" w:rsidP="00690186">
            <w:pPr>
              <w:ind w:left="25"/>
              <w:jc w:val="center"/>
              <w:rPr>
                <w:rFonts w:asciiTheme="minorHAnsi" w:hAnsiTheme="minorHAnsi" w:cstheme="minorHAnsi"/>
                <w:b/>
                <w:sz w:val="26"/>
                <w:szCs w:val="26"/>
                <w:lang w:eastAsia="ro-RO"/>
              </w:rPr>
            </w:pPr>
            <w:r>
              <w:rPr>
                <w:rFonts w:asciiTheme="minorHAnsi" w:hAnsiTheme="minorHAnsi" w:cstheme="minorHAnsi"/>
                <w:b/>
                <w:sz w:val="26"/>
                <w:szCs w:val="26"/>
                <w:lang w:eastAsia="ro-RO"/>
              </w:rPr>
              <w:t>3</w:t>
            </w:r>
            <w:r w:rsidR="00813691">
              <w:rPr>
                <w:rFonts w:asciiTheme="minorHAnsi" w:hAnsiTheme="minorHAnsi" w:cstheme="minorHAnsi"/>
                <w:b/>
                <w:sz w:val="26"/>
                <w:szCs w:val="26"/>
                <w:lang w:eastAsia="ro-RO"/>
              </w:rPr>
              <w:t>487</w:t>
            </w:r>
          </w:p>
        </w:tc>
        <w:tc>
          <w:tcPr>
            <w:tcW w:w="6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996902" w14:textId="4FD2CA4F" w:rsidR="00586A66" w:rsidRPr="006D2B12" w:rsidRDefault="00586A66" w:rsidP="00690186">
            <w:pPr>
              <w:jc w:val="center"/>
              <w:rPr>
                <w:rFonts w:asciiTheme="minorHAnsi" w:hAnsiTheme="minorHAnsi" w:cstheme="minorHAnsi"/>
                <w:b/>
                <w:sz w:val="26"/>
                <w:szCs w:val="26"/>
                <w:lang w:eastAsia="ro-RO"/>
              </w:rPr>
            </w:pPr>
            <w:r w:rsidRPr="006D2B12">
              <w:rPr>
                <w:rFonts w:asciiTheme="minorHAnsi" w:hAnsiTheme="minorHAnsi" w:cstheme="minorHAnsi"/>
                <w:b/>
                <w:sz w:val="26"/>
                <w:szCs w:val="26"/>
                <w:lang w:eastAsia="ro-RO"/>
              </w:rPr>
              <w:t>1</w:t>
            </w:r>
            <w:r w:rsidR="00813691">
              <w:rPr>
                <w:rFonts w:asciiTheme="minorHAnsi" w:hAnsiTheme="minorHAnsi" w:cstheme="minorHAnsi"/>
                <w:b/>
                <w:sz w:val="26"/>
                <w:szCs w:val="26"/>
                <w:lang w:eastAsia="ro-RO"/>
              </w:rPr>
              <w:t>647</w:t>
            </w:r>
          </w:p>
        </w:tc>
      </w:tr>
      <w:tr w:rsidR="00564DC7" w:rsidRPr="006D2B12" w14:paraId="7C5D63A0"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A46B9B4"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Apărarea independenţei autorităţii judecătoreşti în ansamblul său/apărarea independenţei sistemului judiciar/apărarea independenţei, imparțialității şi reputației profesionale/Retragere</w:t>
            </w:r>
          </w:p>
        </w:tc>
        <w:tc>
          <w:tcPr>
            <w:tcW w:w="604" w:type="pct"/>
            <w:tcBorders>
              <w:top w:val="single" w:sz="4" w:space="0" w:color="auto"/>
              <w:left w:val="single" w:sz="4" w:space="0" w:color="auto"/>
              <w:bottom w:val="single" w:sz="4" w:space="0" w:color="auto"/>
              <w:right w:val="single" w:sz="4" w:space="0" w:color="auto"/>
            </w:tcBorders>
            <w:hideMark/>
          </w:tcPr>
          <w:p w14:paraId="164F04DC" w14:textId="77777777" w:rsidR="00586A66" w:rsidRPr="006D2B12" w:rsidRDefault="00586A66" w:rsidP="00690186">
            <w:pPr>
              <w:pStyle w:val="NormalWeb"/>
              <w:shd w:val="clear" w:color="auto" w:fill="FFFFFF"/>
              <w:spacing w:before="0" w:beforeAutospacing="0" w:after="0" w:afterAutospacing="0"/>
              <w:ind w:left="69" w:firstLine="339"/>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707A36EC" w14:textId="762EBF94" w:rsidR="00586A66" w:rsidRPr="006D2B12" w:rsidRDefault="000E34D7"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9</w:t>
            </w:r>
          </w:p>
        </w:tc>
        <w:tc>
          <w:tcPr>
            <w:tcW w:w="688" w:type="pct"/>
            <w:tcBorders>
              <w:top w:val="single" w:sz="4" w:space="0" w:color="auto"/>
              <w:left w:val="single" w:sz="4" w:space="0" w:color="auto"/>
              <w:bottom w:val="single" w:sz="4" w:space="0" w:color="auto"/>
              <w:right w:val="single" w:sz="4" w:space="0" w:color="auto"/>
            </w:tcBorders>
            <w:hideMark/>
          </w:tcPr>
          <w:p w14:paraId="1B99F51F" w14:textId="7D41B891" w:rsidR="00586A66" w:rsidRPr="006D2B12" w:rsidRDefault="000E34D7"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4</w:t>
            </w:r>
          </w:p>
        </w:tc>
      </w:tr>
      <w:tr w:rsidR="00564DC7" w:rsidRPr="006D2B12" w14:paraId="69001ED4"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25C3E843"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Propuneri de numire/</w:t>
            </w:r>
          </w:p>
          <w:p w14:paraId="67B224FC"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Numire în funcţia de judecător/procuror/Retragere/Promovări în funcţii de execuţie/Reîncadrări</w:t>
            </w:r>
          </w:p>
        </w:tc>
        <w:tc>
          <w:tcPr>
            <w:tcW w:w="604" w:type="pct"/>
            <w:tcBorders>
              <w:top w:val="single" w:sz="4" w:space="0" w:color="auto"/>
              <w:left w:val="single" w:sz="4" w:space="0" w:color="auto"/>
              <w:bottom w:val="single" w:sz="4" w:space="0" w:color="auto"/>
              <w:right w:val="single" w:sz="4" w:space="0" w:color="auto"/>
            </w:tcBorders>
            <w:hideMark/>
          </w:tcPr>
          <w:p w14:paraId="3841BECD" w14:textId="77777777" w:rsidR="00586A66" w:rsidRPr="006D2B12" w:rsidRDefault="00586A66" w:rsidP="00690186">
            <w:pPr>
              <w:pStyle w:val="NormalWeb"/>
              <w:shd w:val="clear" w:color="auto" w:fill="FFFFFF"/>
              <w:spacing w:before="0" w:beforeAutospacing="0" w:after="0" w:afterAutospacing="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4D417D7D" w14:textId="41B1AC51"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7</w:t>
            </w:r>
            <w:r w:rsidR="000E34D7">
              <w:rPr>
                <w:rStyle w:val="rvts5"/>
                <w:rFonts w:asciiTheme="minorHAnsi" w:hAnsiTheme="minorHAnsi" w:cstheme="minorHAnsi"/>
                <w:sz w:val="26"/>
                <w:szCs w:val="26"/>
              </w:rPr>
              <w:t>9</w:t>
            </w:r>
          </w:p>
        </w:tc>
        <w:tc>
          <w:tcPr>
            <w:tcW w:w="688" w:type="pct"/>
            <w:tcBorders>
              <w:top w:val="single" w:sz="4" w:space="0" w:color="auto"/>
              <w:left w:val="single" w:sz="4" w:space="0" w:color="auto"/>
              <w:bottom w:val="single" w:sz="4" w:space="0" w:color="auto"/>
              <w:right w:val="single" w:sz="4" w:space="0" w:color="auto"/>
            </w:tcBorders>
            <w:hideMark/>
          </w:tcPr>
          <w:p w14:paraId="6477F508" w14:textId="1687D4A4" w:rsidR="00586A66" w:rsidRPr="006D2B12" w:rsidRDefault="000E34D7"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48</w:t>
            </w:r>
          </w:p>
        </w:tc>
      </w:tr>
      <w:tr w:rsidR="00564DC7" w:rsidRPr="006D2B12" w14:paraId="6E66897F"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4AB8C93"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Eliberări din funcţie prin pensionare (judecător, procuror, magistrat asistent)/ Renunţare la pensionare/Suspendare pensionare</w:t>
            </w:r>
          </w:p>
        </w:tc>
        <w:tc>
          <w:tcPr>
            <w:tcW w:w="604" w:type="pct"/>
            <w:tcBorders>
              <w:top w:val="single" w:sz="4" w:space="0" w:color="auto"/>
              <w:left w:val="single" w:sz="4" w:space="0" w:color="auto"/>
              <w:bottom w:val="single" w:sz="4" w:space="0" w:color="auto"/>
              <w:right w:val="single" w:sz="4" w:space="0" w:color="auto"/>
            </w:tcBorders>
            <w:hideMark/>
          </w:tcPr>
          <w:p w14:paraId="043CA9EA"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264F2690" w14:textId="771D1F37" w:rsidR="00586A66" w:rsidRPr="006D2B12" w:rsidRDefault="00813691"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311</w:t>
            </w:r>
          </w:p>
        </w:tc>
        <w:tc>
          <w:tcPr>
            <w:tcW w:w="688" w:type="pct"/>
            <w:tcBorders>
              <w:top w:val="single" w:sz="4" w:space="0" w:color="auto"/>
              <w:left w:val="single" w:sz="4" w:space="0" w:color="auto"/>
              <w:bottom w:val="single" w:sz="4" w:space="0" w:color="auto"/>
              <w:right w:val="single" w:sz="4" w:space="0" w:color="auto"/>
            </w:tcBorders>
            <w:hideMark/>
          </w:tcPr>
          <w:p w14:paraId="458730C3" w14:textId="44793471"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813691">
              <w:rPr>
                <w:rStyle w:val="rvts5"/>
                <w:rFonts w:asciiTheme="minorHAnsi" w:hAnsiTheme="minorHAnsi" w:cstheme="minorHAnsi"/>
                <w:sz w:val="26"/>
                <w:szCs w:val="26"/>
              </w:rPr>
              <w:t>64</w:t>
            </w:r>
          </w:p>
        </w:tc>
      </w:tr>
      <w:tr w:rsidR="00564DC7" w:rsidRPr="006D2B12" w14:paraId="086B3AAC"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6EB5B31D"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Radieri sancţiuni disciplinare</w:t>
            </w:r>
          </w:p>
        </w:tc>
        <w:tc>
          <w:tcPr>
            <w:tcW w:w="604" w:type="pct"/>
            <w:tcBorders>
              <w:top w:val="single" w:sz="4" w:space="0" w:color="auto"/>
              <w:left w:val="single" w:sz="4" w:space="0" w:color="auto"/>
              <w:bottom w:val="single" w:sz="4" w:space="0" w:color="auto"/>
              <w:right w:val="single" w:sz="4" w:space="0" w:color="auto"/>
            </w:tcBorders>
          </w:tcPr>
          <w:p w14:paraId="4BA5419E"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p>
        </w:tc>
        <w:tc>
          <w:tcPr>
            <w:tcW w:w="809" w:type="pct"/>
            <w:tcBorders>
              <w:top w:val="single" w:sz="4" w:space="0" w:color="auto"/>
              <w:left w:val="single" w:sz="4" w:space="0" w:color="auto"/>
              <w:bottom w:val="single" w:sz="4" w:space="0" w:color="auto"/>
              <w:right w:val="single" w:sz="4" w:space="0" w:color="auto"/>
            </w:tcBorders>
            <w:hideMark/>
          </w:tcPr>
          <w:p w14:paraId="1DD31B66" w14:textId="7953F0B3" w:rsidR="00586A66" w:rsidRPr="000E34D7" w:rsidRDefault="000E34D7"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0E34D7">
              <w:rPr>
                <w:rStyle w:val="rvts5"/>
                <w:rFonts w:asciiTheme="minorHAnsi" w:hAnsiTheme="minorHAnsi" w:cstheme="minorHAnsi"/>
                <w:sz w:val="26"/>
                <w:szCs w:val="26"/>
              </w:rPr>
              <w:t>3, din care 2 atributul GS</w:t>
            </w:r>
          </w:p>
        </w:tc>
        <w:tc>
          <w:tcPr>
            <w:tcW w:w="688" w:type="pct"/>
            <w:tcBorders>
              <w:top w:val="single" w:sz="4" w:space="0" w:color="auto"/>
              <w:left w:val="single" w:sz="4" w:space="0" w:color="auto"/>
              <w:bottom w:val="single" w:sz="4" w:space="0" w:color="auto"/>
              <w:right w:val="single" w:sz="4" w:space="0" w:color="auto"/>
            </w:tcBorders>
            <w:hideMark/>
          </w:tcPr>
          <w:p w14:paraId="46CED918" w14:textId="77777777" w:rsidR="00586A66" w:rsidRPr="000E34D7"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0E34D7">
              <w:rPr>
                <w:rStyle w:val="rvts5"/>
                <w:rFonts w:asciiTheme="minorHAnsi" w:hAnsiTheme="minorHAnsi" w:cstheme="minorHAnsi"/>
                <w:sz w:val="26"/>
                <w:szCs w:val="26"/>
              </w:rPr>
              <w:t>2, din care 1 atributul GS</w:t>
            </w:r>
          </w:p>
        </w:tc>
      </w:tr>
      <w:tr w:rsidR="00564DC7" w:rsidRPr="006D2B12" w14:paraId="3EB7447C"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14B6A0DE"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Eliberări din funcţie prin demisie/Retragere</w:t>
            </w:r>
          </w:p>
        </w:tc>
        <w:tc>
          <w:tcPr>
            <w:tcW w:w="604" w:type="pct"/>
            <w:tcBorders>
              <w:top w:val="single" w:sz="4" w:space="0" w:color="auto"/>
              <w:left w:val="single" w:sz="4" w:space="0" w:color="auto"/>
              <w:bottom w:val="single" w:sz="4" w:space="0" w:color="auto"/>
              <w:right w:val="single" w:sz="4" w:space="0" w:color="auto"/>
            </w:tcBorders>
            <w:hideMark/>
          </w:tcPr>
          <w:p w14:paraId="3D4629F5"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47C47684"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9</w:t>
            </w:r>
          </w:p>
        </w:tc>
        <w:tc>
          <w:tcPr>
            <w:tcW w:w="688" w:type="pct"/>
            <w:tcBorders>
              <w:top w:val="single" w:sz="4" w:space="0" w:color="auto"/>
              <w:left w:val="single" w:sz="4" w:space="0" w:color="auto"/>
              <w:bottom w:val="single" w:sz="4" w:space="0" w:color="auto"/>
              <w:right w:val="single" w:sz="4" w:space="0" w:color="auto"/>
            </w:tcBorders>
            <w:hideMark/>
          </w:tcPr>
          <w:p w14:paraId="57038FFA"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p>
        </w:tc>
      </w:tr>
      <w:tr w:rsidR="00564DC7" w:rsidRPr="006D2B12" w14:paraId="04F89470"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17CB1AA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Suspendare din funcţie/Încetarea suspendare</w:t>
            </w:r>
          </w:p>
        </w:tc>
        <w:tc>
          <w:tcPr>
            <w:tcW w:w="604" w:type="pct"/>
            <w:tcBorders>
              <w:top w:val="single" w:sz="4" w:space="0" w:color="auto"/>
              <w:left w:val="single" w:sz="4" w:space="0" w:color="auto"/>
              <w:bottom w:val="single" w:sz="4" w:space="0" w:color="auto"/>
              <w:right w:val="single" w:sz="4" w:space="0" w:color="auto"/>
            </w:tcBorders>
            <w:hideMark/>
          </w:tcPr>
          <w:p w14:paraId="65C9FE5C"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1300822" w14:textId="36C60E0A" w:rsidR="00586A66" w:rsidRPr="006D2B12" w:rsidRDefault="000E34D7"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10</w:t>
            </w:r>
            <w:r w:rsidR="00586A66" w:rsidRPr="006D2B12">
              <w:rPr>
                <w:rStyle w:val="rvts5"/>
                <w:rFonts w:asciiTheme="minorHAnsi" w:hAnsiTheme="minorHAnsi" w:cstheme="minorHAnsi"/>
                <w:sz w:val="26"/>
                <w:szCs w:val="26"/>
              </w:rPr>
              <w:t>, din care 2 atributul GS</w:t>
            </w:r>
          </w:p>
        </w:tc>
        <w:tc>
          <w:tcPr>
            <w:tcW w:w="688" w:type="pct"/>
            <w:tcBorders>
              <w:top w:val="single" w:sz="4" w:space="0" w:color="auto"/>
              <w:left w:val="single" w:sz="4" w:space="0" w:color="auto"/>
              <w:bottom w:val="single" w:sz="4" w:space="0" w:color="auto"/>
              <w:right w:val="single" w:sz="4" w:space="0" w:color="auto"/>
            </w:tcBorders>
            <w:hideMark/>
          </w:tcPr>
          <w:p w14:paraId="7AB4CBBA" w14:textId="3D5F3B40" w:rsidR="00586A66" w:rsidRPr="006D2B12" w:rsidRDefault="000E34D7"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7</w:t>
            </w:r>
            <w:r w:rsidR="00586A66" w:rsidRPr="006D2B12">
              <w:rPr>
                <w:rStyle w:val="rvts5"/>
                <w:rFonts w:asciiTheme="minorHAnsi" w:hAnsiTheme="minorHAnsi" w:cstheme="minorHAnsi"/>
                <w:sz w:val="26"/>
                <w:szCs w:val="26"/>
              </w:rPr>
              <w:t>, din care 1 atributul GS</w:t>
            </w:r>
          </w:p>
        </w:tc>
      </w:tr>
      <w:tr w:rsidR="00564DC7" w:rsidRPr="006D2B12" w14:paraId="3C3520BD"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F63358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Eliberare din funcţie (motive imputabile)</w:t>
            </w:r>
          </w:p>
        </w:tc>
        <w:tc>
          <w:tcPr>
            <w:tcW w:w="604" w:type="pct"/>
            <w:tcBorders>
              <w:top w:val="single" w:sz="4" w:space="0" w:color="auto"/>
              <w:left w:val="single" w:sz="4" w:space="0" w:color="auto"/>
              <w:bottom w:val="single" w:sz="4" w:space="0" w:color="auto"/>
              <w:right w:val="single" w:sz="4" w:space="0" w:color="auto"/>
            </w:tcBorders>
            <w:hideMark/>
          </w:tcPr>
          <w:p w14:paraId="2C092F4C"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tcPr>
          <w:p w14:paraId="77683360"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p>
        </w:tc>
        <w:tc>
          <w:tcPr>
            <w:tcW w:w="688" w:type="pct"/>
            <w:tcBorders>
              <w:top w:val="single" w:sz="4" w:space="0" w:color="auto"/>
              <w:left w:val="single" w:sz="4" w:space="0" w:color="auto"/>
              <w:bottom w:val="single" w:sz="4" w:space="0" w:color="auto"/>
              <w:right w:val="single" w:sz="4" w:space="0" w:color="auto"/>
            </w:tcBorders>
            <w:hideMark/>
          </w:tcPr>
          <w:p w14:paraId="7387CFA0"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p>
        </w:tc>
      </w:tr>
      <w:tr w:rsidR="00564DC7" w:rsidRPr="006D2B12" w14:paraId="4E806ABA"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5D35D6FD"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Menţinere în funcţia de judecător/procuror/Retragere</w:t>
            </w:r>
          </w:p>
        </w:tc>
        <w:tc>
          <w:tcPr>
            <w:tcW w:w="604" w:type="pct"/>
            <w:tcBorders>
              <w:top w:val="single" w:sz="4" w:space="0" w:color="auto"/>
              <w:left w:val="single" w:sz="4" w:space="0" w:color="auto"/>
              <w:bottom w:val="single" w:sz="4" w:space="0" w:color="auto"/>
              <w:right w:val="single" w:sz="4" w:space="0" w:color="auto"/>
            </w:tcBorders>
            <w:hideMark/>
          </w:tcPr>
          <w:p w14:paraId="75858A10"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F0E8612"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8</w:t>
            </w:r>
          </w:p>
        </w:tc>
        <w:tc>
          <w:tcPr>
            <w:tcW w:w="688" w:type="pct"/>
            <w:tcBorders>
              <w:top w:val="single" w:sz="4" w:space="0" w:color="auto"/>
              <w:left w:val="single" w:sz="4" w:space="0" w:color="auto"/>
              <w:bottom w:val="single" w:sz="4" w:space="0" w:color="auto"/>
              <w:right w:val="single" w:sz="4" w:space="0" w:color="auto"/>
            </w:tcBorders>
            <w:hideMark/>
          </w:tcPr>
          <w:p w14:paraId="0B3A1691"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p>
        </w:tc>
      </w:tr>
      <w:tr w:rsidR="00564DC7" w:rsidRPr="006D2B12" w14:paraId="6397C1E3"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2F8B484C"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Numire/reînvestire în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0D616693"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CA8DC82" w14:textId="6AD9DD06" w:rsidR="00586A66" w:rsidRPr="006D2B12" w:rsidRDefault="000E34D7"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7</w:t>
            </w:r>
            <w:r w:rsidR="00813691">
              <w:rPr>
                <w:rStyle w:val="rvts5"/>
                <w:rFonts w:asciiTheme="minorHAnsi" w:hAnsiTheme="minorHAnsi" w:cstheme="minorHAnsi"/>
                <w:sz w:val="26"/>
                <w:szCs w:val="26"/>
              </w:rPr>
              <w:t>9</w:t>
            </w:r>
          </w:p>
        </w:tc>
        <w:tc>
          <w:tcPr>
            <w:tcW w:w="688" w:type="pct"/>
            <w:tcBorders>
              <w:top w:val="single" w:sz="4" w:space="0" w:color="auto"/>
              <w:left w:val="single" w:sz="4" w:space="0" w:color="auto"/>
              <w:bottom w:val="single" w:sz="4" w:space="0" w:color="auto"/>
              <w:right w:val="single" w:sz="4" w:space="0" w:color="auto"/>
            </w:tcBorders>
            <w:hideMark/>
          </w:tcPr>
          <w:p w14:paraId="25204F87" w14:textId="001C0874" w:rsidR="00586A66" w:rsidRPr="006D2B12" w:rsidRDefault="00813691"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60</w:t>
            </w:r>
          </w:p>
        </w:tc>
      </w:tr>
      <w:tr w:rsidR="00564DC7" w:rsidRPr="006D2B12" w14:paraId="31FB20F6"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FF6051E"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 xml:space="preserve">Promovare în funcţia de judecător la </w:t>
            </w:r>
          </w:p>
          <w:p w14:paraId="2C2F4011"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Înalta Curte de Casaţie şi Justiţie</w:t>
            </w:r>
          </w:p>
        </w:tc>
        <w:tc>
          <w:tcPr>
            <w:tcW w:w="604" w:type="pct"/>
            <w:tcBorders>
              <w:top w:val="single" w:sz="4" w:space="0" w:color="auto"/>
              <w:left w:val="single" w:sz="4" w:space="0" w:color="auto"/>
              <w:bottom w:val="single" w:sz="4" w:space="0" w:color="auto"/>
              <w:right w:val="single" w:sz="4" w:space="0" w:color="auto"/>
            </w:tcBorders>
            <w:hideMark/>
          </w:tcPr>
          <w:p w14:paraId="2BB9A2CB" w14:textId="77777777" w:rsidR="00586A66" w:rsidRPr="006D2B12" w:rsidRDefault="00586A66" w:rsidP="00690186">
            <w:pPr>
              <w:pStyle w:val="NormalWeb"/>
              <w:shd w:val="clear" w:color="auto" w:fill="FFFFFF"/>
              <w:spacing w:before="0" w:beforeAutospacing="0" w:after="0" w:afterAutospacing="0"/>
              <w:ind w:left="39"/>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BA71EB1" w14:textId="6746E498"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0E34D7">
              <w:rPr>
                <w:rStyle w:val="rvts5"/>
                <w:rFonts w:asciiTheme="minorHAnsi" w:hAnsiTheme="minorHAnsi" w:cstheme="minorHAnsi"/>
                <w:sz w:val="26"/>
                <w:szCs w:val="26"/>
              </w:rPr>
              <w:t>9</w:t>
            </w:r>
          </w:p>
        </w:tc>
        <w:tc>
          <w:tcPr>
            <w:tcW w:w="688" w:type="pct"/>
            <w:tcBorders>
              <w:top w:val="single" w:sz="4" w:space="0" w:color="auto"/>
              <w:left w:val="single" w:sz="4" w:space="0" w:color="auto"/>
              <w:bottom w:val="single" w:sz="4" w:space="0" w:color="auto"/>
              <w:right w:val="single" w:sz="4" w:space="0" w:color="auto"/>
            </w:tcBorders>
          </w:tcPr>
          <w:p w14:paraId="255110B8" w14:textId="77777777" w:rsidR="00586A66" w:rsidRPr="006D2B12" w:rsidRDefault="00586A66">
            <w:pPr>
              <w:pStyle w:val="NormalWeb"/>
              <w:numPr>
                <w:ilvl w:val="0"/>
                <w:numId w:val="29"/>
              </w:numPr>
              <w:shd w:val="clear" w:color="auto" w:fill="FFFFFF"/>
              <w:spacing w:before="0" w:beforeAutospacing="0" w:after="0" w:afterAutospacing="0"/>
              <w:ind w:left="0" w:firstLine="11"/>
              <w:jc w:val="center"/>
              <w:rPr>
                <w:rStyle w:val="rvts5"/>
                <w:rFonts w:asciiTheme="minorHAnsi" w:hAnsiTheme="minorHAnsi" w:cstheme="minorHAnsi"/>
                <w:sz w:val="26"/>
                <w:szCs w:val="26"/>
              </w:rPr>
            </w:pPr>
          </w:p>
        </w:tc>
      </w:tr>
      <w:tr w:rsidR="00564DC7" w:rsidRPr="006D2B12" w14:paraId="2DA8F3A2"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0A2C471A"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Avizare numire</w:t>
            </w:r>
          </w:p>
        </w:tc>
        <w:tc>
          <w:tcPr>
            <w:tcW w:w="604" w:type="pct"/>
            <w:tcBorders>
              <w:top w:val="single" w:sz="4" w:space="0" w:color="auto"/>
              <w:left w:val="single" w:sz="4" w:space="0" w:color="auto"/>
              <w:bottom w:val="single" w:sz="4" w:space="0" w:color="auto"/>
              <w:right w:val="single" w:sz="4" w:space="0" w:color="auto"/>
            </w:tcBorders>
            <w:hideMark/>
          </w:tcPr>
          <w:p w14:paraId="5FB059BB"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tcPr>
          <w:p w14:paraId="0B6F3800"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p>
        </w:tc>
        <w:tc>
          <w:tcPr>
            <w:tcW w:w="688" w:type="pct"/>
            <w:tcBorders>
              <w:top w:val="single" w:sz="4" w:space="0" w:color="auto"/>
              <w:left w:val="single" w:sz="4" w:space="0" w:color="auto"/>
              <w:bottom w:val="single" w:sz="4" w:space="0" w:color="auto"/>
              <w:right w:val="single" w:sz="4" w:space="0" w:color="auto"/>
            </w:tcBorders>
            <w:hideMark/>
          </w:tcPr>
          <w:p w14:paraId="44C3FC0A" w14:textId="4A2E4EC2" w:rsidR="00586A66" w:rsidRPr="006D2B12" w:rsidRDefault="000E34D7"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9</w:t>
            </w:r>
          </w:p>
        </w:tc>
      </w:tr>
      <w:tr w:rsidR="00564DC7" w:rsidRPr="006D2B12" w14:paraId="4FFAA757"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5976C30"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Transfer</w:t>
            </w:r>
          </w:p>
        </w:tc>
        <w:tc>
          <w:tcPr>
            <w:tcW w:w="604" w:type="pct"/>
            <w:tcBorders>
              <w:top w:val="single" w:sz="4" w:space="0" w:color="auto"/>
              <w:left w:val="single" w:sz="4" w:space="0" w:color="auto"/>
              <w:bottom w:val="single" w:sz="4" w:space="0" w:color="auto"/>
              <w:right w:val="single" w:sz="4" w:space="0" w:color="auto"/>
            </w:tcBorders>
            <w:hideMark/>
          </w:tcPr>
          <w:p w14:paraId="5D1E3B36"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BD27549" w14:textId="12CCC3FF" w:rsidR="00586A66" w:rsidRPr="006D2B12" w:rsidRDefault="000E34D7"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1496</w:t>
            </w:r>
          </w:p>
        </w:tc>
        <w:tc>
          <w:tcPr>
            <w:tcW w:w="688" w:type="pct"/>
            <w:tcBorders>
              <w:top w:val="single" w:sz="4" w:space="0" w:color="auto"/>
              <w:left w:val="single" w:sz="4" w:space="0" w:color="auto"/>
              <w:bottom w:val="single" w:sz="4" w:space="0" w:color="auto"/>
              <w:right w:val="single" w:sz="4" w:space="0" w:color="auto"/>
            </w:tcBorders>
            <w:hideMark/>
          </w:tcPr>
          <w:p w14:paraId="03EA563A" w14:textId="125ACFD1"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r w:rsidR="00813691">
              <w:rPr>
                <w:rStyle w:val="rvts5"/>
                <w:rFonts w:asciiTheme="minorHAnsi" w:hAnsiTheme="minorHAnsi" w:cstheme="minorHAnsi"/>
                <w:sz w:val="26"/>
                <w:szCs w:val="26"/>
              </w:rPr>
              <w:t>66</w:t>
            </w:r>
          </w:p>
        </w:tc>
      </w:tr>
      <w:tr w:rsidR="00564DC7" w:rsidRPr="006D2B12" w14:paraId="187BFAA1"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5DF29E41"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Detaşare instanţe/parchet; Prelungire detaşare instanţe/parchete; Delegare funcţii de execuţie la instanţe/parchete; Prelungire delegare în funcţii de execuţie la instanţe/parchete; Încetare delegare în funcţii de execuţie la instanţe/parchete/Retragere</w:t>
            </w:r>
          </w:p>
        </w:tc>
        <w:tc>
          <w:tcPr>
            <w:tcW w:w="604" w:type="pct"/>
            <w:tcBorders>
              <w:top w:val="single" w:sz="4" w:space="0" w:color="auto"/>
              <w:left w:val="single" w:sz="4" w:space="0" w:color="auto"/>
              <w:bottom w:val="single" w:sz="4" w:space="0" w:color="auto"/>
              <w:right w:val="single" w:sz="4" w:space="0" w:color="auto"/>
            </w:tcBorders>
            <w:hideMark/>
          </w:tcPr>
          <w:p w14:paraId="3FAE01CC"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187D551" w14:textId="6AA3BA4F"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0E34D7">
              <w:rPr>
                <w:rStyle w:val="rvts5"/>
                <w:rFonts w:asciiTheme="minorHAnsi" w:hAnsiTheme="minorHAnsi" w:cstheme="minorHAnsi"/>
                <w:sz w:val="26"/>
                <w:szCs w:val="26"/>
              </w:rPr>
              <w:t>1</w:t>
            </w:r>
            <w:r w:rsidR="00813691">
              <w:rPr>
                <w:rStyle w:val="rvts5"/>
                <w:rFonts w:asciiTheme="minorHAnsi" w:hAnsiTheme="minorHAnsi" w:cstheme="minorHAnsi"/>
                <w:sz w:val="26"/>
                <w:szCs w:val="26"/>
              </w:rPr>
              <w:t>2</w:t>
            </w:r>
          </w:p>
        </w:tc>
        <w:tc>
          <w:tcPr>
            <w:tcW w:w="688" w:type="pct"/>
            <w:tcBorders>
              <w:top w:val="single" w:sz="4" w:space="0" w:color="auto"/>
              <w:left w:val="single" w:sz="4" w:space="0" w:color="auto"/>
              <w:bottom w:val="single" w:sz="4" w:space="0" w:color="auto"/>
              <w:right w:val="single" w:sz="4" w:space="0" w:color="auto"/>
            </w:tcBorders>
          </w:tcPr>
          <w:p w14:paraId="230F2E9D"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p>
        </w:tc>
      </w:tr>
      <w:tr w:rsidR="00564DC7" w:rsidRPr="006D2B12" w14:paraId="76B11AA6"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674AB1CD"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Prelungire detaşare instituţii/Detaşare la alte instituţii/Încetare detaşare instituţii/Retragere</w:t>
            </w:r>
          </w:p>
        </w:tc>
        <w:tc>
          <w:tcPr>
            <w:tcW w:w="604" w:type="pct"/>
            <w:tcBorders>
              <w:top w:val="single" w:sz="4" w:space="0" w:color="auto"/>
              <w:left w:val="single" w:sz="4" w:space="0" w:color="auto"/>
              <w:bottom w:val="single" w:sz="4" w:space="0" w:color="auto"/>
              <w:right w:val="single" w:sz="4" w:space="0" w:color="auto"/>
            </w:tcBorders>
            <w:hideMark/>
          </w:tcPr>
          <w:p w14:paraId="3793F1F8"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41B69188" w14:textId="0D19B9C9" w:rsidR="00586A66" w:rsidRPr="006D2B12" w:rsidRDefault="00E000EF"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42</w:t>
            </w:r>
          </w:p>
        </w:tc>
        <w:tc>
          <w:tcPr>
            <w:tcW w:w="688" w:type="pct"/>
            <w:tcBorders>
              <w:top w:val="single" w:sz="4" w:space="0" w:color="auto"/>
              <w:left w:val="single" w:sz="4" w:space="0" w:color="auto"/>
              <w:bottom w:val="single" w:sz="4" w:space="0" w:color="auto"/>
              <w:right w:val="single" w:sz="4" w:space="0" w:color="auto"/>
            </w:tcBorders>
          </w:tcPr>
          <w:p w14:paraId="13F9F177"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p>
        </w:tc>
      </w:tr>
      <w:tr w:rsidR="00564DC7" w:rsidRPr="006D2B12" w14:paraId="2BA6F924"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035849E5"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Delegare în funcţii de conducere/Încetare delegare în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6D1785C5"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3A73BD85" w14:textId="19370419"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r w:rsidR="00813691">
              <w:rPr>
                <w:rStyle w:val="rvts5"/>
                <w:rFonts w:asciiTheme="minorHAnsi" w:hAnsiTheme="minorHAnsi" w:cstheme="minorHAnsi"/>
                <w:sz w:val="26"/>
                <w:szCs w:val="26"/>
              </w:rPr>
              <w:t>57</w:t>
            </w:r>
          </w:p>
        </w:tc>
        <w:tc>
          <w:tcPr>
            <w:tcW w:w="688" w:type="pct"/>
            <w:tcBorders>
              <w:top w:val="single" w:sz="4" w:space="0" w:color="auto"/>
              <w:left w:val="single" w:sz="4" w:space="0" w:color="auto"/>
              <w:bottom w:val="single" w:sz="4" w:space="0" w:color="auto"/>
              <w:right w:val="single" w:sz="4" w:space="0" w:color="auto"/>
            </w:tcBorders>
            <w:hideMark/>
          </w:tcPr>
          <w:p w14:paraId="053A60FA" w14:textId="7FD6A72C" w:rsidR="00586A66" w:rsidRPr="006D2B12" w:rsidRDefault="00E000EF"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4</w:t>
            </w:r>
            <w:r w:rsidR="00813691">
              <w:rPr>
                <w:rStyle w:val="rvts5"/>
                <w:rFonts w:asciiTheme="minorHAnsi" w:hAnsiTheme="minorHAnsi" w:cstheme="minorHAnsi"/>
                <w:sz w:val="26"/>
                <w:szCs w:val="26"/>
              </w:rPr>
              <w:t>58</w:t>
            </w:r>
          </w:p>
        </w:tc>
      </w:tr>
      <w:tr w:rsidR="00564DC7" w:rsidRPr="006D2B12" w14:paraId="7AC153A8"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3FB094E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Prelungire delegare în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744D0595"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49DC10A7" w14:textId="728799A2"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r w:rsidR="00813691">
              <w:rPr>
                <w:rStyle w:val="rvts5"/>
                <w:rFonts w:asciiTheme="minorHAnsi" w:hAnsiTheme="minorHAnsi" w:cstheme="minorHAnsi"/>
                <w:sz w:val="26"/>
                <w:szCs w:val="26"/>
              </w:rPr>
              <w:t>97</w:t>
            </w:r>
          </w:p>
        </w:tc>
        <w:tc>
          <w:tcPr>
            <w:tcW w:w="688" w:type="pct"/>
            <w:tcBorders>
              <w:top w:val="single" w:sz="4" w:space="0" w:color="auto"/>
              <w:left w:val="single" w:sz="4" w:space="0" w:color="auto"/>
              <w:bottom w:val="single" w:sz="4" w:space="0" w:color="auto"/>
              <w:right w:val="single" w:sz="4" w:space="0" w:color="auto"/>
            </w:tcBorders>
            <w:hideMark/>
          </w:tcPr>
          <w:p w14:paraId="1A77A352" w14:textId="3FBD0777" w:rsidR="00586A66" w:rsidRPr="006D2B12" w:rsidRDefault="00813691"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227</w:t>
            </w:r>
          </w:p>
        </w:tc>
      </w:tr>
      <w:tr w:rsidR="00564DC7" w:rsidRPr="006D2B12" w14:paraId="317F19F6"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65B3502F"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lastRenderedPageBreak/>
              <w:t>Ocuparea pe perioadă nedeterminată – art.134 ind.1/Efecte hotărâri/Retragere</w:t>
            </w:r>
          </w:p>
        </w:tc>
        <w:tc>
          <w:tcPr>
            <w:tcW w:w="604" w:type="pct"/>
            <w:tcBorders>
              <w:top w:val="single" w:sz="4" w:space="0" w:color="auto"/>
              <w:left w:val="single" w:sz="4" w:space="0" w:color="auto"/>
              <w:bottom w:val="single" w:sz="4" w:space="0" w:color="auto"/>
              <w:right w:val="single" w:sz="4" w:space="0" w:color="auto"/>
            </w:tcBorders>
            <w:hideMark/>
          </w:tcPr>
          <w:p w14:paraId="2B181A87"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56BE85C2" w14:textId="3EFFF4A8" w:rsidR="00586A66" w:rsidRPr="006D2B12" w:rsidRDefault="00E000EF"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2</w:t>
            </w:r>
            <w:r w:rsidR="00813691">
              <w:rPr>
                <w:rStyle w:val="rvts5"/>
                <w:rFonts w:asciiTheme="minorHAnsi" w:hAnsiTheme="minorHAnsi" w:cstheme="minorHAnsi"/>
                <w:sz w:val="26"/>
                <w:szCs w:val="26"/>
              </w:rPr>
              <w:t>24</w:t>
            </w:r>
          </w:p>
        </w:tc>
        <w:tc>
          <w:tcPr>
            <w:tcW w:w="688" w:type="pct"/>
            <w:tcBorders>
              <w:top w:val="single" w:sz="4" w:space="0" w:color="auto"/>
              <w:left w:val="single" w:sz="4" w:space="0" w:color="auto"/>
              <w:bottom w:val="single" w:sz="4" w:space="0" w:color="auto"/>
              <w:right w:val="single" w:sz="4" w:space="0" w:color="auto"/>
            </w:tcBorders>
            <w:hideMark/>
          </w:tcPr>
          <w:p w14:paraId="661E3FB6" w14:textId="6E9E7EDF"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r w:rsidR="00813691">
              <w:rPr>
                <w:rStyle w:val="rvts5"/>
                <w:rFonts w:asciiTheme="minorHAnsi" w:hAnsiTheme="minorHAnsi" w:cstheme="minorHAnsi"/>
                <w:sz w:val="26"/>
                <w:szCs w:val="26"/>
              </w:rPr>
              <w:t>8</w:t>
            </w:r>
          </w:p>
        </w:tc>
      </w:tr>
      <w:tr w:rsidR="00564DC7" w:rsidRPr="006D2B12" w14:paraId="0045DA1A"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7413BAF8" w14:textId="571BC00D"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Eliberare</w:t>
            </w:r>
            <w:r w:rsidR="00813691">
              <w:rPr>
                <w:rStyle w:val="rvts5"/>
                <w:rFonts w:asciiTheme="minorHAnsi" w:hAnsiTheme="minorHAnsi" w:cstheme="minorHAnsi"/>
                <w:sz w:val="26"/>
                <w:szCs w:val="26"/>
              </w:rPr>
              <w:t xml:space="preserve"> </w:t>
            </w:r>
            <w:r w:rsidRPr="006D2B12">
              <w:rPr>
                <w:rStyle w:val="rvts5"/>
                <w:rFonts w:asciiTheme="minorHAnsi" w:hAnsiTheme="minorHAnsi" w:cstheme="minorHAnsi"/>
                <w:sz w:val="26"/>
                <w:szCs w:val="26"/>
              </w:rPr>
              <w:t>din funcţia de conducere/</w:t>
            </w:r>
            <w:r w:rsidR="00813691">
              <w:rPr>
                <w:rStyle w:val="rvts5"/>
                <w:rFonts w:asciiTheme="minorHAnsi" w:hAnsiTheme="minorHAnsi" w:cstheme="minorHAnsi"/>
                <w:sz w:val="26"/>
                <w:szCs w:val="26"/>
              </w:rPr>
              <w:t xml:space="preserve"> </w:t>
            </w:r>
            <w:r w:rsidRPr="006D2B12">
              <w:rPr>
                <w:rStyle w:val="rvts5"/>
                <w:rFonts w:asciiTheme="minorHAnsi" w:hAnsiTheme="minorHAnsi" w:cstheme="minorHAnsi"/>
                <w:sz w:val="26"/>
                <w:szCs w:val="26"/>
              </w:rPr>
              <w:t>Art.5/</w:t>
            </w:r>
            <w:r w:rsidR="00813691">
              <w:rPr>
                <w:rStyle w:val="rvts5"/>
                <w:rFonts w:asciiTheme="minorHAnsi" w:hAnsiTheme="minorHAnsi" w:cstheme="minorHAnsi"/>
                <w:sz w:val="26"/>
                <w:szCs w:val="26"/>
              </w:rPr>
              <w:t xml:space="preserve"> </w:t>
            </w:r>
            <w:r w:rsidRPr="006D2B12">
              <w:rPr>
                <w:rStyle w:val="rvts5"/>
                <w:rFonts w:asciiTheme="minorHAnsi" w:hAnsiTheme="minorHAnsi" w:cstheme="minorHAnsi"/>
                <w:sz w:val="26"/>
                <w:szCs w:val="26"/>
              </w:rPr>
              <w:t>Demisie/</w:t>
            </w:r>
            <w:r w:rsidR="00813691">
              <w:rPr>
                <w:rStyle w:val="rvts5"/>
                <w:rFonts w:asciiTheme="minorHAnsi" w:hAnsiTheme="minorHAnsi" w:cstheme="minorHAnsi"/>
                <w:sz w:val="26"/>
                <w:szCs w:val="26"/>
              </w:rPr>
              <w:t xml:space="preserve"> </w:t>
            </w:r>
            <w:r w:rsidRPr="006D2B12">
              <w:rPr>
                <w:rStyle w:val="rvts5"/>
                <w:rFonts w:asciiTheme="minorHAnsi" w:hAnsiTheme="minorHAnsi" w:cstheme="minorHAnsi"/>
                <w:sz w:val="26"/>
                <w:szCs w:val="26"/>
              </w:rPr>
              <w:t xml:space="preserve">Revocare din funcţii de conducere/Retragere/Încetare mandat </w:t>
            </w:r>
          </w:p>
        </w:tc>
        <w:tc>
          <w:tcPr>
            <w:tcW w:w="604" w:type="pct"/>
            <w:tcBorders>
              <w:top w:val="single" w:sz="4" w:space="0" w:color="auto"/>
              <w:left w:val="single" w:sz="4" w:space="0" w:color="auto"/>
              <w:bottom w:val="single" w:sz="4" w:space="0" w:color="auto"/>
              <w:right w:val="single" w:sz="4" w:space="0" w:color="auto"/>
            </w:tcBorders>
            <w:hideMark/>
          </w:tcPr>
          <w:p w14:paraId="33F8BCAC"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86AE0A2" w14:textId="0F60546B" w:rsidR="00586A66" w:rsidRPr="006D2B12" w:rsidRDefault="00E000EF"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6</w:t>
            </w:r>
          </w:p>
        </w:tc>
        <w:tc>
          <w:tcPr>
            <w:tcW w:w="688" w:type="pct"/>
            <w:tcBorders>
              <w:top w:val="single" w:sz="4" w:space="0" w:color="auto"/>
              <w:left w:val="single" w:sz="4" w:space="0" w:color="auto"/>
              <w:bottom w:val="single" w:sz="4" w:space="0" w:color="auto"/>
              <w:right w:val="single" w:sz="4" w:space="0" w:color="auto"/>
            </w:tcBorders>
            <w:hideMark/>
          </w:tcPr>
          <w:p w14:paraId="673891FF" w14:textId="43A1DE7E"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813691">
              <w:rPr>
                <w:rStyle w:val="rvts5"/>
                <w:rFonts w:asciiTheme="minorHAnsi" w:hAnsiTheme="minorHAnsi" w:cstheme="minorHAnsi"/>
                <w:sz w:val="26"/>
                <w:szCs w:val="26"/>
              </w:rPr>
              <w:t>5</w:t>
            </w:r>
          </w:p>
        </w:tc>
      </w:tr>
      <w:tr w:rsidR="00564DC7" w:rsidRPr="006D2B12" w14:paraId="21E91184" w14:textId="77777777" w:rsidTr="00586A66">
        <w:trPr>
          <w:trHeight w:val="534"/>
          <w:jc w:val="center"/>
        </w:trPr>
        <w:tc>
          <w:tcPr>
            <w:tcW w:w="2899" w:type="pct"/>
            <w:tcBorders>
              <w:top w:val="single" w:sz="4" w:space="0" w:color="auto"/>
              <w:left w:val="single" w:sz="4" w:space="0" w:color="auto"/>
              <w:bottom w:val="single" w:sz="4" w:space="0" w:color="auto"/>
              <w:right w:val="single" w:sz="4" w:space="0" w:color="auto"/>
            </w:tcBorders>
            <w:hideMark/>
          </w:tcPr>
          <w:p w14:paraId="12CCD198"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Inspecţia Judiciară</w:t>
            </w:r>
          </w:p>
          <w:p w14:paraId="569165E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(rapoarte în urma diverselor controale)</w:t>
            </w:r>
          </w:p>
        </w:tc>
        <w:tc>
          <w:tcPr>
            <w:tcW w:w="604" w:type="pct"/>
            <w:tcBorders>
              <w:top w:val="single" w:sz="4" w:space="0" w:color="auto"/>
              <w:left w:val="single" w:sz="4" w:space="0" w:color="auto"/>
              <w:bottom w:val="single" w:sz="4" w:space="0" w:color="auto"/>
              <w:right w:val="single" w:sz="4" w:space="0" w:color="auto"/>
            </w:tcBorders>
            <w:hideMark/>
          </w:tcPr>
          <w:p w14:paraId="22FEFACF" w14:textId="77777777" w:rsidR="00586A66" w:rsidRPr="006D2B12" w:rsidRDefault="00586A66" w:rsidP="00690186">
            <w:pPr>
              <w:rPr>
                <w:rStyle w:val="rvts5"/>
                <w:rFonts w:asciiTheme="minorHAnsi" w:hAnsiTheme="minorHAnsi" w:cstheme="minorHAnsi"/>
                <w:sz w:val="26"/>
                <w:szCs w:val="26"/>
              </w:rPr>
            </w:pPr>
          </w:p>
        </w:tc>
        <w:tc>
          <w:tcPr>
            <w:tcW w:w="809" w:type="pct"/>
            <w:tcBorders>
              <w:top w:val="single" w:sz="4" w:space="0" w:color="auto"/>
              <w:left w:val="single" w:sz="4" w:space="0" w:color="auto"/>
              <w:bottom w:val="single" w:sz="4" w:space="0" w:color="auto"/>
              <w:right w:val="single" w:sz="4" w:space="0" w:color="auto"/>
            </w:tcBorders>
            <w:hideMark/>
          </w:tcPr>
          <w:p w14:paraId="2AE8A37A" w14:textId="10BBF3D6" w:rsidR="00586A66" w:rsidRPr="006D2B12" w:rsidRDefault="00E000EF"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12</w:t>
            </w:r>
          </w:p>
        </w:tc>
        <w:tc>
          <w:tcPr>
            <w:tcW w:w="688" w:type="pct"/>
            <w:tcBorders>
              <w:top w:val="single" w:sz="4" w:space="0" w:color="auto"/>
              <w:left w:val="single" w:sz="4" w:space="0" w:color="auto"/>
              <w:bottom w:val="single" w:sz="4" w:space="0" w:color="auto"/>
              <w:right w:val="single" w:sz="4" w:space="0" w:color="auto"/>
            </w:tcBorders>
            <w:hideMark/>
          </w:tcPr>
          <w:p w14:paraId="39D455B7"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7</w:t>
            </w:r>
          </w:p>
        </w:tc>
      </w:tr>
      <w:tr w:rsidR="00564DC7" w:rsidRPr="006D2B12" w14:paraId="3A938625"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0551CC19" w14:textId="3C5B3618"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Sesizări Inspecţia Judiciară</w:t>
            </w:r>
            <w:r w:rsidR="00813691">
              <w:rPr>
                <w:rStyle w:val="rvts5"/>
                <w:rFonts w:asciiTheme="minorHAnsi" w:hAnsiTheme="minorHAnsi" w:cstheme="minorHAnsi"/>
                <w:sz w:val="26"/>
                <w:szCs w:val="26"/>
              </w:rPr>
              <w:t>/</w:t>
            </w:r>
            <w:r w:rsidR="00813691">
              <w:rPr>
                <w:rFonts w:cs="Calibri"/>
                <w:color w:val="000000"/>
                <w:sz w:val="26"/>
                <w:szCs w:val="26"/>
              </w:rPr>
              <w:t xml:space="preserve"> </w:t>
            </w:r>
            <w:r w:rsidR="00813691" w:rsidRPr="00813691">
              <w:rPr>
                <w:rStyle w:val="rvts5"/>
                <w:rFonts w:asciiTheme="minorHAnsi" w:hAnsiTheme="minorHAnsi" w:cstheme="minorHAnsi"/>
                <w:color w:val="000000"/>
                <w:sz w:val="26"/>
                <w:szCs w:val="26"/>
              </w:rPr>
              <w:t>Respingeri solicitări de sesizare a Inspecţiei Judiciare</w:t>
            </w:r>
          </w:p>
        </w:tc>
        <w:tc>
          <w:tcPr>
            <w:tcW w:w="604" w:type="pct"/>
            <w:tcBorders>
              <w:top w:val="single" w:sz="4" w:space="0" w:color="auto"/>
              <w:left w:val="single" w:sz="4" w:space="0" w:color="auto"/>
              <w:bottom w:val="single" w:sz="4" w:space="0" w:color="auto"/>
              <w:right w:val="single" w:sz="4" w:space="0" w:color="auto"/>
            </w:tcBorders>
          </w:tcPr>
          <w:p w14:paraId="2E0F9813"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p>
        </w:tc>
        <w:tc>
          <w:tcPr>
            <w:tcW w:w="809" w:type="pct"/>
            <w:tcBorders>
              <w:top w:val="single" w:sz="4" w:space="0" w:color="auto"/>
              <w:left w:val="single" w:sz="4" w:space="0" w:color="auto"/>
              <w:bottom w:val="single" w:sz="4" w:space="0" w:color="auto"/>
              <w:right w:val="single" w:sz="4" w:space="0" w:color="auto"/>
            </w:tcBorders>
            <w:hideMark/>
          </w:tcPr>
          <w:p w14:paraId="2749E533" w14:textId="51EBB963"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r w:rsidR="00E000EF">
              <w:rPr>
                <w:rStyle w:val="rvts5"/>
                <w:rFonts w:asciiTheme="minorHAnsi" w:hAnsiTheme="minorHAnsi" w:cstheme="minorHAnsi"/>
                <w:sz w:val="26"/>
                <w:szCs w:val="26"/>
              </w:rPr>
              <w:t>6</w:t>
            </w:r>
          </w:p>
        </w:tc>
        <w:tc>
          <w:tcPr>
            <w:tcW w:w="688" w:type="pct"/>
            <w:tcBorders>
              <w:top w:val="single" w:sz="4" w:space="0" w:color="auto"/>
              <w:left w:val="single" w:sz="4" w:space="0" w:color="auto"/>
              <w:bottom w:val="single" w:sz="4" w:space="0" w:color="auto"/>
              <w:right w:val="single" w:sz="4" w:space="0" w:color="auto"/>
            </w:tcBorders>
            <w:hideMark/>
          </w:tcPr>
          <w:p w14:paraId="58EA9644" w14:textId="0ADEDC63" w:rsidR="00586A66" w:rsidRPr="006D2B12" w:rsidRDefault="00E000EF"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10</w:t>
            </w:r>
          </w:p>
        </w:tc>
      </w:tr>
      <w:tr w:rsidR="00564DC7" w:rsidRPr="006D2B12" w14:paraId="7CE914AE"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88E124E"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Acord prealabil eventuală detaşare/Retragere</w:t>
            </w:r>
          </w:p>
        </w:tc>
        <w:tc>
          <w:tcPr>
            <w:tcW w:w="604" w:type="pct"/>
            <w:tcBorders>
              <w:top w:val="single" w:sz="4" w:space="0" w:color="auto"/>
              <w:left w:val="single" w:sz="4" w:space="0" w:color="auto"/>
              <w:bottom w:val="single" w:sz="4" w:space="0" w:color="auto"/>
              <w:right w:val="single" w:sz="4" w:space="0" w:color="auto"/>
            </w:tcBorders>
            <w:hideMark/>
          </w:tcPr>
          <w:p w14:paraId="0D612483"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2C277D3" w14:textId="4527E55F"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r w:rsidR="00813691">
              <w:rPr>
                <w:rStyle w:val="rvts5"/>
                <w:rFonts w:asciiTheme="minorHAnsi" w:hAnsiTheme="minorHAnsi" w:cstheme="minorHAnsi"/>
                <w:sz w:val="26"/>
                <w:szCs w:val="26"/>
              </w:rPr>
              <w:t>6</w:t>
            </w:r>
          </w:p>
        </w:tc>
        <w:tc>
          <w:tcPr>
            <w:tcW w:w="688" w:type="pct"/>
            <w:tcBorders>
              <w:top w:val="single" w:sz="4" w:space="0" w:color="auto"/>
              <w:left w:val="single" w:sz="4" w:space="0" w:color="auto"/>
              <w:bottom w:val="single" w:sz="4" w:space="0" w:color="auto"/>
              <w:right w:val="single" w:sz="4" w:space="0" w:color="auto"/>
            </w:tcBorders>
          </w:tcPr>
          <w:p w14:paraId="597BC95F"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p>
        </w:tc>
      </w:tr>
      <w:tr w:rsidR="00564DC7" w:rsidRPr="006D2B12" w14:paraId="7A2B6CDB"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14CB48E1"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Încetare continuare/continuare activitate, revenire activitate/Continuarea activităţii după mandat de conducere</w:t>
            </w:r>
          </w:p>
        </w:tc>
        <w:tc>
          <w:tcPr>
            <w:tcW w:w="604" w:type="pct"/>
            <w:tcBorders>
              <w:top w:val="single" w:sz="4" w:space="0" w:color="auto"/>
              <w:left w:val="single" w:sz="4" w:space="0" w:color="auto"/>
              <w:bottom w:val="single" w:sz="4" w:space="0" w:color="auto"/>
              <w:right w:val="single" w:sz="4" w:space="0" w:color="auto"/>
            </w:tcBorders>
            <w:hideMark/>
          </w:tcPr>
          <w:p w14:paraId="55B7A858"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1C21230"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p>
        </w:tc>
        <w:tc>
          <w:tcPr>
            <w:tcW w:w="688" w:type="pct"/>
            <w:tcBorders>
              <w:top w:val="single" w:sz="4" w:space="0" w:color="auto"/>
              <w:left w:val="single" w:sz="4" w:space="0" w:color="auto"/>
              <w:bottom w:val="single" w:sz="4" w:space="0" w:color="auto"/>
              <w:right w:val="single" w:sz="4" w:space="0" w:color="auto"/>
            </w:tcBorders>
            <w:hideMark/>
          </w:tcPr>
          <w:p w14:paraId="0D40633A" w14:textId="137F660B"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r w:rsidR="00813691">
              <w:rPr>
                <w:rStyle w:val="rvts5"/>
                <w:rFonts w:asciiTheme="minorHAnsi" w:hAnsiTheme="minorHAnsi" w:cstheme="minorHAnsi"/>
                <w:sz w:val="26"/>
                <w:szCs w:val="26"/>
              </w:rPr>
              <w:t>7</w:t>
            </w:r>
          </w:p>
        </w:tc>
      </w:tr>
      <w:tr w:rsidR="00564DC7" w:rsidRPr="006D2B12" w14:paraId="7DD97C94"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6EFBF4A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Modificare comisii evaluare</w:t>
            </w:r>
          </w:p>
        </w:tc>
        <w:tc>
          <w:tcPr>
            <w:tcW w:w="604" w:type="pct"/>
            <w:tcBorders>
              <w:top w:val="single" w:sz="4" w:space="0" w:color="auto"/>
              <w:left w:val="single" w:sz="4" w:space="0" w:color="auto"/>
              <w:bottom w:val="single" w:sz="4" w:space="0" w:color="auto"/>
              <w:right w:val="single" w:sz="4" w:space="0" w:color="auto"/>
            </w:tcBorders>
            <w:hideMark/>
          </w:tcPr>
          <w:p w14:paraId="52E572F9"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22</w:t>
            </w:r>
          </w:p>
        </w:tc>
        <w:tc>
          <w:tcPr>
            <w:tcW w:w="809" w:type="pct"/>
            <w:tcBorders>
              <w:top w:val="single" w:sz="4" w:space="0" w:color="auto"/>
              <w:left w:val="single" w:sz="4" w:space="0" w:color="auto"/>
              <w:bottom w:val="single" w:sz="4" w:space="0" w:color="auto"/>
              <w:right w:val="single" w:sz="4" w:space="0" w:color="auto"/>
            </w:tcBorders>
          </w:tcPr>
          <w:p w14:paraId="47789F3C"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p>
        </w:tc>
        <w:tc>
          <w:tcPr>
            <w:tcW w:w="688" w:type="pct"/>
            <w:tcBorders>
              <w:top w:val="single" w:sz="4" w:space="0" w:color="auto"/>
              <w:left w:val="single" w:sz="4" w:space="0" w:color="auto"/>
              <w:bottom w:val="single" w:sz="4" w:space="0" w:color="auto"/>
              <w:right w:val="single" w:sz="4" w:space="0" w:color="auto"/>
            </w:tcBorders>
          </w:tcPr>
          <w:p w14:paraId="7981A665"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p>
        </w:tc>
      </w:tr>
      <w:tr w:rsidR="00564DC7" w:rsidRPr="006D2B12" w14:paraId="177591FD"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1B8D3EC4"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Sesizare comisie medicală raport de expertiză/Expertiza de specialitate/Comisii medicale de specialitate</w:t>
            </w:r>
          </w:p>
        </w:tc>
        <w:tc>
          <w:tcPr>
            <w:tcW w:w="604" w:type="pct"/>
            <w:tcBorders>
              <w:top w:val="single" w:sz="4" w:space="0" w:color="auto"/>
              <w:left w:val="single" w:sz="4" w:space="0" w:color="auto"/>
              <w:bottom w:val="single" w:sz="4" w:space="0" w:color="auto"/>
              <w:right w:val="single" w:sz="4" w:space="0" w:color="auto"/>
            </w:tcBorders>
            <w:hideMark/>
          </w:tcPr>
          <w:p w14:paraId="14ADA891"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5288177"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p>
        </w:tc>
        <w:tc>
          <w:tcPr>
            <w:tcW w:w="688" w:type="pct"/>
            <w:tcBorders>
              <w:top w:val="single" w:sz="4" w:space="0" w:color="auto"/>
              <w:left w:val="single" w:sz="4" w:space="0" w:color="auto"/>
              <w:bottom w:val="single" w:sz="4" w:space="0" w:color="auto"/>
              <w:right w:val="single" w:sz="4" w:space="0" w:color="auto"/>
            </w:tcBorders>
            <w:hideMark/>
          </w:tcPr>
          <w:p w14:paraId="5DFB944F" w14:textId="0AD73C7E" w:rsidR="00586A66" w:rsidRPr="006D2B12" w:rsidRDefault="00813691"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4</w:t>
            </w:r>
          </w:p>
        </w:tc>
      </w:tr>
      <w:tr w:rsidR="00564DC7" w:rsidRPr="006D2B12" w14:paraId="3B76E6FF"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146E50FC"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 xml:space="preserve">Plângeri prealabile </w:t>
            </w:r>
          </w:p>
        </w:tc>
        <w:tc>
          <w:tcPr>
            <w:tcW w:w="604" w:type="pct"/>
            <w:tcBorders>
              <w:top w:val="single" w:sz="4" w:space="0" w:color="auto"/>
              <w:left w:val="single" w:sz="4" w:space="0" w:color="auto"/>
              <w:bottom w:val="single" w:sz="4" w:space="0" w:color="auto"/>
              <w:right w:val="single" w:sz="4" w:space="0" w:color="auto"/>
            </w:tcBorders>
            <w:hideMark/>
          </w:tcPr>
          <w:p w14:paraId="67257E41" w14:textId="0DD52A45" w:rsidR="00586A66" w:rsidRPr="006D2B12" w:rsidRDefault="00E000EF"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Pr>
                <w:rStyle w:val="rvts5"/>
                <w:rFonts w:asciiTheme="minorHAnsi" w:hAnsiTheme="minorHAnsi" w:cstheme="minorHAnsi"/>
                <w:sz w:val="26"/>
                <w:szCs w:val="26"/>
              </w:rPr>
              <w:t>7</w:t>
            </w:r>
          </w:p>
        </w:tc>
        <w:tc>
          <w:tcPr>
            <w:tcW w:w="809" w:type="pct"/>
            <w:tcBorders>
              <w:top w:val="single" w:sz="4" w:space="0" w:color="auto"/>
              <w:left w:val="single" w:sz="4" w:space="0" w:color="auto"/>
              <w:bottom w:val="single" w:sz="4" w:space="0" w:color="auto"/>
              <w:right w:val="single" w:sz="4" w:space="0" w:color="auto"/>
            </w:tcBorders>
            <w:hideMark/>
          </w:tcPr>
          <w:p w14:paraId="246971FC" w14:textId="51D57E7E" w:rsidR="00586A66" w:rsidRPr="006D2B12" w:rsidRDefault="00E000EF"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1</w:t>
            </w:r>
            <w:r w:rsidR="00813691">
              <w:rPr>
                <w:rStyle w:val="rvts5"/>
                <w:rFonts w:asciiTheme="minorHAnsi" w:hAnsiTheme="minorHAnsi" w:cstheme="minorHAnsi"/>
                <w:sz w:val="26"/>
                <w:szCs w:val="26"/>
              </w:rPr>
              <w:t>2</w:t>
            </w:r>
          </w:p>
        </w:tc>
        <w:tc>
          <w:tcPr>
            <w:tcW w:w="688" w:type="pct"/>
            <w:tcBorders>
              <w:top w:val="single" w:sz="4" w:space="0" w:color="auto"/>
              <w:left w:val="single" w:sz="4" w:space="0" w:color="auto"/>
              <w:bottom w:val="single" w:sz="4" w:space="0" w:color="auto"/>
              <w:right w:val="single" w:sz="4" w:space="0" w:color="auto"/>
            </w:tcBorders>
            <w:hideMark/>
          </w:tcPr>
          <w:p w14:paraId="7C469960"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5</w:t>
            </w:r>
          </w:p>
        </w:tc>
      </w:tr>
      <w:tr w:rsidR="00564DC7" w:rsidRPr="006D2B12" w14:paraId="05D3903A"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5B88867F"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 xml:space="preserve">Concursuri </w:t>
            </w:r>
          </w:p>
        </w:tc>
        <w:tc>
          <w:tcPr>
            <w:tcW w:w="604" w:type="pct"/>
            <w:tcBorders>
              <w:top w:val="single" w:sz="4" w:space="0" w:color="auto"/>
              <w:left w:val="single" w:sz="4" w:space="0" w:color="auto"/>
              <w:bottom w:val="single" w:sz="4" w:space="0" w:color="auto"/>
              <w:right w:val="single" w:sz="4" w:space="0" w:color="auto"/>
            </w:tcBorders>
            <w:hideMark/>
          </w:tcPr>
          <w:p w14:paraId="1F9CA961" w14:textId="0E5D9B54"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r w:rsidR="00813691">
              <w:rPr>
                <w:rStyle w:val="rvts5"/>
                <w:rFonts w:asciiTheme="minorHAnsi" w:hAnsiTheme="minorHAnsi" w:cstheme="minorHAnsi"/>
                <w:sz w:val="26"/>
                <w:szCs w:val="26"/>
              </w:rPr>
              <w:t>8</w:t>
            </w:r>
          </w:p>
        </w:tc>
        <w:tc>
          <w:tcPr>
            <w:tcW w:w="809" w:type="pct"/>
            <w:tcBorders>
              <w:top w:val="single" w:sz="4" w:space="0" w:color="auto"/>
              <w:left w:val="single" w:sz="4" w:space="0" w:color="auto"/>
              <w:bottom w:val="single" w:sz="4" w:space="0" w:color="auto"/>
              <w:right w:val="single" w:sz="4" w:space="0" w:color="auto"/>
            </w:tcBorders>
            <w:hideMark/>
          </w:tcPr>
          <w:p w14:paraId="581AAFA6" w14:textId="3C935508"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r w:rsidR="00813691">
              <w:rPr>
                <w:rStyle w:val="rvts5"/>
                <w:rFonts w:asciiTheme="minorHAnsi" w:hAnsiTheme="minorHAnsi" w:cstheme="minorHAnsi"/>
                <w:sz w:val="26"/>
                <w:szCs w:val="26"/>
              </w:rPr>
              <w:t>4</w:t>
            </w:r>
          </w:p>
        </w:tc>
        <w:tc>
          <w:tcPr>
            <w:tcW w:w="688" w:type="pct"/>
            <w:tcBorders>
              <w:top w:val="single" w:sz="4" w:space="0" w:color="auto"/>
              <w:left w:val="single" w:sz="4" w:space="0" w:color="auto"/>
              <w:bottom w:val="single" w:sz="4" w:space="0" w:color="auto"/>
              <w:right w:val="single" w:sz="4" w:space="0" w:color="auto"/>
            </w:tcBorders>
            <w:hideMark/>
          </w:tcPr>
          <w:p w14:paraId="12D1631A" w14:textId="0A07CE58" w:rsidR="00586A66" w:rsidRPr="006D2B12" w:rsidRDefault="00813691"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32</w:t>
            </w:r>
          </w:p>
        </w:tc>
      </w:tr>
      <w:tr w:rsidR="00564DC7" w:rsidRPr="006D2B12" w14:paraId="7FEA8E30"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2050A1E4"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Avizarea propuneri MJ pentru funcţii de conducere la DIICOT/DNA/PÎCCJ</w:t>
            </w:r>
          </w:p>
        </w:tc>
        <w:tc>
          <w:tcPr>
            <w:tcW w:w="604" w:type="pct"/>
            <w:tcBorders>
              <w:top w:val="single" w:sz="4" w:space="0" w:color="auto"/>
              <w:left w:val="single" w:sz="4" w:space="0" w:color="auto"/>
              <w:bottom w:val="single" w:sz="4" w:space="0" w:color="auto"/>
              <w:right w:val="single" w:sz="4" w:space="0" w:color="auto"/>
            </w:tcBorders>
            <w:hideMark/>
          </w:tcPr>
          <w:p w14:paraId="505F70BC"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tcPr>
          <w:p w14:paraId="7874AC04"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p>
        </w:tc>
        <w:tc>
          <w:tcPr>
            <w:tcW w:w="688" w:type="pct"/>
            <w:tcBorders>
              <w:top w:val="single" w:sz="4" w:space="0" w:color="auto"/>
              <w:left w:val="single" w:sz="4" w:space="0" w:color="auto"/>
              <w:bottom w:val="single" w:sz="4" w:space="0" w:color="auto"/>
              <w:right w:val="single" w:sz="4" w:space="0" w:color="auto"/>
            </w:tcBorders>
            <w:hideMark/>
          </w:tcPr>
          <w:p w14:paraId="2EF81FD9" w14:textId="1F6B67BA"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813691">
              <w:rPr>
                <w:rStyle w:val="rvts5"/>
                <w:rFonts w:asciiTheme="minorHAnsi" w:hAnsiTheme="minorHAnsi" w:cstheme="minorHAnsi"/>
                <w:sz w:val="26"/>
                <w:szCs w:val="26"/>
              </w:rPr>
              <w:t>9</w:t>
            </w:r>
          </w:p>
        </w:tc>
      </w:tr>
      <w:tr w:rsidR="00564DC7" w:rsidRPr="006D2B12" w14:paraId="25F85DB7"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645DB6C7"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 xml:space="preserve">Avizarea modificare state de funcţii şi de personal </w:t>
            </w:r>
          </w:p>
        </w:tc>
        <w:tc>
          <w:tcPr>
            <w:tcW w:w="604" w:type="pct"/>
            <w:tcBorders>
              <w:top w:val="single" w:sz="4" w:space="0" w:color="auto"/>
              <w:left w:val="single" w:sz="4" w:space="0" w:color="auto"/>
              <w:bottom w:val="single" w:sz="4" w:space="0" w:color="auto"/>
              <w:right w:val="single" w:sz="4" w:space="0" w:color="auto"/>
            </w:tcBorders>
            <w:hideMark/>
          </w:tcPr>
          <w:p w14:paraId="7A39ED7F"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8</w:t>
            </w:r>
          </w:p>
        </w:tc>
        <w:tc>
          <w:tcPr>
            <w:tcW w:w="809" w:type="pct"/>
            <w:tcBorders>
              <w:top w:val="single" w:sz="4" w:space="0" w:color="auto"/>
              <w:left w:val="single" w:sz="4" w:space="0" w:color="auto"/>
              <w:bottom w:val="single" w:sz="4" w:space="0" w:color="auto"/>
              <w:right w:val="single" w:sz="4" w:space="0" w:color="auto"/>
            </w:tcBorders>
            <w:hideMark/>
          </w:tcPr>
          <w:p w14:paraId="1B590EFC" w14:textId="362FDBB6" w:rsidR="00586A66" w:rsidRPr="006D2B12" w:rsidRDefault="00813691"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10</w:t>
            </w:r>
          </w:p>
        </w:tc>
        <w:tc>
          <w:tcPr>
            <w:tcW w:w="688" w:type="pct"/>
            <w:tcBorders>
              <w:top w:val="single" w:sz="4" w:space="0" w:color="auto"/>
              <w:left w:val="single" w:sz="4" w:space="0" w:color="auto"/>
              <w:bottom w:val="single" w:sz="4" w:space="0" w:color="auto"/>
              <w:right w:val="single" w:sz="4" w:space="0" w:color="auto"/>
            </w:tcBorders>
            <w:hideMark/>
          </w:tcPr>
          <w:p w14:paraId="42A0981D"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p>
        </w:tc>
      </w:tr>
      <w:tr w:rsidR="00564DC7" w:rsidRPr="006D2B12" w14:paraId="5435A490"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442FEC67"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Contestaţii la raportul de evaluare profesională</w:t>
            </w:r>
          </w:p>
        </w:tc>
        <w:tc>
          <w:tcPr>
            <w:tcW w:w="604" w:type="pct"/>
            <w:tcBorders>
              <w:top w:val="single" w:sz="4" w:space="0" w:color="auto"/>
              <w:left w:val="single" w:sz="4" w:space="0" w:color="auto"/>
              <w:bottom w:val="single" w:sz="4" w:space="0" w:color="auto"/>
              <w:right w:val="single" w:sz="4" w:space="0" w:color="auto"/>
            </w:tcBorders>
            <w:hideMark/>
          </w:tcPr>
          <w:p w14:paraId="7D8D0AB9"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26E15D36"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67</w:t>
            </w:r>
          </w:p>
        </w:tc>
        <w:tc>
          <w:tcPr>
            <w:tcW w:w="688" w:type="pct"/>
            <w:tcBorders>
              <w:top w:val="single" w:sz="4" w:space="0" w:color="auto"/>
              <w:left w:val="single" w:sz="4" w:space="0" w:color="auto"/>
              <w:bottom w:val="single" w:sz="4" w:space="0" w:color="auto"/>
              <w:right w:val="single" w:sz="4" w:space="0" w:color="auto"/>
            </w:tcBorders>
            <w:hideMark/>
          </w:tcPr>
          <w:p w14:paraId="2EC199CA"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87</w:t>
            </w:r>
          </w:p>
        </w:tc>
      </w:tr>
      <w:tr w:rsidR="00564DC7" w:rsidRPr="006D2B12" w14:paraId="1FAF0A7B"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28F6FB69"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Contestaţii la cereri transfer/impotriva hotârilor comisiilor de organizare a concursurilor</w:t>
            </w:r>
          </w:p>
        </w:tc>
        <w:tc>
          <w:tcPr>
            <w:tcW w:w="604" w:type="pct"/>
            <w:tcBorders>
              <w:top w:val="single" w:sz="4" w:space="0" w:color="auto"/>
              <w:left w:val="single" w:sz="4" w:space="0" w:color="auto"/>
              <w:bottom w:val="single" w:sz="4" w:space="0" w:color="auto"/>
              <w:right w:val="single" w:sz="4" w:space="0" w:color="auto"/>
            </w:tcBorders>
          </w:tcPr>
          <w:p w14:paraId="2617AF7B"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p>
        </w:tc>
        <w:tc>
          <w:tcPr>
            <w:tcW w:w="809" w:type="pct"/>
            <w:tcBorders>
              <w:top w:val="single" w:sz="4" w:space="0" w:color="auto"/>
              <w:left w:val="single" w:sz="4" w:space="0" w:color="auto"/>
              <w:bottom w:val="single" w:sz="4" w:space="0" w:color="auto"/>
              <w:right w:val="single" w:sz="4" w:space="0" w:color="auto"/>
            </w:tcBorders>
            <w:hideMark/>
          </w:tcPr>
          <w:p w14:paraId="75B3CE55"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20</w:t>
            </w:r>
          </w:p>
        </w:tc>
        <w:tc>
          <w:tcPr>
            <w:tcW w:w="688" w:type="pct"/>
            <w:tcBorders>
              <w:top w:val="single" w:sz="4" w:space="0" w:color="auto"/>
              <w:left w:val="single" w:sz="4" w:space="0" w:color="auto"/>
              <w:bottom w:val="single" w:sz="4" w:space="0" w:color="auto"/>
              <w:right w:val="single" w:sz="4" w:space="0" w:color="auto"/>
            </w:tcBorders>
            <w:hideMark/>
          </w:tcPr>
          <w:p w14:paraId="0DFF8C1E"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p>
        </w:tc>
      </w:tr>
      <w:tr w:rsidR="00564DC7" w:rsidRPr="006D2B12" w14:paraId="31752CBF"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1931D14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Punerea în executare (decizii ÎCCJ)</w:t>
            </w:r>
          </w:p>
        </w:tc>
        <w:tc>
          <w:tcPr>
            <w:tcW w:w="604" w:type="pct"/>
            <w:tcBorders>
              <w:top w:val="single" w:sz="4" w:space="0" w:color="auto"/>
              <w:left w:val="single" w:sz="4" w:space="0" w:color="auto"/>
              <w:bottom w:val="single" w:sz="4" w:space="0" w:color="auto"/>
              <w:right w:val="single" w:sz="4" w:space="0" w:color="auto"/>
            </w:tcBorders>
            <w:hideMark/>
          </w:tcPr>
          <w:p w14:paraId="273633F0" w14:textId="77777777" w:rsidR="00586A66" w:rsidRPr="006D2B12" w:rsidRDefault="00586A66" w:rsidP="00690186">
            <w:pPr>
              <w:rPr>
                <w:rStyle w:val="rvts5"/>
                <w:rFonts w:asciiTheme="minorHAnsi" w:hAnsiTheme="minorHAnsi" w:cstheme="minorHAnsi"/>
                <w:sz w:val="26"/>
                <w:szCs w:val="26"/>
              </w:rPr>
            </w:pPr>
          </w:p>
        </w:tc>
        <w:tc>
          <w:tcPr>
            <w:tcW w:w="809" w:type="pct"/>
            <w:tcBorders>
              <w:top w:val="single" w:sz="4" w:space="0" w:color="auto"/>
              <w:left w:val="single" w:sz="4" w:space="0" w:color="auto"/>
              <w:bottom w:val="single" w:sz="4" w:space="0" w:color="auto"/>
              <w:right w:val="single" w:sz="4" w:space="0" w:color="auto"/>
            </w:tcBorders>
            <w:hideMark/>
          </w:tcPr>
          <w:p w14:paraId="657338EE" w14:textId="3BFA39DC"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2</w:t>
            </w:r>
            <w:r w:rsidR="00E000EF">
              <w:rPr>
                <w:rStyle w:val="rvts5"/>
                <w:rFonts w:asciiTheme="minorHAnsi" w:hAnsiTheme="minorHAnsi" w:cstheme="minorHAnsi"/>
                <w:sz w:val="26"/>
                <w:szCs w:val="26"/>
              </w:rPr>
              <w:t>3</w:t>
            </w:r>
          </w:p>
        </w:tc>
        <w:tc>
          <w:tcPr>
            <w:tcW w:w="688" w:type="pct"/>
            <w:tcBorders>
              <w:top w:val="single" w:sz="4" w:space="0" w:color="auto"/>
              <w:left w:val="single" w:sz="4" w:space="0" w:color="auto"/>
              <w:bottom w:val="single" w:sz="4" w:space="0" w:color="auto"/>
              <w:right w:val="single" w:sz="4" w:space="0" w:color="auto"/>
            </w:tcBorders>
            <w:hideMark/>
          </w:tcPr>
          <w:p w14:paraId="105BEBE3" w14:textId="2ED80A43" w:rsidR="00586A66" w:rsidRPr="006D2B12" w:rsidRDefault="00813691"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4</w:t>
            </w:r>
          </w:p>
        </w:tc>
      </w:tr>
      <w:tr w:rsidR="00564DC7" w:rsidRPr="006D2B12" w14:paraId="38A73BE5"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7742679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Aviz legislativ (aviz conform), aprobare Regulamente/metodologii/proceduri, sesizări MJ</w:t>
            </w:r>
          </w:p>
        </w:tc>
        <w:tc>
          <w:tcPr>
            <w:tcW w:w="604" w:type="pct"/>
            <w:tcBorders>
              <w:top w:val="single" w:sz="4" w:space="0" w:color="auto"/>
              <w:left w:val="single" w:sz="4" w:space="0" w:color="auto"/>
              <w:bottom w:val="single" w:sz="4" w:space="0" w:color="auto"/>
              <w:right w:val="single" w:sz="4" w:space="0" w:color="auto"/>
            </w:tcBorders>
            <w:hideMark/>
          </w:tcPr>
          <w:p w14:paraId="498CDB47" w14:textId="10957A0E"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r w:rsidR="00813691">
              <w:rPr>
                <w:rStyle w:val="rvts5"/>
                <w:rFonts w:asciiTheme="minorHAnsi" w:hAnsiTheme="minorHAnsi" w:cstheme="minorHAnsi"/>
                <w:sz w:val="26"/>
                <w:szCs w:val="26"/>
              </w:rPr>
              <w:t>5</w:t>
            </w:r>
          </w:p>
        </w:tc>
        <w:tc>
          <w:tcPr>
            <w:tcW w:w="809" w:type="pct"/>
            <w:tcBorders>
              <w:top w:val="single" w:sz="4" w:space="0" w:color="auto"/>
              <w:left w:val="single" w:sz="4" w:space="0" w:color="auto"/>
              <w:bottom w:val="single" w:sz="4" w:space="0" w:color="auto"/>
              <w:right w:val="single" w:sz="4" w:space="0" w:color="auto"/>
            </w:tcBorders>
            <w:hideMark/>
          </w:tcPr>
          <w:p w14:paraId="3BC52150" w14:textId="77777777"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15</w:t>
            </w:r>
          </w:p>
        </w:tc>
        <w:tc>
          <w:tcPr>
            <w:tcW w:w="688" w:type="pct"/>
            <w:tcBorders>
              <w:top w:val="single" w:sz="4" w:space="0" w:color="auto"/>
              <w:left w:val="single" w:sz="4" w:space="0" w:color="auto"/>
              <w:bottom w:val="single" w:sz="4" w:space="0" w:color="auto"/>
              <w:right w:val="single" w:sz="4" w:space="0" w:color="auto"/>
            </w:tcBorders>
            <w:hideMark/>
          </w:tcPr>
          <w:p w14:paraId="149BD0D5" w14:textId="0B7DC65B"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813691">
              <w:rPr>
                <w:rStyle w:val="rvts5"/>
                <w:rFonts w:asciiTheme="minorHAnsi" w:hAnsiTheme="minorHAnsi" w:cstheme="minorHAnsi"/>
                <w:sz w:val="26"/>
                <w:szCs w:val="26"/>
              </w:rPr>
              <w:t>5</w:t>
            </w:r>
          </w:p>
        </w:tc>
      </w:tr>
      <w:tr w:rsidR="00564DC7" w:rsidRPr="006D2B12" w14:paraId="435BFBA4"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02B182BB"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Modificări hotărâri</w:t>
            </w:r>
          </w:p>
        </w:tc>
        <w:tc>
          <w:tcPr>
            <w:tcW w:w="604" w:type="pct"/>
            <w:tcBorders>
              <w:top w:val="single" w:sz="4" w:space="0" w:color="auto"/>
              <w:left w:val="single" w:sz="4" w:space="0" w:color="auto"/>
              <w:bottom w:val="single" w:sz="4" w:space="0" w:color="auto"/>
              <w:right w:val="single" w:sz="4" w:space="0" w:color="auto"/>
            </w:tcBorders>
            <w:hideMark/>
          </w:tcPr>
          <w:p w14:paraId="6EF0FECC"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p>
        </w:tc>
        <w:tc>
          <w:tcPr>
            <w:tcW w:w="809" w:type="pct"/>
            <w:tcBorders>
              <w:top w:val="single" w:sz="4" w:space="0" w:color="auto"/>
              <w:left w:val="single" w:sz="4" w:space="0" w:color="auto"/>
              <w:bottom w:val="single" w:sz="4" w:space="0" w:color="auto"/>
              <w:right w:val="single" w:sz="4" w:space="0" w:color="auto"/>
            </w:tcBorders>
            <w:hideMark/>
          </w:tcPr>
          <w:p w14:paraId="2E6BC12A" w14:textId="75D57F6A"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3</w:t>
            </w:r>
            <w:r w:rsidR="00813691">
              <w:rPr>
                <w:rStyle w:val="rvts5"/>
                <w:rFonts w:asciiTheme="minorHAnsi" w:hAnsiTheme="minorHAnsi" w:cstheme="minorHAnsi"/>
                <w:sz w:val="26"/>
                <w:szCs w:val="26"/>
              </w:rPr>
              <w:t>6</w:t>
            </w:r>
          </w:p>
        </w:tc>
        <w:tc>
          <w:tcPr>
            <w:tcW w:w="688" w:type="pct"/>
            <w:tcBorders>
              <w:top w:val="single" w:sz="4" w:space="0" w:color="auto"/>
              <w:left w:val="single" w:sz="4" w:space="0" w:color="auto"/>
              <w:bottom w:val="single" w:sz="4" w:space="0" w:color="auto"/>
              <w:right w:val="single" w:sz="4" w:space="0" w:color="auto"/>
            </w:tcBorders>
            <w:hideMark/>
          </w:tcPr>
          <w:p w14:paraId="76DE25C5"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7</w:t>
            </w:r>
          </w:p>
        </w:tc>
      </w:tr>
      <w:tr w:rsidR="00564DC7" w:rsidRPr="006D2B12" w14:paraId="6395124D"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3AD18CD5"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Completuri specializate</w:t>
            </w:r>
          </w:p>
        </w:tc>
        <w:tc>
          <w:tcPr>
            <w:tcW w:w="604" w:type="pct"/>
            <w:tcBorders>
              <w:top w:val="single" w:sz="4" w:space="0" w:color="auto"/>
              <w:left w:val="single" w:sz="4" w:space="0" w:color="auto"/>
              <w:bottom w:val="single" w:sz="4" w:space="0" w:color="auto"/>
              <w:right w:val="single" w:sz="4" w:space="0" w:color="auto"/>
            </w:tcBorders>
            <w:hideMark/>
          </w:tcPr>
          <w:p w14:paraId="1414A172" w14:textId="77777777" w:rsidR="00586A66" w:rsidRPr="006D2B12" w:rsidRDefault="00586A66"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768252A0" w14:textId="2222EE0A" w:rsidR="00586A66" w:rsidRPr="006D2B12" w:rsidRDefault="00E000EF"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3</w:t>
            </w:r>
            <w:r w:rsidR="00813691">
              <w:rPr>
                <w:rStyle w:val="rvts5"/>
                <w:rFonts w:asciiTheme="minorHAnsi" w:hAnsiTheme="minorHAnsi" w:cstheme="minorHAnsi"/>
                <w:sz w:val="26"/>
                <w:szCs w:val="26"/>
              </w:rPr>
              <w:t>5</w:t>
            </w:r>
          </w:p>
        </w:tc>
        <w:tc>
          <w:tcPr>
            <w:tcW w:w="688" w:type="pct"/>
            <w:tcBorders>
              <w:top w:val="single" w:sz="4" w:space="0" w:color="auto"/>
              <w:left w:val="single" w:sz="4" w:space="0" w:color="auto"/>
              <w:bottom w:val="single" w:sz="4" w:space="0" w:color="auto"/>
              <w:right w:val="single" w:sz="4" w:space="0" w:color="auto"/>
            </w:tcBorders>
            <w:hideMark/>
          </w:tcPr>
          <w:p w14:paraId="00A8B785" w14:textId="77777777" w:rsidR="00586A66" w:rsidRPr="006D2B12" w:rsidRDefault="00586A66"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w:t>
            </w:r>
          </w:p>
        </w:tc>
      </w:tr>
      <w:tr w:rsidR="00564DC7" w:rsidRPr="006D2B12" w14:paraId="0D360910" w14:textId="77777777" w:rsidTr="00586A66">
        <w:trPr>
          <w:jc w:val="center"/>
        </w:trPr>
        <w:tc>
          <w:tcPr>
            <w:tcW w:w="2899" w:type="pct"/>
            <w:tcBorders>
              <w:top w:val="single" w:sz="4" w:space="0" w:color="auto"/>
              <w:left w:val="single" w:sz="4" w:space="0" w:color="auto"/>
              <w:bottom w:val="single" w:sz="4" w:space="0" w:color="auto"/>
              <w:right w:val="single" w:sz="4" w:space="0" w:color="auto"/>
            </w:tcBorders>
            <w:hideMark/>
          </w:tcPr>
          <w:p w14:paraId="68EBFB86" w14:textId="77777777" w:rsidR="00586A66" w:rsidRPr="006D2B12" w:rsidRDefault="00586A66" w:rsidP="00690186">
            <w:pPr>
              <w:pStyle w:val="NormalWeb"/>
              <w:shd w:val="clear" w:color="auto" w:fill="FFFFFF"/>
              <w:spacing w:before="0" w:beforeAutospacing="0" w:after="0" w:afterAutospacing="0"/>
              <w:jc w:val="both"/>
              <w:rPr>
                <w:rStyle w:val="rvts5"/>
                <w:rFonts w:asciiTheme="minorHAnsi" w:hAnsiTheme="minorHAnsi" w:cstheme="minorHAnsi"/>
                <w:sz w:val="26"/>
                <w:szCs w:val="26"/>
              </w:rPr>
            </w:pPr>
            <w:r w:rsidRPr="006D2B12">
              <w:rPr>
                <w:rStyle w:val="rvts5"/>
                <w:rFonts w:asciiTheme="minorHAnsi" w:hAnsiTheme="minorHAnsi" w:cstheme="minorHAnsi"/>
                <w:sz w:val="26"/>
                <w:szCs w:val="26"/>
              </w:rPr>
              <w:t>Diverse (alte hotărâri,CSM, INM, SNG, DAERIP, TAEJ, proiecte buget)</w:t>
            </w:r>
          </w:p>
        </w:tc>
        <w:tc>
          <w:tcPr>
            <w:tcW w:w="604" w:type="pct"/>
            <w:tcBorders>
              <w:top w:val="single" w:sz="4" w:space="0" w:color="auto"/>
              <w:left w:val="single" w:sz="4" w:space="0" w:color="auto"/>
              <w:bottom w:val="single" w:sz="4" w:space="0" w:color="auto"/>
              <w:right w:val="single" w:sz="4" w:space="0" w:color="auto"/>
            </w:tcBorders>
            <w:hideMark/>
          </w:tcPr>
          <w:p w14:paraId="401D2A08" w14:textId="369D69F0" w:rsidR="00586A66" w:rsidRPr="006D2B12" w:rsidRDefault="00813691" w:rsidP="00690186">
            <w:pPr>
              <w:pStyle w:val="NormalWeb"/>
              <w:shd w:val="clear" w:color="auto" w:fill="FFFFFF"/>
              <w:spacing w:before="0" w:beforeAutospacing="0" w:after="0" w:afterAutospacing="0"/>
              <w:ind w:left="9" w:firstLine="30"/>
              <w:jc w:val="center"/>
              <w:rPr>
                <w:rStyle w:val="rvts5"/>
                <w:rFonts w:asciiTheme="minorHAnsi" w:hAnsiTheme="minorHAnsi" w:cstheme="minorHAnsi"/>
                <w:sz w:val="26"/>
                <w:szCs w:val="26"/>
              </w:rPr>
            </w:pPr>
            <w:r>
              <w:rPr>
                <w:rStyle w:val="rvts5"/>
                <w:rFonts w:asciiTheme="minorHAnsi" w:hAnsiTheme="minorHAnsi" w:cstheme="minorHAnsi"/>
                <w:sz w:val="26"/>
                <w:szCs w:val="26"/>
              </w:rPr>
              <w:t>8</w:t>
            </w:r>
            <w:r w:rsidR="00E000EF">
              <w:rPr>
                <w:rStyle w:val="rvts5"/>
                <w:rFonts w:asciiTheme="minorHAnsi" w:hAnsiTheme="minorHAnsi" w:cstheme="minorHAnsi"/>
                <w:sz w:val="26"/>
                <w:szCs w:val="26"/>
              </w:rPr>
              <w:t>3</w:t>
            </w:r>
          </w:p>
        </w:tc>
        <w:tc>
          <w:tcPr>
            <w:tcW w:w="809" w:type="pct"/>
            <w:tcBorders>
              <w:top w:val="single" w:sz="4" w:space="0" w:color="auto"/>
              <w:left w:val="single" w:sz="4" w:space="0" w:color="auto"/>
              <w:bottom w:val="single" w:sz="4" w:space="0" w:color="auto"/>
              <w:right w:val="single" w:sz="4" w:space="0" w:color="auto"/>
            </w:tcBorders>
            <w:hideMark/>
          </w:tcPr>
          <w:p w14:paraId="39E25364" w14:textId="25FB499C" w:rsidR="00586A66" w:rsidRPr="006D2B12" w:rsidRDefault="00586A66" w:rsidP="00690186">
            <w:pPr>
              <w:pStyle w:val="NormalWeb"/>
              <w:shd w:val="clear" w:color="auto" w:fill="FFFFFF"/>
              <w:spacing w:before="0" w:beforeAutospacing="0" w:after="0" w:afterAutospacing="0"/>
              <w:ind w:left="25" w:firstLine="11"/>
              <w:jc w:val="center"/>
              <w:rPr>
                <w:rStyle w:val="rvts5"/>
                <w:rFonts w:asciiTheme="minorHAnsi" w:hAnsiTheme="minorHAnsi" w:cstheme="minorHAnsi"/>
                <w:sz w:val="26"/>
                <w:szCs w:val="26"/>
              </w:rPr>
            </w:pPr>
            <w:r w:rsidRPr="006D2B12">
              <w:rPr>
                <w:rStyle w:val="rvts5"/>
                <w:rFonts w:asciiTheme="minorHAnsi" w:hAnsiTheme="minorHAnsi" w:cstheme="minorHAnsi"/>
                <w:sz w:val="26"/>
                <w:szCs w:val="26"/>
              </w:rPr>
              <w:t>1</w:t>
            </w:r>
            <w:r w:rsidR="00813691">
              <w:rPr>
                <w:rStyle w:val="rvts5"/>
                <w:rFonts w:asciiTheme="minorHAnsi" w:hAnsiTheme="minorHAnsi" w:cstheme="minorHAnsi"/>
                <w:sz w:val="26"/>
                <w:szCs w:val="26"/>
              </w:rPr>
              <w:t>7</w:t>
            </w:r>
            <w:r w:rsidRPr="006D2B12">
              <w:rPr>
                <w:rStyle w:val="rvts5"/>
                <w:rFonts w:asciiTheme="minorHAnsi" w:hAnsiTheme="minorHAnsi" w:cstheme="minorHAnsi"/>
                <w:sz w:val="26"/>
                <w:szCs w:val="26"/>
              </w:rPr>
              <w:t xml:space="preserve"> (din care 5 atributul Grefei Secţiilor)</w:t>
            </w:r>
          </w:p>
        </w:tc>
        <w:tc>
          <w:tcPr>
            <w:tcW w:w="688" w:type="pct"/>
            <w:tcBorders>
              <w:top w:val="single" w:sz="4" w:space="0" w:color="auto"/>
              <w:left w:val="single" w:sz="4" w:space="0" w:color="auto"/>
              <w:bottom w:val="single" w:sz="4" w:space="0" w:color="auto"/>
              <w:right w:val="single" w:sz="4" w:space="0" w:color="auto"/>
            </w:tcBorders>
            <w:hideMark/>
          </w:tcPr>
          <w:p w14:paraId="3AA5FF0A" w14:textId="24538A91" w:rsidR="00586A66" w:rsidRPr="006D2B12" w:rsidRDefault="00696963" w:rsidP="00690186">
            <w:pPr>
              <w:pStyle w:val="NormalWeb"/>
              <w:shd w:val="clear" w:color="auto" w:fill="FFFFFF"/>
              <w:spacing w:before="0" w:beforeAutospacing="0" w:after="0" w:afterAutospacing="0"/>
              <w:ind w:firstLine="11"/>
              <w:jc w:val="center"/>
              <w:rPr>
                <w:rStyle w:val="rvts5"/>
                <w:rFonts w:asciiTheme="minorHAnsi" w:hAnsiTheme="minorHAnsi" w:cstheme="minorHAnsi"/>
                <w:sz w:val="26"/>
                <w:szCs w:val="26"/>
              </w:rPr>
            </w:pPr>
            <w:r>
              <w:rPr>
                <w:rStyle w:val="rvts5"/>
                <w:rFonts w:asciiTheme="minorHAnsi" w:hAnsiTheme="minorHAnsi" w:cstheme="minorHAnsi"/>
                <w:sz w:val="26"/>
                <w:szCs w:val="26"/>
              </w:rPr>
              <w:t>2</w:t>
            </w:r>
            <w:r w:rsidR="00813691">
              <w:rPr>
                <w:rStyle w:val="rvts5"/>
                <w:rFonts w:asciiTheme="minorHAnsi" w:hAnsiTheme="minorHAnsi" w:cstheme="minorHAnsi"/>
                <w:sz w:val="26"/>
                <w:szCs w:val="26"/>
              </w:rPr>
              <w:t>1</w:t>
            </w:r>
            <w:r w:rsidR="00586A66" w:rsidRPr="006D2B12">
              <w:rPr>
                <w:rStyle w:val="rvts5"/>
                <w:rFonts w:asciiTheme="minorHAnsi" w:hAnsiTheme="minorHAnsi" w:cstheme="minorHAnsi"/>
                <w:sz w:val="26"/>
                <w:szCs w:val="26"/>
              </w:rPr>
              <w:t xml:space="preserve"> (din care 6 atributul Grefei Secţiilor)</w:t>
            </w:r>
          </w:p>
        </w:tc>
      </w:tr>
    </w:tbl>
    <w:p w14:paraId="31BB5B14" w14:textId="77777777" w:rsidR="00586A66" w:rsidRPr="00564DC7" w:rsidRDefault="00586A66" w:rsidP="00690186">
      <w:pPr>
        <w:widowControl w:val="0"/>
        <w:autoSpaceDE w:val="0"/>
        <w:autoSpaceDN w:val="0"/>
        <w:adjustRightInd w:val="0"/>
        <w:rPr>
          <w:rFonts w:asciiTheme="minorHAnsi" w:hAnsiTheme="minorHAnsi" w:cstheme="minorHAnsi"/>
          <w:b/>
          <w:sz w:val="26"/>
          <w:szCs w:val="26"/>
        </w:rPr>
      </w:pPr>
    </w:p>
    <w:p w14:paraId="7DD3F566" w14:textId="47EB8789" w:rsidR="00586A66" w:rsidRPr="006D2B12" w:rsidRDefault="00586A66" w:rsidP="006D2B12">
      <w:pPr>
        <w:pStyle w:val="Heading2"/>
        <w:keepLines w:val="0"/>
        <w:suppressLineNumbers/>
        <w:suppressAutoHyphens/>
        <w:spacing w:line="240" w:lineRule="auto"/>
        <w:jc w:val="both"/>
        <w:rPr>
          <w:rFonts w:cstheme="minorHAnsi"/>
          <w:color w:val="auto"/>
          <w:lang w:val="ro-RO"/>
        </w:rPr>
      </w:pPr>
      <w:bookmarkStart w:id="155" w:name="_Toc155267916"/>
      <w:r w:rsidRPr="006D2B12">
        <w:rPr>
          <w:rFonts w:cstheme="minorHAnsi"/>
          <w:color w:val="auto"/>
          <w:lang w:val="ro-RO"/>
        </w:rPr>
        <w:t>VI.5. Activitatea Biroului grefa secțiilor</w:t>
      </w:r>
      <w:bookmarkEnd w:id="155"/>
    </w:p>
    <w:p w14:paraId="001ACE25" w14:textId="77777777" w:rsidR="00EE466D" w:rsidRPr="00EE466D" w:rsidRDefault="00EE466D" w:rsidP="00EE466D">
      <w:pPr>
        <w:widowControl w:val="0"/>
        <w:autoSpaceDE w:val="0"/>
        <w:autoSpaceDN w:val="0"/>
        <w:adjustRightInd w:val="0"/>
        <w:ind w:firstLine="708"/>
        <w:jc w:val="both"/>
        <w:rPr>
          <w:rFonts w:ascii="Calibri" w:hAnsi="Calibri" w:cs="Calibri"/>
          <w:b/>
          <w:sz w:val="26"/>
          <w:szCs w:val="26"/>
        </w:rPr>
      </w:pPr>
      <w:r w:rsidRPr="00EE466D">
        <w:rPr>
          <w:rFonts w:ascii="Calibri" w:hAnsi="Calibri" w:cs="Calibri"/>
          <w:sz w:val="26"/>
          <w:szCs w:val="26"/>
        </w:rPr>
        <w:t>Biroul grefa secțiilor asigură activitatea de secretariat a ședințelor secțiilor Consiliului şi redactează hotărârile secțiilor Consiliului prin care s-au soluționat sesizările privind încălcarea normelor de conduită reglementate de Codul deontologic al judecătorilor şi procurorilor, conform dispozițiilor art.99 alin.(1) lit.f) din Regulamentul de organizare şi funcționare al Consiliului Superior al Magistraturii.</w:t>
      </w:r>
    </w:p>
    <w:p w14:paraId="1F630CAD" w14:textId="5DCA7B11" w:rsidR="00EE466D" w:rsidRPr="00EE466D" w:rsidRDefault="00EE466D" w:rsidP="00EE466D">
      <w:pPr>
        <w:widowControl w:val="0"/>
        <w:autoSpaceDE w:val="0"/>
        <w:autoSpaceDN w:val="0"/>
        <w:adjustRightInd w:val="0"/>
        <w:ind w:firstLine="708"/>
        <w:jc w:val="both"/>
        <w:rPr>
          <w:rFonts w:ascii="Calibri" w:hAnsi="Calibri" w:cs="Calibri"/>
          <w:b/>
          <w:sz w:val="26"/>
          <w:szCs w:val="26"/>
        </w:rPr>
      </w:pPr>
      <w:bookmarkStart w:id="156" w:name="_Hlk147482693"/>
      <w:r w:rsidRPr="00EE466D">
        <w:rPr>
          <w:rFonts w:ascii="Calibri" w:hAnsi="Calibri" w:cs="Calibri"/>
          <w:sz w:val="26"/>
          <w:szCs w:val="26"/>
        </w:rPr>
        <w:t xml:space="preserve">Până la data de </w:t>
      </w:r>
      <w:bookmarkEnd w:id="156"/>
      <w:r w:rsidR="00FB4643" w:rsidRPr="00FB4643">
        <w:rPr>
          <w:rFonts w:ascii="Calibri" w:hAnsi="Calibri" w:cs="Calibri"/>
          <w:sz w:val="26"/>
          <w:szCs w:val="26"/>
        </w:rPr>
        <w:t xml:space="preserve">31 decembrie 2023 </w:t>
      </w:r>
      <w:r w:rsidRPr="00EE466D">
        <w:rPr>
          <w:rFonts w:ascii="Calibri" w:hAnsi="Calibri" w:cs="Calibri"/>
          <w:sz w:val="26"/>
          <w:szCs w:val="26"/>
        </w:rPr>
        <w:t>a fost înregistrată o sesizare referitoare la încălcări ale Codului deontologic de către judecători, precum şi o sesizare referitoare la încălcări ale Codului deontologic de către procurori (care a fost soluționată prin Hotărârea nr.1338/24 octombrie 2023 a Secţiei pentru procurori).</w:t>
      </w:r>
    </w:p>
    <w:p w14:paraId="35EA1B45" w14:textId="77777777" w:rsidR="00EE466D" w:rsidRPr="00EE466D" w:rsidRDefault="00EE466D" w:rsidP="00EE466D">
      <w:pPr>
        <w:widowControl w:val="0"/>
        <w:autoSpaceDE w:val="0"/>
        <w:autoSpaceDN w:val="0"/>
        <w:adjustRightInd w:val="0"/>
        <w:ind w:firstLine="708"/>
        <w:jc w:val="both"/>
        <w:rPr>
          <w:rFonts w:ascii="Calibri" w:hAnsi="Calibri" w:cs="Calibri"/>
          <w:b/>
          <w:sz w:val="26"/>
          <w:szCs w:val="26"/>
        </w:rPr>
      </w:pPr>
      <w:r w:rsidRPr="00EE466D">
        <w:rPr>
          <w:rFonts w:ascii="Calibri" w:hAnsi="Calibri" w:cs="Calibri"/>
          <w:sz w:val="26"/>
          <w:szCs w:val="26"/>
        </w:rPr>
        <w:t xml:space="preserve">Biroul grefa secțiilor asigură activitatea de secretariat a ședințelor secțiilor Consiliului în </w:t>
      </w:r>
      <w:r w:rsidRPr="00EE466D">
        <w:rPr>
          <w:rFonts w:ascii="Calibri" w:hAnsi="Calibri" w:cs="Calibri"/>
          <w:sz w:val="26"/>
          <w:szCs w:val="26"/>
        </w:rPr>
        <w:lastRenderedPageBreak/>
        <w:t xml:space="preserve">materia sesizărilor având ca obiect suspendarea din funcție a judecătorilor şi procurorilor </w:t>
      </w:r>
      <w:bookmarkStart w:id="157" w:name="_Hlk148948206"/>
      <w:r w:rsidRPr="00EE466D">
        <w:rPr>
          <w:rFonts w:ascii="Calibri" w:hAnsi="Calibri" w:cs="Calibri"/>
          <w:sz w:val="26"/>
          <w:szCs w:val="26"/>
        </w:rPr>
        <w:t xml:space="preserve">în temeiul art. 197 alin. (1) lit. f) şi g) din Legea nr. 303/2022 </w:t>
      </w:r>
      <w:bookmarkEnd w:id="157"/>
      <w:r w:rsidRPr="00EE466D">
        <w:rPr>
          <w:rFonts w:ascii="Calibri" w:hAnsi="Calibri" w:cs="Calibri"/>
          <w:sz w:val="26"/>
          <w:szCs w:val="26"/>
        </w:rPr>
        <w:t>şi redactează hotărârile pronunțate, conform dispozițiilor art.99 alin.(1) lit. g) din Regulamentul de organizare și funcționare al Consiliului Superior al Magistraturii.</w:t>
      </w:r>
    </w:p>
    <w:p w14:paraId="712506CC" w14:textId="6CE8A1D9" w:rsidR="00EE466D" w:rsidRPr="00EE466D" w:rsidRDefault="00EE466D" w:rsidP="00EE466D">
      <w:pPr>
        <w:widowControl w:val="0"/>
        <w:autoSpaceDE w:val="0"/>
        <w:autoSpaceDN w:val="0"/>
        <w:adjustRightInd w:val="0"/>
        <w:ind w:firstLine="708"/>
        <w:jc w:val="both"/>
        <w:rPr>
          <w:rFonts w:ascii="Calibri" w:hAnsi="Calibri" w:cs="Calibri"/>
          <w:b/>
          <w:sz w:val="26"/>
          <w:szCs w:val="26"/>
        </w:rPr>
      </w:pPr>
      <w:r w:rsidRPr="00EE466D">
        <w:rPr>
          <w:rFonts w:ascii="Calibri" w:hAnsi="Calibri" w:cs="Calibri"/>
          <w:sz w:val="26"/>
          <w:szCs w:val="26"/>
        </w:rPr>
        <w:t xml:space="preserve">Astfel, până la data de </w:t>
      </w:r>
      <w:r w:rsidR="00FB4643" w:rsidRPr="00FB4643">
        <w:rPr>
          <w:rFonts w:ascii="Calibri" w:hAnsi="Calibri" w:cs="Calibri"/>
          <w:sz w:val="26"/>
          <w:szCs w:val="26"/>
        </w:rPr>
        <w:t>31 decembrie 2023</w:t>
      </w:r>
      <w:r w:rsidRPr="00FB4643">
        <w:rPr>
          <w:rFonts w:ascii="Calibri" w:hAnsi="Calibri" w:cs="Calibri"/>
          <w:sz w:val="26"/>
          <w:szCs w:val="26"/>
        </w:rPr>
        <w:t>,</w:t>
      </w:r>
      <w:r w:rsidRPr="00EE466D">
        <w:rPr>
          <w:rFonts w:ascii="Calibri" w:hAnsi="Calibri" w:cs="Calibri"/>
          <w:sz w:val="26"/>
          <w:szCs w:val="26"/>
        </w:rPr>
        <w:t xml:space="preserve"> în temeiul art. 197 alin. (1) lit. g) din Legea nr. 303/2022, Secția pentru judecători a dispus</w:t>
      </w:r>
      <w:r w:rsidRPr="00EE466D">
        <w:t xml:space="preserve"> </w:t>
      </w:r>
      <w:r w:rsidRPr="00EE466D">
        <w:rPr>
          <w:rFonts w:ascii="Calibri" w:hAnsi="Calibri" w:cs="Calibri"/>
          <w:sz w:val="26"/>
          <w:szCs w:val="26"/>
        </w:rPr>
        <w:t>suspendarea din funcție a unui număr de 4 judecători, iar Secția pentru procurori a dispus suspendarea din funcție a unui procuror.</w:t>
      </w:r>
    </w:p>
    <w:p w14:paraId="3482AD0E" w14:textId="77777777" w:rsidR="00EE466D" w:rsidRPr="00EE466D" w:rsidRDefault="00EE466D" w:rsidP="00EE466D">
      <w:pPr>
        <w:widowControl w:val="0"/>
        <w:autoSpaceDE w:val="0"/>
        <w:autoSpaceDN w:val="0"/>
        <w:adjustRightInd w:val="0"/>
        <w:ind w:firstLine="708"/>
        <w:jc w:val="both"/>
        <w:rPr>
          <w:rFonts w:ascii="Calibri" w:hAnsi="Calibri" w:cs="Calibri"/>
          <w:b/>
          <w:sz w:val="26"/>
          <w:szCs w:val="26"/>
        </w:rPr>
      </w:pPr>
      <w:r w:rsidRPr="00EE466D">
        <w:rPr>
          <w:rFonts w:ascii="Calibri" w:hAnsi="Calibri" w:cs="Calibri"/>
          <w:sz w:val="26"/>
          <w:szCs w:val="26"/>
        </w:rPr>
        <w:t>De asemenea, Biroul grefa secțiilor întocmește lucrările referitoare la radierea sancțiunilor disciplinare aplicate judecătorilor şi procurorilor, conform art. 99 alin. (1) lit.j) din Regulamentul de organizare și funcționare al Consiliului Superior al Magistraturii.</w:t>
      </w:r>
    </w:p>
    <w:p w14:paraId="7BACAAF6" w14:textId="4E9CA357" w:rsidR="00690186" w:rsidRDefault="00EE466D" w:rsidP="00B00003">
      <w:pPr>
        <w:widowControl w:val="0"/>
        <w:autoSpaceDE w:val="0"/>
        <w:autoSpaceDN w:val="0"/>
        <w:adjustRightInd w:val="0"/>
        <w:ind w:firstLine="708"/>
        <w:jc w:val="both"/>
        <w:rPr>
          <w:rFonts w:ascii="Calibri" w:hAnsi="Calibri" w:cs="Calibri"/>
          <w:sz w:val="26"/>
          <w:szCs w:val="26"/>
        </w:rPr>
      </w:pPr>
      <w:r w:rsidRPr="00EE466D">
        <w:rPr>
          <w:rFonts w:ascii="Calibri" w:hAnsi="Calibri" w:cs="Calibri"/>
          <w:sz w:val="26"/>
          <w:szCs w:val="26"/>
        </w:rPr>
        <w:t xml:space="preserve">Până la data de </w:t>
      </w:r>
      <w:r w:rsidR="00FB4643" w:rsidRPr="00FB4643">
        <w:rPr>
          <w:rFonts w:ascii="Calibri" w:hAnsi="Calibri" w:cs="Calibri"/>
          <w:sz w:val="26"/>
          <w:szCs w:val="26"/>
        </w:rPr>
        <w:t>31 decembrie 2023</w:t>
      </w:r>
      <w:r w:rsidRPr="00EE466D">
        <w:rPr>
          <w:rFonts w:ascii="Calibri" w:hAnsi="Calibri" w:cs="Calibri"/>
          <w:sz w:val="26"/>
          <w:szCs w:val="26"/>
        </w:rPr>
        <w:t>, au fost înregistrate 4 cereri referitoare la radierea sancțiunilor disciplinare aplicate judecătorilor (dintre care 3 cereri au fost soluționate prin Hotărârea nr. 2440/25 octombrie 2023 a Secţiei pentru judecători; Hotărârea nr. 3074/22 noiembrie 2023 a Secţiei pentru judecători şi Hotărârea nr. 3075/22 noiembrie 2023 a Secţiei pentru judecători), precum şi 2 cereri referitoare la radierea sancțiunilor disciplinare aplicate procurorilor (soluționate prin Hotărârea nr. 1370/1 noiembrie 2023 a Secţiei pentru procurori, respectiv prin Hotărârea nr. 7P/12.07.2023 a Secţiei pentru procurori în materie disciplinară).</w:t>
      </w:r>
    </w:p>
    <w:p w14:paraId="16A62F30" w14:textId="77777777" w:rsidR="000F1325" w:rsidRDefault="000F1325" w:rsidP="00B00003">
      <w:pPr>
        <w:widowControl w:val="0"/>
        <w:autoSpaceDE w:val="0"/>
        <w:autoSpaceDN w:val="0"/>
        <w:adjustRightInd w:val="0"/>
        <w:ind w:firstLine="708"/>
        <w:jc w:val="both"/>
        <w:rPr>
          <w:rFonts w:cstheme="minorHAnsi"/>
        </w:rPr>
      </w:pPr>
    </w:p>
    <w:p w14:paraId="115B327F" w14:textId="7660D3DD" w:rsidR="006C1588" w:rsidRPr="00564DC7" w:rsidRDefault="006C1588" w:rsidP="00690186">
      <w:pPr>
        <w:pStyle w:val="Heading2"/>
        <w:keepNext w:val="0"/>
        <w:keepLines w:val="0"/>
        <w:suppressLineNumbers/>
        <w:suppressAutoHyphens/>
        <w:spacing w:line="240" w:lineRule="auto"/>
        <w:rPr>
          <w:rFonts w:cstheme="minorHAnsi"/>
          <w:color w:val="auto"/>
          <w:lang w:val="ro-RO"/>
        </w:rPr>
      </w:pPr>
      <w:bookmarkStart w:id="158" w:name="_Toc155267917"/>
      <w:r w:rsidRPr="00564DC7">
        <w:rPr>
          <w:rFonts w:cstheme="minorHAnsi"/>
          <w:color w:val="auto"/>
          <w:lang w:val="ro-RO"/>
        </w:rPr>
        <w:t>VI.6.</w:t>
      </w:r>
      <w:r w:rsidR="00143852" w:rsidRPr="00564DC7">
        <w:rPr>
          <w:rFonts w:cstheme="minorHAnsi"/>
          <w:color w:val="auto"/>
          <w:lang w:val="ro-RO"/>
        </w:rPr>
        <w:t xml:space="preserve"> </w:t>
      </w:r>
      <w:r w:rsidRPr="00564DC7">
        <w:rPr>
          <w:rFonts w:cstheme="minorHAnsi"/>
          <w:color w:val="auto"/>
          <w:lang w:val="ro-RO"/>
        </w:rPr>
        <w:t>Activitatea Serviciului de relaţii cu publicul, registratură, secretariat şi arhivă</w:t>
      </w:r>
      <w:bookmarkEnd w:id="154"/>
      <w:bookmarkEnd w:id="158"/>
    </w:p>
    <w:p w14:paraId="72ACE922" w14:textId="46D7B4A9" w:rsidR="006C1588" w:rsidRPr="00564DC7" w:rsidRDefault="006C1588" w:rsidP="00690186">
      <w:pPr>
        <w:pStyle w:val="Heading3"/>
        <w:keepNext w:val="0"/>
        <w:keepLines w:val="0"/>
        <w:suppressLineNumbers/>
        <w:suppressAutoHyphens/>
        <w:spacing w:line="240" w:lineRule="auto"/>
        <w:rPr>
          <w:rFonts w:cstheme="minorHAnsi"/>
          <w:color w:val="auto"/>
        </w:rPr>
      </w:pPr>
      <w:bookmarkStart w:id="159" w:name="_Toc155267918"/>
      <w:r w:rsidRPr="00564DC7">
        <w:rPr>
          <w:rFonts w:cstheme="minorHAnsi"/>
          <w:color w:val="auto"/>
        </w:rPr>
        <w:t>VI.6.1. Activitatea Biroului relaţii cu publicul</w:t>
      </w:r>
      <w:bookmarkEnd w:id="159"/>
    </w:p>
    <w:p w14:paraId="1C974C98" w14:textId="4A3057AB" w:rsidR="0003082F" w:rsidRPr="001C5CD5" w:rsidRDefault="0003082F" w:rsidP="001C5CD5">
      <w:pPr>
        <w:pStyle w:val="NormalWeb"/>
        <w:shd w:val="clear" w:color="auto" w:fill="FFFFFF"/>
        <w:spacing w:before="0" w:beforeAutospacing="0" w:after="0" w:afterAutospacing="0"/>
        <w:ind w:firstLine="709"/>
        <w:jc w:val="both"/>
        <w:rPr>
          <w:rStyle w:val="rvts5"/>
          <w:rFonts w:asciiTheme="minorHAnsi" w:hAnsiTheme="minorHAnsi" w:cstheme="minorHAnsi"/>
          <w:sz w:val="26"/>
          <w:szCs w:val="26"/>
        </w:rPr>
      </w:pPr>
      <w:r w:rsidRPr="001C5CD5">
        <w:rPr>
          <w:rStyle w:val="rvts5"/>
          <w:rFonts w:asciiTheme="minorHAnsi" w:hAnsiTheme="minorHAnsi" w:cstheme="minorHAnsi"/>
          <w:sz w:val="26"/>
          <w:szCs w:val="26"/>
        </w:rPr>
        <w:t>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data înregistrării la instituţia în cauză. Toate memoriile înregistrate în cursul anului 202</w:t>
      </w:r>
      <w:r w:rsidR="00690186" w:rsidRPr="001C5CD5">
        <w:rPr>
          <w:rStyle w:val="rvts5"/>
          <w:rFonts w:asciiTheme="minorHAnsi" w:hAnsiTheme="minorHAnsi" w:cstheme="minorHAnsi"/>
          <w:sz w:val="26"/>
          <w:szCs w:val="26"/>
        </w:rPr>
        <w:t>3</w:t>
      </w:r>
      <w:r w:rsidRPr="001C5CD5">
        <w:rPr>
          <w:rStyle w:val="rvts5"/>
          <w:rFonts w:asciiTheme="minorHAnsi" w:hAnsiTheme="minorHAnsi" w:cstheme="minorHAnsi"/>
          <w:sz w:val="26"/>
          <w:szCs w:val="26"/>
        </w:rPr>
        <w:t xml:space="preserve"> la Biroul relaţii cu publicul au fost soluţionate cu respectarea strictă a termenelor legale de soluţionare.</w:t>
      </w:r>
    </w:p>
    <w:p w14:paraId="736215F1" w14:textId="21BEAD92" w:rsidR="0003082F" w:rsidRPr="001C5CD5" w:rsidRDefault="0003082F" w:rsidP="001C5CD5">
      <w:pPr>
        <w:ind w:firstLine="709"/>
        <w:jc w:val="both"/>
        <w:rPr>
          <w:rFonts w:asciiTheme="minorHAnsi" w:hAnsiTheme="minorHAnsi" w:cstheme="minorHAnsi"/>
          <w:sz w:val="26"/>
          <w:szCs w:val="26"/>
        </w:rPr>
      </w:pPr>
      <w:r w:rsidRPr="001C5CD5">
        <w:rPr>
          <w:rFonts w:asciiTheme="minorHAnsi" w:hAnsiTheme="minorHAnsi" w:cstheme="minorHAnsi"/>
          <w:sz w:val="26"/>
          <w:szCs w:val="26"/>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w:t>
      </w:r>
      <w:r w:rsidR="00B732F8" w:rsidRPr="001C5CD5">
        <w:rPr>
          <w:rFonts w:asciiTheme="minorHAnsi" w:hAnsiTheme="minorHAnsi" w:cstheme="minorHAnsi"/>
          <w:sz w:val="26"/>
          <w:szCs w:val="26"/>
        </w:rPr>
        <w:t>anelor</w:t>
      </w:r>
      <w:r w:rsidRPr="001C5CD5">
        <w:rPr>
          <w:rFonts w:asciiTheme="minorHAnsi" w:hAnsiTheme="minorHAnsi" w:cstheme="minorHAnsi"/>
          <w:sz w:val="26"/>
          <w:szCs w:val="26"/>
        </w:rPr>
        <w:t xml:space="preserve"> pot fi optim soluţionate de către această instituţie.</w:t>
      </w:r>
    </w:p>
    <w:p w14:paraId="14F0BDA2" w14:textId="62F9C19F" w:rsidR="0003082F" w:rsidRPr="001C5CD5" w:rsidRDefault="0003082F" w:rsidP="001C5CD5">
      <w:pPr>
        <w:pStyle w:val="NormalWeb"/>
        <w:shd w:val="clear" w:color="auto" w:fill="FFFFFF"/>
        <w:spacing w:before="0" w:beforeAutospacing="0" w:after="0" w:afterAutospacing="0"/>
        <w:ind w:firstLine="709"/>
        <w:jc w:val="both"/>
        <w:rPr>
          <w:rStyle w:val="rvts5"/>
          <w:rFonts w:asciiTheme="minorHAnsi" w:hAnsiTheme="minorHAnsi" w:cstheme="minorHAnsi"/>
          <w:sz w:val="26"/>
          <w:szCs w:val="26"/>
          <w:lang w:val="it-IT"/>
        </w:rPr>
      </w:pPr>
      <w:r w:rsidRPr="001C5CD5">
        <w:rPr>
          <w:rStyle w:val="rvts5"/>
          <w:rFonts w:asciiTheme="minorHAnsi" w:hAnsiTheme="minorHAnsi" w:cstheme="minorHAnsi"/>
          <w:sz w:val="26"/>
          <w:szCs w:val="26"/>
        </w:rPr>
        <w:t xml:space="preserve">În cursul anului 2023 au fost soluţionate de către consilierii juridici din cadrul acestui compartiment un număr de </w:t>
      </w:r>
      <w:r w:rsidR="00554C01">
        <w:rPr>
          <w:rStyle w:val="rvts5"/>
          <w:rFonts w:asciiTheme="minorHAnsi" w:hAnsiTheme="minorHAnsi" w:cstheme="minorHAnsi"/>
          <w:sz w:val="26"/>
          <w:szCs w:val="26"/>
        </w:rPr>
        <w:t>7902</w:t>
      </w:r>
      <w:r w:rsidR="001C5CD5" w:rsidRPr="001C5CD5">
        <w:rPr>
          <w:rStyle w:val="rvts5"/>
          <w:rFonts w:asciiTheme="minorHAnsi" w:hAnsiTheme="minorHAnsi" w:cstheme="minorHAnsi"/>
          <w:sz w:val="26"/>
          <w:szCs w:val="26"/>
        </w:rPr>
        <w:t xml:space="preserve"> petiţii. </w:t>
      </w:r>
      <w:r w:rsidRPr="001C5CD5">
        <w:rPr>
          <w:rStyle w:val="rvts5"/>
          <w:rFonts w:asciiTheme="minorHAnsi" w:hAnsiTheme="minorHAnsi" w:cstheme="minorHAnsi"/>
          <w:sz w:val="26"/>
          <w:szCs w:val="26"/>
        </w:rPr>
        <w:t xml:space="preserve"> </w:t>
      </w:r>
    </w:p>
    <w:p w14:paraId="1AAF483E" w14:textId="0B231989" w:rsidR="001C5CD5" w:rsidRPr="00554C01" w:rsidRDefault="0003082F" w:rsidP="001C5CD5">
      <w:pPr>
        <w:ind w:firstLine="709"/>
        <w:jc w:val="both"/>
        <w:rPr>
          <w:rStyle w:val="rvts5"/>
          <w:rFonts w:asciiTheme="minorHAnsi" w:hAnsiTheme="minorHAnsi" w:cstheme="minorHAnsi"/>
          <w:sz w:val="26"/>
          <w:szCs w:val="26"/>
        </w:rPr>
      </w:pPr>
      <w:r w:rsidRPr="001C5CD5">
        <w:rPr>
          <w:rFonts w:asciiTheme="minorHAnsi" w:hAnsiTheme="minorHAnsi" w:cstheme="minorHAnsi"/>
          <w:sz w:val="26"/>
          <w:szCs w:val="26"/>
        </w:rPr>
        <w:t>Problematica reclamată de petiţionari a vizat, în principal, nelegalitatea sau netemeinicia hotărârilor judecătoreşti şi a măsurilor dispuse de procurori</w:t>
      </w:r>
      <w:r w:rsidRPr="001C5CD5">
        <w:rPr>
          <w:rStyle w:val="rvts5"/>
          <w:rFonts w:asciiTheme="minorHAnsi" w:hAnsiTheme="minorHAnsi" w:cstheme="minorHAnsi"/>
          <w:sz w:val="26"/>
          <w:szCs w:val="26"/>
        </w:rPr>
        <w:t>, durata mare a proceselor,</w:t>
      </w:r>
      <w:r w:rsidRPr="001C5CD5">
        <w:rPr>
          <w:rFonts w:asciiTheme="minorHAnsi" w:hAnsiTheme="minorHAnsi" w:cstheme="minorHAnsi"/>
          <w:sz w:val="26"/>
          <w:szCs w:val="26"/>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001C5CD5" w:rsidRPr="001C5CD5">
        <w:rPr>
          <w:rStyle w:val="rvts5"/>
          <w:rFonts w:asciiTheme="minorHAnsi" w:hAnsiTheme="minorHAnsi" w:cstheme="minorHAnsi"/>
          <w:sz w:val="26"/>
          <w:szCs w:val="26"/>
        </w:rPr>
        <w:t xml:space="preserve">Din totalul acestora, </w:t>
      </w:r>
      <w:r w:rsidR="00554C01" w:rsidRPr="00554C01">
        <w:rPr>
          <w:rStyle w:val="rvts5"/>
          <w:rFonts w:asciiTheme="minorHAnsi" w:hAnsiTheme="minorHAnsi" w:cstheme="minorHAnsi"/>
          <w:sz w:val="26"/>
          <w:szCs w:val="26"/>
        </w:rPr>
        <w:t>2028 de petiţii au primit răspuns din partea Biroului relaţii cu publicul, fără a mai fi necesară îndreptarea acestora către alte instituţii competente. Un număr de  1843 petiţii au fost transmise Inspecţiei Judiciare, întrucât în cuprinsul acestora erau descrise pretinse abateri disciplinare. Un număr de 386 de petiţii au fost trimise la instanţe deoarece reprezentau apărări, cereri de eliberare de acte din dosarele aflate pe rolul instanţelor de judecată sau în conservarea acestora. Într-un număr de 815</w:t>
      </w:r>
      <w:r w:rsidR="00554C01">
        <w:rPr>
          <w:rStyle w:val="rvts5"/>
          <w:rFonts w:asciiTheme="minorHAnsi" w:hAnsiTheme="minorHAnsi" w:cstheme="minorHAnsi"/>
          <w:sz w:val="26"/>
          <w:szCs w:val="26"/>
        </w:rPr>
        <w:t xml:space="preserve"> </w:t>
      </w:r>
      <w:r w:rsidR="001C5CD5" w:rsidRPr="00554C01">
        <w:rPr>
          <w:rStyle w:val="rvts5"/>
          <w:rFonts w:asciiTheme="minorHAnsi" w:hAnsiTheme="minorHAnsi" w:cstheme="minorHAnsi"/>
          <w:sz w:val="26"/>
          <w:szCs w:val="26"/>
        </w:rPr>
        <w:t xml:space="preserve">memorii petenţii au formulat plângeri penale, atât împotriva unor judecători şi procurori, cât şi </w:t>
      </w:r>
      <w:r w:rsidR="001C5CD5" w:rsidRPr="00554C01">
        <w:rPr>
          <w:rStyle w:val="rvts5"/>
          <w:rFonts w:asciiTheme="minorHAnsi" w:hAnsiTheme="minorHAnsi" w:cstheme="minorHAnsi"/>
          <w:sz w:val="26"/>
          <w:szCs w:val="26"/>
        </w:rPr>
        <w:lastRenderedPageBreak/>
        <w:t xml:space="preserve">împotriva unor persoane fizice sau juridice, aspect care a impus îndrumarea acestora către organul competent să soluţioneze o plângere penală. </w:t>
      </w:r>
    </w:p>
    <w:p w14:paraId="51733A14" w14:textId="5BCAE189" w:rsidR="001C5CD5" w:rsidRPr="001C5CD5" w:rsidRDefault="001C5CD5" w:rsidP="001C5CD5">
      <w:pPr>
        <w:ind w:firstLine="709"/>
        <w:jc w:val="both"/>
        <w:rPr>
          <w:rStyle w:val="rvts5"/>
          <w:rFonts w:asciiTheme="minorHAnsi" w:hAnsiTheme="minorHAnsi" w:cstheme="minorHAnsi"/>
          <w:sz w:val="26"/>
          <w:szCs w:val="26"/>
        </w:rPr>
      </w:pPr>
      <w:r w:rsidRPr="001C5CD5">
        <w:rPr>
          <w:rStyle w:val="rvts5"/>
          <w:rFonts w:asciiTheme="minorHAnsi" w:hAnsiTheme="minorHAnsi" w:cstheme="minorHAnsi"/>
          <w:sz w:val="26"/>
          <w:szCs w:val="26"/>
        </w:rPr>
        <w:t xml:space="preserve">În cuprinsul a </w:t>
      </w:r>
      <w:r w:rsidR="00554C01">
        <w:rPr>
          <w:rStyle w:val="rvts5"/>
          <w:rFonts w:asciiTheme="minorHAnsi" w:hAnsiTheme="minorHAnsi" w:cstheme="minorHAnsi"/>
          <w:sz w:val="26"/>
          <w:szCs w:val="26"/>
        </w:rPr>
        <w:t>63</w:t>
      </w:r>
      <w:r w:rsidRPr="001C5CD5">
        <w:rPr>
          <w:rStyle w:val="rvts5"/>
          <w:rFonts w:asciiTheme="minorHAnsi" w:hAnsiTheme="minorHAnsi" w:cstheme="minorHAnsi"/>
          <w:sz w:val="26"/>
          <w:szCs w:val="26"/>
        </w:rPr>
        <w:t xml:space="preserve"> memorii s-a solicitat comunicarea de hotărâri judecătoreşti şi soluţii dispuse de procurori, m</w:t>
      </w:r>
      <w:r>
        <w:rPr>
          <w:rStyle w:val="rvts5"/>
          <w:rFonts w:asciiTheme="minorHAnsi" w:hAnsiTheme="minorHAnsi" w:cstheme="minorHAnsi"/>
          <w:sz w:val="26"/>
          <w:szCs w:val="26"/>
        </w:rPr>
        <w:t>ă</w:t>
      </w:r>
      <w:r w:rsidRPr="001C5CD5">
        <w:rPr>
          <w:rStyle w:val="rvts5"/>
          <w:rFonts w:asciiTheme="minorHAnsi" w:hAnsiTheme="minorHAnsi" w:cstheme="minorHAnsi"/>
          <w:sz w:val="26"/>
          <w:szCs w:val="26"/>
        </w:rPr>
        <w:t xml:space="preserve">sura dispusă în cadrul compartimentului fiind de transmitere a acestor petiţii instanţelor judecătoreşti şi unităţilor de parchet pe rolul cărora existau dosarele în care petenţii erau parte. Un număr de </w:t>
      </w:r>
      <w:r w:rsidR="00554C01">
        <w:rPr>
          <w:rStyle w:val="rvts5"/>
          <w:rFonts w:asciiTheme="minorHAnsi" w:hAnsiTheme="minorHAnsi" w:cstheme="minorHAnsi"/>
          <w:sz w:val="26"/>
          <w:szCs w:val="26"/>
        </w:rPr>
        <w:t>31</w:t>
      </w:r>
      <w:r w:rsidRPr="001C5CD5">
        <w:rPr>
          <w:rStyle w:val="rvts5"/>
          <w:rFonts w:asciiTheme="minorHAnsi" w:hAnsiTheme="minorHAnsi" w:cstheme="minorHAnsi"/>
          <w:sz w:val="26"/>
          <w:szCs w:val="26"/>
        </w:rPr>
        <w:t xml:space="preserv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14:paraId="67820A7A" w14:textId="1D9189D1" w:rsidR="0003082F" w:rsidRPr="00564DC7" w:rsidRDefault="0003082F" w:rsidP="001C5CD5">
      <w:pPr>
        <w:ind w:firstLine="709"/>
        <w:jc w:val="both"/>
        <w:rPr>
          <w:rFonts w:asciiTheme="minorHAnsi" w:hAnsiTheme="minorHAnsi" w:cstheme="minorHAnsi"/>
          <w:sz w:val="26"/>
          <w:szCs w:val="26"/>
          <w:lang w:val="it-IT"/>
        </w:rPr>
      </w:pPr>
      <w:r w:rsidRPr="00564DC7">
        <w:rPr>
          <w:rStyle w:val="rvts5"/>
          <w:rFonts w:asciiTheme="minorHAnsi" w:hAnsiTheme="minorHAnsi" w:cstheme="minorHAnsi"/>
          <w:sz w:val="26"/>
          <w:szCs w:val="26"/>
        </w:rPr>
        <w:t xml:space="preserve">Cu privire la activitatea de acordare a audienţelor, este de menţionat că pe parcursul anului 2023  a fost acordat un număr de </w:t>
      </w:r>
      <w:r w:rsidR="00554C01">
        <w:rPr>
          <w:rStyle w:val="rvts5"/>
          <w:rFonts w:asciiTheme="minorHAnsi" w:hAnsiTheme="minorHAnsi" w:cstheme="minorHAnsi"/>
          <w:sz w:val="26"/>
          <w:szCs w:val="26"/>
        </w:rPr>
        <w:t>215</w:t>
      </w:r>
      <w:r w:rsidRPr="00564DC7">
        <w:rPr>
          <w:rStyle w:val="rvts5"/>
          <w:rFonts w:asciiTheme="minorHAnsi" w:hAnsiTheme="minorHAnsi" w:cstheme="minorHAnsi"/>
          <w:sz w:val="26"/>
          <w:szCs w:val="26"/>
        </w:rPr>
        <w:t xml:space="preserve"> audienţe de către personalul de specialitatate juridică din cadrul Biroului relaţii cu publicul</w:t>
      </w:r>
      <w:r w:rsidRPr="00564DC7">
        <w:rPr>
          <w:rFonts w:asciiTheme="minorHAnsi" w:hAnsiTheme="minorHAnsi" w:cstheme="minorHAnsi"/>
          <w:sz w:val="26"/>
          <w:szCs w:val="26"/>
        </w:rPr>
        <w:t xml:space="preserve">. Audienţele reprezintă principalul mijloc de dialog cu cetăţenii, precum şi modalitatea cea mai rapidă prin care se pot identifica cu precizie problemele acestora. </w:t>
      </w:r>
    </w:p>
    <w:p w14:paraId="02D8D27A" w14:textId="77777777" w:rsidR="0003082F" w:rsidRPr="00564DC7" w:rsidRDefault="0003082F" w:rsidP="00690186">
      <w:pPr>
        <w:ind w:firstLine="709"/>
        <w:jc w:val="both"/>
        <w:rPr>
          <w:rFonts w:asciiTheme="minorHAnsi" w:hAnsiTheme="minorHAnsi" w:cstheme="minorHAnsi"/>
          <w:b/>
          <w:i/>
          <w:sz w:val="26"/>
          <w:szCs w:val="26"/>
        </w:rPr>
      </w:pPr>
      <w:r w:rsidRPr="00564DC7">
        <w:rPr>
          <w:rFonts w:asciiTheme="minorHAnsi" w:hAnsiTheme="minorHAnsi" w:cstheme="minorHAnsi"/>
          <w:sz w:val="26"/>
          <w:szCs w:val="26"/>
        </w:rPr>
        <w:t>Î</w:t>
      </w:r>
      <w:r w:rsidRPr="00564DC7">
        <w:rPr>
          <w:rStyle w:val="rvts5"/>
          <w:rFonts w:asciiTheme="minorHAnsi" w:hAnsiTheme="minorHAnsi" w:cstheme="minorHAnsi"/>
          <w:sz w:val="26"/>
          <w:szCs w:val="26"/>
        </w:rPr>
        <w:t>n majoritatea cazurilor, persoanele care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564DC7">
        <w:rPr>
          <w:rFonts w:asciiTheme="minorHAnsi" w:hAnsiTheme="minorHAnsi" w:cstheme="minorHAnsi"/>
          <w:b/>
          <w:i/>
          <w:sz w:val="26"/>
          <w:szCs w:val="26"/>
        </w:rPr>
        <w:t xml:space="preserve"> </w:t>
      </w:r>
    </w:p>
    <w:p w14:paraId="530F31DD" w14:textId="7F9D9D8F" w:rsidR="0003082F" w:rsidRPr="00564DC7" w:rsidRDefault="0003082F"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Rigurozitatea în analiza problemelor semnalate de petiţionari, colaborarea activă cu celelalte departamente ale aparatului tehnic din cadrul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în angrenajul autorităţilor publice şi la o </w:t>
      </w:r>
      <w:r w:rsidR="00B732F8">
        <w:rPr>
          <w:rFonts w:asciiTheme="minorHAnsi" w:hAnsiTheme="minorHAnsi" w:cstheme="minorHAnsi"/>
          <w:sz w:val="26"/>
          <w:szCs w:val="26"/>
        </w:rPr>
        <w:t xml:space="preserve">imagine </w:t>
      </w:r>
      <w:r w:rsidRPr="00564DC7">
        <w:rPr>
          <w:rFonts w:asciiTheme="minorHAnsi" w:hAnsiTheme="minorHAnsi" w:cstheme="minorHAnsi"/>
          <w:sz w:val="26"/>
          <w:szCs w:val="26"/>
        </w:rPr>
        <w:t xml:space="preserve">mai corectă asupra sistemului judiciar şi asupra activităţii magistraţilor.  </w:t>
      </w:r>
    </w:p>
    <w:p w14:paraId="08F8D730" w14:textId="77777777" w:rsidR="0003082F" w:rsidRPr="00564DC7" w:rsidRDefault="0003082F" w:rsidP="00690186">
      <w:pPr>
        <w:ind w:firstLine="709"/>
        <w:jc w:val="both"/>
        <w:rPr>
          <w:rFonts w:asciiTheme="minorHAnsi" w:hAnsiTheme="minorHAnsi" w:cstheme="minorHAnsi"/>
          <w:bCs/>
          <w:sz w:val="26"/>
          <w:szCs w:val="26"/>
        </w:rPr>
      </w:pPr>
      <w:r w:rsidRPr="00564DC7">
        <w:rPr>
          <w:rFonts w:asciiTheme="minorHAnsi" w:hAnsiTheme="minorHAnsi" w:cstheme="minorHAnsi"/>
          <w:bCs/>
          <w:sz w:val="26"/>
          <w:szCs w:val="26"/>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14:paraId="5C3A8E29" w14:textId="4D640622" w:rsidR="00B7362B" w:rsidRDefault="0003082F" w:rsidP="00690186">
      <w:pPr>
        <w:ind w:firstLine="709"/>
        <w:jc w:val="both"/>
        <w:rPr>
          <w:rFonts w:asciiTheme="minorHAnsi" w:hAnsiTheme="minorHAnsi" w:cstheme="minorHAnsi"/>
          <w:bCs/>
          <w:sz w:val="26"/>
          <w:szCs w:val="26"/>
        </w:rPr>
      </w:pPr>
      <w:r w:rsidRPr="00564DC7">
        <w:rPr>
          <w:rFonts w:asciiTheme="minorHAnsi" w:hAnsiTheme="minorHAnsi" w:cstheme="minorHAnsi"/>
          <w:sz w:val="26"/>
          <w:szCs w:val="26"/>
        </w:rPr>
        <w:t>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w:t>
      </w:r>
      <w:r w:rsidRPr="00564DC7">
        <w:rPr>
          <w:rFonts w:asciiTheme="minorHAnsi" w:hAnsiTheme="minorHAnsi" w:cstheme="minorHAnsi"/>
          <w:bCs/>
          <w:sz w:val="26"/>
          <w:szCs w:val="26"/>
        </w:rPr>
        <w:t>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w:t>
      </w:r>
    </w:p>
    <w:p w14:paraId="6E78A3A0" w14:textId="5305AB13" w:rsidR="006C1588" w:rsidRPr="00564DC7" w:rsidRDefault="006C1588" w:rsidP="00690186">
      <w:pPr>
        <w:pStyle w:val="Heading3"/>
        <w:keepNext w:val="0"/>
        <w:keepLines w:val="0"/>
        <w:suppressLineNumbers/>
        <w:suppressAutoHyphens/>
        <w:spacing w:line="240" w:lineRule="auto"/>
        <w:rPr>
          <w:rFonts w:cstheme="minorHAnsi"/>
          <w:color w:val="auto"/>
        </w:rPr>
      </w:pPr>
      <w:bookmarkStart w:id="160" w:name="_Toc155267919"/>
      <w:r w:rsidRPr="00564DC7">
        <w:rPr>
          <w:rFonts w:cstheme="minorHAnsi"/>
          <w:color w:val="auto"/>
        </w:rPr>
        <w:t>VI.6.2. Activitatea de registratură, secretariat şi arhivă</w:t>
      </w:r>
      <w:bookmarkEnd w:id="160"/>
    </w:p>
    <w:p w14:paraId="45E9BD5D" w14:textId="12E1B30E" w:rsidR="0003082F" w:rsidRPr="00554C01" w:rsidRDefault="0003082F" w:rsidP="00690186">
      <w:pPr>
        <w:ind w:firstLine="709"/>
        <w:jc w:val="both"/>
        <w:rPr>
          <w:rFonts w:asciiTheme="minorHAnsi" w:hAnsiTheme="minorHAnsi" w:cstheme="minorHAnsi"/>
          <w:bCs/>
          <w:iCs/>
          <w:sz w:val="26"/>
          <w:szCs w:val="26"/>
        </w:rPr>
      </w:pPr>
      <w:r w:rsidRPr="00564DC7">
        <w:rPr>
          <w:rFonts w:asciiTheme="minorHAnsi" w:hAnsiTheme="minorHAnsi" w:cstheme="minorHAnsi"/>
          <w:bCs/>
          <w:iCs/>
          <w:sz w:val="26"/>
          <w:szCs w:val="26"/>
        </w:rPr>
        <w:t>În perioada analizată, Compartimentul registratură, secretariat şi arhivă</w:t>
      </w:r>
      <w:r w:rsidRPr="00564DC7">
        <w:rPr>
          <w:rFonts w:asciiTheme="minorHAnsi" w:hAnsiTheme="minorHAnsi" w:cstheme="minorHAnsi"/>
          <w:b/>
          <w:bCs/>
          <w:i/>
          <w:iCs/>
          <w:sz w:val="26"/>
          <w:szCs w:val="26"/>
        </w:rPr>
        <w:t xml:space="preserve"> </w:t>
      </w:r>
      <w:r w:rsidRPr="00564DC7">
        <w:rPr>
          <w:rFonts w:asciiTheme="minorHAnsi" w:hAnsiTheme="minorHAnsi" w:cstheme="minorHAnsi"/>
          <w:bCs/>
          <w:iCs/>
          <w:sz w:val="26"/>
          <w:szCs w:val="26"/>
        </w:rPr>
        <w:t xml:space="preserve">a înregistrat şi repartizat către compartimentele competente un număr de </w:t>
      </w:r>
      <w:r w:rsidR="00554C01" w:rsidRPr="00554C01">
        <w:rPr>
          <w:rFonts w:asciiTheme="minorHAnsi" w:hAnsiTheme="minorHAnsi" w:cstheme="minorHAnsi"/>
          <w:bCs/>
          <w:iCs/>
          <w:sz w:val="26"/>
          <w:szCs w:val="26"/>
        </w:rPr>
        <w:t xml:space="preserve">11590 </w:t>
      </w:r>
      <w:r w:rsidRPr="00554C01">
        <w:rPr>
          <w:rFonts w:asciiTheme="minorHAnsi" w:hAnsiTheme="minorHAnsi" w:cstheme="minorHAnsi"/>
          <w:bCs/>
          <w:iCs/>
          <w:sz w:val="26"/>
          <w:szCs w:val="26"/>
        </w:rPr>
        <w:t xml:space="preserve">lucrări. </w:t>
      </w:r>
    </w:p>
    <w:p w14:paraId="33126D75" w14:textId="2A64AFC0" w:rsidR="0003082F" w:rsidRPr="00554C01" w:rsidRDefault="0003082F" w:rsidP="00690186">
      <w:pPr>
        <w:ind w:firstLine="709"/>
        <w:jc w:val="both"/>
        <w:rPr>
          <w:rFonts w:asciiTheme="minorHAnsi" w:hAnsiTheme="minorHAnsi" w:cstheme="minorHAnsi"/>
          <w:bCs/>
          <w:iCs/>
          <w:sz w:val="26"/>
          <w:szCs w:val="26"/>
        </w:rPr>
      </w:pPr>
      <w:r w:rsidRPr="00554C01">
        <w:rPr>
          <w:rFonts w:asciiTheme="minorHAnsi" w:hAnsiTheme="minorHAnsi" w:cstheme="minorHAnsi"/>
          <w:bCs/>
          <w:iCs/>
          <w:sz w:val="26"/>
          <w:szCs w:val="26"/>
        </w:rPr>
        <w:t xml:space="preserve">Potrivit competenţelor conferite de lege, Compartimentul registratură, secretariat şi arhivă a expediat prin Poşta Romană şi prin Poşta Militară un număr </w:t>
      </w:r>
      <w:r w:rsidR="001C5CD5" w:rsidRPr="00554C01">
        <w:rPr>
          <w:rFonts w:asciiTheme="minorHAnsi" w:hAnsiTheme="minorHAnsi" w:cstheme="minorHAnsi"/>
          <w:bCs/>
          <w:iCs/>
          <w:sz w:val="26"/>
          <w:szCs w:val="26"/>
        </w:rPr>
        <w:t>de</w:t>
      </w:r>
      <w:r w:rsidR="00554C01">
        <w:rPr>
          <w:rFonts w:asciiTheme="minorHAnsi" w:hAnsiTheme="minorHAnsi" w:cstheme="minorHAnsi"/>
          <w:bCs/>
          <w:iCs/>
          <w:sz w:val="26"/>
          <w:szCs w:val="26"/>
        </w:rPr>
        <w:t xml:space="preserve"> </w:t>
      </w:r>
      <w:r w:rsidR="00554C01" w:rsidRPr="00554C01">
        <w:rPr>
          <w:rFonts w:asciiTheme="minorHAnsi" w:hAnsiTheme="minorHAnsi" w:cstheme="minorHAnsi"/>
          <w:bCs/>
          <w:iCs/>
          <w:sz w:val="26"/>
          <w:szCs w:val="26"/>
        </w:rPr>
        <w:t xml:space="preserve">7170 </w:t>
      </w:r>
      <w:r w:rsidRPr="00554C01">
        <w:rPr>
          <w:rFonts w:asciiTheme="minorHAnsi" w:hAnsiTheme="minorHAnsi" w:cstheme="minorHAnsi"/>
          <w:bCs/>
          <w:iCs/>
          <w:sz w:val="26"/>
          <w:szCs w:val="26"/>
        </w:rPr>
        <w:t xml:space="preserve">lucrări. </w:t>
      </w:r>
    </w:p>
    <w:p w14:paraId="372DEA78" w14:textId="4AD115D8" w:rsidR="00021ABC" w:rsidRDefault="0003082F" w:rsidP="00690186">
      <w:pPr>
        <w:ind w:firstLine="709"/>
        <w:jc w:val="both"/>
        <w:rPr>
          <w:rFonts w:asciiTheme="minorHAnsi" w:hAnsiTheme="minorHAnsi" w:cstheme="minorHAnsi"/>
          <w:bCs/>
          <w:iCs/>
          <w:sz w:val="26"/>
          <w:szCs w:val="26"/>
          <w:lang w:val="it-IT"/>
        </w:rPr>
      </w:pPr>
      <w:r w:rsidRPr="00554C01">
        <w:rPr>
          <w:rFonts w:asciiTheme="minorHAnsi" w:hAnsiTheme="minorHAnsi" w:cstheme="minorHAnsi"/>
          <w:bCs/>
          <w:iCs/>
          <w:sz w:val="26"/>
          <w:szCs w:val="26"/>
          <w:lang w:val="it-IT"/>
        </w:rPr>
        <w:t>De asemenea, în perioada analizată, departamentul de arhivă s-a implicat în procedura</w:t>
      </w:r>
      <w:r w:rsidR="00690186" w:rsidRPr="00554C01">
        <w:rPr>
          <w:rFonts w:asciiTheme="minorHAnsi" w:hAnsiTheme="minorHAnsi" w:cstheme="minorHAnsi"/>
          <w:bCs/>
          <w:iCs/>
          <w:sz w:val="26"/>
          <w:szCs w:val="26"/>
          <w:lang w:val="it-IT"/>
        </w:rPr>
        <w:t xml:space="preserve"> de arhivare</w:t>
      </w:r>
      <w:r w:rsidRPr="00554C01">
        <w:rPr>
          <w:rFonts w:asciiTheme="minorHAnsi" w:hAnsiTheme="minorHAnsi" w:cstheme="minorHAnsi"/>
          <w:bCs/>
          <w:iCs/>
          <w:sz w:val="26"/>
          <w:szCs w:val="26"/>
          <w:lang w:val="it-IT"/>
        </w:rPr>
        <w:t xml:space="preserve">, selecţionare şi casare a documentelor aflate în depozitul instituţiei (aprox. </w:t>
      </w:r>
      <w:r w:rsidR="00554C01" w:rsidRPr="00554C01">
        <w:rPr>
          <w:rFonts w:asciiTheme="minorHAnsi" w:hAnsiTheme="minorHAnsi" w:cstheme="minorHAnsi"/>
          <w:bCs/>
          <w:iCs/>
          <w:sz w:val="26"/>
          <w:szCs w:val="26"/>
          <w:lang w:val="it-IT"/>
        </w:rPr>
        <w:t>30460</w:t>
      </w:r>
      <w:r w:rsidR="001C5CD5" w:rsidRPr="00554C01">
        <w:rPr>
          <w:rFonts w:asciiTheme="minorHAnsi" w:hAnsiTheme="minorHAnsi" w:cstheme="minorHAnsi"/>
          <w:bCs/>
          <w:iCs/>
          <w:sz w:val="26"/>
          <w:szCs w:val="26"/>
          <w:lang w:val="it-IT"/>
        </w:rPr>
        <w:t xml:space="preserve"> de </w:t>
      </w:r>
      <w:r w:rsidRPr="00554C01">
        <w:rPr>
          <w:rFonts w:asciiTheme="minorHAnsi" w:hAnsiTheme="minorHAnsi" w:cstheme="minorHAnsi"/>
          <w:bCs/>
          <w:iCs/>
          <w:sz w:val="26"/>
          <w:szCs w:val="26"/>
          <w:lang w:val="it-IT"/>
        </w:rPr>
        <w:t xml:space="preserve">Kg), </w:t>
      </w:r>
      <w:r w:rsidRPr="00564DC7">
        <w:rPr>
          <w:rFonts w:asciiTheme="minorHAnsi" w:hAnsiTheme="minorHAnsi" w:cstheme="minorHAnsi"/>
          <w:bCs/>
          <w:iCs/>
          <w:sz w:val="26"/>
          <w:szCs w:val="26"/>
          <w:lang w:val="it-IT"/>
        </w:rPr>
        <w:t>pentru care timpul de păstrare a expirat, conform Nomenclatorului arhivistic.</w:t>
      </w:r>
    </w:p>
    <w:p w14:paraId="15281D0B" w14:textId="77777777" w:rsidR="006D2B12" w:rsidRPr="00564DC7" w:rsidRDefault="006D2B12" w:rsidP="00690186">
      <w:pPr>
        <w:ind w:firstLine="709"/>
        <w:jc w:val="both"/>
        <w:rPr>
          <w:rFonts w:asciiTheme="minorHAnsi" w:hAnsiTheme="minorHAnsi" w:cstheme="minorHAnsi"/>
        </w:rPr>
      </w:pPr>
    </w:p>
    <w:p w14:paraId="67CBCDB5" w14:textId="78BF4963" w:rsidR="006C1588" w:rsidRPr="00564DC7" w:rsidRDefault="006C1588" w:rsidP="00690186">
      <w:pPr>
        <w:pStyle w:val="Heading2"/>
        <w:keepLines w:val="0"/>
        <w:suppressLineNumbers/>
        <w:suppressAutoHyphens/>
        <w:spacing w:line="240" w:lineRule="auto"/>
        <w:rPr>
          <w:rFonts w:cstheme="minorHAnsi"/>
          <w:color w:val="auto"/>
          <w:lang w:val="ro-RO"/>
        </w:rPr>
      </w:pPr>
      <w:bookmarkStart w:id="161" w:name="_Toc430867138"/>
      <w:bookmarkStart w:id="162" w:name="_Toc155267920"/>
      <w:r w:rsidRPr="00564DC7">
        <w:rPr>
          <w:rFonts w:cstheme="minorHAnsi"/>
          <w:color w:val="auto"/>
          <w:lang w:val="ro-RO"/>
        </w:rPr>
        <w:lastRenderedPageBreak/>
        <w:t>VI.7. Activitatea Biroului de informare publică şi relaţii cu mass</w:t>
      </w:r>
      <w:r w:rsidR="00A01972" w:rsidRPr="00564DC7">
        <w:rPr>
          <w:rFonts w:cstheme="minorHAnsi"/>
          <w:color w:val="auto"/>
          <w:lang w:val="ro-RO"/>
        </w:rPr>
        <w:t>-</w:t>
      </w:r>
      <w:r w:rsidRPr="00564DC7">
        <w:rPr>
          <w:rFonts w:cstheme="minorHAnsi"/>
          <w:color w:val="auto"/>
          <w:lang w:val="ro-RO"/>
        </w:rPr>
        <w:t>media</w:t>
      </w:r>
      <w:bookmarkEnd w:id="161"/>
      <w:bookmarkEnd w:id="162"/>
    </w:p>
    <w:p w14:paraId="51C555A1" w14:textId="77777777" w:rsidR="00586A66" w:rsidRPr="00564DC7" w:rsidRDefault="00586A66" w:rsidP="00690186">
      <w:pPr>
        <w:keepNext/>
        <w:ind w:firstLine="709"/>
        <w:jc w:val="both"/>
        <w:rPr>
          <w:rFonts w:asciiTheme="minorHAnsi" w:hAnsiTheme="minorHAnsi" w:cstheme="minorHAnsi"/>
          <w:sz w:val="26"/>
          <w:szCs w:val="26"/>
        </w:rPr>
      </w:pPr>
      <w:bookmarkStart w:id="163" w:name="_Toc430867139"/>
      <w:r w:rsidRPr="00564DC7">
        <w:rPr>
          <w:rFonts w:asciiTheme="minorHAnsi" w:hAnsiTheme="minorHAnsi" w:cstheme="minorHAnsi"/>
          <w:sz w:val="26"/>
          <w:szCs w:val="26"/>
        </w:rPr>
        <w:t xml:space="preserve">Biroul de informare și relații cu mass-media, aflat în subordinea directă a președintelui Consiliului, și-a desfășurat activitatea și în anul 2023 în cadrul specific comunicării publice instituționale, cu respectarea dispozițiilor legale. </w:t>
      </w:r>
    </w:p>
    <w:p w14:paraId="1A72E49F" w14:textId="77777777" w:rsidR="00586A66" w:rsidRPr="00564DC7" w:rsidRDefault="00586A66"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Obiectivul activităților derulate în cadrul Biroului de informare publică și</w:t>
      </w:r>
      <w:r w:rsidRPr="00564DC7">
        <w:rPr>
          <w:rFonts w:asciiTheme="minorHAnsi" w:hAnsiTheme="minorHAnsi" w:cstheme="minorHAnsi"/>
          <w:b/>
          <w:bCs/>
          <w:sz w:val="26"/>
          <w:szCs w:val="26"/>
        </w:rPr>
        <w:t xml:space="preserve"> </w:t>
      </w:r>
      <w:r w:rsidRPr="00564DC7">
        <w:rPr>
          <w:rFonts w:asciiTheme="minorHAnsi" w:hAnsiTheme="minorHAnsi" w:cstheme="minorHAnsi"/>
          <w:sz w:val="26"/>
          <w:szCs w:val="26"/>
        </w:rPr>
        <w:t xml:space="preserve">relații cu mass-media a fost îmbunătățirea imaginii publice a Consiliului Superior al Magistraturii și a sistemului judiciar în ansamblul său, prin creșterea gradului de transparență a acestora în scopul unei informări publice corecte și complete, a corelării cu nevoile de informare contemporane ale publicului și, implicit, prin creșterea gradului de încredere a cetățeanului în sistemul de justiție. </w:t>
      </w:r>
    </w:p>
    <w:p w14:paraId="44B96727" w14:textId="77777777" w:rsidR="00586A66" w:rsidRPr="00564DC7" w:rsidRDefault="00586A66"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Aceste deziderate au impus și în cursul anului 2023 îmbunătățirea tehnicilor de comunicare atât în interiorul, cât și în exteriorul sistemului din perspectiva accesului la informațiile de interes public, astfel cum este reglementat prin Legea nr. 544/2001 privind liberul acces la informațiile de interes public.</w:t>
      </w:r>
    </w:p>
    <w:p w14:paraId="17B71046" w14:textId="77777777" w:rsidR="00586A66" w:rsidRPr="00564DC7" w:rsidRDefault="00586A66"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După intrarea în vigoare a 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analiza solicitărilor adresate biroului a devenit complexă din perspectiva documentării suplimentare pentru a fi asigurată corelarea dintre practica administrativă anterioară a Consiliului, cu noile dispoziții care urmăresc protejarea datelor personale și interesul public al cetățeanului, interes public afirmat constant și fără nicio distincție (date confidențiale - date publice) de către reprezentanții mass media în demersurile și solicitările acestora.</w:t>
      </w:r>
    </w:p>
    <w:p w14:paraId="64F7FD62"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Și în anul 2023, justiția a fost folosită constant ca temă de dezbatere publică, printr-o multitudine de canale de comunicare (emisiuni TV, presă scrisă, online, audio, video, platforma socială </w:t>
      </w:r>
      <w:r w:rsidRPr="00564DC7">
        <w:rPr>
          <w:rFonts w:asciiTheme="minorHAnsi" w:hAnsiTheme="minorHAnsi" w:cstheme="minorHAnsi"/>
          <w:iCs/>
          <w:sz w:val="26"/>
          <w:szCs w:val="26"/>
        </w:rPr>
        <w:t>Facebook</w:t>
      </w:r>
      <w:r w:rsidRPr="00564DC7">
        <w:rPr>
          <w:rFonts w:asciiTheme="minorHAnsi" w:hAnsiTheme="minorHAnsi" w:cstheme="minorHAnsi"/>
          <w:sz w:val="26"/>
          <w:szCs w:val="26"/>
        </w:rPr>
        <w:t xml:space="preserve">, pagini de internet oficiale ale unor instituții publice sau platforme politice, etc.), fiind lansate atacuri la adresa independenței justiției, precum și la adresa independenței şi reputației magistraților individual. </w:t>
      </w:r>
    </w:p>
    <w:p w14:paraId="18C07C09"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În acest context, una dintre prioritățile biroului a fost identificarea situațiilor de afectare a independenței justiției, a reputației şi independenței magistraților în scopul sancționării unor astfel de atacuri, dar şi preocuparea pentru prevenirea expansiunii unor speculații şi atacuri la adresa independenței justiției şi a magistraților.</w:t>
      </w:r>
    </w:p>
    <w:p w14:paraId="2B631A2C"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Monitorizarea atentă şi continuă a presei centrale şi locale, online, scrise, audio şi video, s-a concretizat în sesizări ale Inspecției Judiciare dispuse de conducerea Consiliului, pentru ca, ulterior, Plenul sau Secțiile să adopte hotărâri de apărare în acest domeniu şi poziții publice ferme prin publicarea unor informări sau comunicate de presă, cu respectarea cerințelor de claritate şi accesibilitate în transmiterea mesajului public, pe baza rapoartelor întocmite de inspectorii judiciari. Atunci când s-a apreciat necesar, a fost sesizat și Consiliul Național al Audiovizualului.</w:t>
      </w:r>
    </w:p>
    <w:p w14:paraId="13EFC69B"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Identificarea problemelor de interpretare şi aplicare a dispozițiilor </w:t>
      </w:r>
      <w:r w:rsidRPr="00564DC7">
        <w:rPr>
          <w:rFonts w:asciiTheme="minorHAnsi" w:hAnsiTheme="minorHAnsi" w:cstheme="minorHAnsi"/>
          <w:iCs/>
          <w:sz w:val="26"/>
          <w:szCs w:val="26"/>
        </w:rPr>
        <w:t>Ghidului</w:t>
      </w:r>
      <w:r w:rsidRPr="00564DC7">
        <w:rPr>
          <w:rFonts w:asciiTheme="minorHAnsi" w:hAnsiTheme="minorHAnsi" w:cstheme="minorHAnsi"/>
          <w:sz w:val="26"/>
          <w:szCs w:val="26"/>
        </w:rPr>
        <w:t xml:space="preserve"> de bune practici privind relația sistemului judiciar cu mass-media</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fie la sesizarea purtătorilor de cuvânt din instanțe şi parchete, fie a jurnaliștilor, şi coordonarea unei interpretări cât mai unitare a acestui instrument au constituit o altă preocupare în activitatea biroului.</w:t>
      </w:r>
    </w:p>
    <w:p w14:paraId="70A2D9C2"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Inițiate în cea mai mare parte de jurnaliști, solicitările telefonice au fost și în cursul acestui an adresate şi de justițiabilii nemulțumiți de activitatea magistraților, a Inspecției Judiciare, a Consiliului, de soluțiile pronunțate de judecători sau procurori. Furnizarea unui </w:t>
      </w:r>
      <w:r w:rsidRPr="00564DC7">
        <w:rPr>
          <w:rFonts w:asciiTheme="minorHAnsi" w:hAnsiTheme="minorHAnsi" w:cstheme="minorHAnsi"/>
          <w:iCs/>
          <w:sz w:val="26"/>
          <w:szCs w:val="26"/>
        </w:rPr>
        <w:t>feed-back</w:t>
      </w:r>
      <w:r w:rsidRPr="00564DC7">
        <w:rPr>
          <w:rFonts w:asciiTheme="minorHAnsi" w:hAnsiTheme="minorHAnsi" w:cstheme="minorHAnsi"/>
          <w:sz w:val="26"/>
          <w:szCs w:val="26"/>
        </w:rPr>
        <w:t xml:space="preserve"> prompt jurnaliștilor şi altor persoane sau organizații interesate, a fost un element suplimentar de îmbunătățire a imaginii instituției şi chiar de prevenire a lansării în spațiul public a unor informații nereale sau trunchiate.</w:t>
      </w:r>
    </w:p>
    <w:p w14:paraId="3288E32F"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 xml:space="preserve">Din punct de vedere al modalităților de comunicare, ținând cont de evoluția tehnologică spectaculoasă a ultimilor ani, a fost valorificată o largă paletă a canalelor şi instrumentelor de comunicare, inclusiv platforma social media </w:t>
      </w:r>
      <w:r w:rsidRPr="00515280">
        <w:rPr>
          <w:rFonts w:asciiTheme="minorHAnsi" w:hAnsiTheme="minorHAnsi" w:cstheme="minorHAnsi"/>
          <w:sz w:val="26"/>
          <w:szCs w:val="26"/>
        </w:rPr>
        <w:t>Facebook.</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Comunicarea publică</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 xml:space="preserve">prin platforme social media prezintă avantaje indubitabile pentru imaginea şi vizibilitatea instituției. Dincolo de rapiditatea cu care mesajele sunt difuzate şi propagate în spațiul public față de un număr mare de potențiali destinatari, aparținând tuturor categoriilor de grupuri țintă, utilizarea unor elemente de identitate vizuală fac mult mai atractiv mesajul public transmis, inclusiv printre utilizatorii din segmentul tânăr al populației, care ar trebui să beneficieze din timp de educație juridică. </w:t>
      </w:r>
    </w:p>
    <w:p w14:paraId="488057B8"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Platforma social media Facebook Consiliul Superior al Magistraturii</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alături de</w:t>
      </w:r>
      <w:r w:rsidRPr="00564DC7">
        <w:rPr>
          <w:rFonts w:asciiTheme="minorHAnsi" w:hAnsiTheme="minorHAnsi" w:cstheme="minorHAnsi"/>
          <w:i/>
          <w:iCs/>
          <w:sz w:val="26"/>
          <w:szCs w:val="26"/>
        </w:rPr>
        <w:t xml:space="preserve"> </w:t>
      </w:r>
      <w:r w:rsidRPr="00564DC7">
        <w:rPr>
          <w:rFonts w:asciiTheme="minorHAnsi" w:hAnsiTheme="minorHAnsi" w:cstheme="minorHAnsi"/>
          <w:sz w:val="26"/>
          <w:szCs w:val="26"/>
        </w:rPr>
        <w:t>aplicația telefonică WhatsApp şi de instrumentele de comunicare utilizate în relația cu mass media (comunicat de presă, informare de presă), au reprezentat canale de comunicare eficiente pentru asigurarea unei vizibilități sporite a activității instituției, inclusiv în cadrul proiectelor cu finanțare externă derulate de Consiliu.</w:t>
      </w:r>
    </w:p>
    <w:p w14:paraId="7EB1F8EB"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De asemenea, trebuie menționată finalizarea în cursul anului 2023 a proiectului TAEJ - Transparență, accesibilitate și educație juridică prin îmbunătățirea comunicării publice la nivelul sistemului judiciar, cod SIPOCA 454/ cod MySMIS 118765, finanțat în cadrul Programului Operațional Capacitate Administrativă 2014-2020, care a avut ca obiectiv principal îmbunătățirea comunicării publice la nivelul sistemului judiciar. Ghidurile realizate în cadrul proiectului, campania media de informare difuzată pe toate canalele media, broșurile de informare a cetățenilor cu privire la drepturile acestora ori panourile afișate tot în scop informativ au contribuit esențial la îmbunătățirea mecanismelor de comunicare, la informarea și educarea juridică a cetățenilor, precum și la creșterea vizibilității instituționale.</w:t>
      </w:r>
    </w:p>
    <w:p w14:paraId="0CA74FBA"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În cursul anului 2023, au fost actualizate materialele puse la dispoziție în cadrul Centrului de Informare de la parterul Consiliului, materiale ce au fost utilizate şi cu ocazia Zilei Europene a Justiției pentru informarea cetățenilor. </w:t>
      </w:r>
    </w:p>
    <w:p w14:paraId="09AA4BE5"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Cu ocazia Zilei Europene a Justiției, sediul Consiliului a găzduit peste 100 de studenți din cadrul facultăților de drept din București și de auditori de justiție din cadrul Institutului Național al Magistraturii care au participat la activități de informare privind activitatea instituției, organizarea sistemului judiciar și tehnici de comunicare publică.</w:t>
      </w:r>
    </w:p>
    <w:p w14:paraId="652E41F1" w14:textId="77777777" w:rsidR="00586A66" w:rsidRPr="00564DC7" w:rsidRDefault="00586A66">
      <w:pPr>
        <w:pStyle w:val="ListParagraph"/>
        <w:numPr>
          <w:ilvl w:val="0"/>
          <w:numId w:val="30"/>
        </w:numPr>
        <w:tabs>
          <w:tab w:val="left" w:pos="1080"/>
        </w:tabs>
        <w:ind w:left="0" w:right="48" w:firstLine="709"/>
        <w:jc w:val="both"/>
        <w:rPr>
          <w:rFonts w:asciiTheme="minorHAnsi" w:hAnsiTheme="minorHAnsi" w:cstheme="minorHAnsi"/>
          <w:b/>
          <w:bCs/>
          <w:sz w:val="26"/>
          <w:szCs w:val="26"/>
        </w:rPr>
      </w:pPr>
      <w:r w:rsidRPr="00564DC7">
        <w:rPr>
          <w:rFonts w:asciiTheme="minorHAnsi" w:hAnsiTheme="minorHAnsi" w:cstheme="minorHAnsi"/>
          <w:b/>
          <w:bCs/>
          <w:sz w:val="26"/>
          <w:szCs w:val="26"/>
        </w:rPr>
        <w:t>Volumul de activitate</w:t>
      </w:r>
    </w:p>
    <w:p w14:paraId="3AA4ABC5" w14:textId="77777777" w:rsidR="00586A66" w:rsidRPr="00D218FE" w:rsidRDefault="00586A66" w:rsidP="00D218FE">
      <w:pPr>
        <w:ind w:right="48" w:firstLine="709"/>
        <w:jc w:val="both"/>
        <w:rPr>
          <w:rFonts w:asciiTheme="minorHAnsi" w:hAnsiTheme="minorHAnsi" w:cstheme="minorHAnsi"/>
          <w:sz w:val="26"/>
          <w:szCs w:val="26"/>
        </w:rPr>
      </w:pPr>
      <w:r w:rsidRPr="00D218FE">
        <w:rPr>
          <w:rFonts w:asciiTheme="minorHAnsi" w:hAnsiTheme="minorHAnsi" w:cstheme="minorHAnsi"/>
          <w:sz w:val="26"/>
          <w:szCs w:val="26"/>
        </w:rPr>
        <w:t xml:space="preserve">Sub aspectul cuantificării volumului de activitate derulat de Biroul de informare publică şi relații cu mass- media în anul 2023, acesta poate fi redat după cum urmează: </w:t>
      </w:r>
    </w:p>
    <w:p w14:paraId="4AE50E45" w14:textId="77777777" w:rsidR="00554C01" w:rsidRPr="00554C01" w:rsidRDefault="00554C01" w:rsidP="00554C01">
      <w:pPr>
        <w:numPr>
          <w:ilvl w:val="0"/>
          <w:numId w:val="31"/>
        </w:numPr>
        <w:tabs>
          <w:tab w:val="left" w:pos="990"/>
        </w:tabs>
        <w:ind w:left="0" w:right="48" w:firstLine="709"/>
        <w:jc w:val="both"/>
        <w:rPr>
          <w:rFonts w:asciiTheme="minorHAnsi" w:hAnsiTheme="minorHAnsi" w:cstheme="minorHAnsi"/>
          <w:sz w:val="26"/>
          <w:szCs w:val="26"/>
        </w:rPr>
      </w:pPr>
      <w:r w:rsidRPr="00554C01">
        <w:rPr>
          <w:rFonts w:asciiTheme="minorHAnsi" w:hAnsiTheme="minorHAnsi" w:cstheme="minorHAnsi"/>
          <w:sz w:val="26"/>
          <w:szCs w:val="26"/>
        </w:rPr>
        <w:t>au fost emise un număr de 55 de comunicări sub formă de informări de presă, comunicate de presă, precizări, mesaje;</w:t>
      </w:r>
    </w:p>
    <w:p w14:paraId="5061493A" w14:textId="77777777" w:rsidR="00554C01" w:rsidRPr="00554C01" w:rsidRDefault="00554C01" w:rsidP="00554C01">
      <w:pPr>
        <w:numPr>
          <w:ilvl w:val="0"/>
          <w:numId w:val="31"/>
        </w:numPr>
        <w:tabs>
          <w:tab w:val="left" w:pos="990"/>
        </w:tabs>
        <w:ind w:left="0" w:right="48" w:firstLine="709"/>
        <w:jc w:val="both"/>
        <w:rPr>
          <w:rFonts w:asciiTheme="minorHAnsi" w:hAnsiTheme="minorHAnsi" w:cstheme="minorHAnsi"/>
          <w:sz w:val="26"/>
          <w:szCs w:val="26"/>
        </w:rPr>
      </w:pPr>
      <w:r w:rsidRPr="00554C01">
        <w:rPr>
          <w:rFonts w:asciiTheme="minorHAnsi" w:hAnsiTheme="minorHAnsi" w:cstheme="minorHAnsi"/>
          <w:sz w:val="26"/>
          <w:szCs w:val="26"/>
        </w:rPr>
        <w:t xml:space="preserve">s-au înregistrat 500 de lucrări având ca obiect solicitări formulate potrivit Legii nr. 544/2001 privind liberul acces la informațiile de interes public (321 solicitări scrise și 179 solicitări verbale) şi soluționat 499 </w:t>
      </w:r>
      <w:r w:rsidRPr="00261D6B">
        <w:rPr>
          <w:rFonts w:asciiTheme="minorHAnsi" w:hAnsiTheme="minorHAnsi" w:cstheme="minorHAnsi"/>
          <w:sz w:val="26"/>
          <w:szCs w:val="26"/>
          <w:lang w:val="fr-FR"/>
        </w:rPr>
        <w:t xml:space="preserve">(un </w:t>
      </w:r>
      <w:proofErr w:type="spellStart"/>
      <w:r w:rsidRPr="00261D6B">
        <w:rPr>
          <w:rFonts w:asciiTheme="minorHAnsi" w:hAnsiTheme="minorHAnsi" w:cstheme="minorHAnsi"/>
          <w:sz w:val="26"/>
          <w:szCs w:val="26"/>
          <w:lang w:val="fr-FR"/>
        </w:rPr>
        <w:t>solicitant</w:t>
      </w:r>
      <w:proofErr w:type="spellEnd"/>
      <w:r w:rsidRPr="00261D6B">
        <w:rPr>
          <w:rFonts w:asciiTheme="minorHAnsi" w:hAnsiTheme="minorHAnsi" w:cstheme="minorHAnsi"/>
          <w:sz w:val="26"/>
          <w:szCs w:val="26"/>
          <w:lang w:val="fr-FR"/>
        </w:rPr>
        <w:t xml:space="preserve"> a </w:t>
      </w:r>
      <w:proofErr w:type="spellStart"/>
      <w:r w:rsidRPr="00261D6B">
        <w:rPr>
          <w:rFonts w:asciiTheme="minorHAnsi" w:hAnsiTheme="minorHAnsi" w:cstheme="minorHAnsi"/>
          <w:sz w:val="26"/>
          <w:szCs w:val="26"/>
          <w:lang w:val="fr-FR"/>
        </w:rPr>
        <w:t>renun</w:t>
      </w:r>
      <w:proofErr w:type="spellEnd"/>
      <w:r w:rsidRPr="00554C01">
        <w:rPr>
          <w:rFonts w:asciiTheme="minorHAnsi" w:hAnsiTheme="minorHAnsi" w:cstheme="minorHAnsi"/>
          <w:sz w:val="26"/>
          <w:szCs w:val="26"/>
        </w:rPr>
        <w:t>țat la comunicarea răspunsului), dintre care 88 solicitări de informații exceptate de la liberul acces şi 16 greșit îndreptate, acestea din urmă fiind redirecționate, potrivit art. 24 din H.G. nr. 123/2002;</w:t>
      </w:r>
    </w:p>
    <w:p w14:paraId="3F431FF2" w14:textId="77777777" w:rsidR="00554C01" w:rsidRPr="00554C01" w:rsidRDefault="00554C01" w:rsidP="00554C01">
      <w:pPr>
        <w:numPr>
          <w:ilvl w:val="0"/>
          <w:numId w:val="31"/>
        </w:numPr>
        <w:tabs>
          <w:tab w:val="left" w:pos="990"/>
        </w:tabs>
        <w:ind w:left="0" w:right="48" w:firstLine="709"/>
        <w:jc w:val="both"/>
        <w:rPr>
          <w:rFonts w:asciiTheme="minorHAnsi" w:hAnsiTheme="minorHAnsi" w:cstheme="minorHAnsi"/>
          <w:sz w:val="26"/>
          <w:szCs w:val="26"/>
        </w:rPr>
      </w:pPr>
      <w:r w:rsidRPr="00554C01">
        <w:rPr>
          <w:rFonts w:asciiTheme="minorHAnsi" w:hAnsiTheme="minorHAnsi" w:cstheme="minorHAnsi"/>
          <w:sz w:val="26"/>
          <w:szCs w:val="26"/>
        </w:rPr>
        <w:t>au fost înregistrate la Biroului de informare publică și relații cu mass-media şi un număr de 45 petiții care nu erau fundamentate pe Legea nr. 544/2001, acestea fiind transmise Biroului de Relații cu Publicul din cadrul Consiliului Superior al Magistraturii, pentru a fi soluționate potrivit atribuțiilor;</w:t>
      </w:r>
    </w:p>
    <w:p w14:paraId="41B05FDF" w14:textId="759A7260" w:rsidR="00D218FE" w:rsidRPr="00D218FE" w:rsidRDefault="00D218FE" w:rsidP="00D218FE">
      <w:pPr>
        <w:numPr>
          <w:ilvl w:val="0"/>
          <w:numId w:val="31"/>
        </w:numPr>
        <w:tabs>
          <w:tab w:val="left" w:pos="990"/>
        </w:tabs>
        <w:ind w:left="0" w:right="48" w:firstLine="709"/>
        <w:jc w:val="both"/>
        <w:rPr>
          <w:rFonts w:asciiTheme="minorHAnsi" w:hAnsiTheme="minorHAnsi" w:cstheme="minorHAnsi"/>
          <w:sz w:val="26"/>
          <w:szCs w:val="26"/>
        </w:rPr>
      </w:pPr>
      <w:r w:rsidRPr="00D218FE">
        <w:rPr>
          <w:rFonts w:asciiTheme="minorHAnsi" w:hAnsiTheme="minorHAnsi" w:cstheme="minorHAnsi"/>
          <w:sz w:val="26"/>
          <w:szCs w:val="26"/>
        </w:rPr>
        <w:t>funcționarea biroului în acord cu dispozițiile legale este relevată şi de numărul relativ redus de reclamații administrative, respectiv 9</w:t>
      </w:r>
      <w:r>
        <w:rPr>
          <w:rFonts w:asciiTheme="minorHAnsi" w:hAnsiTheme="minorHAnsi" w:cstheme="minorHAnsi"/>
          <w:sz w:val="26"/>
          <w:szCs w:val="26"/>
        </w:rPr>
        <w:t xml:space="preserve"> reclamații administrative</w:t>
      </w:r>
      <w:r w:rsidRPr="00D218FE">
        <w:rPr>
          <w:rFonts w:asciiTheme="minorHAnsi" w:hAnsiTheme="minorHAnsi" w:cstheme="minorHAnsi"/>
          <w:sz w:val="26"/>
          <w:szCs w:val="26"/>
        </w:rPr>
        <w:t>, toate fiind respinse;</w:t>
      </w:r>
    </w:p>
    <w:p w14:paraId="014C5065" w14:textId="77777777" w:rsidR="00586A66" w:rsidRPr="00D218FE" w:rsidRDefault="00586A66" w:rsidP="00D218FE">
      <w:pPr>
        <w:numPr>
          <w:ilvl w:val="0"/>
          <w:numId w:val="31"/>
        </w:numPr>
        <w:tabs>
          <w:tab w:val="left" w:pos="990"/>
        </w:tabs>
        <w:ind w:left="0" w:right="48" w:firstLine="709"/>
        <w:jc w:val="both"/>
        <w:rPr>
          <w:rFonts w:asciiTheme="minorHAnsi" w:hAnsiTheme="minorHAnsi" w:cstheme="minorHAnsi"/>
          <w:sz w:val="26"/>
          <w:szCs w:val="26"/>
        </w:rPr>
      </w:pPr>
      <w:r w:rsidRPr="00D218FE">
        <w:rPr>
          <w:rFonts w:asciiTheme="minorHAnsi" w:hAnsiTheme="minorHAnsi" w:cstheme="minorHAnsi"/>
          <w:sz w:val="26"/>
          <w:szCs w:val="26"/>
        </w:rPr>
        <w:t xml:space="preserve">grupul de informare pe aplicaţia telefonică WhatsApp a devenit deosebit de activ, aplicaţia fiind utilizată ca un canal obişnuit de transmitere a informaţiilor publice în relaţia cu mass media, iar prin intermediul acestei aplicaţii au fost transmise de către purtătorul de cuvânt </w:t>
      </w:r>
      <w:r w:rsidRPr="00D218FE">
        <w:rPr>
          <w:rFonts w:asciiTheme="minorHAnsi" w:hAnsiTheme="minorHAnsi" w:cstheme="minorHAnsi"/>
          <w:sz w:val="26"/>
          <w:szCs w:val="26"/>
        </w:rPr>
        <w:lastRenderedPageBreak/>
        <w:t>şi răspunsurile solicitate de către jurnalişti în forma comunicatelor de presă, a precizărilor care se impun pentru lămurirea neclarităților referitoare la activitatea Consiliului Superior al Magistraturii sau la poziţia publică a acestuia, a soluțiilor adoptate de plen sau de secţii;</w:t>
      </w:r>
    </w:p>
    <w:p w14:paraId="67B4F659" w14:textId="77777777" w:rsidR="00586A66" w:rsidRPr="00D218FE" w:rsidRDefault="00586A66" w:rsidP="00D218FE">
      <w:pPr>
        <w:numPr>
          <w:ilvl w:val="0"/>
          <w:numId w:val="31"/>
        </w:numPr>
        <w:tabs>
          <w:tab w:val="left" w:pos="990"/>
        </w:tabs>
        <w:ind w:left="0" w:right="48" w:firstLine="709"/>
        <w:jc w:val="both"/>
        <w:rPr>
          <w:rFonts w:asciiTheme="minorHAnsi" w:hAnsiTheme="minorHAnsi" w:cstheme="minorHAnsi"/>
          <w:sz w:val="26"/>
          <w:szCs w:val="26"/>
        </w:rPr>
      </w:pPr>
      <w:r w:rsidRPr="00D218FE">
        <w:rPr>
          <w:rFonts w:asciiTheme="minorHAnsi" w:hAnsiTheme="minorHAnsi" w:cstheme="minorHAnsi"/>
          <w:sz w:val="26"/>
          <w:szCs w:val="26"/>
        </w:rPr>
        <w:t>în vederea soluționării cu celeritate, potrivit legii, a solicitărilor de informații de interes public şi a realizării altor activități ce revin în competența compartimentului, în cele mai multe situații, purtătorul de cuvânt şi ceilalți reprezentanți ai biroului au desfășurat activități şi în afara programului normal de lucru.</w:t>
      </w:r>
    </w:p>
    <w:p w14:paraId="245BB55D" w14:textId="77777777" w:rsidR="00586A66" w:rsidRPr="00564DC7" w:rsidRDefault="00586A66">
      <w:pPr>
        <w:pStyle w:val="ListParagraph"/>
        <w:numPr>
          <w:ilvl w:val="0"/>
          <w:numId w:val="30"/>
        </w:numPr>
        <w:tabs>
          <w:tab w:val="left" w:pos="1080"/>
        </w:tabs>
        <w:ind w:left="0" w:right="48" w:firstLine="709"/>
        <w:jc w:val="both"/>
        <w:rPr>
          <w:rFonts w:asciiTheme="minorHAnsi" w:hAnsiTheme="minorHAnsi" w:cstheme="minorHAnsi"/>
          <w:b/>
          <w:bCs/>
          <w:sz w:val="26"/>
          <w:szCs w:val="26"/>
        </w:rPr>
      </w:pPr>
      <w:r w:rsidRPr="00564DC7">
        <w:rPr>
          <w:rFonts w:asciiTheme="minorHAnsi" w:hAnsiTheme="minorHAnsi" w:cstheme="minorHAnsi"/>
          <w:b/>
          <w:bCs/>
          <w:sz w:val="26"/>
          <w:szCs w:val="26"/>
        </w:rPr>
        <w:t xml:space="preserve">Problematica vizată prin solicitările adresate biroului </w:t>
      </w:r>
    </w:p>
    <w:p w14:paraId="6D49677B"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 xml:space="preserve">Problematica vizată de solicitanți prin cererile formulate în scris în temeiul </w:t>
      </w:r>
      <w:r w:rsidRPr="00564DC7">
        <w:rPr>
          <w:rFonts w:asciiTheme="minorHAnsi" w:hAnsiTheme="minorHAnsi" w:cstheme="minorHAnsi"/>
          <w:iCs/>
          <w:sz w:val="26"/>
          <w:szCs w:val="26"/>
        </w:rPr>
        <w:t xml:space="preserve">Legii </w:t>
      </w:r>
      <w:r w:rsidRPr="00564DC7">
        <w:rPr>
          <w:rFonts w:asciiTheme="minorHAnsi" w:hAnsiTheme="minorHAnsi" w:cstheme="minorHAnsi"/>
          <w:iCs/>
          <w:sz w:val="26"/>
          <w:szCs w:val="26"/>
        </w:rPr>
        <w:br/>
        <w:t>nr. 544/2001 privind liberul acces la informațiile de interes public</w:t>
      </w:r>
      <w:r w:rsidRPr="00564DC7">
        <w:rPr>
          <w:rFonts w:asciiTheme="minorHAnsi" w:hAnsiTheme="minorHAnsi" w:cstheme="minorHAnsi"/>
          <w:sz w:val="26"/>
          <w:szCs w:val="26"/>
        </w:rPr>
        <w:t xml:space="preserve"> a avut în vedere, în principal, furnizarea de informații din următoarele domenii: statistică judiciară; puncte de vedere emise de compartimentele de specialitate ale Consiliului ; aspecte ale evoluției în carieră a unor judecători şi procurori (în ceea mai mare măsură traseul profesional public), aspecte vizând depunerea jurământului; declarații de avere, interese, rudenie sau neapartenență ale magistraților; date referitoare la activitatea membrilor Consiliului Superior al Magistraturii; aspecte vizând răspunderea disciplinară a magistraților sau verificările efectuate de Inspecția Judiciară; regulamentele de concurs sau de funcționare a Consiliului; lucrări înaintate de Consiliul Superior al Magistraturii Inspecției Judiciare; participarea membrilor de drept la ședințele Secțiilor și ale Plenului; modul de soluționare a ordinii de zi alocate fiecărei ședințe - solicitări formulate înainte de publicarea pe site-ul oficial; utilizarea fondurilor bugetare sau cele alocate din finanțare externă în cadrul proiectelor derulate din fonduri europene de către Consiliu;</w:t>
      </w:r>
      <w:r w:rsidRPr="00564DC7">
        <w:rPr>
          <w:rFonts w:asciiTheme="minorHAnsi" w:hAnsiTheme="minorHAnsi" w:cstheme="minorHAnsi"/>
          <w:bCs/>
          <w:sz w:val="26"/>
          <w:szCs w:val="26"/>
        </w:rPr>
        <w:t xml:space="preserve"> </w:t>
      </w:r>
      <w:r w:rsidRPr="00564DC7">
        <w:rPr>
          <w:rFonts w:asciiTheme="minorHAnsi" w:hAnsiTheme="minorHAnsi" w:cstheme="minorHAnsi"/>
          <w:sz w:val="26"/>
          <w:szCs w:val="26"/>
        </w:rPr>
        <w:t>salarizarea magistraților; concursurile organizate de Consiliul Superior al Magistraturii; participarea magistraților la diverse forme de pregătire profesională; hotărâri adoptate de Plenul sau secţiile Consiliului; solicitări privind modul de comunicare a jurnaliștilor cu purtătorii de cuvânt ai instanțelor şi parchetelor;</w:t>
      </w:r>
      <w:r w:rsidRPr="00564DC7">
        <w:rPr>
          <w:rFonts w:asciiTheme="minorHAnsi" w:hAnsiTheme="minorHAnsi" w:cstheme="minorHAnsi"/>
          <w:bCs/>
          <w:sz w:val="26"/>
          <w:szCs w:val="26"/>
        </w:rPr>
        <w:t xml:space="preserve"> </w:t>
      </w:r>
      <w:r w:rsidRPr="00564DC7">
        <w:rPr>
          <w:rFonts w:asciiTheme="minorHAnsi" w:hAnsiTheme="minorHAnsi" w:cstheme="minorHAnsi"/>
          <w:sz w:val="26"/>
          <w:szCs w:val="26"/>
        </w:rPr>
        <w:t>rapoarte ale Inspecției Judiciare discutate în ședințele Plenului Consiliul Superior al Magistraturii; proiecte derulate de Consiliul Superior al Magistraturii.</w:t>
      </w:r>
    </w:p>
    <w:p w14:paraId="3413CA74" w14:textId="77777777" w:rsidR="00586A66" w:rsidRPr="00564DC7"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t>Persoanele care au manifestat un interes major față de activitatea Consiliului au fost jurnaliștii, persoanele fizice, iar uneori asociațiile profesionale ale magistraților și diverse asociații reprezentând societatea civilă.</w:t>
      </w:r>
    </w:p>
    <w:p w14:paraId="764A85DA" w14:textId="77777777" w:rsidR="00586A66" w:rsidRPr="00564DC7" w:rsidRDefault="00586A66" w:rsidP="00690186">
      <w:pPr>
        <w:shd w:val="clear" w:color="auto" w:fill="FFFFFF"/>
        <w:ind w:right="48" w:firstLine="709"/>
        <w:jc w:val="both"/>
        <w:rPr>
          <w:rFonts w:asciiTheme="minorHAnsi" w:hAnsiTheme="minorHAnsi" w:cstheme="minorHAnsi"/>
          <w:sz w:val="26"/>
          <w:szCs w:val="26"/>
        </w:rPr>
      </w:pPr>
      <w:r w:rsidRPr="00564DC7">
        <w:rPr>
          <w:rFonts w:asciiTheme="minorHAnsi" w:hAnsiTheme="minorHAnsi" w:cstheme="minorHAnsi"/>
          <w:sz w:val="26"/>
          <w:szCs w:val="26"/>
        </w:rPr>
        <w:t>În solicitările telefonice jurnaliștii au manifestat interes pentru deciziile luate în plen şi secții referitoare la avize legislative şi propuneri de modificări legislative în diverse domenii, apărarea reputației judecătorilor şi procurorilor, sancțiunile disciplinare aplicate şi detalierea situației de fapt reținute de secții în soluționarea acțiunilor disciplinare, precum și soluții dispuse în urma derulării unor proceduri penale față de magistrați. În activitatea de comunicare verbală, purtătorul de cuvânt a urmărit şi realizat informarea promptă a jurnaliștilor prin furnizarea pe loc a datelor solicitate şi a descrierii ample a modului de funcționare şi organizare a Consiliul Superior al Magistraturii şi, respectiv, al instanțelor şi parchetelor.</w:t>
      </w:r>
    </w:p>
    <w:p w14:paraId="23FDE180" w14:textId="77777777" w:rsidR="00586A66" w:rsidRPr="00564DC7" w:rsidRDefault="00586A66">
      <w:pPr>
        <w:pStyle w:val="ListParagraph"/>
        <w:keepNext/>
        <w:numPr>
          <w:ilvl w:val="0"/>
          <w:numId w:val="30"/>
        </w:numPr>
        <w:tabs>
          <w:tab w:val="left" w:pos="1080"/>
        </w:tabs>
        <w:ind w:left="0" w:right="48" w:firstLine="709"/>
        <w:jc w:val="both"/>
        <w:rPr>
          <w:rFonts w:asciiTheme="minorHAnsi" w:hAnsiTheme="minorHAnsi" w:cstheme="minorHAnsi"/>
          <w:b/>
          <w:bCs/>
          <w:sz w:val="26"/>
          <w:szCs w:val="26"/>
        </w:rPr>
      </w:pPr>
      <w:r w:rsidRPr="00564DC7">
        <w:rPr>
          <w:rFonts w:asciiTheme="minorHAnsi" w:hAnsiTheme="minorHAnsi" w:cstheme="minorHAnsi"/>
          <w:b/>
          <w:bCs/>
          <w:sz w:val="26"/>
          <w:szCs w:val="26"/>
        </w:rPr>
        <w:t>Coordonarea rețelei purtătorilor de cuvânt şi de formare profesională în domeniul comunicării publice</w:t>
      </w:r>
    </w:p>
    <w:p w14:paraId="5DC0B527" w14:textId="77777777" w:rsidR="00586A66" w:rsidRPr="00564DC7" w:rsidRDefault="00586A66" w:rsidP="00690186">
      <w:pPr>
        <w:keepNext/>
        <w:ind w:right="45" w:firstLine="709"/>
        <w:jc w:val="both"/>
        <w:rPr>
          <w:rFonts w:asciiTheme="minorHAnsi" w:hAnsiTheme="minorHAnsi" w:cstheme="minorHAnsi"/>
          <w:sz w:val="26"/>
          <w:szCs w:val="26"/>
        </w:rPr>
      </w:pPr>
      <w:r w:rsidRPr="00564DC7">
        <w:rPr>
          <w:rFonts w:asciiTheme="minorHAnsi" w:hAnsiTheme="minorHAnsi" w:cstheme="minorHAnsi"/>
          <w:sz w:val="26"/>
          <w:szCs w:val="26"/>
        </w:rPr>
        <w:t>Referitor la coordonarea rețelei purtătorilor de cuvânt şi a personalului auxiliar de la nivelul instanțelor judecătorești şi parchetelor, în virtutea atribuțiilor de coordonare şi îndrumare, purtătorul de cuvânt a acordat consultanță acestora și recomandări pentru unificarea procedurii administrative în domeniu.</w:t>
      </w:r>
    </w:p>
    <w:p w14:paraId="44F28836" w14:textId="77777777" w:rsidR="00586A66" w:rsidRPr="00564DC7" w:rsidRDefault="00586A66" w:rsidP="00690186">
      <w:pPr>
        <w:ind w:firstLine="709"/>
        <w:jc w:val="both"/>
        <w:rPr>
          <w:rFonts w:asciiTheme="minorHAnsi" w:hAnsiTheme="minorHAnsi" w:cstheme="minorHAnsi"/>
          <w:b/>
          <w:bCs/>
          <w:sz w:val="26"/>
          <w:szCs w:val="26"/>
        </w:rPr>
      </w:pPr>
      <w:r w:rsidRPr="00564DC7">
        <w:rPr>
          <w:rFonts w:asciiTheme="minorHAnsi" w:hAnsiTheme="minorHAnsi" w:cstheme="minorHAnsi"/>
          <w:sz w:val="26"/>
          <w:szCs w:val="26"/>
        </w:rPr>
        <w:t xml:space="preserve">Prin întreaga sa activitate, Biroul de informare publică şi relații cu mass media a reafirmat și în acest an deschiderea instituției spre dialog şi colaborare cu reprezentanții </w:t>
      </w:r>
      <w:r w:rsidRPr="00564DC7">
        <w:rPr>
          <w:rFonts w:asciiTheme="minorHAnsi" w:hAnsiTheme="minorHAnsi" w:cstheme="minorHAnsi"/>
          <w:sz w:val="26"/>
          <w:szCs w:val="26"/>
        </w:rPr>
        <w:br/>
        <w:t xml:space="preserve">mass-media şi cu alte instituții sau persoane interesate de activitatea justiției, inclusiv prin asigurarea canalului de comunicare în vederea participării conducerii Consiliului la mai multe emisiuni televizate. </w:t>
      </w:r>
    </w:p>
    <w:p w14:paraId="509F55AC" w14:textId="0BEADE2C" w:rsidR="00515280" w:rsidRDefault="00586A66" w:rsidP="00690186">
      <w:pPr>
        <w:ind w:right="48" w:firstLine="709"/>
        <w:jc w:val="both"/>
        <w:rPr>
          <w:rFonts w:asciiTheme="minorHAnsi" w:hAnsiTheme="minorHAnsi" w:cstheme="minorHAnsi"/>
          <w:sz w:val="26"/>
          <w:szCs w:val="26"/>
        </w:rPr>
      </w:pPr>
      <w:r w:rsidRPr="00564DC7">
        <w:rPr>
          <w:rFonts w:asciiTheme="minorHAnsi" w:hAnsiTheme="minorHAnsi" w:cstheme="minorHAnsi"/>
          <w:sz w:val="26"/>
          <w:szCs w:val="26"/>
        </w:rPr>
        <w:lastRenderedPageBreak/>
        <w:t>În concluzie, se poate afirma că, în ansamblu, deși activitatea de comunicare publică este întotdeauna perfectibilă, nu au existat sincope în comunicarea dintre reprezentanții mass media şi reprezentanții BIPRMM, această activitate fiind derulată în contextul dispozițiilor legale incidente, dar și ale prevederilor Ghidului de bune practici privind relația sistemului judiciar cu mass-media și ale Legii nr. 544/2001 privind liberul acces la informațiile de interes public.</w:t>
      </w:r>
    </w:p>
    <w:p w14:paraId="68B69F35" w14:textId="77777777" w:rsidR="000F1325" w:rsidRPr="00564DC7" w:rsidRDefault="000F1325" w:rsidP="00690186">
      <w:pPr>
        <w:ind w:right="48" w:firstLine="709"/>
        <w:jc w:val="both"/>
        <w:rPr>
          <w:rFonts w:asciiTheme="minorHAnsi" w:hAnsiTheme="minorHAnsi" w:cstheme="minorHAnsi"/>
          <w:sz w:val="26"/>
          <w:szCs w:val="26"/>
        </w:rPr>
      </w:pPr>
    </w:p>
    <w:p w14:paraId="109F8BFF" w14:textId="0329DF7C" w:rsidR="006C1588" w:rsidRPr="00564DC7" w:rsidRDefault="006C1588" w:rsidP="00690186">
      <w:pPr>
        <w:pStyle w:val="Heading2"/>
        <w:keepNext w:val="0"/>
        <w:keepLines w:val="0"/>
        <w:suppressLineNumbers/>
        <w:suppressAutoHyphens/>
        <w:spacing w:line="240" w:lineRule="auto"/>
        <w:rPr>
          <w:rFonts w:cstheme="minorHAnsi"/>
          <w:color w:val="auto"/>
          <w:lang w:val="ro-RO"/>
        </w:rPr>
      </w:pPr>
      <w:bookmarkStart w:id="164" w:name="_Toc155267921"/>
      <w:r w:rsidRPr="00564DC7">
        <w:rPr>
          <w:rFonts w:cstheme="minorHAnsi"/>
          <w:color w:val="auto"/>
          <w:lang w:val="ro-RO"/>
        </w:rPr>
        <w:t>VI.8. Activitatea Biroului de achiziţii publice</w:t>
      </w:r>
      <w:bookmarkEnd w:id="163"/>
      <w:r w:rsidRPr="00564DC7">
        <w:rPr>
          <w:rFonts w:cstheme="minorHAnsi"/>
          <w:color w:val="auto"/>
          <w:lang w:val="ro-RO"/>
        </w:rPr>
        <w:t xml:space="preserve"> şi protocol</w:t>
      </w:r>
      <w:bookmarkEnd w:id="164"/>
    </w:p>
    <w:p w14:paraId="0FAFB562" w14:textId="77777777" w:rsidR="00877E30" w:rsidRPr="00877E30" w:rsidRDefault="00877E30" w:rsidP="00690186">
      <w:pPr>
        <w:ind w:firstLine="720"/>
        <w:jc w:val="both"/>
        <w:rPr>
          <w:rFonts w:asciiTheme="minorHAnsi" w:hAnsiTheme="minorHAnsi" w:cstheme="minorHAnsi"/>
          <w:sz w:val="26"/>
          <w:szCs w:val="26"/>
        </w:rPr>
      </w:pPr>
      <w:bookmarkStart w:id="165" w:name="_Toc430867140"/>
      <w:r w:rsidRPr="00877E30">
        <w:rPr>
          <w:rFonts w:asciiTheme="minorHAnsi" w:hAnsiTheme="minorHAnsi" w:cstheme="minorHAnsi"/>
          <w:sz w:val="26"/>
          <w:szCs w:val="26"/>
        </w:rPr>
        <w:t>Biroul de achiziţii publice a fost înfiinţat prin</w:t>
      </w:r>
      <w:bookmarkStart w:id="166" w:name="1720848"/>
      <w:bookmarkEnd w:id="166"/>
      <w:r w:rsidRPr="00877E30">
        <w:rPr>
          <w:rFonts w:asciiTheme="minorHAnsi" w:hAnsiTheme="minorHAnsi" w:cstheme="minorHAnsi"/>
          <w:sz w:val="26"/>
          <w:szCs w:val="26"/>
        </w:rPr>
        <w:t xml:space="preserve"> Hotărârea Plenului Consiliului Superior al Magistraturii nr. 399/2007 privind modificarea şi completarea Regulamentului de organizare şi funcţionare a Consiliului Superior al Magistraturii (publicată în Monitorul Oficial nr. 450 din 3 iulie 2007) şi constituie compartimentul specializat în atribuirea contractelor de achiziţii publice.</w:t>
      </w:r>
    </w:p>
    <w:p w14:paraId="62CE2593" w14:textId="77777777" w:rsidR="00877E30" w:rsidRPr="00877E30" w:rsidRDefault="00877E30" w:rsidP="00690186">
      <w:pPr>
        <w:ind w:firstLine="810"/>
        <w:jc w:val="both"/>
        <w:rPr>
          <w:rFonts w:asciiTheme="minorHAnsi" w:hAnsiTheme="minorHAnsi" w:cstheme="minorHAnsi"/>
          <w:sz w:val="26"/>
          <w:szCs w:val="26"/>
        </w:rPr>
      </w:pPr>
      <w:r w:rsidRPr="00877E30">
        <w:rPr>
          <w:rFonts w:asciiTheme="minorHAnsi" w:hAnsiTheme="minorHAnsi" w:cstheme="minorHAnsi"/>
          <w:sz w:val="26"/>
          <w:szCs w:val="26"/>
        </w:rPr>
        <w:t>Atribuțiile și competențele Biroului de Achiziţii Publice și Protocol</w:t>
      </w:r>
      <w:r w:rsidRPr="00877E30">
        <w:rPr>
          <w:rFonts w:asciiTheme="minorHAnsi" w:hAnsiTheme="minorHAnsi" w:cstheme="minorHAnsi"/>
          <w:color w:val="FF0000"/>
          <w:sz w:val="26"/>
          <w:szCs w:val="26"/>
        </w:rPr>
        <w:t xml:space="preserve"> </w:t>
      </w:r>
      <w:r w:rsidRPr="00877E30">
        <w:rPr>
          <w:rFonts w:asciiTheme="minorHAnsi" w:hAnsiTheme="minorHAnsi" w:cstheme="minorHAnsi"/>
          <w:sz w:val="26"/>
          <w:szCs w:val="26"/>
        </w:rPr>
        <w:t>au fost prevăzute inițial în Regulamentul de organizare și functionare a Consiliului Superior al Magistraturii aprobat prin Hotararea Plenului CSM nr. 326/2005 și, ulterior, în Regulamentul de organizare și funcționare a Consiliului Superior al Magistraturii aprobat prin Hotararea Plenului CSM nr. 1073/03.12.2018, prin care a fost abrogată Hotararea Plenului CSM nr. 326/2005.</w:t>
      </w:r>
    </w:p>
    <w:p w14:paraId="1984625B" w14:textId="1D0596DD" w:rsidR="00877E30" w:rsidRPr="00877E30" w:rsidRDefault="00877E30" w:rsidP="00690186">
      <w:pPr>
        <w:ind w:firstLine="720"/>
        <w:jc w:val="both"/>
        <w:rPr>
          <w:rFonts w:asciiTheme="minorHAnsi" w:hAnsiTheme="minorHAnsi" w:cstheme="minorHAnsi"/>
          <w:sz w:val="26"/>
          <w:szCs w:val="26"/>
        </w:rPr>
      </w:pPr>
      <w:r w:rsidRPr="00877E30">
        <w:rPr>
          <w:rFonts w:asciiTheme="minorHAnsi" w:hAnsiTheme="minorHAnsi" w:cstheme="minorHAnsi"/>
          <w:sz w:val="26"/>
          <w:szCs w:val="26"/>
        </w:rPr>
        <w:t>Prin Hotărârea Plenului Consiliului Superior al Magistraturii nr. 1108/2013, Biroul de achiziţii publice a fost transformat în Compartiment de achiziţii publice, iar incepand cu luna iulie 2015 a redevenit Birou.</w:t>
      </w:r>
    </w:p>
    <w:p w14:paraId="06BDEA65" w14:textId="77777777" w:rsidR="00877E30" w:rsidRPr="00877E30" w:rsidRDefault="00877E30" w:rsidP="00690186">
      <w:pPr>
        <w:ind w:firstLine="720"/>
        <w:jc w:val="both"/>
        <w:rPr>
          <w:rFonts w:asciiTheme="minorHAnsi" w:hAnsiTheme="minorHAnsi" w:cstheme="minorHAnsi"/>
          <w:sz w:val="26"/>
          <w:szCs w:val="26"/>
        </w:rPr>
      </w:pPr>
      <w:r w:rsidRPr="00877E30">
        <w:rPr>
          <w:rFonts w:asciiTheme="minorHAnsi" w:hAnsiTheme="minorHAnsi" w:cstheme="minorHAnsi"/>
          <w:sz w:val="26"/>
          <w:szCs w:val="26"/>
        </w:rPr>
        <w:t xml:space="preserve">Biroul funcţionează în subordinea ordonatorului principal de credite, derulând procedurile de achiziţie publică reglementate de actele normative în domeniu. </w:t>
      </w:r>
    </w:p>
    <w:p w14:paraId="3ED5D40C" w14:textId="77777777" w:rsidR="00877E30" w:rsidRPr="00877E30" w:rsidRDefault="00877E30" w:rsidP="00690186">
      <w:pPr>
        <w:ind w:firstLine="720"/>
        <w:jc w:val="both"/>
        <w:rPr>
          <w:rFonts w:asciiTheme="minorHAnsi" w:hAnsiTheme="minorHAnsi" w:cstheme="minorHAnsi"/>
          <w:sz w:val="26"/>
          <w:szCs w:val="26"/>
        </w:rPr>
      </w:pPr>
      <w:r w:rsidRPr="00877E30">
        <w:rPr>
          <w:rFonts w:asciiTheme="minorHAnsi" w:hAnsiTheme="minorHAnsi" w:cstheme="minorHAnsi"/>
          <w:sz w:val="26"/>
          <w:szCs w:val="26"/>
        </w:rPr>
        <w:t>Prin activitatea Biroului s-au asigurat toate condiţiile în vederea bunei derulări a contractelor în vigoare şi  pentru încheierea unor noi contracte în conformitate cu solicitările compartimentelor ce funcţionează la nivelul instituţiei.</w:t>
      </w:r>
    </w:p>
    <w:p w14:paraId="2C34A268" w14:textId="77777777" w:rsidR="00877E30" w:rsidRPr="00877E30" w:rsidRDefault="00877E30" w:rsidP="00690186">
      <w:pPr>
        <w:pStyle w:val="rvps1"/>
        <w:ind w:firstLine="720"/>
        <w:jc w:val="both"/>
        <w:rPr>
          <w:rFonts w:asciiTheme="minorHAnsi" w:hAnsiTheme="minorHAnsi" w:cstheme="minorHAnsi"/>
          <w:sz w:val="26"/>
          <w:szCs w:val="26"/>
          <w:lang w:val="ro-RO"/>
        </w:rPr>
      </w:pPr>
      <w:r w:rsidRPr="00877E30">
        <w:rPr>
          <w:rFonts w:asciiTheme="minorHAnsi" w:hAnsiTheme="minorHAnsi" w:cstheme="minorHAnsi"/>
          <w:sz w:val="26"/>
          <w:szCs w:val="26"/>
          <w:lang w:val="ro-RO"/>
        </w:rPr>
        <w:t xml:space="preserve">Biroul de Achiziţii Publice și Protocol desfăşoară o activitate de sinteză şi previziune în ceea ce priveşte solicitările compartimentelor de specialitate, întocmind Programul Anual al Achizițiilor Publice pe anul 2023, în condiţiile impuse de Legea nr. 98/2016 </w:t>
      </w:r>
      <w:r w:rsidRPr="00877E30">
        <w:rPr>
          <w:rFonts w:asciiTheme="minorHAnsi" w:hAnsiTheme="minorHAnsi" w:cstheme="minorHAnsi"/>
          <w:sz w:val="26"/>
          <w:szCs w:val="26"/>
          <w:lang w:val="ro-RO" w:eastAsia="ro-RO"/>
        </w:rPr>
        <w:t>privind achizitiile publice modificata și Legea bugetului de stat</w:t>
      </w:r>
      <w:r w:rsidRPr="00877E30">
        <w:rPr>
          <w:rFonts w:asciiTheme="minorHAnsi" w:hAnsiTheme="minorHAnsi" w:cstheme="minorHAnsi"/>
          <w:sz w:val="26"/>
          <w:szCs w:val="26"/>
          <w:lang w:val="ro-RO"/>
        </w:rPr>
        <w:t>.</w:t>
      </w:r>
    </w:p>
    <w:p w14:paraId="7A4745A5" w14:textId="0CED9BF7" w:rsidR="00877E30" w:rsidRPr="00877E30" w:rsidRDefault="00877E30" w:rsidP="00690186">
      <w:pPr>
        <w:pStyle w:val="rvps1"/>
        <w:shd w:val="clear" w:color="auto" w:fill="FFFFFF"/>
        <w:ind w:firstLine="810"/>
        <w:jc w:val="both"/>
        <w:rPr>
          <w:rFonts w:asciiTheme="minorHAnsi" w:hAnsiTheme="minorHAnsi" w:cstheme="minorHAnsi"/>
          <w:sz w:val="26"/>
          <w:szCs w:val="26"/>
          <w:lang w:val="ro-RO" w:eastAsia="ro-RO"/>
        </w:rPr>
      </w:pPr>
      <w:r w:rsidRPr="00877E30">
        <w:rPr>
          <w:rFonts w:asciiTheme="minorHAnsi" w:hAnsiTheme="minorHAnsi" w:cstheme="minorHAnsi"/>
          <w:sz w:val="26"/>
          <w:szCs w:val="26"/>
          <w:lang w:val="ro-RO" w:eastAsia="ro-RO"/>
        </w:rPr>
        <w:t>În mod concret, în anul 2023, Biroul de Achiziții Publice și Protocol a soluționat un numar de peste 3</w:t>
      </w:r>
      <w:r w:rsidR="00F43A38">
        <w:rPr>
          <w:rFonts w:asciiTheme="minorHAnsi" w:hAnsiTheme="minorHAnsi" w:cstheme="minorHAnsi"/>
          <w:sz w:val="26"/>
          <w:szCs w:val="26"/>
          <w:lang w:val="ro-RO" w:eastAsia="ro-RO"/>
        </w:rPr>
        <w:t>32</w:t>
      </w:r>
      <w:r w:rsidRPr="00877E30">
        <w:rPr>
          <w:rFonts w:asciiTheme="minorHAnsi" w:hAnsiTheme="minorHAnsi" w:cstheme="minorHAnsi"/>
          <w:sz w:val="26"/>
          <w:szCs w:val="26"/>
          <w:lang w:val="ro-RO" w:eastAsia="ro-RO"/>
        </w:rPr>
        <w:t xml:space="preserve"> de solicitări (referate de necesitate pentru achiziții directe și proceduri de atribuire, precum și alte tipuri de solicitări) de la departamentele din cadrul Consiliului, fiind încheiate un număr de peste </w:t>
      </w:r>
      <w:r w:rsidR="00F43A38">
        <w:rPr>
          <w:rFonts w:asciiTheme="minorHAnsi" w:hAnsiTheme="minorHAnsi" w:cstheme="minorHAnsi"/>
          <w:sz w:val="26"/>
          <w:szCs w:val="26"/>
          <w:lang w:val="ro-RO" w:eastAsia="ro-RO"/>
        </w:rPr>
        <w:t>215</w:t>
      </w:r>
      <w:r w:rsidRPr="00877E30">
        <w:rPr>
          <w:rFonts w:asciiTheme="minorHAnsi" w:hAnsiTheme="minorHAnsi" w:cstheme="minorHAnsi"/>
          <w:sz w:val="26"/>
          <w:szCs w:val="26"/>
          <w:lang w:val="ro-RO" w:eastAsia="ro-RO"/>
        </w:rPr>
        <w:t xml:space="preserve"> contracte și acte adiționale, având ca obiect prestarea de servicii şi furnizarea de bunuri necesare bunei funcţionări a activităţii Consiliului Superior al Magistraturii. </w:t>
      </w:r>
    </w:p>
    <w:p w14:paraId="1B47D14A" w14:textId="684DEE72" w:rsidR="00877E30" w:rsidRPr="00877E30" w:rsidRDefault="00877E30" w:rsidP="00690186">
      <w:pPr>
        <w:pStyle w:val="rvps1"/>
        <w:tabs>
          <w:tab w:val="left" w:pos="6597"/>
        </w:tabs>
        <w:ind w:firstLine="810"/>
        <w:jc w:val="both"/>
        <w:rPr>
          <w:rFonts w:asciiTheme="minorHAnsi" w:hAnsiTheme="minorHAnsi" w:cstheme="minorHAnsi"/>
          <w:sz w:val="26"/>
          <w:szCs w:val="26"/>
          <w:lang w:val="ro-RO"/>
        </w:rPr>
      </w:pPr>
      <w:r w:rsidRPr="00877E30">
        <w:rPr>
          <w:rFonts w:asciiTheme="minorHAnsi" w:hAnsiTheme="minorHAnsi" w:cstheme="minorHAnsi"/>
          <w:sz w:val="26"/>
          <w:szCs w:val="26"/>
          <w:lang w:val="ro-RO"/>
        </w:rPr>
        <w:t xml:space="preserve">În cadrul derulării procedurilor de achiziţii publice, în conformitate cu prevederile Legii nr. 98/2016 </w:t>
      </w:r>
      <w:r w:rsidRPr="00877E30">
        <w:rPr>
          <w:rFonts w:asciiTheme="minorHAnsi" w:hAnsiTheme="minorHAnsi" w:cstheme="minorHAnsi"/>
          <w:sz w:val="26"/>
          <w:szCs w:val="26"/>
          <w:lang w:val="ro-RO" w:eastAsia="ro-RO"/>
        </w:rPr>
        <w:t>privind achiziţiile publice</w:t>
      </w:r>
      <w:r w:rsidR="00B732F8">
        <w:rPr>
          <w:rFonts w:asciiTheme="minorHAnsi" w:hAnsiTheme="minorHAnsi" w:cstheme="minorHAnsi"/>
          <w:sz w:val="26"/>
          <w:szCs w:val="26"/>
          <w:lang w:val="ro-RO" w:eastAsia="ro-RO"/>
        </w:rPr>
        <w:t>,</w:t>
      </w:r>
      <w:r w:rsidRPr="00877E30">
        <w:rPr>
          <w:rFonts w:asciiTheme="minorHAnsi" w:hAnsiTheme="minorHAnsi" w:cstheme="minorHAnsi"/>
          <w:sz w:val="26"/>
          <w:szCs w:val="26"/>
          <w:lang w:val="ro-RO" w:eastAsia="ro-RO"/>
        </w:rPr>
        <w:t xml:space="preserve"> modificată,</w:t>
      </w:r>
      <w:r w:rsidRPr="00877E30">
        <w:rPr>
          <w:rFonts w:asciiTheme="minorHAnsi" w:hAnsiTheme="minorHAnsi" w:cstheme="minorHAnsi"/>
          <w:sz w:val="26"/>
          <w:szCs w:val="26"/>
          <w:lang w:val="ro-RO"/>
        </w:rPr>
        <w:t xml:space="preserve"> s-a recurs, atât la achiziționarea directă din catalogul SICAP/off line a bunurilor și serviciilor necesare funcționării instituției, cât și la procedurile de atribuire prevăzute de art. 68 din Legea nr. 98/2016 privind achizi</w:t>
      </w:r>
      <w:r w:rsidR="00B732F8">
        <w:rPr>
          <w:rFonts w:asciiTheme="minorHAnsi" w:hAnsiTheme="minorHAnsi" w:cstheme="minorHAnsi"/>
          <w:sz w:val="26"/>
          <w:szCs w:val="26"/>
          <w:lang w:val="ro-RO"/>
        </w:rPr>
        <w:t>ț</w:t>
      </w:r>
      <w:r w:rsidRPr="00877E30">
        <w:rPr>
          <w:rFonts w:asciiTheme="minorHAnsi" w:hAnsiTheme="minorHAnsi" w:cstheme="minorHAnsi"/>
          <w:sz w:val="26"/>
          <w:szCs w:val="26"/>
          <w:lang w:val="ro-RO"/>
        </w:rPr>
        <w:t>iile publice, cu modificările și completările ulterioare.</w:t>
      </w:r>
    </w:p>
    <w:p w14:paraId="2D34D196" w14:textId="0B7D5422" w:rsidR="00877E30" w:rsidRPr="00877E30" w:rsidRDefault="00877E30" w:rsidP="00690186">
      <w:pPr>
        <w:ind w:firstLine="720"/>
        <w:jc w:val="both"/>
        <w:rPr>
          <w:rFonts w:asciiTheme="minorHAnsi" w:hAnsiTheme="minorHAnsi" w:cstheme="minorHAnsi"/>
          <w:bCs/>
          <w:sz w:val="26"/>
          <w:szCs w:val="26"/>
        </w:rPr>
      </w:pPr>
      <w:r w:rsidRPr="00877E30">
        <w:rPr>
          <w:rFonts w:asciiTheme="minorHAnsi" w:hAnsiTheme="minorHAnsi" w:cstheme="minorHAnsi"/>
          <w:sz w:val="26"/>
          <w:szCs w:val="26"/>
        </w:rPr>
        <w:t>Astfel, Biroul de Achizitii Publice și Protocol, a realizat în anul 2023, un număr de peste 1</w:t>
      </w:r>
      <w:r w:rsidR="00F43A38">
        <w:rPr>
          <w:rFonts w:asciiTheme="minorHAnsi" w:hAnsiTheme="minorHAnsi" w:cstheme="minorHAnsi"/>
          <w:sz w:val="26"/>
          <w:szCs w:val="26"/>
        </w:rPr>
        <w:t xml:space="preserve">80 de </w:t>
      </w:r>
      <w:r w:rsidRPr="00877E30">
        <w:rPr>
          <w:rFonts w:asciiTheme="minorHAnsi" w:hAnsiTheme="minorHAnsi" w:cstheme="minorHAnsi"/>
          <w:sz w:val="26"/>
          <w:szCs w:val="26"/>
        </w:rPr>
        <w:t>achiziţii directe de bunuri și servicii prin cumpărare directă, din catalogul electronic SICAP/off line.</w:t>
      </w:r>
    </w:p>
    <w:p w14:paraId="5E5928D4" w14:textId="6B21A910" w:rsidR="00877E30" w:rsidRPr="00877E30" w:rsidRDefault="00877E30" w:rsidP="00690186">
      <w:pPr>
        <w:ind w:firstLine="720"/>
        <w:jc w:val="both"/>
        <w:rPr>
          <w:rFonts w:asciiTheme="minorHAnsi" w:hAnsiTheme="minorHAnsi" w:cstheme="minorHAnsi"/>
          <w:bCs/>
          <w:sz w:val="26"/>
          <w:szCs w:val="26"/>
        </w:rPr>
      </w:pPr>
      <w:r w:rsidRPr="00877E30">
        <w:rPr>
          <w:rFonts w:asciiTheme="minorHAnsi" w:hAnsiTheme="minorHAnsi" w:cstheme="minorHAnsi"/>
          <w:sz w:val="26"/>
          <w:szCs w:val="26"/>
        </w:rPr>
        <w:t>Totodată, au fost derulate proceduri de achiziţie (proceduri simplificate, proceduri realizate dupa norme proprii, proceduri de licitație deschisă) finalizate cu încheierea unor contracte, acorduri cadru și contracte subsecvente cu operatorii economici specializați în domeniu, rezultând un număr de 17 de anun</w:t>
      </w:r>
      <w:r w:rsidR="00B732F8">
        <w:rPr>
          <w:rFonts w:asciiTheme="minorHAnsi" w:hAnsiTheme="minorHAnsi" w:cstheme="minorHAnsi"/>
          <w:sz w:val="26"/>
          <w:szCs w:val="26"/>
        </w:rPr>
        <w:t>ț</w:t>
      </w:r>
      <w:r w:rsidRPr="00877E30">
        <w:rPr>
          <w:rFonts w:asciiTheme="minorHAnsi" w:hAnsiTheme="minorHAnsi" w:cstheme="minorHAnsi"/>
          <w:sz w:val="26"/>
          <w:szCs w:val="26"/>
        </w:rPr>
        <w:t>uri de atribuire.</w:t>
      </w:r>
    </w:p>
    <w:p w14:paraId="1D8035D8" w14:textId="621161CF" w:rsidR="00877E30" w:rsidRPr="00877E30" w:rsidRDefault="00877E30" w:rsidP="00690186">
      <w:pPr>
        <w:pStyle w:val="rvps1"/>
        <w:shd w:val="clear" w:color="auto" w:fill="FFFFFF"/>
        <w:ind w:firstLine="810"/>
        <w:jc w:val="both"/>
        <w:rPr>
          <w:rFonts w:asciiTheme="minorHAnsi" w:hAnsiTheme="minorHAnsi" w:cstheme="minorHAnsi"/>
          <w:sz w:val="26"/>
          <w:szCs w:val="26"/>
          <w:lang w:val="ro-RO" w:eastAsia="ro-RO"/>
        </w:rPr>
      </w:pPr>
      <w:r w:rsidRPr="00877E30">
        <w:rPr>
          <w:rFonts w:asciiTheme="minorHAnsi" w:hAnsiTheme="minorHAnsi" w:cstheme="minorHAnsi"/>
          <w:sz w:val="26"/>
          <w:szCs w:val="26"/>
          <w:lang w:val="ro-RO" w:eastAsia="ro-RO"/>
        </w:rPr>
        <w:t xml:space="preserve">Informațiile privind obiectul contractelor, sumele, procedurile de achiziție publică folosite, numele/denumirea câștigătorilor, procedurile anulate, se regăsesc pe site-ul </w:t>
      </w:r>
      <w:r w:rsidR="00000000">
        <w:fldChar w:fldCharType="begin"/>
      </w:r>
      <w:r w:rsidR="00000000" w:rsidRPr="00261D6B">
        <w:rPr>
          <w:lang w:val="ro-RO"/>
        </w:rPr>
        <w:instrText>HYPERLINK "http://www.e-licitatie.ro"</w:instrText>
      </w:r>
      <w:r w:rsidR="00000000">
        <w:fldChar w:fldCharType="separate"/>
      </w:r>
      <w:r w:rsidRPr="00877E30">
        <w:rPr>
          <w:rStyle w:val="Hyperlink"/>
          <w:rFonts w:asciiTheme="minorHAnsi" w:hAnsiTheme="minorHAnsi" w:cstheme="minorHAnsi"/>
          <w:sz w:val="26"/>
          <w:szCs w:val="26"/>
          <w:lang w:val="ro-RO" w:eastAsia="ro-RO"/>
        </w:rPr>
        <w:t>www.e-licitatie.ro</w:t>
      </w:r>
      <w:r w:rsidR="00000000">
        <w:rPr>
          <w:rStyle w:val="Hyperlink"/>
          <w:rFonts w:asciiTheme="minorHAnsi" w:hAnsiTheme="minorHAnsi" w:cstheme="minorHAnsi"/>
          <w:sz w:val="26"/>
          <w:szCs w:val="26"/>
          <w:lang w:val="ro-RO" w:eastAsia="ro-RO"/>
        </w:rPr>
        <w:fldChar w:fldCharType="end"/>
      </w:r>
      <w:r w:rsidRPr="00877E30">
        <w:rPr>
          <w:rFonts w:asciiTheme="minorHAnsi" w:hAnsiTheme="minorHAnsi" w:cstheme="minorHAnsi"/>
          <w:sz w:val="26"/>
          <w:szCs w:val="26"/>
          <w:lang w:val="ro-RO" w:eastAsia="ro-RO"/>
        </w:rPr>
        <w:t xml:space="preserve">, </w:t>
      </w:r>
      <w:r w:rsidRPr="00877E30">
        <w:rPr>
          <w:rFonts w:asciiTheme="minorHAnsi" w:hAnsiTheme="minorHAnsi" w:cstheme="minorHAnsi"/>
          <w:sz w:val="26"/>
          <w:szCs w:val="26"/>
          <w:lang w:val="ro-RO" w:eastAsia="ro-RO"/>
        </w:rPr>
        <w:lastRenderedPageBreak/>
        <w:t xml:space="preserve">la secţiunea autoritate contractantă - Consiliul Superior al Magistraturii și pe site-ul instituției la secțiunea „Achiziții publice”. </w:t>
      </w:r>
    </w:p>
    <w:p w14:paraId="5A9E575D" w14:textId="7C82073A" w:rsidR="00877E30" w:rsidRPr="00877E30" w:rsidRDefault="00877E30" w:rsidP="00690186">
      <w:pPr>
        <w:pStyle w:val="rvps1"/>
        <w:tabs>
          <w:tab w:val="left" w:pos="6597"/>
        </w:tabs>
        <w:ind w:firstLine="810"/>
        <w:jc w:val="both"/>
        <w:rPr>
          <w:rFonts w:asciiTheme="minorHAnsi" w:hAnsiTheme="minorHAnsi" w:cstheme="minorHAnsi"/>
          <w:sz w:val="26"/>
          <w:szCs w:val="26"/>
          <w:lang w:val="ro-RO"/>
        </w:rPr>
      </w:pPr>
      <w:r w:rsidRPr="00877E30">
        <w:rPr>
          <w:rFonts w:asciiTheme="minorHAnsi" w:hAnsiTheme="minorHAnsi" w:cstheme="minorHAnsi"/>
          <w:sz w:val="26"/>
          <w:szCs w:val="26"/>
          <w:lang w:val="ro-RO"/>
        </w:rPr>
        <w:t>O preocupare importantă a Biroului de Achiziţii Publice și Protocol a constat în selecţia riguroasă a ofertanţilor, astfel încât să se asigure instituţiei servicii şi produse eficiente şi de calitate, în măsura posibilităţilor rezultate din derularea ulterioară a contractelor și constr</w:t>
      </w:r>
      <w:r w:rsidR="00B732F8">
        <w:rPr>
          <w:rFonts w:asciiTheme="minorHAnsi" w:hAnsiTheme="minorHAnsi" w:cstheme="minorHAnsi"/>
          <w:sz w:val="26"/>
          <w:szCs w:val="26"/>
          <w:lang w:val="ro-RO"/>
        </w:rPr>
        <w:t>â</w:t>
      </w:r>
      <w:r w:rsidRPr="00877E30">
        <w:rPr>
          <w:rFonts w:asciiTheme="minorHAnsi" w:hAnsiTheme="minorHAnsi" w:cstheme="minorHAnsi"/>
          <w:sz w:val="26"/>
          <w:szCs w:val="26"/>
          <w:lang w:val="ro-RO"/>
        </w:rPr>
        <w:t>ngerilor bugetare pe care a fost nevoit s</w:t>
      </w:r>
      <w:r w:rsidR="00B732F8">
        <w:rPr>
          <w:rFonts w:asciiTheme="minorHAnsi" w:hAnsiTheme="minorHAnsi" w:cstheme="minorHAnsi"/>
          <w:sz w:val="26"/>
          <w:szCs w:val="26"/>
          <w:lang w:val="ro-RO"/>
        </w:rPr>
        <w:t>ă</w:t>
      </w:r>
      <w:r w:rsidRPr="00877E30">
        <w:rPr>
          <w:rFonts w:asciiTheme="minorHAnsi" w:hAnsiTheme="minorHAnsi" w:cstheme="minorHAnsi"/>
          <w:sz w:val="26"/>
          <w:szCs w:val="26"/>
          <w:lang w:val="ro-RO"/>
        </w:rPr>
        <w:t xml:space="preserve"> le respecte prin rectificările bugetare aprobate.</w:t>
      </w:r>
    </w:p>
    <w:p w14:paraId="078A77F6" w14:textId="24B1F8E8" w:rsidR="00877E30" w:rsidRPr="00877E30" w:rsidRDefault="00877E30" w:rsidP="00690186">
      <w:pPr>
        <w:ind w:firstLine="720"/>
        <w:jc w:val="both"/>
        <w:rPr>
          <w:rFonts w:asciiTheme="minorHAnsi" w:hAnsiTheme="minorHAnsi" w:cstheme="minorHAnsi"/>
          <w:sz w:val="26"/>
          <w:szCs w:val="26"/>
          <w:lang w:val="pt-PT"/>
        </w:rPr>
      </w:pPr>
      <w:r w:rsidRPr="00877E30">
        <w:rPr>
          <w:rFonts w:asciiTheme="minorHAnsi" w:hAnsiTheme="minorHAnsi" w:cstheme="minorHAnsi"/>
          <w:sz w:val="26"/>
          <w:szCs w:val="26"/>
        </w:rPr>
        <w:t xml:space="preserve">În cadrul activității de protocol s-a </w:t>
      </w:r>
      <w:r w:rsidRPr="00877E30">
        <w:rPr>
          <w:rFonts w:asciiTheme="minorHAnsi" w:hAnsiTheme="minorHAnsi" w:cstheme="minorHAnsi"/>
          <w:sz w:val="26"/>
          <w:szCs w:val="26"/>
          <w:lang w:val="pt-PT"/>
        </w:rPr>
        <w:t>asigurat realizarea în bune condiţii a deplasărilor membrilor și personalului Consiliului în străinătate și în țară, prin achiziționarea serviciilor de cazare, transport, transfer și asigurare medicală, precum și desfășurarea în condi</w:t>
      </w:r>
      <w:r w:rsidR="00B732F8">
        <w:rPr>
          <w:rFonts w:asciiTheme="minorHAnsi" w:hAnsiTheme="minorHAnsi" w:cstheme="minorHAnsi"/>
          <w:sz w:val="26"/>
          <w:szCs w:val="26"/>
          <w:lang w:val="pt-PT"/>
        </w:rPr>
        <w:t>ț</w:t>
      </w:r>
      <w:r w:rsidRPr="00877E30">
        <w:rPr>
          <w:rFonts w:asciiTheme="minorHAnsi" w:hAnsiTheme="minorHAnsi" w:cstheme="minorHAnsi"/>
          <w:sz w:val="26"/>
          <w:szCs w:val="26"/>
          <w:lang w:val="pt-PT"/>
        </w:rPr>
        <w:t>ii corespunzătoare a întâlnirilor cu delegaţiile străine şi interne, invitate de Consiliu.</w:t>
      </w:r>
    </w:p>
    <w:p w14:paraId="6628BE6E" w14:textId="474FFB1E" w:rsidR="00877E30" w:rsidRPr="00877E30" w:rsidRDefault="00877E30" w:rsidP="00690186">
      <w:pPr>
        <w:ind w:firstLine="720"/>
        <w:jc w:val="both"/>
        <w:rPr>
          <w:rFonts w:asciiTheme="minorHAnsi" w:hAnsiTheme="minorHAnsi" w:cstheme="minorHAnsi"/>
          <w:sz w:val="26"/>
          <w:szCs w:val="26"/>
        </w:rPr>
      </w:pPr>
      <w:r w:rsidRPr="00877E30">
        <w:rPr>
          <w:rFonts w:asciiTheme="minorHAnsi" w:hAnsiTheme="minorHAnsi" w:cstheme="minorHAnsi"/>
          <w:sz w:val="26"/>
          <w:szCs w:val="26"/>
          <w:lang w:val="pt-PT"/>
        </w:rPr>
        <w:t>Personalul din cadrul BAPP s-a implicat în organizarea şi desfăşurarea activităţilor cu caracter festiv, a asigurat protocolul necesar pentru președintele instituției, cabinetele membrilor și toate întâlnirile organizate la</w:t>
      </w:r>
      <w:r w:rsidR="00B732F8">
        <w:rPr>
          <w:rFonts w:asciiTheme="minorHAnsi" w:hAnsiTheme="minorHAnsi" w:cstheme="minorHAnsi"/>
          <w:sz w:val="26"/>
          <w:szCs w:val="26"/>
          <w:lang w:val="pt-PT"/>
        </w:rPr>
        <w:t>/</w:t>
      </w:r>
      <w:r w:rsidRPr="00877E30">
        <w:rPr>
          <w:rFonts w:asciiTheme="minorHAnsi" w:hAnsiTheme="minorHAnsi" w:cstheme="minorHAnsi"/>
          <w:sz w:val="26"/>
          <w:szCs w:val="26"/>
          <w:lang w:val="pt-PT"/>
        </w:rPr>
        <w:t>pentru CSM și a sprijinit celelalte compartimente ale aparatului Consiliului în organizarea unor evenimente internaţionale și interne.</w:t>
      </w:r>
    </w:p>
    <w:p w14:paraId="441E664A" w14:textId="77777777" w:rsidR="00877E30" w:rsidRPr="00877E30" w:rsidRDefault="00877E30" w:rsidP="00690186">
      <w:pPr>
        <w:pStyle w:val="rvps1"/>
        <w:tabs>
          <w:tab w:val="left" w:pos="6597"/>
        </w:tabs>
        <w:ind w:firstLine="709"/>
        <w:jc w:val="both"/>
        <w:rPr>
          <w:rFonts w:asciiTheme="minorHAnsi" w:hAnsiTheme="minorHAnsi" w:cstheme="minorHAnsi"/>
          <w:sz w:val="26"/>
          <w:szCs w:val="26"/>
          <w:lang w:val="ro-RO"/>
        </w:rPr>
      </w:pPr>
      <w:r w:rsidRPr="00877E30">
        <w:rPr>
          <w:rFonts w:asciiTheme="minorHAnsi" w:hAnsiTheme="minorHAnsi" w:cstheme="minorHAnsi"/>
          <w:sz w:val="26"/>
          <w:szCs w:val="26"/>
          <w:lang w:val="ro-RO" w:eastAsia="ro-RO"/>
        </w:rPr>
        <w:t>Biroul de Achizitii Publice si Protocol</w:t>
      </w:r>
      <w:r w:rsidRPr="00877E30">
        <w:rPr>
          <w:rFonts w:asciiTheme="minorHAnsi" w:hAnsiTheme="minorHAnsi" w:cstheme="minorHAnsi"/>
          <w:sz w:val="26"/>
          <w:szCs w:val="26"/>
          <w:lang w:val="ro-RO"/>
        </w:rPr>
        <w:t xml:space="preserve"> a fost implicat și în derularea unor proiecte cu finanțare europeană, personalul fiind antrenat în organizarea procedurilor de achiziție și în activitatea de evaluare și selecţie a ofertanților, pentru activitățile planificate în cadrul proiectelor aprobate de autoritățile de management, astfel:</w:t>
      </w:r>
    </w:p>
    <w:p w14:paraId="5D47070A" w14:textId="77777777" w:rsidR="00877E30" w:rsidRPr="00877E30" w:rsidRDefault="00877E30" w:rsidP="006D2B12">
      <w:pPr>
        <w:pStyle w:val="rvps1"/>
        <w:tabs>
          <w:tab w:val="left" w:pos="6597"/>
        </w:tabs>
        <w:ind w:firstLine="709"/>
        <w:jc w:val="both"/>
        <w:rPr>
          <w:rFonts w:asciiTheme="minorHAnsi" w:hAnsiTheme="minorHAnsi" w:cstheme="minorHAnsi"/>
          <w:bCs/>
          <w:sz w:val="26"/>
          <w:szCs w:val="26"/>
          <w:lang w:val="ro-RO"/>
        </w:rPr>
      </w:pPr>
      <w:r w:rsidRPr="00877E30">
        <w:rPr>
          <w:rFonts w:asciiTheme="minorHAnsi" w:hAnsiTheme="minorHAnsi" w:cstheme="minorHAnsi"/>
          <w:sz w:val="26"/>
          <w:szCs w:val="26"/>
          <w:lang w:val="ro-RO"/>
        </w:rPr>
        <w:t xml:space="preserve">- </w:t>
      </w:r>
      <w:r w:rsidRPr="00877E30">
        <w:rPr>
          <w:rFonts w:asciiTheme="minorHAnsi" w:hAnsiTheme="minorHAnsi" w:cstheme="minorHAnsi"/>
          <w:b/>
          <w:i/>
          <w:sz w:val="26"/>
          <w:szCs w:val="26"/>
          <w:lang w:val="ro-RO"/>
        </w:rPr>
        <w:t>„</w:t>
      </w:r>
      <w:r w:rsidRPr="00877E30">
        <w:rPr>
          <w:rFonts w:asciiTheme="minorHAnsi" w:hAnsiTheme="minorHAnsi" w:cstheme="minorHAnsi"/>
          <w:bCs/>
          <w:i/>
          <w:sz w:val="26"/>
          <w:szCs w:val="26"/>
          <w:lang w:val="ro-RO"/>
        </w:rPr>
        <w:t>Formare profesională și consolidarea capacității la nivelul sistemului judiciar”</w:t>
      </w:r>
      <w:r w:rsidRPr="00877E30">
        <w:rPr>
          <w:rFonts w:asciiTheme="minorHAnsi" w:hAnsiTheme="minorHAnsi" w:cstheme="minorHAnsi"/>
          <w:bCs/>
          <w:sz w:val="26"/>
          <w:szCs w:val="26"/>
          <w:lang w:val="ro-RO"/>
        </w:rPr>
        <w:t>, finanțat în cadrul Mecanismului Financiar Norvegian MFN 2014 – 2021;</w:t>
      </w:r>
    </w:p>
    <w:p w14:paraId="08E5E287" w14:textId="77777777" w:rsidR="00877E30" w:rsidRPr="00877E30" w:rsidRDefault="00877E30" w:rsidP="006D2B12">
      <w:pPr>
        <w:ind w:firstLine="709"/>
        <w:jc w:val="both"/>
        <w:rPr>
          <w:rFonts w:asciiTheme="minorHAnsi" w:hAnsiTheme="minorHAnsi" w:cstheme="minorHAnsi"/>
          <w:bCs/>
          <w:i/>
          <w:sz w:val="26"/>
          <w:szCs w:val="26"/>
        </w:rPr>
      </w:pPr>
      <w:r w:rsidRPr="00877E30">
        <w:rPr>
          <w:rFonts w:asciiTheme="minorHAnsi" w:hAnsiTheme="minorHAnsi" w:cstheme="minorHAnsi"/>
          <w:bCs/>
          <w:i/>
          <w:sz w:val="26"/>
          <w:szCs w:val="26"/>
        </w:rPr>
        <w:t>- ”Optimizarea managementului la nivelul sistemului judiciar. Componenta de instanțe judecătorești”</w:t>
      </w:r>
      <w:r w:rsidRPr="00877E30">
        <w:rPr>
          <w:rFonts w:asciiTheme="minorHAnsi" w:hAnsiTheme="minorHAnsi" w:cstheme="minorHAnsi"/>
          <w:bCs/>
          <w:sz w:val="26"/>
          <w:szCs w:val="26"/>
        </w:rPr>
        <w:t xml:space="preserve"> finanțat prin Programul Operațional Capacitate Administrativă 2014-2020; </w:t>
      </w:r>
    </w:p>
    <w:p w14:paraId="76300AFD" w14:textId="77777777" w:rsidR="00877E30" w:rsidRPr="00877E30" w:rsidRDefault="00877E30" w:rsidP="006D2B12">
      <w:pPr>
        <w:ind w:firstLine="709"/>
        <w:jc w:val="both"/>
        <w:rPr>
          <w:rFonts w:asciiTheme="minorHAnsi" w:hAnsiTheme="minorHAnsi" w:cstheme="minorHAnsi"/>
          <w:bCs/>
          <w:i/>
          <w:sz w:val="26"/>
          <w:szCs w:val="26"/>
        </w:rPr>
      </w:pPr>
      <w:r w:rsidRPr="00877E30">
        <w:rPr>
          <w:rFonts w:asciiTheme="minorHAnsi" w:hAnsiTheme="minorHAnsi" w:cstheme="minorHAnsi"/>
          <w:bCs/>
          <w:sz w:val="26"/>
          <w:szCs w:val="26"/>
        </w:rPr>
        <w:t xml:space="preserve">- </w:t>
      </w:r>
      <w:r w:rsidRPr="00877E30">
        <w:rPr>
          <w:rFonts w:asciiTheme="minorHAnsi" w:hAnsiTheme="minorHAnsi" w:cstheme="minorHAnsi"/>
          <w:bCs/>
          <w:i/>
          <w:sz w:val="26"/>
          <w:szCs w:val="26"/>
        </w:rPr>
        <w:t>„Eliminarea factorilor pentru inflația de cauze, identificarea elementelor normative și a tendințelor de aglomerare - EFICIENTA”</w:t>
      </w:r>
      <w:r w:rsidRPr="00877E30">
        <w:rPr>
          <w:rFonts w:asciiTheme="minorHAnsi" w:hAnsiTheme="minorHAnsi" w:cstheme="minorHAnsi"/>
          <w:bCs/>
          <w:sz w:val="26"/>
          <w:szCs w:val="26"/>
        </w:rPr>
        <w:t xml:space="preserve">, finanțat prin Programul Operațional Capacitate Administrativă 2014-2020; </w:t>
      </w:r>
    </w:p>
    <w:p w14:paraId="2C2283B9" w14:textId="77777777" w:rsidR="00877E30" w:rsidRPr="00877E30" w:rsidRDefault="00877E30" w:rsidP="006D2B12">
      <w:pPr>
        <w:ind w:firstLine="709"/>
        <w:jc w:val="both"/>
        <w:rPr>
          <w:rFonts w:asciiTheme="minorHAnsi" w:hAnsiTheme="minorHAnsi" w:cstheme="minorHAnsi"/>
          <w:bCs/>
          <w:i/>
          <w:sz w:val="26"/>
          <w:szCs w:val="26"/>
        </w:rPr>
      </w:pPr>
      <w:r w:rsidRPr="00877E30">
        <w:rPr>
          <w:rFonts w:asciiTheme="minorHAnsi" w:hAnsiTheme="minorHAnsi" w:cstheme="minorHAnsi"/>
          <w:bCs/>
          <w:i/>
          <w:sz w:val="26"/>
          <w:szCs w:val="26"/>
        </w:rPr>
        <w:t>- „CPCI – Creşterea performanței și calității instituționale prin îmbunătățirea sistemului de evaluare și asistență psihologică la nivelul sistemului judiciar”</w:t>
      </w:r>
      <w:r w:rsidRPr="00877E30">
        <w:rPr>
          <w:rFonts w:asciiTheme="minorHAnsi" w:hAnsiTheme="minorHAnsi" w:cstheme="minorHAnsi"/>
          <w:bCs/>
          <w:sz w:val="26"/>
          <w:szCs w:val="26"/>
        </w:rPr>
        <w:t xml:space="preserve">, finanțat prin Programul Operațional Capacitate Administrativă 2014-2020; </w:t>
      </w:r>
    </w:p>
    <w:p w14:paraId="432414C4" w14:textId="77777777" w:rsidR="00877E30" w:rsidRPr="00877E30" w:rsidRDefault="00877E30" w:rsidP="006D2B12">
      <w:pPr>
        <w:ind w:firstLine="709"/>
        <w:jc w:val="both"/>
        <w:rPr>
          <w:rFonts w:asciiTheme="minorHAnsi" w:hAnsiTheme="minorHAnsi" w:cstheme="minorHAnsi"/>
          <w:bCs/>
          <w:i/>
          <w:sz w:val="26"/>
          <w:szCs w:val="26"/>
        </w:rPr>
      </w:pPr>
      <w:r w:rsidRPr="00877E30">
        <w:rPr>
          <w:rFonts w:asciiTheme="minorHAnsi" w:hAnsiTheme="minorHAnsi" w:cstheme="minorHAnsi"/>
          <w:bCs/>
          <w:i/>
          <w:sz w:val="26"/>
          <w:szCs w:val="26"/>
        </w:rPr>
        <w:t>- TAEJ – Transparență, accesibilitate și educație juridică prin îmbunătățirea comunicării publice la nivelul sistemului judicia</w:t>
      </w:r>
      <w:r w:rsidRPr="00877E30">
        <w:rPr>
          <w:rFonts w:asciiTheme="minorHAnsi" w:hAnsiTheme="minorHAnsi" w:cstheme="minorHAnsi"/>
          <w:bCs/>
          <w:sz w:val="26"/>
          <w:szCs w:val="26"/>
        </w:rPr>
        <w:t xml:space="preserve">r, finanțat prin Programul Operațional Capacitate Administrativă 2014-2020; </w:t>
      </w:r>
    </w:p>
    <w:p w14:paraId="5A3D84C2" w14:textId="77777777" w:rsidR="00877E30" w:rsidRPr="00877E30" w:rsidRDefault="00877E30" w:rsidP="006D2B12">
      <w:pPr>
        <w:ind w:firstLine="709"/>
        <w:jc w:val="both"/>
        <w:rPr>
          <w:rFonts w:asciiTheme="minorHAnsi" w:hAnsiTheme="minorHAnsi" w:cstheme="minorHAnsi"/>
          <w:bCs/>
          <w:sz w:val="26"/>
          <w:szCs w:val="26"/>
        </w:rPr>
      </w:pPr>
      <w:r w:rsidRPr="00877E30">
        <w:rPr>
          <w:rFonts w:asciiTheme="minorHAnsi" w:hAnsiTheme="minorHAnsi" w:cstheme="minorHAnsi"/>
          <w:bCs/>
          <w:sz w:val="26"/>
          <w:szCs w:val="26"/>
        </w:rPr>
        <w:t xml:space="preserve">- </w:t>
      </w:r>
      <w:r w:rsidRPr="00877E30">
        <w:rPr>
          <w:rFonts w:asciiTheme="minorHAnsi" w:hAnsiTheme="minorHAnsi" w:cstheme="minorHAnsi"/>
          <w:bCs/>
          <w:i/>
          <w:sz w:val="26"/>
          <w:szCs w:val="26"/>
        </w:rPr>
        <w:t>„Optimizare management la niveul sistemului judiciar. Componenta de parchete”</w:t>
      </w:r>
      <w:r w:rsidRPr="00877E30">
        <w:rPr>
          <w:rFonts w:asciiTheme="minorHAnsi" w:hAnsiTheme="minorHAnsi" w:cstheme="minorHAnsi"/>
          <w:bCs/>
          <w:sz w:val="26"/>
          <w:szCs w:val="26"/>
        </w:rPr>
        <w:t xml:space="preserve">, finanțat prin Programul Operațional Capacitate Administrativă 2014-2020; </w:t>
      </w:r>
    </w:p>
    <w:p w14:paraId="051AF35A" w14:textId="77777777" w:rsidR="00877E30" w:rsidRPr="00877E30" w:rsidRDefault="00877E30" w:rsidP="006D2B12">
      <w:pPr>
        <w:ind w:firstLine="709"/>
        <w:jc w:val="both"/>
        <w:rPr>
          <w:rFonts w:asciiTheme="minorHAnsi" w:hAnsiTheme="minorHAnsi" w:cstheme="minorHAnsi"/>
          <w:bCs/>
          <w:sz w:val="26"/>
          <w:szCs w:val="26"/>
        </w:rPr>
      </w:pPr>
      <w:r w:rsidRPr="00877E30">
        <w:rPr>
          <w:rFonts w:asciiTheme="minorHAnsi" w:hAnsiTheme="minorHAnsi" w:cstheme="minorHAnsi"/>
          <w:bCs/>
          <w:sz w:val="26"/>
          <w:szCs w:val="26"/>
        </w:rPr>
        <w:t>- „</w:t>
      </w:r>
      <w:r w:rsidRPr="00877E30">
        <w:rPr>
          <w:rFonts w:asciiTheme="minorHAnsi" w:hAnsiTheme="minorHAnsi" w:cstheme="minorHAnsi"/>
          <w:bCs/>
          <w:i/>
          <w:sz w:val="26"/>
          <w:szCs w:val="26"/>
        </w:rPr>
        <w:t>Consolidarea capacității organizaționale și administrative a Consiliului Superior al Magistraturii” (cod SIPOCA/MySMIS nr. 760/135225</w:t>
      </w:r>
      <w:r w:rsidRPr="00877E30">
        <w:rPr>
          <w:rFonts w:asciiTheme="minorHAnsi" w:hAnsiTheme="minorHAnsi" w:cstheme="minorHAnsi"/>
          <w:bCs/>
          <w:sz w:val="26"/>
          <w:szCs w:val="26"/>
        </w:rPr>
        <w:t>), cofinanțat din Fondul Social European, prin Programul Operațional Capacitate Administrativă 2014-2020;</w:t>
      </w:r>
    </w:p>
    <w:p w14:paraId="0799F0DB" w14:textId="77777777" w:rsidR="000F1325" w:rsidRDefault="00877E30" w:rsidP="000F1325">
      <w:pPr>
        <w:ind w:firstLine="709"/>
        <w:jc w:val="both"/>
        <w:rPr>
          <w:rFonts w:asciiTheme="minorHAnsi" w:hAnsiTheme="minorHAnsi" w:cstheme="minorHAnsi"/>
          <w:sz w:val="26"/>
          <w:szCs w:val="26"/>
        </w:rPr>
      </w:pPr>
      <w:r w:rsidRPr="00877E30">
        <w:rPr>
          <w:rFonts w:asciiTheme="minorHAnsi" w:hAnsiTheme="minorHAnsi" w:cstheme="minorHAnsi"/>
          <w:bCs/>
          <w:sz w:val="26"/>
          <w:szCs w:val="26"/>
        </w:rPr>
        <w:t xml:space="preserve">- </w:t>
      </w:r>
      <w:r w:rsidR="00B732F8" w:rsidRPr="00564DC7">
        <w:rPr>
          <w:rFonts w:asciiTheme="minorHAnsi" w:hAnsiTheme="minorHAnsi" w:cstheme="minorHAnsi"/>
          <w:bCs/>
          <w:sz w:val="26"/>
          <w:szCs w:val="26"/>
        </w:rPr>
        <w:t>„</w:t>
      </w:r>
      <w:r w:rsidRPr="00877E30">
        <w:rPr>
          <w:rFonts w:asciiTheme="minorHAnsi" w:hAnsiTheme="minorHAnsi" w:cstheme="minorHAnsi"/>
          <w:bCs/>
          <w:sz w:val="26"/>
          <w:szCs w:val="26"/>
        </w:rPr>
        <w:t xml:space="preserve">Îmbunătățirea digitalizării la nivelul Consiliului Superior al Magistraturii” in cadrul Mecanismului de Redresare și Reziliență, în cadrul Componentei 7 – ”Transformare digitală”, Investiția 4 </w:t>
      </w:r>
      <w:r w:rsidR="00B732F8" w:rsidRPr="00564DC7">
        <w:rPr>
          <w:rFonts w:asciiTheme="minorHAnsi" w:hAnsiTheme="minorHAnsi" w:cstheme="minorHAnsi"/>
          <w:bCs/>
          <w:sz w:val="26"/>
          <w:szCs w:val="26"/>
        </w:rPr>
        <w:t>„</w:t>
      </w:r>
      <w:r w:rsidRPr="00877E30">
        <w:rPr>
          <w:rFonts w:asciiTheme="minorHAnsi" w:hAnsiTheme="minorHAnsi" w:cstheme="minorHAnsi"/>
          <w:bCs/>
          <w:sz w:val="26"/>
          <w:szCs w:val="26"/>
        </w:rPr>
        <w:t>Digitalizarea sistemului judiciar” din Planul Național de Redresare și Reziliență.</w:t>
      </w:r>
      <w:r>
        <w:rPr>
          <w:rFonts w:asciiTheme="minorHAnsi" w:hAnsiTheme="minorHAnsi" w:cstheme="minorHAnsi"/>
          <w:sz w:val="26"/>
          <w:szCs w:val="26"/>
        </w:rPr>
        <w:t xml:space="preserve">      </w:t>
      </w:r>
    </w:p>
    <w:p w14:paraId="0AD689B4" w14:textId="63F9F787" w:rsidR="00877E30" w:rsidRDefault="00877E30" w:rsidP="000F1325">
      <w:pPr>
        <w:ind w:firstLine="709"/>
        <w:jc w:val="both"/>
        <w:rPr>
          <w:rFonts w:asciiTheme="minorHAnsi" w:hAnsiTheme="minorHAnsi" w:cstheme="minorHAnsi"/>
          <w:sz w:val="26"/>
          <w:szCs w:val="26"/>
        </w:rPr>
      </w:pPr>
      <w:r>
        <w:rPr>
          <w:rFonts w:asciiTheme="minorHAnsi" w:hAnsiTheme="minorHAnsi" w:cstheme="minorHAnsi"/>
          <w:sz w:val="26"/>
          <w:szCs w:val="26"/>
        </w:rPr>
        <w:t xml:space="preserve">       </w:t>
      </w:r>
    </w:p>
    <w:p w14:paraId="53CA770C" w14:textId="6D528CE9" w:rsidR="006C1588" w:rsidRPr="00564DC7" w:rsidRDefault="000B639A" w:rsidP="00690186">
      <w:pPr>
        <w:pStyle w:val="Heading2"/>
        <w:keepNext w:val="0"/>
        <w:keepLines w:val="0"/>
        <w:suppressLineNumbers/>
        <w:suppressAutoHyphens/>
        <w:spacing w:line="240" w:lineRule="auto"/>
        <w:rPr>
          <w:rFonts w:cstheme="minorHAnsi"/>
          <w:color w:val="auto"/>
          <w:lang w:val="ro-RO"/>
        </w:rPr>
      </w:pPr>
      <w:bookmarkStart w:id="167" w:name="_Toc155267922"/>
      <w:r w:rsidRPr="00564DC7">
        <w:rPr>
          <w:rFonts w:cstheme="minorHAnsi"/>
          <w:color w:val="auto"/>
          <w:lang w:val="ro-RO"/>
        </w:rPr>
        <w:t xml:space="preserve">VI.9. </w:t>
      </w:r>
      <w:r w:rsidR="006C1588" w:rsidRPr="00564DC7">
        <w:rPr>
          <w:rFonts w:cstheme="minorHAnsi"/>
          <w:color w:val="auto"/>
          <w:lang w:val="ro-RO"/>
        </w:rPr>
        <w:t>Activitatea Serviciului informatică</w:t>
      </w:r>
      <w:bookmarkEnd w:id="165"/>
      <w:r w:rsidR="006C1588" w:rsidRPr="00564DC7">
        <w:rPr>
          <w:rFonts w:cstheme="minorHAnsi"/>
          <w:color w:val="auto"/>
          <w:lang w:val="ro-RO"/>
        </w:rPr>
        <w:t xml:space="preserve"> şi statistică judiciară</w:t>
      </w:r>
      <w:bookmarkEnd w:id="167"/>
    </w:p>
    <w:p w14:paraId="1945F728" w14:textId="780A6B93" w:rsidR="006C1588" w:rsidRPr="00564DC7" w:rsidRDefault="006C1588" w:rsidP="00690186">
      <w:pPr>
        <w:pStyle w:val="Heading3"/>
        <w:keepNext w:val="0"/>
        <w:keepLines w:val="0"/>
        <w:suppressLineNumbers/>
        <w:suppressAutoHyphens/>
        <w:spacing w:line="240" w:lineRule="auto"/>
        <w:rPr>
          <w:rFonts w:cstheme="minorHAnsi"/>
          <w:color w:val="auto"/>
        </w:rPr>
      </w:pPr>
      <w:bookmarkStart w:id="168" w:name="_Toc155267923"/>
      <w:r w:rsidRPr="00564DC7">
        <w:rPr>
          <w:rFonts w:cstheme="minorHAnsi"/>
          <w:color w:val="auto"/>
        </w:rPr>
        <w:t>VI.9.1. Activitatea Compartimentului statistică judiciară</w:t>
      </w:r>
      <w:bookmarkEnd w:id="168"/>
    </w:p>
    <w:p w14:paraId="38B9C043" w14:textId="77777777" w:rsidR="006721EB" w:rsidRPr="00564DC7" w:rsidRDefault="006721EB"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 xml:space="preserve">În anul 2023, la nivelul </w:t>
      </w:r>
      <w:r w:rsidRPr="00564DC7">
        <w:rPr>
          <w:rFonts w:asciiTheme="minorHAnsi" w:hAnsiTheme="minorHAnsi" w:cstheme="minorHAnsi"/>
          <w:b/>
          <w:bCs/>
          <w:sz w:val="26"/>
          <w:szCs w:val="26"/>
        </w:rPr>
        <w:t>Compartimentului de Statistică Judiciară</w:t>
      </w:r>
      <w:r w:rsidRPr="00564DC7">
        <w:rPr>
          <w:rFonts w:asciiTheme="minorHAnsi" w:hAnsiTheme="minorHAnsi" w:cstheme="minorHAnsi"/>
          <w:sz w:val="26"/>
          <w:szCs w:val="26"/>
        </w:rPr>
        <w:t xml:space="preserve"> au fost consemnate un număr de </w:t>
      </w:r>
      <w:r w:rsidRPr="00564DC7">
        <w:rPr>
          <w:rFonts w:asciiTheme="minorHAnsi" w:hAnsiTheme="minorHAnsi" w:cstheme="minorHAnsi"/>
          <w:b/>
          <w:bCs/>
          <w:sz w:val="26"/>
          <w:szCs w:val="26"/>
        </w:rPr>
        <w:t>67</w:t>
      </w:r>
      <w:r w:rsidRPr="00564DC7">
        <w:rPr>
          <w:rFonts w:asciiTheme="minorHAnsi" w:hAnsiTheme="minorHAnsi" w:cstheme="minorHAnsi"/>
          <w:sz w:val="26"/>
          <w:szCs w:val="26"/>
        </w:rPr>
        <w:t xml:space="preserve"> de lucrări, note și adrese cu număr în EMAP – Registry, prin care s-a acordat sprijin de specialitate compartimentelor din cadrul aparatului propriu Consiliului prin furnizarea datelor statistice necesare elaborării lucrărilor acestora ori prin care s-a răspuns solicitărilor beneficiarilor externi de date statistice din sistemul judiciar.</w:t>
      </w:r>
    </w:p>
    <w:p w14:paraId="4911AAFF" w14:textId="77777777" w:rsidR="006721EB" w:rsidRPr="00564DC7" w:rsidRDefault="006721EB"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lastRenderedPageBreak/>
        <w:t>Ca element de noutate în ceea ce privește atribuțiile de funcționare, începând din mai 2023, Compartimentul de Statistică Judiciară a preluat desfășurarea activităților de secretariat ale Comisiei de aprobare a modificărilor aduse aplicației ECRIS și a celorlalte aplicații cu specific judiciar utilizate de instanțele de judecată în aplicarea dispozițiilor Ordinului Ministerului Justiției nr. 922/C din 31.05.2023/Deciziei Președintelui Consiliului Superior al Magistraturii nr. 6/4314/2023.</w:t>
      </w:r>
    </w:p>
    <w:p w14:paraId="45D9DE9D" w14:textId="77777777" w:rsidR="006721EB" w:rsidRPr="00564DC7" w:rsidRDefault="006721EB"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Totodată, au fost desfășurate în cadrul Compartimentului și alte activități de statistică judiciară vizând în principal următoarele direcții:</w:t>
      </w:r>
    </w:p>
    <w:p w14:paraId="65D8810C" w14:textId="77777777" w:rsidR="00586A66" w:rsidRPr="00564DC7" w:rsidRDefault="00586A66" w:rsidP="00690186">
      <w:pPr>
        <w:ind w:firstLine="720"/>
        <w:jc w:val="both"/>
        <w:rPr>
          <w:rFonts w:asciiTheme="minorHAnsi" w:hAnsiTheme="minorHAnsi" w:cstheme="minorHAnsi"/>
          <w:sz w:val="26"/>
          <w:szCs w:val="26"/>
        </w:rPr>
      </w:pPr>
    </w:p>
    <w:tbl>
      <w:tblPr>
        <w:tblW w:w="5000" w:type="pct"/>
        <w:jc w:val="center"/>
        <w:tblCellMar>
          <w:left w:w="0" w:type="dxa"/>
          <w:right w:w="0" w:type="dxa"/>
        </w:tblCellMar>
        <w:tblLook w:val="04A0" w:firstRow="1" w:lastRow="0" w:firstColumn="1" w:lastColumn="0" w:noHBand="0" w:noVBand="1"/>
      </w:tblPr>
      <w:tblGrid>
        <w:gridCol w:w="1033"/>
        <w:gridCol w:w="9151"/>
      </w:tblGrid>
      <w:tr w:rsidR="00564DC7" w:rsidRPr="00564DC7" w14:paraId="28B668D5" w14:textId="77777777" w:rsidTr="009C392C">
        <w:trPr>
          <w:jc w:val="center"/>
        </w:trPr>
        <w:tc>
          <w:tcPr>
            <w:tcW w:w="507"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23E0F0A" w14:textId="77777777" w:rsidR="006721EB" w:rsidRPr="00564DC7" w:rsidRDefault="006721EB" w:rsidP="00690186">
            <w:pPr>
              <w:ind w:hanging="28"/>
              <w:jc w:val="center"/>
              <w:rPr>
                <w:rFonts w:asciiTheme="minorHAnsi" w:hAnsiTheme="minorHAnsi" w:cstheme="minorHAnsi"/>
                <w:b/>
                <w:bCs/>
                <w:sz w:val="26"/>
                <w:szCs w:val="26"/>
              </w:rPr>
            </w:pPr>
            <w:r w:rsidRPr="00564DC7">
              <w:rPr>
                <w:rFonts w:asciiTheme="minorHAnsi" w:hAnsiTheme="minorHAnsi" w:cstheme="minorHAnsi"/>
                <w:b/>
                <w:bCs/>
                <w:sz w:val="26"/>
                <w:szCs w:val="26"/>
              </w:rPr>
              <w:t>Nr. crt.</w:t>
            </w:r>
          </w:p>
        </w:tc>
        <w:tc>
          <w:tcPr>
            <w:tcW w:w="4493"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1D3E2F4" w14:textId="77777777" w:rsidR="006721EB" w:rsidRPr="00564DC7" w:rsidRDefault="006721EB" w:rsidP="00690186">
            <w:pPr>
              <w:ind w:firstLine="720"/>
              <w:jc w:val="center"/>
              <w:rPr>
                <w:rFonts w:asciiTheme="minorHAnsi" w:hAnsiTheme="minorHAnsi" w:cstheme="minorHAnsi"/>
                <w:b/>
                <w:bCs/>
                <w:sz w:val="26"/>
                <w:szCs w:val="26"/>
              </w:rPr>
            </w:pPr>
            <w:r w:rsidRPr="00564DC7">
              <w:rPr>
                <w:rFonts w:asciiTheme="minorHAnsi" w:hAnsiTheme="minorHAnsi" w:cstheme="minorHAnsi"/>
                <w:b/>
                <w:bCs/>
                <w:sz w:val="26"/>
                <w:szCs w:val="26"/>
              </w:rPr>
              <w:t>Denumirea lucrării/activității</w:t>
            </w:r>
          </w:p>
        </w:tc>
      </w:tr>
      <w:tr w:rsidR="00564DC7" w:rsidRPr="00564DC7" w14:paraId="6D9F4F2E"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E08413"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37BECB"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Coordonarea mentenanței şi funcționalității aplicației Statis-Central, inclusiv pentru rapoartele privind aspectele calitative ale muncii judecătorilor (încărcătura pe judecător sau grefier, agregarea atributelor statistice, starea infracțională, etc).</w:t>
            </w:r>
          </w:p>
        </w:tc>
      </w:tr>
      <w:tr w:rsidR="00564DC7" w:rsidRPr="00564DC7" w14:paraId="604DAF01"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AD84F6"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27E8E" w14:textId="5B1C72B1"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Coordonarea mentenanţei modulului Executări penale din STATIS astfel încât să ofere date dezagregate pe sexe, vârstă (majori/minori) şi cetățenie (rom</w:t>
            </w:r>
            <w:r w:rsidR="00B732F8">
              <w:rPr>
                <w:rFonts w:asciiTheme="minorHAnsi" w:hAnsiTheme="minorHAnsi" w:cstheme="minorHAnsi"/>
                <w:sz w:val="26"/>
                <w:szCs w:val="26"/>
              </w:rPr>
              <w:t>â</w:t>
            </w:r>
            <w:r w:rsidRPr="00564DC7">
              <w:rPr>
                <w:rFonts w:asciiTheme="minorHAnsi" w:hAnsiTheme="minorHAnsi" w:cstheme="minorHAnsi"/>
                <w:sz w:val="26"/>
                <w:szCs w:val="26"/>
              </w:rPr>
              <w:t>nă/străină) şi alte criterii secundare cum ar fi recidiva, antecedentele penale etc.</w:t>
            </w:r>
          </w:p>
        </w:tc>
      </w:tr>
      <w:tr w:rsidR="00564DC7" w:rsidRPr="00564DC7" w14:paraId="3F517858"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3F93A8"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059CA"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Coordonarea mentenanţei funcţionalităţii aplicaţiilor Statis Semicentral pentru curțile de apel și instanțele arondate, precum și a celei pentru Înalta Curte de Casație și Justiție, de așa natură încât, pe lângă pilonul Statis-Central, fiecare curte de apel (pentru sine și pentru instanțele din subordine) să poată să își actualizeze datele statistice săptămânal, rămânând ca Statis-Central să agrege date naționale trimestrial, pana la finalizarea versiunii Statis care să asigure transferul de date pe toate serverele dedicate aplicației Statis în timp real (la zi).</w:t>
            </w:r>
          </w:p>
        </w:tc>
      </w:tr>
      <w:tr w:rsidR="00564DC7" w:rsidRPr="00564DC7" w14:paraId="61F143DD"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829944"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EA29E"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Generarea, analiza, verificarea şi centralizarea datelor statistice care au servit la fundamentarea deciziilor luate de Consiliul Superior al Magistraturii în demersuri ca acelea privind raționalizarea unor instanțe şi parchete, echilibrarea schemelor de personal, transferuri sau detașări, etc.</w:t>
            </w:r>
          </w:p>
        </w:tc>
      </w:tr>
      <w:tr w:rsidR="00564DC7" w:rsidRPr="00564DC7" w14:paraId="4847FA62"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C56586"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D4C9A1" w14:textId="4683D181"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Întocmire</w:t>
            </w:r>
            <w:r w:rsidR="00B732F8">
              <w:rPr>
                <w:rFonts w:asciiTheme="minorHAnsi" w:hAnsiTheme="minorHAnsi" w:cstheme="minorHAnsi"/>
                <w:sz w:val="26"/>
                <w:szCs w:val="26"/>
              </w:rPr>
              <w:t>a</w:t>
            </w:r>
            <w:r w:rsidRPr="00564DC7">
              <w:rPr>
                <w:rFonts w:asciiTheme="minorHAnsi" w:hAnsiTheme="minorHAnsi" w:cstheme="minorHAnsi"/>
                <w:sz w:val="26"/>
                <w:szCs w:val="26"/>
              </w:rPr>
              <w:t xml:space="preserve"> raport</w:t>
            </w:r>
            <w:r w:rsidR="00B732F8">
              <w:rPr>
                <w:rFonts w:asciiTheme="minorHAnsi" w:hAnsiTheme="minorHAnsi" w:cstheme="minorHAnsi"/>
                <w:sz w:val="26"/>
                <w:szCs w:val="26"/>
              </w:rPr>
              <w:t>ului</w:t>
            </w:r>
            <w:r w:rsidRPr="00564DC7">
              <w:rPr>
                <w:rFonts w:asciiTheme="minorHAnsi" w:hAnsiTheme="minorHAnsi" w:cstheme="minorHAnsi"/>
                <w:sz w:val="26"/>
                <w:szCs w:val="26"/>
              </w:rPr>
              <w:t xml:space="preserve"> anual de activitate pentru instanțe şi parchete, ca parte integranta a Raportului privind Starea Justiţiei.</w:t>
            </w:r>
          </w:p>
        </w:tc>
      </w:tr>
      <w:tr w:rsidR="00564DC7" w:rsidRPr="00564DC7" w14:paraId="079E2ADD"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5D53BA"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1BD0A"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Furnizarea de date statistice către Direcţia Afaceri Europene, Relaţii Internaţionale şi Programe în vederea întocmirii raportării statistice anuale pentru CEPEJ.</w:t>
            </w:r>
          </w:p>
        </w:tc>
      </w:tr>
      <w:tr w:rsidR="00564DC7" w:rsidRPr="00564DC7" w14:paraId="72268108"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DF0812"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4585AF"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Furnizare de date statistice compartimentelor din cadrul CSM pentru fundamentarea punctelor de vedere şi a notelor proprii întocmite.</w:t>
            </w:r>
          </w:p>
        </w:tc>
      </w:tr>
      <w:tr w:rsidR="00564DC7" w:rsidRPr="00564DC7" w14:paraId="369DAF21"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3116C7"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3A855"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Participarea la cea de-a 17-a reuniune anuală a corespondenților naționali ai Comisiei Europene pentru Eficienţa Justiţiei (CEPEJ), din cadrul Consiliului Europei (CoE)</w:t>
            </w:r>
          </w:p>
        </w:tc>
      </w:tr>
      <w:tr w:rsidR="00564DC7" w:rsidRPr="00564DC7" w14:paraId="4F31B199"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544E31"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89965"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Diverse circulare către instanțele naționale legate de funcționarea și actualizarea modulelor aplicației Statis Ecris.</w:t>
            </w:r>
          </w:p>
        </w:tc>
      </w:tr>
      <w:tr w:rsidR="00564DC7" w:rsidRPr="00564DC7" w14:paraId="60CBD3EE"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7728CD"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6521BB"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Diverse analize şi sesizări transmise Direcției Tehnologia Informației din cadrul MJ.</w:t>
            </w:r>
          </w:p>
        </w:tc>
      </w:tr>
      <w:tr w:rsidR="00564DC7" w:rsidRPr="00564DC7" w14:paraId="38A8438B"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8E38DE"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28433D"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Diverse analize şi date statistice transmise la solicitarea cabinetelor membrilor CSM și a grupurilor de lucru din care aceștia fac parte.</w:t>
            </w:r>
          </w:p>
        </w:tc>
      </w:tr>
      <w:tr w:rsidR="00564DC7" w:rsidRPr="00564DC7" w14:paraId="0269E55C"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33F0CE"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A9E95A" w14:textId="77777777" w:rsidR="006721EB" w:rsidRPr="00564DC7" w:rsidRDefault="006721EB" w:rsidP="00690186">
            <w:pPr>
              <w:pStyle w:val="ListParagraph"/>
              <w:ind w:left="0"/>
              <w:jc w:val="both"/>
              <w:rPr>
                <w:rFonts w:asciiTheme="minorHAnsi" w:hAnsiTheme="minorHAnsi" w:cstheme="minorHAnsi"/>
                <w:sz w:val="26"/>
                <w:szCs w:val="26"/>
                <w:lang w:val="pt-PT"/>
              </w:rPr>
            </w:pPr>
            <w:r w:rsidRPr="00564DC7">
              <w:rPr>
                <w:rFonts w:asciiTheme="minorHAnsi" w:hAnsiTheme="minorHAnsi" w:cstheme="minorHAnsi"/>
                <w:sz w:val="26"/>
                <w:szCs w:val="26"/>
                <w:lang w:val="pt-PT"/>
              </w:rPr>
              <w:t>Furnizare de date statistice pentru DAERIP şi alte compartimente din CSM implicate în derulare de programe de dezvoltare instituţională cu finanţare din fonduri şi granturi europene nerambursabile sau parţial rambursabile.</w:t>
            </w:r>
          </w:p>
        </w:tc>
      </w:tr>
      <w:tr w:rsidR="00564DC7" w:rsidRPr="00564DC7" w14:paraId="1C708843"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90AEB9"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8BC0CE"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Participarea la ședințele Comisiei de aprobare a modificărilor aduse aplicației ECRIS și a celorlalte aplicații cu specific judiciar utilizate de instanțele de judecată.</w:t>
            </w:r>
          </w:p>
        </w:tc>
      </w:tr>
      <w:tr w:rsidR="00564DC7" w:rsidRPr="00564DC7" w14:paraId="033EE929"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283B9F"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840EF7"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Transmitere de date statistice la solicitarea diverselor direcții şi departamente din Ministerul Justiției sau Ministerul Afacerilor Externe.</w:t>
            </w:r>
          </w:p>
        </w:tc>
      </w:tr>
      <w:tr w:rsidR="00564DC7" w:rsidRPr="00564DC7" w14:paraId="63989845"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836BB1"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715B6"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Transmitere de date statistice către beneficiari externi, persoane fizice şi juridice, prin intermediul BIRPMM, SRPRSA sau al Cabinetului Secretarului general al Consiliului</w:t>
            </w:r>
          </w:p>
        </w:tc>
      </w:tr>
      <w:tr w:rsidR="00564DC7" w:rsidRPr="00564DC7" w14:paraId="25F94A6F"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166EE6"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9539C"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Completarea de machete statistice transmise de INS în vederea realizării Anuarului statistic sau la cererea altor organisme internaționale, precum Comisia Europeana, UNICEF, EIGE etc.</w:t>
            </w:r>
          </w:p>
        </w:tc>
      </w:tr>
      <w:tr w:rsidR="00564DC7" w:rsidRPr="00564DC7" w14:paraId="7362FCB4"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A95818"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56D67"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Transmiterea către Ministerul de Interne, Agenția Națională Antidrog, Agenția Națională Împotriva Traficului de Persoane, de date statistice privind traficul de droguri şi traficul de persoane.</w:t>
            </w:r>
          </w:p>
        </w:tc>
      </w:tr>
      <w:tr w:rsidR="00564DC7" w:rsidRPr="00564DC7" w14:paraId="7882AE55"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8581FF"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8F02D" w14:textId="675941AC"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Participarea la grupurile de lucru interinstituţionale privind îmbunătăţirea şi diversificarea colectării și raportări de date statistice judiciare, alături de MJ, PICCJ, IGPR, INS, MAE, ANA, ANITP şi alte organizații publice sau private produc</w:t>
            </w:r>
            <w:r w:rsidR="00B732F8">
              <w:rPr>
                <w:rFonts w:asciiTheme="minorHAnsi" w:hAnsiTheme="minorHAnsi" w:cstheme="minorHAnsi"/>
                <w:sz w:val="26"/>
                <w:szCs w:val="26"/>
              </w:rPr>
              <w:t>ă</w:t>
            </w:r>
            <w:r w:rsidRPr="00564DC7">
              <w:rPr>
                <w:rFonts w:asciiTheme="minorHAnsi" w:hAnsiTheme="minorHAnsi" w:cstheme="minorHAnsi"/>
                <w:sz w:val="26"/>
                <w:szCs w:val="26"/>
              </w:rPr>
              <w:t>toare sau beneficiare de raportări de date statistice judiciare.</w:t>
            </w:r>
          </w:p>
        </w:tc>
      </w:tr>
      <w:tr w:rsidR="00564DC7" w:rsidRPr="00564DC7" w14:paraId="2ADB6E75"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66F7BA"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3A765C"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Furnizarea de suport tehnic şi de date statistice în cadrul proiectului POCA „Optimizarea managementului la nivelul sistemului judiciar. Componenta de instanţe judecătoreşti” (date statistice privind activitatea instanţelor şi secţiilor unde au fost repartizați asistenți ai judecătorului)  pentru perioada post derulare a proiectului.</w:t>
            </w:r>
          </w:p>
        </w:tc>
      </w:tr>
      <w:tr w:rsidR="00564DC7" w:rsidRPr="00564DC7" w14:paraId="1BD97704" w14:textId="77777777" w:rsidTr="009C392C">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293979" w14:textId="77777777" w:rsidR="006721EB" w:rsidRPr="00564DC7" w:rsidRDefault="006721EB">
            <w:pPr>
              <w:numPr>
                <w:ilvl w:val="0"/>
                <w:numId w:val="14"/>
              </w:numPr>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8EAEED" w14:textId="77777777" w:rsidR="006721EB" w:rsidRPr="00564DC7" w:rsidRDefault="006721EB" w:rsidP="00690186">
            <w:pPr>
              <w:jc w:val="both"/>
              <w:rPr>
                <w:rFonts w:asciiTheme="minorHAnsi" w:hAnsiTheme="minorHAnsi" w:cstheme="minorHAnsi"/>
                <w:sz w:val="26"/>
                <w:szCs w:val="26"/>
              </w:rPr>
            </w:pPr>
            <w:r w:rsidRPr="00564DC7">
              <w:rPr>
                <w:rFonts w:asciiTheme="minorHAnsi" w:hAnsiTheme="minorHAnsi" w:cstheme="minorHAnsi"/>
                <w:sz w:val="26"/>
                <w:szCs w:val="26"/>
              </w:rPr>
              <w:t>Furnizarea de suport tehnic şi de date statistice în cadrul proiectului POCA „Consolidarea capacităţii organizaţionale şi administrative a CSM”.</w:t>
            </w:r>
          </w:p>
        </w:tc>
      </w:tr>
    </w:tbl>
    <w:p w14:paraId="2C276D4F" w14:textId="0BA695DB" w:rsidR="006C1588" w:rsidRPr="00B37280" w:rsidRDefault="006C1588" w:rsidP="00690186">
      <w:pPr>
        <w:pStyle w:val="Heading3"/>
        <w:keepNext w:val="0"/>
        <w:keepLines w:val="0"/>
        <w:suppressLineNumbers/>
        <w:suppressAutoHyphens/>
        <w:spacing w:line="240" w:lineRule="auto"/>
        <w:rPr>
          <w:rFonts w:cstheme="minorHAnsi"/>
          <w:color w:val="auto"/>
          <w:szCs w:val="26"/>
        </w:rPr>
      </w:pPr>
      <w:bookmarkStart w:id="169" w:name="_Toc155267924"/>
      <w:r w:rsidRPr="00B37280">
        <w:rPr>
          <w:rFonts w:cstheme="minorHAnsi"/>
          <w:color w:val="auto"/>
          <w:szCs w:val="26"/>
        </w:rPr>
        <w:t>VI.9.2.</w:t>
      </w:r>
      <w:r w:rsidR="000B639A" w:rsidRPr="00B37280">
        <w:rPr>
          <w:rFonts w:cstheme="minorHAnsi"/>
          <w:color w:val="auto"/>
          <w:szCs w:val="26"/>
        </w:rPr>
        <w:t xml:space="preserve"> </w:t>
      </w:r>
      <w:r w:rsidRPr="00B37280">
        <w:rPr>
          <w:rFonts w:cstheme="minorHAnsi"/>
          <w:color w:val="auto"/>
          <w:szCs w:val="26"/>
        </w:rPr>
        <w:t>Activitatea Biroului informatică</w:t>
      </w:r>
      <w:bookmarkEnd w:id="169"/>
    </w:p>
    <w:p w14:paraId="240AD28D" w14:textId="77777777" w:rsidR="00B37280" w:rsidRPr="00B37280" w:rsidRDefault="00B37280" w:rsidP="00690186">
      <w:pPr>
        <w:ind w:right="48" w:firstLine="709"/>
        <w:jc w:val="both"/>
        <w:rPr>
          <w:rFonts w:asciiTheme="minorHAnsi" w:hAnsiTheme="minorHAnsi" w:cstheme="minorHAnsi"/>
          <w:sz w:val="26"/>
          <w:szCs w:val="26"/>
        </w:rPr>
      </w:pPr>
      <w:bookmarkStart w:id="170" w:name="_Toc430867141"/>
      <w:r w:rsidRPr="00B37280">
        <w:rPr>
          <w:rFonts w:asciiTheme="minorHAnsi" w:hAnsiTheme="minorHAnsi" w:cstheme="minorHAnsi"/>
          <w:sz w:val="26"/>
          <w:szCs w:val="26"/>
        </w:rPr>
        <w:t>Biroul de informatică a oferit, pe întreg parcursul anului 2023, suportul necesar pentru buna desfășurare a activității departamentelor Consiliului Superior al Magistraturii și a asigurat funcționarea optimă a produselor și serviciilor informatice.</w:t>
      </w:r>
    </w:p>
    <w:p w14:paraId="4E3C37CD"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În anul 2023, monitorizarea operaţiilor efectuate de biroul de informatică s-a realizat prin intermediul sistemului de helpdesk implementat la nivelul biroului și prin intermediul registrelor specifice.</w:t>
      </w:r>
    </w:p>
    <w:p w14:paraId="77357F5F"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Efortul specialiștilor IT din cadrul Biroul de Informatică s-a axat pe următoarele patru componente:</w:t>
      </w:r>
    </w:p>
    <w:p w14:paraId="5A645FCA" w14:textId="77777777" w:rsidR="00B37280" w:rsidRPr="00B37280" w:rsidRDefault="00B37280" w:rsidP="00690186">
      <w:pPr>
        <w:ind w:right="48" w:firstLine="709"/>
        <w:jc w:val="both"/>
        <w:rPr>
          <w:rFonts w:asciiTheme="minorHAnsi" w:hAnsiTheme="minorHAnsi" w:cstheme="minorHAnsi"/>
          <w:b/>
          <w:sz w:val="26"/>
          <w:szCs w:val="26"/>
        </w:rPr>
      </w:pPr>
      <w:r w:rsidRPr="00B37280">
        <w:rPr>
          <w:rFonts w:asciiTheme="minorHAnsi" w:hAnsiTheme="minorHAnsi" w:cstheme="minorHAnsi"/>
          <w:b/>
          <w:sz w:val="26"/>
          <w:szCs w:val="26"/>
        </w:rPr>
        <w:t>1. Administrarea, dezvoltarea și optimizarea produselor și serviciilor informatice existente:</w:t>
      </w:r>
    </w:p>
    <w:p w14:paraId="57BBA106"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A) Administrarea, dezvoltarea și optimizarea portalului EMAP prin:</w:t>
      </w:r>
    </w:p>
    <w:p w14:paraId="541D3872" w14:textId="2405CFFE" w:rsidR="00B37280" w:rsidRPr="00B37280" w:rsidRDefault="00B37280">
      <w:pPr>
        <w:pStyle w:val="ListParagraph"/>
        <w:numPr>
          <w:ilvl w:val="0"/>
          <w:numId w:val="32"/>
        </w:numPr>
        <w:tabs>
          <w:tab w:val="left" w:pos="99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asigurare suport tehnic permanent pentru încărcarea de materiale în secțiunile: mapa electronică, vot electronic, registratură, activitate CSM, activităţi proiecte, cazuri de integritate, întâlniri trimestriale, declarații de avere și interese, etc</w:t>
      </w:r>
      <w:r w:rsidR="00B732F8">
        <w:rPr>
          <w:rFonts w:asciiTheme="minorHAnsi" w:hAnsiTheme="minorHAnsi" w:cstheme="minorHAnsi"/>
          <w:sz w:val="26"/>
          <w:szCs w:val="26"/>
        </w:rPr>
        <w:t>;</w:t>
      </w:r>
    </w:p>
    <w:p w14:paraId="000B6262" w14:textId="484498C7" w:rsidR="00B37280" w:rsidRPr="00B37280" w:rsidRDefault="00B37280">
      <w:pPr>
        <w:pStyle w:val="ListParagraph"/>
        <w:numPr>
          <w:ilvl w:val="0"/>
          <w:numId w:val="32"/>
        </w:numPr>
        <w:tabs>
          <w:tab w:val="left" w:pos="99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integrare de noi tehnologii şi actualizarea celor existente la ultimele versiuni</w:t>
      </w:r>
      <w:r w:rsidR="00B732F8">
        <w:rPr>
          <w:rFonts w:asciiTheme="minorHAnsi" w:hAnsiTheme="minorHAnsi" w:cstheme="minorHAnsi"/>
          <w:sz w:val="26"/>
          <w:szCs w:val="26"/>
        </w:rPr>
        <w:t>;</w:t>
      </w:r>
    </w:p>
    <w:p w14:paraId="4FC9EB78" w14:textId="77777777" w:rsidR="00B37280" w:rsidRPr="00B37280" w:rsidRDefault="00B37280">
      <w:pPr>
        <w:pStyle w:val="ListParagraph"/>
        <w:numPr>
          <w:ilvl w:val="0"/>
          <w:numId w:val="32"/>
        </w:numPr>
        <w:tabs>
          <w:tab w:val="left" w:pos="99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asigurare suport tehnic pentru exploatarea instrumentelor: Chestionare online, Conversie audio în text;</w:t>
      </w:r>
    </w:p>
    <w:p w14:paraId="105B3855" w14:textId="4EA1413F" w:rsidR="00B37280" w:rsidRPr="00B37280" w:rsidRDefault="00B37280">
      <w:pPr>
        <w:pStyle w:val="ListParagraph"/>
        <w:numPr>
          <w:ilvl w:val="0"/>
          <w:numId w:val="32"/>
        </w:numPr>
        <w:tabs>
          <w:tab w:val="left" w:pos="99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dezvoltarea de noi funcționalități aferente concursurilor/examenelor organizate de CSM:</w:t>
      </w:r>
      <w:r w:rsidR="00B732F8">
        <w:rPr>
          <w:rFonts w:asciiTheme="minorHAnsi" w:hAnsiTheme="minorHAnsi" w:cstheme="minorHAnsi"/>
          <w:sz w:val="26"/>
          <w:szCs w:val="26"/>
        </w:rPr>
        <w:t xml:space="preserve"> </w:t>
      </w:r>
      <w:r w:rsidRPr="00B37280">
        <w:rPr>
          <w:rFonts w:asciiTheme="minorHAnsi" w:hAnsiTheme="minorHAnsi" w:cstheme="minorHAnsi"/>
          <w:sz w:val="26"/>
          <w:szCs w:val="26"/>
        </w:rPr>
        <w:t>reproiectarea rapoartelor, implementare</w:t>
      </w:r>
      <w:r w:rsidR="00B732F8">
        <w:rPr>
          <w:rFonts w:asciiTheme="minorHAnsi" w:hAnsiTheme="minorHAnsi" w:cstheme="minorHAnsi"/>
          <w:sz w:val="26"/>
          <w:szCs w:val="26"/>
        </w:rPr>
        <w:t>a</w:t>
      </w:r>
      <w:r w:rsidRPr="00B37280">
        <w:rPr>
          <w:rFonts w:asciiTheme="minorHAnsi" w:hAnsiTheme="minorHAnsi" w:cstheme="minorHAnsi"/>
          <w:sz w:val="26"/>
          <w:szCs w:val="26"/>
        </w:rPr>
        <w:t xml:space="preserve"> module</w:t>
      </w:r>
      <w:r w:rsidR="00B732F8">
        <w:rPr>
          <w:rFonts w:asciiTheme="minorHAnsi" w:hAnsiTheme="minorHAnsi" w:cstheme="minorHAnsi"/>
          <w:sz w:val="26"/>
          <w:szCs w:val="26"/>
        </w:rPr>
        <w:t xml:space="preserve">lor </w:t>
      </w:r>
      <w:r w:rsidRPr="00B37280">
        <w:rPr>
          <w:rFonts w:asciiTheme="minorHAnsi" w:hAnsiTheme="minorHAnsi" w:cstheme="minorHAnsi"/>
          <w:sz w:val="26"/>
          <w:szCs w:val="26"/>
        </w:rPr>
        <w:t>dedicate validării dosarelor, eficientizarea secțiunilor aferente gestiunii candidaților, implementare</w:t>
      </w:r>
      <w:r w:rsidR="00B732F8">
        <w:rPr>
          <w:rFonts w:asciiTheme="minorHAnsi" w:hAnsiTheme="minorHAnsi" w:cstheme="minorHAnsi"/>
          <w:sz w:val="26"/>
          <w:szCs w:val="26"/>
        </w:rPr>
        <w:t>a</w:t>
      </w:r>
      <w:r w:rsidRPr="00B37280">
        <w:rPr>
          <w:rFonts w:asciiTheme="minorHAnsi" w:hAnsiTheme="minorHAnsi" w:cstheme="minorHAnsi"/>
          <w:sz w:val="26"/>
          <w:szCs w:val="26"/>
        </w:rPr>
        <w:t xml:space="preserve"> module</w:t>
      </w:r>
      <w:r w:rsidR="00B732F8">
        <w:rPr>
          <w:rFonts w:asciiTheme="minorHAnsi" w:hAnsiTheme="minorHAnsi" w:cstheme="minorHAnsi"/>
          <w:sz w:val="26"/>
          <w:szCs w:val="26"/>
        </w:rPr>
        <w:t>lor</w:t>
      </w:r>
      <w:r w:rsidRPr="00B37280">
        <w:rPr>
          <w:rFonts w:asciiTheme="minorHAnsi" w:hAnsiTheme="minorHAnsi" w:cstheme="minorHAnsi"/>
          <w:sz w:val="26"/>
          <w:szCs w:val="26"/>
        </w:rPr>
        <w:t xml:space="preserve"> pentru depunerea online a contestațiilor, implementare</w:t>
      </w:r>
      <w:r w:rsidR="00B732F8">
        <w:rPr>
          <w:rFonts w:asciiTheme="minorHAnsi" w:hAnsiTheme="minorHAnsi" w:cstheme="minorHAnsi"/>
          <w:sz w:val="26"/>
          <w:szCs w:val="26"/>
        </w:rPr>
        <w:t>a</w:t>
      </w:r>
      <w:r w:rsidRPr="00B37280">
        <w:rPr>
          <w:rFonts w:asciiTheme="minorHAnsi" w:hAnsiTheme="minorHAnsi" w:cstheme="minorHAnsi"/>
          <w:sz w:val="26"/>
          <w:szCs w:val="26"/>
        </w:rPr>
        <w:t xml:space="preserve"> module</w:t>
      </w:r>
      <w:r w:rsidR="00B732F8">
        <w:rPr>
          <w:rFonts w:asciiTheme="minorHAnsi" w:hAnsiTheme="minorHAnsi" w:cstheme="minorHAnsi"/>
          <w:sz w:val="26"/>
          <w:szCs w:val="26"/>
        </w:rPr>
        <w:t>lor</w:t>
      </w:r>
      <w:r w:rsidRPr="00B37280">
        <w:rPr>
          <w:rFonts w:asciiTheme="minorHAnsi" w:hAnsiTheme="minorHAnsi" w:cstheme="minorHAnsi"/>
          <w:sz w:val="26"/>
          <w:szCs w:val="26"/>
        </w:rPr>
        <w:t xml:space="preserve"> pentru depunerea online a dosarelor candidaților pentru promovarea în funcții de execuție, etc</w:t>
      </w:r>
      <w:r w:rsidR="00B732F8">
        <w:rPr>
          <w:rFonts w:asciiTheme="minorHAnsi" w:hAnsiTheme="minorHAnsi" w:cstheme="minorHAnsi"/>
          <w:sz w:val="26"/>
          <w:szCs w:val="26"/>
        </w:rPr>
        <w:t>;</w:t>
      </w:r>
    </w:p>
    <w:p w14:paraId="168CDEE9" w14:textId="77777777" w:rsidR="00B37280" w:rsidRPr="00B37280" w:rsidRDefault="00B37280">
      <w:pPr>
        <w:pStyle w:val="ListParagraph"/>
        <w:numPr>
          <w:ilvl w:val="0"/>
          <w:numId w:val="32"/>
        </w:numPr>
        <w:tabs>
          <w:tab w:val="left" w:pos="99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eficientizarea sistemului de vot electronic.</w:t>
      </w:r>
    </w:p>
    <w:p w14:paraId="355055CE"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 xml:space="preserve">B) Administrarea și dezvoltarea site-ului Consiliului Superior al Magistraturii </w:t>
      </w:r>
    </w:p>
    <w:p w14:paraId="65F88C69"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În concordanță cu obiectivele generale ale Consiliului Superior al Magistraturii, Biroul de Informatică are ca preocupare permanentă îmbunătățirea structurii paginii de Internet a Consiliului și a serviciilor oferite publicului.</w:t>
      </w:r>
    </w:p>
    <w:p w14:paraId="0B2F8A6A" w14:textId="1B50F750"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Astfel, în cursul anului 2023, Biroul Informatică</w:t>
      </w:r>
      <w:r w:rsidR="00B732F8">
        <w:rPr>
          <w:rFonts w:asciiTheme="minorHAnsi" w:hAnsiTheme="minorHAnsi" w:cstheme="minorHAnsi"/>
          <w:sz w:val="26"/>
          <w:szCs w:val="26"/>
        </w:rPr>
        <w:t>:</w:t>
      </w:r>
    </w:p>
    <w:p w14:paraId="39DDB80F" w14:textId="77777777" w:rsidR="00B37280" w:rsidRPr="00B37280" w:rsidRDefault="00B37280">
      <w:pPr>
        <w:pStyle w:val="ListParagraph"/>
        <w:numPr>
          <w:ilvl w:val="0"/>
          <w:numId w:val="32"/>
        </w:numPr>
        <w:tabs>
          <w:tab w:val="left" w:pos="99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a asigurat integrarea de noi tehnologii şi actualizarea celor existente la ultimele versiuni;</w:t>
      </w:r>
    </w:p>
    <w:p w14:paraId="09EAF018" w14:textId="77777777" w:rsidR="00B37280" w:rsidRPr="00B37280" w:rsidRDefault="00B37280">
      <w:pPr>
        <w:pStyle w:val="ListParagraph"/>
        <w:numPr>
          <w:ilvl w:val="0"/>
          <w:numId w:val="33"/>
        </w:numPr>
        <w:tabs>
          <w:tab w:val="left" w:pos="993"/>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lastRenderedPageBreak/>
        <w:t>a asigurat actualizarea structurii site-ului conform solicitărilor transmise de către departamentele consiliului;</w:t>
      </w:r>
    </w:p>
    <w:p w14:paraId="150977A0" w14:textId="77777777" w:rsidR="00B37280" w:rsidRPr="00B37280" w:rsidRDefault="00B37280">
      <w:pPr>
        <w:pStyle w:val="ListParagraph"/>
        <w:numPr>
          <w:ilvl w:val="0"/>
          <w:numId w:val="33"/>
        </w:numPr>
        <w:tabs>
          <w:tab w:val="left" w:pos="993"/>
          <w:tab w:val="left" w:pos="1134"/>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a efectuat actualizarea secțiunilor site-ului cu materiale transmise de către departamentele consiliului, pe aria de competență;</w:t>
      </w:r>
    </w:p>
    <w:p w14:paraId="273F03BA"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C) Asistență utilizatori pentru exploatarea serviciilor și produselor informatice:</w:t>
      </w:r>
    </w:p>
    <w:p w14:paraId="377EBECD" w14:textId="31CBD5A5" w:rsidR="00B37280" w:rsidRPr="00B37280" w:rsidRDefault="00B37280" w:rsidP="00690186">
      <w:pPr>
        <w:ind w:right="48" w:firstLine="709"/>
        <w:jc w:val="both"/>
        <w:rPr>
          <w:rFonts w:asciiTheme="minorHAnsi" w:hAnsiTheme="minorHAnsi" w:cstheme="minorHAnsi"/>
          <w:color w:val="FF0000"/>
          <w:sz w:val="26"/>
          <w:szCs w:val="26"/>
        </w:rPr>
      </w:pPr>
      <w:r w:rsidRPr="00B37280">
        <w:rPr>
          <w:rFonts w:asciiTheme="minorHAnsi" w:hAnsiTheme="minorHAnsi" w:cstheme="minorHAnsi"/>
          <w:sz w:val="26"/>
          <w:szCs w:val="26"/>
        </w:rPr>
        <w:t xml:space="preserve">Prin sistemul de evidență și control al solicitărilor transmise către Biroul de informatică, în </w:t>
      </w:r>
      <w:r w:rsidRPr="00672DD1">
        <w:rPr>
          <w:rFonts w:asciiTheme="minorHAnsi" w:hAnsiTheme="minorHAnsi" w:cstheme="minorHAnsi"/>
          <w:sz w:val="26"/>
          <w:szCs w:val="26"/>
        </w:rPr>
        <w:t>perioada 01.01.2023 - 0</w:t>
      </w:r>
      <w:r w:rsidR="00672DD1" w:rsidRPr="00672DD1">
        <w:rPr>
          <w:rFonts w:asciiTheme="minorHAnsi" w:hAnsiTheme="minorHAnsi" w:cstheme="minorHAnsi"/>
          <w:sz w:val="26"/>
          <w:szCs w:val="26"/>
        </w:rPr>
        <w:t>8</w:t>
      </w:r>
      <w:r w:rsidRPr="00672DD1">
        <w:rPr>
          <w:rFonts w:asciiTheme="minorHAnsi" w:hAnsiTheme="minorHAnsi" w:cstheme="minorHAnsi"/>
          <w:sz w:val="26"/>
          <w:szCs w:val="26"/>
        </w:rPr>
        <w:t>.1</w:t>
      </w:r>
      <w:r w:rsidR="00672DD1" w:rsidRPr="00672DD1">
        <w:rPr>
          <w:rFonts w:asciiTheme="minorHAnsi" w:hAnsiTheme="minorHAnsi" w:cstheme="minorHAnsi"/>
          <w:sz w:val="26"/>
          <w:szCs w:val="26"/>
        </w:rPr>
        <w:t>2</w:t>
      </w:r>
      <w:r w:rsidRPr="00672DD1">
        <w:rPr>
          <w:rFonts w:asciiTheme="minorHAnsi" w:hAnsiTheme="minorHAnsi" w:cstheme="minorHAnsi"/>
          <w:sz w:val="26"/>
          <w:szCs w:val="26"/>
        </w:rPr>
        <w:t xml:space="preserve">.2023 </w:t>
      </w:r>
      <w:r w:rsidRPr="00B37280">
        <w:rPr>
          <w:rFonts w:asciiTheme="minorHAnsi" w:hAnsiTheme="minorHAnsi" w:cstheme="minorHAnsi"/>
          <w:sz w:val="26"/>
          <w:szCs w:val="26"/>
        </w:rPr>
        <w:t xml:space="preserve">au fost înregistrate un număr de </w:t>
      </w:r>
      <w:r w:rsidRPr="00B37280">
        <w:rPr>
          <w:rFonts w:asciiTheme="minorHAnsi" w:hAnsiTheme="minorHAnsi" w:cstheme="minorHAnsi"/>
          <w:bCs/>
          <w:sz w:val="26"/>
          <w:szCs w:val="26"/>
        </w:rPr>
        <w:t>aproximativ 7.000 solicitări</w:t>
      </w:r>
      <w:r w:rsidRPr="00B37280">
        <w:rPr>
          <w:rFonts w:asciiTheme="minorHAnsi" w:hAnsiTheme="minorHAnsi" w:cstheme="minorHAnsi"/>
          <w:b/>
          <w:color w:val="000000" w:themeColor="text1"/>
          <w:sz w:val="26"/>
          <w:szCs w:val="26"/>
        </w:rPr>
        <w:t xml:space="preserve">. </w:t>
      </w:r>
      <w:r w:rsidRPr="00B37280">
        <w:rPr>
          <w:rFonts w:asciiTheme="minorHAnsi" w:hAnsiTheme="minorHAnsi" w:cstheme="minorHAnsi"/>
          <w:color w:val="000000" w:themeColor="text1"/>
          <w:sz w:val="26"/>
          <w:szCs w:val="26"/>
        </w:rPr>
        <w:t>Aceste solicitări au vizat probleme precum: solicitare de suport tehnic pentru depanare hardware și software, publicare de materiale pe site-ul Consiliului Superior al Magistraturii (anunțuri, concursuri, comunicate, hotărâri, minute, agende, etc); publicare materiale în portalul EMAP; asistenţă tehnică de specialitate pentru utilizatori din instanţe, parchete, INM, SNG, IJ, MJ; lucrări administrative.</w:t>
      </w:r>
    </w:p>
    <w:p w14:paraId="146A9C36"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D) Actualizarea permanentă a produselor legislative: Eurolex, Monitorul Oficial şi suport de specialitate pentru buna funcţionare a acestora.</w:t>
      </w:r>
    </w:p>
    <w:p w14:paraId="58F78002"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E) Suport permanent pentru menținerea infrastructurii hardware și software: administrare servere; administrare active directory; actualizare produse office, produse contabilitate, baze de date, etc;</w:t>
      </w:r>
    </w:p>
    <w:p w14:paraId="29F6B601" w14:textId="226AD92C"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F) Asigurarea, în cadrul Serviciului informatică şi statistică judiciară, a mentenanței aplicației desktop ReJust, dezvoltat</w:t>
      </w:r>
      <w:r w:rsidR="00B732F8">
        <w:rPr>
          <w:rFonts w:asciiTheme="minorHAnsi" w:hAnsiTheme="minorHAnsi" w:cstheme="minorHAnsi"/>
          <w:sz w:val="26"/>
          <w:szCs w:val="26"/>
        </w:rPr>
        <w:t>ă</w:t>
      </w:r>
      <w:r w:rsidRPr="00B37280">
        <w:rPr>
          <w:rFonts w:asciiTheme="minorHAnsi" w:hAnsiTheme="minorHAnsi" w:cstheme="minorHAnsi"/>
          <w:sz w:val="26"/>
          <w:szCs w:val="26"/>
        </w:rPr>
        <w:t xml:space="preserve"> pentru uzul judecătorilor și grefierilor, precum și organizarea unor sesiuni de formare a grefierilor, prin intermediul a trei webinare organizate de Școala Națională de Grefieri;</w:t>
      </w:r>
    </w:p>
    <w:p w14:paraId="78B0FFB4" w14:textId="77777777" w:rsidR="00B37280" w:rsidRPr="00B37280" w:rsidRDefault="00B37280" w:rsidP="00690186">
      <w:pPr>
        <w:ind w:right="48" w:firstLine="709"/>
        <w:jc w:val="both"/>
        <w:rPr>
          <w:rFonts w:asciiTheme="minorHAnsi" w:hAnsiTheme="minorHAnsi" w:cstheme="minorHAnsi"/>
          <w:sz w:val="26"/>
          <w:szCs w:val="26"/>
        </w:rPr>
      </w:pPr>
      <w:r w:rsidRPr="00B37280">
        <w:rPr>
          <w:rFonts w:asciiTheme="minorHAnsi" w:hAnsiTheme="minorHAnsi" w:cstheme="minorHAnsi"/>
          <w:sz w:val="26"/>
          <w:szCs w:val="26"/>
        </w:rPr>
        <w:t>G) Suport tehnic de specialitate pentru concursurile/examenele organizate de Consiliul Superior al Magistraturii, Institutul Național al Magistraturii și Școala Națională de Grefieri:</w:t>
      </w:r>
    </w:p>
    <w:p w14:paraId="394E9733"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Concurs de admitere la Institutul Naţional al Magistraturii, organizat în perioada 12 iulie 2022 - 31 martie 2023;</w:t>
      </w:r>
    </w:p>
    <w:p w14:paraId="170B4E48"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Concurs de admitere la Institutul Naţional al Magistraturii, organizat în perioada 07 iulie 2023 - 28 martie 2024;</w:t>
      </w:r>
    </w:p>
    <w:p w14:paraId="27C6CFF6"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Concurs de admitere în magistratură, organizat in perioada 14 octombrie 2022 - 15 iunie 2023;</w:t>
      </w:r>
    </w:p>
    <w:p w14:paraId="1124E5DD"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Concurs de admitere în magistratură, organizat in perioada 07 iulie 2023 - 06 martie 2024;</w:t>
      </w:r>
    </w:p>
    <w:p w14:paraId="4F930C6D"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Examen de capacitate al judecătorilor stagiari și procurorilor stagiari la București, în perioada noiembrie 2022 - aprilie 2023;</w:t>
      </w:r>
    </w:p>
    <w:p w14:paraId="575093D4"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Concursul de promovare efectivă în funcții de execuție a procurorilor, organizat în perioada mai - octombrie 2023;</w:t>
      </w:r>
    </w:p>
    <w:p w14:paraId="49440AE0"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 xml:space="preserve">Concursul de promovare efectivă în funcții de execuție a judecatorilor organizat in perioada mai - octombrie 2023; </w:t>
      </w:r>
    </w:p>
    <w:p w14:paraId="52620B91"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 xml:space="preserve">Concurs sau examen pentru numirea în funcţii de conducere a judecătorilor la curţile de apel, tribunale, tribunale specializate si judecătorii, organizat în perioada februarie- iunie 2023; </w:t>
      </w:r>
    </w:p>
    <w:p w14:paraId="16628B80"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 xml:space="preserve">Concurs sau examen pentru numirea în funcţii de conducere a procurorilor la parchetele de pe langa curţile de apel, tribunale, tribunale specializate si judecătorii, organizat în perioada august - noiembrie 2023; </w:t>
      </w:r>
    </w:p>
    <w:p w14:paraId="5D8E6E76"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Concurs sau examen pentru numirea în funcţii de conducere a judecătorilor la curţile de apel, tribunale, tribunale specializate si judecătorii, organizat în perioada septembrie - decembrie 2023;</w:t>
      </w:r>
    </w:p>
    <w:p w14:paraId="3C309137" w14:textId="3239579F"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t xml:space="preserve">Concurs de promovare în funcţia de judecător la Înalta Curte de Casaţie şi Justiţie </w:t>
      </w:r>
      <w:r w:rsidR="00B732F8">
        <w:rPr>
          <w:rFonts w:asciiTheme="minorHAnsi" w:hAnsiTheme="minorHAnsi" w:cstheme="minorHAnsi"/>
          <w:sz w:val="26"/>
          <w:szCs w:val="26"/>
        </w:rPr>
        <w:t>organizat</w:t>
      </w:r>
      <w:r w:rsidRPr="00B37280">
        <w:rPr>
          <w:rFonts w:asciiTheme="minorHAnsi" w:hAnsiTheme="minorHAnsi" w:cstheme="minorHAnsi"/>
          <w:sz w:val="26"/>
          <w:szCs w:val="26"/>
        </w:rPr>
        <w:t xml:space="preserve"> în perioada noiembrie 2022 - martie 2023; </w:t>
      </w:r>
    </w:p>
    <w:p w14:paraId="2E3FB77C" w14:textId="77777777" w:rsidR="00B37280" w:rsidRPr="00B37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B37280">
        <w:rPr>
          <w:rFonts w:asciiTheme="minorHAnsi" w:hAnsiTheme="minorHAnsi" w:cstheme="minorHAnsi"/>
          <w:sz w:val="26"/>
          <w:szCs w:val="26"/>
        </w:rPr>
        <w:lastRenderedPageBreak/>
        <w:t>Concurs de promovare în funcţia de judecător la Înalta Curte de Casaţie şi Justiţie - Secția a II-a CIVILĂ ce se va desfăşura în perioada noiembrie 2022 - martie 2023;</w:t>
      </w:r>
    </w:p>
    <w:p w14:paraId="7FED7F37" w14:textId="3B86CB3E" w:rsidR="00B37280" w:rsidRPr="00515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515280">
        <w:rPr>
          <w:rFonts w:asciiTheme="minorHAnsi" w:hAnsiTheme="minorHAnsi" w:cstheme="minorHAnsi"/>
          <w:sz w:val="26"/>
          <w:szCs w:val="26"/>
        </w:rPr>
        <w:t xml:space="preserve"> Concurs de promovare în funcţia de judecător la Înalta Curte de Casaţie şi Justiţie </w:t>
      </w:r>
      <w:r w:rsidR="00B732F8">
        <w:rPr>
          <w:rFonts w:asciiTheme="minorHAnsi" w:hAnsiTheme="minorHAnsi" w:cstheme="minorHAnsi"/>
          <w:sz w:val="26"/>
          <w:szCs w:val="26"/>
        </w:rPr>
        <w:t xml:space="preserve">organizat </w:t>
      </w:r>
      <w:r w:rsidRPr="00515280">
        <w:rPr>
          <w:rFonts w:asciiTheme="minorHAnsi" w:hAnsiTheme="minorHAnsi" w:cstheme="minorHAnsi"/>
          <w:sz w:val="26"/>
          <w:szCs w:val="26"/>
        </w:rPr>
        <w:t>în perioada aprilie - septembrie 2023;</w:t>
      </w:r>
    </w:p>
    <w:p w14:paraId="21FEBC9D" w14:textId="2EB77B0A" w:rsidR="00B37280" w:rsidRPr="00515280" w:rsidRDefault="00B37280">
      <w:pPr>
        <w:pStyle w:val="ListParagraph"/>
        <w:numPr>
          <w:ilvl w:val="0"/>
          <w:numId w:val="34"/>
        </w:numPr>
        <w:tabs>
          <w:tab w:val="left" w:pos="1080"/>
        </w:tabs>
        <w:ind w:left="0" w:right="48" w:firstLine="720"/>
        <w:jc w:val="both"/>
        <w:rPr>
          <w:rFonts w:asciiTheme="minorHAnsi" w:hAnsiTheme="minorHAnsi" w:cstheme="minorHAnsi"/>
          <w:sz w:val="26"/>
          <w:szCs w:val="26"/>
        </w:rPr>
      </w:pPr>
      <w:r w:rsidRPr="00515280">
        <w:rPr>
          <w:rFonts w:asciiTheme="minorHAnsi" w:hAnsiTheme="minorHAnsi" w:cstheme="minorHAnsi"/>
          <w:sz w:val="26"/>
          <w:szCs w:val="26"/>
        </w:rPr>
        <w:t>Concursul de admitere la SNG din 07 mai 2023.</w:t>
      </w:r>
    </w:p>
    <w:p w14:paraId="44969DD0" w14:textId="77777777" w:rsidR="00B37280" w:rsidRPr="00B37280" w:rsidRDefault="00B37280" w:rsidP="00500978">
      <w:pPr>
        <w:keepNext/>
        <w:ind w:right="48" w:firstLine="709"/>
        <w:jc w:val="both"/>
        <w:rPr>
          <w:rFonts w:asciiTheme="minorHAnsi" w:hAnsiTheme="minorHAnsi" w:cstheme="minorHAnsi"/>
          <w:b/>
          <w:sz w:val="26"/>
          <w:szCs w:val="26"/>
        </w:rPr>
      </w:pPr>
      <w:r w:rsidRPr="00B37280">
        <w:rPr>
          <w:rFonts w:asciiTheme="minorHAnsi" w:hAnsiTheme="minorHAnsi" w:cstheme="minorHAnsi"/>
          <w:b/>
          <w:sz w:val="26"/>
          <w:szCs w:val="26"/>
        </w:rPr>
        <w:t>2. Dezvoltare de noi proiecte</w:t>
      </w:r>
    </w:p>
    <w:p w14:paraId="6131190A" w14:textId="77777777" w:rsidR="00B37280" w:rsidRPr="00B37280" w:rsidRDefault="00B37280" w:rsidP="00500978">
      <w:pPr>
        <w:keepNext/>
        <w:ind w:right="48" w:firstLine="709"/>
        <w:jc w:val="both"/>
        <w:rPr>
          <w:rFonts w:asciiTheme="minorHAnsi" w:hAnsiTheme="minorHAnsi" w:cstheme="minorHAnsi"/>
          <w:b/>
          <w:sz w:val="26"/>
          <w:szCs w:val="26"/>
        </w:rPr>
      </w:pPr>
      <w:r w:rsidRPr="00B37280">
        <w:rPr>
          <w:rFonts w:asciiTheme="minorHAnsi" w:hAnsiTheme="minorHAnsi" w:cstheme="minorHAnsi"/>
          <w:b/>
          <w:sz w:val="26"/>
          <w:szCs w:val="26"/>
        </w:rPr>
        <w:t>Registratura.rejust.ro</w:t>
      </w:r>
    </w:p>
    <w:p w14:paraId="339A84BA" w14:textId="77777777" w:rsidR="00B37280" w:rsidRPr="00B37280" w:rsidRDefault="00B37280" w:rsidP="00500978">
      <w:pPr>
        <w:keepNext/>
        <w:shd w:val="clear" w:color="auto" w:fill="FFFFFF"/>
        <w:spacing w:after="60"/>
        <w:ind w:firstLine="720"/>
        <w:jc w:val="both"/>
        <w:rPr>
          <w:rFonts w:asciiTheme="minorHAnsi" w:hAnsiTheme="minorHAnsi" w:cstheme="minorHAnsi"/>
          <w:sz w:val="26"/>
          <w:szCs w:val="26"/>
        </w:rPr>
      </w:pPr>
      <w:r w:rsidRPr="00B37280">
        <w:rPr>
          <w:rFonts w:asciiTheme="minorHAnsi" w:hAnsiTheme="minorHAnsi" w:cstheme="minorHAnsi"/>
          <w:sz w:val="26"/>
          <w:szCs w:val="26"/>
        </w:rPr>
        <w:t>Dezvoltat, într-o primă fază, de Curtea de Apel Galați, portalul este disponibil la nivel național, gratuit, putând fi accesat la adresa de internet </w:t>
      </w:r>
      <w:hyperlink r:id="rId33" w:tgtFrame="_blank" w:history="1">
        <w:r w:rsidRPr="00B37280">
          <w:rPr>
            <w:rStyle w:val="Hyperlink"/>
            <w:rFonts w:asciiTheme="minorHAnsi" w:hAnsiTheme="minorHAnsi" w:cstheme="minorHAnsi"/>
            <w:sz w:val="26"/>
            <w:szCs w:val="26"/>
          </w:rPr>
          <w:t>https://registratura.rejust.ro</w:t>
        </w:r>
      </w:hyperlink>
      <w:r w:rsidRPr="00B37280">
        <w:rPr>
          <w:rFonts w:asciiTheme="minorHAnsi" w:hAnsiTheme="minorHAnsi" w:cstheme="minorHAnsi"/>
          <w:sz w:val="26"/>
          <w:szCs w:val="26"/>
        </w:rPr>
        <w:t>.</w:t>
      </w:r>
    </w:p>
    <w:p w14:paraId="7065125D" w14:textId="3DA0768A" w:rsidR="00B37280" w:rsidRPr="00B37280" w:rsidRDefault="00B37280" w:rsidP="00515280">
      <w:pPr>
        <w:shd w:val="clear" w:color="auto" w:fill="FFFFFF"/>
        <w:spacing w:after="60"/>
        <w:ind w:firstLine="720"/>
        <w:jc w:val="both"/>
        <w:rPr>
          <w:rFonts w:asciiTheme="minorHAnsi" w:hAnsiTheme="minorHAnsi" w:cstheme="minorHAnsi"/>
          <w:sz w:val="26"/>
          <w:szCs w:val="26"/>
        </w:rPr>
      </w:pPr>
      <w:r w:rsidRPr="00B37280">
        <w:rPr>
          <w:rFonts w:asciiTheme="minorHAnsi" w:hAnsiTheme="minorHAnsi" w:cstheme="minorHAnsi"/>
          <w:sz w:val="26"/>
          <w:szCs w:val="26"/>
        </w:rPr>
        <w:t>Site-ul permite interacțiunea electronică a justițiabililor și profesioniștilor dreptului cu instanțele de judecată, oferindu-le acestora posibilitatea de a accesa cu ușurință următoarele servicii: depunerea unei cereri de chemare în judecată;</w:t>
      </w:r>
      <w:r w:rsidR="00515280">
        <w:rPr>
          <w:rFonts w:asciiTheme="minorHAnsi" w:hAnsiTheme="minorHAnsi" w:cstheme="minorHAnsi"/>
          <w:sz w:val="26"/>
          <w:szCs w:val="26"/>
        </w:rPr>
        <w:t xml:space="preserve"> </w:t>
      </w:r>
      <w:r w:rsidRPr="00B37280">
        <w:rPr>
          <w:rFonts w:asciiTheme="minorHAnsi" w:hAnsiTheme="minorHAnsi" w:cstheme="minorHAnsi"/>
          <w:sz w:val="26"/>
          <w:szCs w:val="26"/>
        </w:rPr>
        <w:t>declararea unei căi de atac într-un dosar;</w:t>
      </w:r>
      <w:r w:rsidR="00515280">
        <w:rPr>
          <w:rFonts w:asciiTheme="minorHAnsi" w:hAnsiTheme="minorHAnsi" w:cstheme="minorHAnsi"/>
          <w:sz w:val="26"/>
          <w:szCs w:val="26"/>
        </w:rPr>
        <w:t xml:space="preserve"> </w:t>
      </w:r>
      <w:r w:rsidRPr="00B37280">
        <w:rPr>
          <w:rFonts w:asciiTheme="minorHAnsi" w:hAnsiTheme="minorHAnsi" w:cstheme="minorHAnsi"/>
          <w:sz w:val="26"/>
          <w:szCs w:val="26"/>
        </w:rPr>
        <w:t>depunerea înscrisurilor într-un dosar deja existent;</w:t>
      </w:r>
      <w:r w:rsidR="00515280">
        <w:rPr>
          <w:rFonts w:asciiTheme="minorHAnsi" w:hAnsiTheme="minorHAnsi" w:cstheme="minorHAnsi"/>
          <w:sz w:val="26"/>
          <w:szCs w:val="26"/>
        </w:rPr>
        <w:t xml:space="preserve"> </w:t>
      </w:r>
      <w:r w:rsidRPr="00B37280">
        <w:rPr>
          <w:rFonts w:asciiTheme="minorHAnsi" w:hAnsiTheme="minorHAnsi" w:cstheme="minorHAnsi"/>
          <w:sz w:val="26"/>
          <w:szCs w:val="26"/>
        </w:rPr>
        <w:t>plata taxei judiciare de timbru într-un dosar utilizând cardul bancar;</w:t>
      </w:r>
      <w:r w:rsidR="00515280">
        <w:rPr>
          <w:rFonts w:asciiTheme="minorHAnsi" w:hAnsiTheme="minorHAnsi" w:cstheme="minorHAnsi"/>
          <w:sz w:val="26"/>
          <w:szCs w:val="26"/>
        </w:rPr>
        <w:t xml:space="preserve"> </w:t>
      </w:r>
      <w:r w:rsidRPr="00B37280">
        <w:rPr>
          <w:rFonts w:asciiTheme="minorHAnsi" w:hAnsiTheme="minorHAnsi" w:cstheme="minorHAnsi"/>
          <w:sz w:val="26"/>
          <w:szCs w:val="26"/>
        </w:rPr>
        <w:t>eliberarea certificatelor de grefă;</w:t>
      </w:r>
      <w:r w:rsidR="00515280">
        <w:rPr>
          <w:rFonts w:asciiTheme="minorHAnsi" w:hAnsiTheme="minorHAnsi" w:cstheme="minorHAnsi"/>
          <w:sz w:val="26"/>
          <w:szCs w:val="26"/>
        </w:rPr>
        <w:t xml:space="preserve"> </w:t>
      </w:r>
      <w:r w:rsidRPr="00B37280">
        <w:rPr>
          <w:rFonts w:asciiTheme="minorHAnsi" w:hAnsiTheme="minorHAnsi" w:cstheme="minorHAnsi"/>
          <w:sz w:val="26"/>
          <w:szCs w:val="26"/>
        </w:rPr>
        <w:t>eliberarea copiilor legalizate ale hotărârilor judecătorești.</w:t>
      </w:r>
    </w:p>
    <w:p w14:paraId="707E5A5D" w14:textId="77777777" w:rsidR="00B37280" w:rsidRPr="00B37280" w:rsidRDefault="00B37280" w:rsidP="00690186">
      <w:pPr>
        <w:shd w:val="clear" w:color="auto" w:fill="FFFFFF"/>
        <w:spacing w:after="60"/>
        <w:ind w:firstLine="720"/>
        <w:jc w:val="both"/>
        <w:rPr>
          <w:rFonts w:asciiTheme="minorHAnsi" w:hAnsiTheme="minorHAnsi" w:cstheme="minorHAnsi"/>
          <w:sz w:val="26"/>
          <w:szCs w:val="26"/>
        </w:rPr>
      </w:pPr>
      <w:r w:rsidRPr="00B37280">
        <w:rPr>
          <w:rFonts w:asciiTheme="minorHAnsi" w:hAnsiTheme="minorHAnsi" w:cstheme="minorHAnsi"/>
          <w:sz w:val="26"/>
          <w:szCs w:val="26"/>
        </w:rPr>
        <w:t>Posibilitatea de a plăti taxa de timbru utilizând cardul bancar simplifică în mod semnificativ interacțiunea cu instanța de judecată, această modalitate de plată fiind implementată în parteneriat cu Autoritatea pentru Digitalizarea României, Asociația de Plăți Electronice din România și Ghișeul.ro.</w:t>
      </w:r>
    </w:p>
    <w:p w14:paraId="3A5DA73C" w14:textId="2CDC934B" w:rsidR="00B37280" w:rsidRPr="00B37280" w:rsidRDefault="00515280" w:rsidP="00690186">
      <w:pPr>
        <w:shd w:val="clear" w:color="auto" w:fill="FFFFFF"/>
        <w:spacing w:after="60"/>
        <w:ind w:firstLine="720"/>
        <w:jc w:val="both"/>
        <w:rPr>
          <w:rFonts w:asciiTheme="minorHAnsi" w:hAnsiTheme="minorHAnsi" w:cstheme="minorHAnsi"/>
          <w:sz w:val="26"/>
          <w:szCs w:val="26"/>
        </w:rPr>
      </w:pPr>
      <w:r>
        <w:rPr>
          <w:rFonts w:asciiTheme="minorHAnsi" w:hAnsiTheme="minorHAnsi" w:cstheme="minorHAnsi"/>
          <w:sz w:val="26"/>
          <w:szCs w:val="26"/>
        </w:rPr>
        <w:t xml:space="preserve">Noua </w:t>
      </w:r>
      <w:r w:rsidR="00B37280" w:rsidRPr="00B37280">
        <w:rPr>
          <w:rFonts w:asciiTheme="minorHAnsi" w:hAnsiTheme="minorHAnsi" w:cstheme="minorHAnsi"/>
          <w:sz w:val="26"/>
          <w:szCs w:val="26"/>
        </w:rPr>
        <w:t>interfață implementată la nivelul întregului sistem judiciar este benefică</w:t>
      </w:r>
      <w:r>
        <w:rPr>
          <w:rFonts w:asciiTheme="minorHAnsi" w:hAnsiTheme="minorHAnsi" w:cstheme="minorHAnsi"/>
          <w:sz w:val="26"/>
          <w:szCs w:val="26"/>
        </w:rPr>
        <w:t xml:space="preserve"> </w:t>
      </w:r>
      <w:r w:rsidR="00B37280" w:rsidRPr="00B37280">
        <w:rPr>
          <w:rFonts w:asciiTheme="minorHAnsi" w:hAnsiTheme="minorHAnsi" w:cstheme="minorHAnsi"/>
          <w:sz w:val="26"/>
          <w:szCs w:val="26"/>
        </w:rPr>
        <w:t>atât cetățenilor, ca destinatari ai serviciului public, cât și personalului specializat din instanțe.</w:t>
      </w:r>
    </w:p>
    <w:p w14:paraId="3DF759BC" w14:textId="0BFC2D6D" w:rsidR="00B37280" w:rsidRPr="00B37280" w:rsidRDefault="00B37280" w:rsidP="00690186">
      <w:pPr>
        <w:shd w:val="clear" w:color="auto" w:fill="FFFFFF"/>
        <w:spacing w:after="60"/>
        <w:ind w:firstLine="720"/>
        <w:jc w:val="both"/>
        <w:rPr>
          <w:rFonts w:asciiTheme="minorHAnsi" w:hAnsiTheme="minorHAnsi" w:cstheme="minorHAnsi"/>
          <w:sz w:val="26"/>
          <w:szCs w:val="26"/>
        </w:rPr>
      </w:pPr>
      <w:r w:rsidRPr="00B37280">
        <w:rPr>
          <w:rFonts w:asciiTheme="minorHAnsi" w:hAnsiTheme="minorHAnsi" w:cstheme="minorHAnsi"/>
          <w:sz w:val="26"/>
          <w:szCs w:val="26"/>
        </w:rPr>
        <w:t>Astfel, utilizând formulare electronice din portal, informațiile sunt transmise către grefierii registratori în mod structurat, facilitându-se înregistrarea cu celeritate a cererilor și înscrisurilor în sistemele informatice proprii.</w:t>
      </w:r>
      <w:r w:rsidR="00515280">
        <w:rPr>
          <w:rFonts w:asciiTheme="minorHAnsi" w:hAnsiTheme="minorHAnsi" w:cstheme="minorHAnsi"/>
          <w:sz w:val="26"/>
          <w:szCs w:val="26"/>
        </w:rPr>
        <w:t xml:space="preserve"> </w:t>
      </w:r>
      <w:r w:rsidRPr="00B37280">
        <w:rPr>
          <w:rFonts w:asciiTheme="minorHAnsi" w:hAnsiTheme="minorHAnsi" w:cstheme="minorHAnsi"/>
          <w:sz w:val="26"/>
          <w:szCs w:val="26"/>
        </w:rPr>
        <w:t xml:space="preserve">În măsura în care justițiabilii optează pentru utilizarea acestui portal, Consiliul </w:t>
      </w:r>
      <w:r w:rsidR="00515280">
        <w:rPr>
          <w:rFonts w:asciiTheme="minorHAnsi" w:hAnsiTheme="minorHAnsi" w:cstheme="minorHAnsi"/>
          <w:sz w:val="26"/>
          <w:szCs w:val="26"/>
        </w:rPr>
        <w:t xml:space="preserve">a </w:t>
      </w:r>
      <w:r w:rsidRPr="00B37280">
        <w:rPr>
          <w:rFonts w:asciiTheme="minorHAnsi" w:hAnsiTheme="minorHAnsi" w:cstheme="minorHAnsi"/>
          <w:sz w:val="26"/>
          <w:szCs w:val="26"/>
        </w:rPr>
        <w:t>recomand</w:t>
      </w:r>
      <w:r w:rsidR="00515280">
        <w:rPr>
          <w:rFonts w:asciiTheme="minorHAnsi" w:hAnsiTheme="minorHAnsi" w:cstheme="minorHAnsi"/>
          <w:sz w:val="26"/>
          <w:szCs w:val="26"/>
        </w:rPr>
        <w:t>at</w:t>
      </w:r>
      <w:r w:rsidRPr="00B37280">
        <w:rPr>
          <w:rFonts w:asciiTheme="minorHAnsi" w:hAnsiTheme="minorHAnsi" w:cstheme="minorHAnsi"/>
          <w:sz w:val="26"/>
          <w:szCs w:val="26"/>
        </w:rPr>
        <w:t xml:space="preserve"> să nu fie folosite, concomitent, și celelalte instrumente de sesizare a instanței, pentru a nu încărca în mod nejustificat activitatea instanțelor.</w:t>
      </w:r>
    </w:p>
    <w:p w14:paraId="553A65A0" w14:textId="77777777" w:rsidR="00B37280" w:rsidRPr="00B37280" w:rsidRDefault="00B37280" w:rsidP="00690186">
      <w:pPr>
        <w:shd w:val="clear" w:color="auto" w:fill="FFFFFF"/>
        <w:spacing w:after="60"/>
        <w:ind w:firstLine="720"/>
        <w:jc w:val="both"/>
        <w:rPr>
          <w:rFonts w:asciiTheme="minorHAnsi" w:hAnsiTheme="minorHAnsi" w:cstheme="minorHAnsi"/>
          <w:sz w:val="26"/>
          <w:szCs w:val="26"/>
        </w:rPr>
      </w:pPr>
      <w:r w:rsidRPr="00B37280">
        <w:rPr>
          <w:rFonts w:asciiTheme="minorHAnsi" w:hAnsiTheme="minorHAnsi" w:cstheme="minorHAnsi"/>
          <w:sz w:val="26"/>
          <w:szCs w:val="26"/>
        </w:rPr>
        <w:t>Acest proiect a fost implementat cu sprijinul Curții de Apel Galați.</w:t>
      </w:r>
    </w:p>
    <w:p w14:paraId="3C598D48" w14:textId="1ECC47A7" w:rsidR="00B37280" w:rsidRPr="00515280" w:rsidRDefault="00B37280" w:rsidP="00690186">
      <w:pPr>
        <w:ind w:right="48" w:firstLine="709"/>
        <w:jc w:val="both"/>
        <w:rPr>
          <w:rFonts w:asciiTheme="minorHAnsi" w:hAnsiTheme="minorHAnsi" w:cstheme="minorHAnsi"/>
          <w:b/>
          <w:bCs/>
          <w:sz w:val="26"/>
          <w:szCs w:val="26"/>
        </w:rPr>
      </w:pPr>
      <w:r w:rsidRPr="00515280">
        <w:rPr>
          <w:rFonts w:asciiTheme="minorHAnsi" w:hAnsiTheme="minorHAnsi" w:cstheme="minorHAnsi"/>
          <w:b/>
          <w:bCs/>
          <w:sz w:val="26"/>
          <w:szCs w:val="26"/>
        </w:rPr>
        <w:t>Dosarul electronic pentru judec</w:t>
      </w:r>
      <w:r w:rsidR="001F0ED8">
        <w:rPr>
          <w:rFonts w:asciiTheme="minorHAnsi" w:hAnsiTheme="minorHAnsi" w:cstheme="minorHAnsi"/>
          <w:b/>
          <w:bCs/>
          <w:sz w:val="26"/>
          <w:szCs w:val="26"/>
        </w:rPr>
        <w:t>ă</w:t>
      </w:r>
      <w:r w:rsidRPr="00515280">
        <w:rPr>
          <w:rFonts w:asciiTheme="minorHAnsi" w:hAnsiTheme="minorHAnsi" w:cstheme="minorHAnsi"/>
          <w:b/>
          <w:bCs/>
          <w:sz w:val="26"/>
          <w:szCs w:val="26"/>
        </w:rPr>
        <w:t>tori</w:t>
      </w:r>
    </w:p>
    <w:p w14:paraId="528DDB0C" w14:textId="77777777" w:rsidR="00B37280" w:rsidRPr="00B37280" w:rsidRDefault="00B37280" w:rsidP="00690186">
      <w:pPr>
        <w:ind w:firstLine="720"/>
        <w:jc w:val="both"/>
        <w:rPr>
          <w:rFonts w:asciiTheme="minorHAnsi" w:eastAsia="Calibri" w:hAnsiTheme="minorHAnsi" w:cstheme="minorHAnsi"/>
          <w:sz w:val="26"/>
          <w:szCs w:val="26"/>
        </w:rPr>
      </w:pPr>
      <w:r w:rsidRPr="00B37280">
        <w:rPr>
          <w:rFonts w:asciiTheme="minorHAnsi" w:eastAsia="Calibri" w:hAnsiTheme="minorHAnsi" w:cstheme="minorHAnsi"/>
          <w:sz w:val="26"/>
          <w:szCs w:val="26"/>
        </w:rPr>
        <w:t>Această aplicație permite căutarea unui dosar în toate instanțele de judecată.</w:t>
      </w:r>
    </w:p>
    <w:p w14:paraId="271937AC" w14:textId="77777777" w:rsidR="00B37280" w:rsidRPr="00B37280" w:rsidRDefault="00B37280" w:rsidP="00690186">
      <w:pPr>
        <w:ind w:firstLine="720"/>
        <w:jc w:val="both"/>
        <w:rPr>
          <w:rFonts w:asciiTheme="minorHAnsi" w:eastAsia="Calibri" w:hAnsiTheme="minorHAnsi" w:cstheme="minorHAnsi"/>
          <w:sz w:val="26"/>
          <w:szCs w:val="26"/>
        </w:rPr>
      </w:pPr>
      <w:r w:rsidRPr="00B37280">
        <w:rPr>
          <w:rFonts w:asciiTheme="minorHAnsi" w:eastAsia="Calibri" w:hAnsiTheme="minorHAnsi" w:cstheme="minorHAnsi"/>
          <w:sz w:val="26"/>
          <w:szCs w:val="26"/>
        </w:rPr>
        <w:t xml:space="preserve">Cu titlu de exemplu, pentru un dosar care, în urma parcurgerii stadiilor procesuale, a figurat pe rolul Judecătoriei Sectorului 1 București, Tribunalului București și Curții de Apel București, aplicația va prezenta toate informațiile din acest dosar într-o interfață unică. </w:t>
      </w:r>
    </w:p>
    <w:p w14:paraId="0D7992EF" w14:textId="77777777" w:rsidR="00B37280" w:rsidRPr="00B37280" w:rsidRDefault="00B37280" w:rsidP="00690186">
      <w:pPr>
        <w:ind w:firstLine="720"/>
        <w:jc w:val="both"/>
        <w:rPr>
          <w:rFonts w:asciiTheme="minorHAnsi" w:eastAsia="Calibri" w:hAnsiTheme="minorHAnsi" w:cstheme="minorHAnsi"/>
          <w:sz w:val="26"/>
          <w:szCs w:val="26"/>
        </w:rPr>
      </w:pPr>
      <w:r w:rsidRPr="00B37280">
        <w:rPr>
          <w:rFonts w:asciiTheme="minorHAnsi" w:eastAsia="Calibri" w:hAnsiTheme="minorHAnsi" w:cstheme="minorHAnsi"/>
          <w:sz w:val="26"/>
          <w:szCs w:val="26"/>
        </w:rPr>
        <w:t>Această funcție este benefică în special judecătorilor din cadrul tribunalelor și curților de apel întrucât pot accesa în mod facil documentele din cadrul instanțelor ce au judecat stadiile procesuale anterioare, fără a fi nevoiți să recurgă la interfața de vizitare disponibilă în EMAP.</w:t>
      </w:r>
    </w:p>
    <w:p w14:paraId="0C069F50" w14:textId="77777777" w:rsidR="00B37280" w:rsidRPr="00B37280" w:rsidRDefault="00B37280" w:rsidP="00690186">
      <w:pPr>
        <w:ind w:firstLine="720"/>
        <w:jc w:val="both"/>
        <w:rPr>
          <w:rFonts w:asciiTheme="minorHAnsi" w:eastAsia="Calibri" w:hAnsiTheme="minorHAnsi" w:cstheme="minorHAnsi"/>
          <w:sz w:val="26"/>
          <w:szCs w:val="26"/>
        </w:rPr>
      </w:pPr>
      <w:r w:rsidRPr="00B37280">
        <w:rPr>
          <w:rFonts w:asciiTheme="minorHAnsi" w:eastAsia="Calibri" w:hAnsiTheme="minorHAnsi" w:cstheme="minorHAnsi"/>
          <w:sz w:val="26"/>
          <w:szCs w:val="26"/>
        </w:rPr>
        <w:t>Ca un element suplimentar, spre deosebire de accesarea interfeței ECRIS de vizitare a altei instanțe, dosarul electronic nu permite vizualizarea documentelor neînchise, eliminându-se riscul de a se accesa un document care nu este în forma finală a acestuia.</w:t>
      </w:r>
    </w:p>
    <w:p w14:paraId="751A7449" w14:textId="77777777" w:rsidR="00B37280" w:rsidRPr="00B37280" w:rsidRDefault="00B37280" w:rsidP="00690186">
      <w:pPr>
        <w:ind w:firstLine="720"/>
        <w:jc w:val="both"/>
        <w:rPr>
          <w:rFonts w:asciiTheme="minorHAnsi" w:eastAsia="Calibri" w:hAnsiTheme="minorHAnsi" w:cstheme="minorHAnsi"/>
          <w:sz w:val="26"/>
          <w:szCs w:val="26"/>
        </w:rPr>
      </w:pPr>
      <w:r w:rsidRPr="00B37280">
        <w:rPr>
          <w:rFonts w:asciiTheme="minorHAnsi" w:eastAsia="Calibri" w:hAnsiTheme="minorHAnsi" w:cstheme="minorHAnsi"/>
          <w:sz w:val="26"/>
          <w:szCs w:val="26"/>
        </w:rPr>
        <w:t>Mai mult, similar aplicației desktop ReJust, dosarul electronic permite particularizarea paginii principale cu specificul activității judecătorului, afișându-se o listă cu dosarele fără termen repartizate completurilor judecătorului, o listă cu termenele viitoare și o listă cu documentele neînchise sau neredactate.</w:t>
      </w:r>
    </w:p>
    <w:p w14:paraId="12EC0584" w14:textId="77777777" w:rsidR="00B37280" w:rsidRPr="00B37280" w:rsidRDefault="00B37280" w:rsidP="00690186">
      <w:pPr>
        <w:ind w:firstLine="720"/>
        <w:jc w:val="both"/>
        <w:rPr>
          <w:rFonts w:asciiTheme="minorHAnsi" w:eastAsia="Calibri" w:hAnsiTheme="minorHAnsi" w:cstheme="minorHAnsi"/>
          <w:sz w:val="26"/>
          <w:szCs w:val="26"/>
        </w:rPr>
      </w:pPr>
      <w:r w:rsidRPr="00B37280">
        <w:rPr>
          <w:rFonts w:asciiTheme="minorHAnsi" w:eastAsia="Calibri" w:hAnsiTheme="minorHAnsi" w:cstheme="minorHAnsi"/>
          <w:sz w:val="26"/>
          <w:szCs w:val="26"/>
        </w:rPr>
        <w:t>În acest mod, judecătorul nu trebuie să procure o listă de ședință pentru a studia ședința de judecată prin intermediul dosarului electronic, toate informațiile de care are nevoie fiind disponibile în platformă.</w:t>
      </w:r>
    </w:p>
    <w:p w14:paraId="1DAE6F53" w14:textId="00A70685" w:rsidR="00B37280" w:rsidRPr="00B37280" w:rsidRDefault="008765BD" w:rsidP="00371DA2">
      <w:pPr>
        <w:ind w:firstLine="720"/>
        <w:jc w:val="both"/>
        <w:rPr>
          <w:rFonts w:asciiTheme="minorHAnsi" w:hAnsiTheme="minorHAnsi" w:cstheme="minorHAnsi"/>
          <w:bCs/>
          <w:color w:val="FF0000"/>
          <w:sz w:val="26"/>
          <w:szCs w:val="26"/>
        </w:rPr>
      </w:pPr>
      <w:r>
        <w:rPr>
          <w:rFonts w:asciiTheme="minorHAnsi" w:eastAsia="Calibri" w:hAnsiTheme="minorHAnsi" w:cstheme="minorHAnsi"/>
          <w:sz w:val="26"/>
          <w:szCs w:val="26"/>
          <w:lang w:val="pt-PT"/>
        </w:rPr>
        <w:t xml:space="preserve">De asemenea, în </w:t>
      </w:r>
      <w:r w:rsidR="00B37280" w:rsidRPr="00B37280">
        <w:rPr>
          <w:rFonts w:asciiTheme="minorHAnsi" w:eastAsia="Calibri" w:hAnsiTheme="minorHAnsi" w:cstheme="minorHAnsi"/>
          <w:sz w:val="26"/>
          <w:szCs w:val="26"/>
          <w:lang w:val="pt-PT"/>
        </w:rPr>
        <w:t xml:space="preserve">colaborare cu Academia Română în cadrul Convenției încheiate de Consiliul Superior al Magistraturii cu  Institutul de Cercetări pentru Inteligență Artificială ,,MIHAI DRĂGĂNESCU'' (ICIA) și având finanțare prin grantul acordat în cadrul proiectului Consiliului </w:t>
      </w:r>
      <w:r w:rsidR="00B37280" w:rsidRPr="00B37280">
        <w:rPr>
          <w:rFonts w:asciiTheme="minorHAnsi" w:eastAsia="Calibri" w:hAnsiTheme="minorHAnsi" w:cstheme="minorHAnsi"/>
          <w:sz w:val="26"/>
          <w:szCs w:val="26"/>
          <w:lang w:val="pt-PT"/>
        </w:rPr>
        <w:lastRenderedPageBreak/>
        <w:t xml:space="preserve">Europei – TJENI, </w:t>
      </w:r>
      <w:r>
        <w:rPr>
          <w:rFonts w:asciiTheme="minorHAnsi" w:eastAsia="Calibri" w:hAnsiTheme="minorHAnsi" w:cstheme="minorHAnsi"/>
          <w:sz w:val="26"/>
          <w:szCs w:val="26"/>
          <w:lang w:val="pt-PT"/>
        </w:rPr>
        <w:t xml:space="preserve">a fost derulată o procedură </w:t>
      </w:r>
      <w:r w:rsidR="00B37280" w:rsidRPr="00B37280">
        <w:rPr>
          <w:rFonts w:asciiTheme="minorHAnsi" w:eastAsia="Calibri" w:hAnsiTheme="minorHAnsi" w:cstheme="minorHAnsi"/>
          <w:sz w:val="26"/>
          <w:szCs w:val="26"/>
          <w:lang w:val="pt-PT"/>
        </w:rPr>
        <w:t xml:space="preserve">pentru identificarea unor </w:t>
      </w:r>
      <w:r>
        <w:rPr>
          <w:rFonts w:asciiTheme="minorHAnsi" w:eastAsia="Calibri" w:hAnsiTheme="minorHAnsi" w:cstheme="minorHAnsi"/>
          <w:sz w:val="26"/>
          <w:szCs w:val="26"/>
          <w:lang w:val="pt-PT"/>
        </w:rPr>
        <w:t xml:space="preserve">mijloace </w:t>
      </w:r>
      <w:r w:rsidR="00B37280" w:rsidRPr="00B37280">
        <w:rPr>
          <w:rFonts w:asciiTheme="minorHAnsi" w:eastAsia="Calibri" w:hAnsiTheme="minorHAnsi" w:cstheme="minorHAnsi"/>
          <w:sz w:val="26"/>
          <w:szCs w:val="26"/>
          <w:lang w:val="pt-PT"/>
        </w:rPr>
        <w:t>tehnice informatice care să conducă la îmbunătățirea procesului de anonimizare a hotărârilor judecătorești publicate de aplicația Rejust, prin eliminarea a cât mai multe elemente rămase neanonimizate și trecerea la o formă de anonimizare bazată pe alias-uri, care să nu permită refacerea denumirilor anonimizate pe baza lungimii șirului de caractere sau pe baza numărului de cuvinte dintr-o denumire.</w:t>
      </w:r>
    </w:p>
    <w:p w14:paraId="47F1920D" w14:textId="77777777" w:rsidR="00B37280" w:rsidRPr="00B37280" w:rsidRDefault="00B37280" w:rsidP="00690186">
      <w:pPr>
        <w:ind w:right="45" w:firstLine="709"/>
        <w:jc w:val="both"/>
        <w:rPr>
          <w:rFonts w:asciiTheme="minorHAnsi" w:hAnsiTheme="minorHAnsi" w:cstheme="minorHAnsi"/>
          <w:b/>
          <w:sz w:val="26"/>
          <w:szCs w:val="26"/>
        </w:rPr>
      </w:pPr>
      <w:r w:rsidRPr="00B37280">
        <w:rPr>
          <w:rFonts w:asciiTheme="minorHAnsi" w:hAnsiTheme="minorHAnsi" w:cstheme="minorHAnsi"/>
          <w:b/>
          <w:sz w:val="26"/>
          <w:szCs w:val="26"/>
        </w:rPr>
        <w:t xml:space="preserve">3. Participare în cadrul mai multor proiecte </w:t>
      </w:r>
    </w:p>
    <w:p w14:paraId="197CE0D4" w14:textId="77777777" w:rsidR="00B37280" w:rsidRPr="00B37280" w:rsidRDefault="00B37280">
      <w:pPr>
        <w:pStyle w:val="ListParagraph"/>
        <w:numPr>
          <w:ilvl w:val="0"/>
          <w:numId w:val="35"/>
        </w:numPr>
        <w:tabs>
          <w:tab w:val="left" w:pos="993"/>
        </w:tabs>
        <w:ind w:left="0" w:right="43" w:firstLine="720"/>
        <w:jc w:val="both"/>
        <w:rPr>
          <w:rFonts w:asciiTheme="minorHAnsi" w:hAnsiTheme="minorHAnsi" w:cstheme="minorHAnsi"/>
          <w:sz w:val="26"/>
          <w:szCs w:val="26"/>
        </w:rPr>
      </w:pPr>
      <w:r w:rsidRPr="00B37280">
        <w:rPr>
          <w:rFonts w:asciiTheme="minorHAnsi" w:hAnsiTheme="minorHAnsi" w:cstheme="minorHAnsi"/>
          <w:sz w:val="26"/>
          <w:szCs w:val="26"/>
        </w:rPr>
        <w:t>Optimizarea managementului la nivelul sistemului judiciar. Componenta de instanţe judecătoreşti - cod SIPOCA/MySMIS nr. 751/129513, cofinanțat din Fondul Social European, prin Programul Operațional Capacitate Administrativă 2014-2020;</w:t>
      </w:r>
    </w:p>
    <w:p w14:paraId="66C9F244" w14:textId="77777777" w:rsidR="00B37280" w:rsidRPr="00B37280" w:rsidRDefault="00B37280">
      <w:pPr>
        <w:pStyle w:val="ListParagraph"/>
        <w:numPr>
          <w:ilvl w:val="0"/>
          <w:numId w:val="35"/>
        </w:numPr>
        <w:tabs>
          <w:tab w:val="left" w:pos="993"/>
        </w:tabs>
        <w:ind w:left="0" w:right="43" w:firstLine="720"/>
        <w:jc w:val="both"/>
        <w:rPr>
          <w:rFonts w:asciiTheme="minorHAnsi" w:hAnsiTheme="minorHAnsi" w:cstheme="minorHAnsi"/>
          <w:sz w:val="26"/>
          <w:szCs w:val="26"/>
        </w:rPr>
      </w:pPr>
      <w:r w:rsidRPr="00B37280">
        <w:rPr>
          <w:rFonts w:asciiTheme="minorHAnsi" w:hAnsiTheme="minorHAnsi" w:cstheme="minorHAnsi"/>
          <w:sz w:val="26"/>
          <w:szCs w:val="26"/>
        </w:rPr>
        <w:t>Consolidarea capacității organizaționale și administrative a Consiliului Superior al Magistraturii – cod SIPOCA/ MySMIS nr. 760/135225, cofinanțat din Fondul Social European, prin Programul Operațional Capacitate Administrativă 2014-2020;</w:t>
      </w:r>
    </w:p>
    <w:p w14:paraId="6C5FFEF4" w14:textId="77777777" w:rsidR="00B37280" w:rsidRPr="00B37280" w:rsidRDefault="00B37280">
      <w:pPr>
        <w:pStyle w:val="ListParagraph"/>
        <w:numPr>
          <w:ilvl w:val="0"/>
          <w:numId w:val="35"/>
        </w:numPr>
        <w:tabs>
          <w:tab w:val="left" w:pos="993"/>
        </w:tabs>
        <w:ind w:left="0" w:right="43" w:firstLine="720"/>
        <w:jc w:val="both"/>
        <w:rPr>
          <w:rFonts w:asciiTheme="minorHAnsi" w:hAnsiTheme="minorHAnsi" w:cstheme="minorHAnsi"/>
          <w:sz w:val="26"/>
          <w:szCs w:val="26"/>
        </w:rPr>
      </w:pPr>
      <w:r w:rsidRPr="00B37280">
        <w:rPr>
          <w:rFonts w:asciiTheme="minorHAnsi" w:hAnsiTheme="minorHAnsi" w:cstheme="minorHAnsi"/>
          <w:sz w:val="26"/>
          <w:szCs w:val="26"/>
        </w:rPr>
        <w:t>Optimizarea managementului judiciar la nivelul sistemului judiciar. Componenta de parchete” - cod SIPOCA 761/cod MySMIS 133850, cofinanțat din Fondul Social European, prin Programul Operațional Capacitate Administrativă 2014-2020;</w:t>
      </w:r>
    </w:p>
    <w:p w14:paraId="39C4D831" w14:textId="77777777" w:rsidR="00B37280" w:rsidRPr="00B37280" w:rsidRDefault="00B37280">
      <w:pPr>
        <w:pStyle w:val="ListParagraph"/>
        <w:numPr>
          <w:ilvl w:val="0"/>
          <w:numId w:val="35"/>
        </w:numPr>
        <w:tabs>
          <w:tab w:val="left" w:pos="993"/>
        </w:tabs>
        <w:ind w:left="0" w:right="43" w:firstLine="720"/>
        <w:jc w:val="both"/>
        <w:rPr>
          <w:rFonts w:asciiTheme="minorHAnsi" w:hAnsiTheme="minorHAnsi" w:cstheme="minorHAnsi"/>
          <w:sz w:val="26"/>
          <w:szCs w:val="26"/>
        </w:rPr>
      </w:pPr>
      <w:r w:rsidRPr="00B37280">
        <w:rPr>
          <w:rFonts w:asciiTheme="minorHAnsi" w:hAnsiTheme="minorHAnsi" w:cstheme="minorHAnsi"/>
          <w:sz w:val="26"/>
          <w:szCs w:val="26"/>
        </w:rPr>
        <w:t>Creşterea performanţei şi calităţii instituţionale prin îmbunătăţirea sistemului de evaluare şi asistenţă psihologică la nivelul sistemului judiciar” - cod SIPOCA/MySMIS nr. 762/135456), cofinanțat din Fondul Social European, prin Programul Operațional Capacitate Administrativă 2014-2020;</w:t>
      </w:r>
    </w:p>
    <w:p w14:paraId="4FA6ABE3" w14:textId="77777777" w:rsidR="00B37280" w:rsidRPr="00B37280" w:rsidRDefault="00B37280">
      <w:pPr>
        <w:pStyle w:val="ListParagraph"/>
        <w:numPr>
          <w:ilvl w:val="0"/>
          <w:numId w:val="35"/>
        </w:numPr>
        <w:tabs>
          <w:tab w:val="left" w:pos="993"/>
        </w:tabs>
        <w:ind w:left="0" w:right="43" w:firstLine="720"/>
        <w:jc w:val="both"/>
        <w:rPr>
          <w:rFonts w:asciiTheme="minorHAnsi" w:hAnsiTheme="minorHAnsi" w:cstheme="minorHAnsi"/>
          <w:sz w:val="26"/>
          <w:szCs w:val="26"/>
        </w:rPr>
      </w:pPr>
      <w:r w:rsidRPr="00B37280">
        <w:rPr>
          <w:rFonts w:asciiTheme="minorHAnsi" w:hAnsiTheme="minorHAnsi" w:cstheme="minorHAnsi"/>
          <w:sz w:val="26"/>
          <w:szCs w:val="26"/>
        </w:rPr>
        <w:t>Formare profesională și consolidarea capacității la nivelul sistemului judiciar, finanțat în cadrul Mecanismului Financiar Norvegian 2014-2021;</w:t>
      </w:r>
    </w:p>
    <w:p w14:paraId="481D065F" w14:textId="77777777" w:rsidR="00B37280" w:rsidRPr="00B37280" w:rsidRDefault="00B37280" w:rsidP="00690186">
      <w:pPr>
        <w:ind w:right="43" w:firstLine="706"/>
        <w:jc w:val="both"/>
        <w:rPr>
          <w:rFonts w:asciiTheme="minorHAnsi" w:hAnsiTheme="minorHAnsi" w:cstheme="minorHAnsi"/>
          <w:b/>
          <w:sz w:val="26"/>
          <w:szCs w:val="26"/>
        </w:rPr>
      </w:pPr>
      <w:r w:rsidRPr="00B37280">
        <w:rPr>
          <w:rFonts w:asciiTheme="minorHAnsi" w:hAnsiTheme="minorHAnsi" w:cstheme="minorHAnsi"/>
          <w:b/>
          <w:sz w:val="26"/>
          <w:szCs w:val="26"/>
        </w:rPr>
        <w:t>4. Securitate</w:t>
      </w:r>
    </w:p>
    <w:p w14:paraId="18ED205E" w14:textId="73CFEC50" w:rsidR="00371DA2" w:rsidRDefault="00B37280" w:rsidP="00672DD1">
      <w:pPr>
        <w:ind w:right="43" w:firstLine="720"/>
        <w:jc w:val="both"/>
        <w:rPr>
          <w:rFonts w:asciiTheme="minorHAnsi" w:hAnsiTheme="minorHAnsi" w:cstheme="minorHAnsi"/>
          <w:sz w:val="26"/>
          <w:szCs w:val="26"/>
        </w:rPr>
      </w:pPr>
      <w:r w:rsidRPr="00B37280">
        <w:rPr>
          <w:rFonts w:asciiTheme="minorHAnsi" w:hAnsiTheme="minorHAnsi" w:cstheme="minorHAnsi"/>
          <w:sz w:val="26"/>
          <w:szCs w:val="26"/>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14:paraId="27F6A856" w14:textId="77777777" w:rsidR="00672DD1" w:rsidRDefault="00672DD1" w:rsidP="00672DD1">
      <w:pPr>
        <w:ind w:right="43" w:firstLine="720"/>
        <w:jc w:val="both"/>
        <w:rPr>
          <w:rFonts w:cstheme="minorHAnsi"/>
        </w:rPr>
      </w:pPr>
    </w:p>
    <w:p w14:paraId="7F9936E1" w14:textId="16E63788" w:rsidR="006C1588" w:rsidRPr="00564DC7" w:rsidRDefault="006C1588" w:rsidP="00690186">
      <w:pPr>
        <w:pStyle w:val="Heading2"/>
        <w:keepNext w:val="0"/>
        <w:keepLines w:val="0"/>
        <w:suppressLineNumbers/>
        <w:suppressAutoHyphens/>
        <w:spacing w:line="240" w:lineRule="auto"/>
        <w:rPr>
          <w:rFonts w:cstheme="minorHAnsi"/>
          <w:color w:val="auto"/>
          <w:lang w:val="ro-RO"/>
        </w:rPr>
      </w:pPr>
      <w:bookmarkStart w:id="171" w:name="_Toc155267925"/>
      <w:r w:rsidRPr="00564DC7">
        <w:rPr>
          <w:rFonts w:cstheme="minorHAnsi"/>
          <w:color w:val="auto"/>
          <w:lang w:val="ro-RO"/>
        </w:rPr>
        <w:t>VI.10. Activitatea Compartimentului de audit public intern</w:t>
      </w:r>
      <w:bookmarkStart w:id="172" w:name="_Toc403552677"/>
      <w:bookmarkStart w:id="173" w:name="_Toc430867142"/>
      <w:bookmarkEnd w:id="170"/>
      <w:bookmarkEnd w:id="171"/>
    </w:p>
    <w:p w14:paraId="32590284"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Structura de audit public intern din cadrul Consiliului Superior al Magistraturii este organizată la nivel de compartiment şi îşi desfăşoară activitatea conform Legii nr. 672/2002 privind auditul public intern, republicată, cu modificările şi completările ulterioare, Normelor generale privind exercitarea activităţii de audit public intern aprobate prin Hotărârea Guvernului nr. 1086/2013 şi Normelor metodologice privind exercitarea auditului public intern din cadrul Consiliului Superior al Magistraturii, avizate de către Unitatea Centrală de Armonizare a Auditului Public Intern (UCAAPI), structură în cadrul Ministerului Finanţelor Publice.</w:t>
      </w:r>
    </w:p>
    <w:p w14:paraId="1BC255A7" w14:textId="2DAA07FD"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Potrivit art. 102 alin. (1) din Regulamentul de organizare şi funcţionare a Consiliului Superior al Magistraturii</w:t>
      </w:r>
      <w:r w:rsidR="009806B9">
        <w:rPr>
          <w:rFonts w:asciiTheme="minorHAnsi" w:hAnsiTheme="minorHAnsi" w:cstheme="minorHAnsi"/>
          <w:sz w:val="26"/>
          <w:szCs w:val="26"/>
        </w:rPr>
        <w:t xml:space="preserve">, </w:t>
      </w:r>
      <w:r w:rsidRPr="00564DC7">
        <w:rPr>
          <w:rFonts w:asciiTheme="minorHAnsi" w:hAnsiTheme="minorHAnsi" w:cstheme="minorHAnsi"/>
          <w:sz w:val="26"/>
          <w:szCs w:val="26"/>
        </w:rPr>
        <w:t xml:space="preserve">aprobat prin Hotărârea Plenului Consiliului nr. 122/2023, Compartimentul de audit public intern reprezintă compartimentul de specialitate care exercită, în condiţiile legii, auditul intern asupra activităţilor desfăşurate în cadrul Consiliului, Institutului Naţional al Magistraturii şi Şcolii Naţionale de Grefieri, iar potrivit art. 103 alin. (1) lit. e) efectuează misiuni de evaluare cel puţin o dată la 5 ani la Compartimentul de audit public intern din cadrul Inspecţiei Judiciare. </w:t>
      </w:r>
    </w:p>
    <w:p w14:paraId="095C9707"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Sfera auditului public intern cuprinde toate activităţile desfăşurate în cadrul Consiliului şi a instituţiilor publice aflate sub coordonarea acestuia, pentru îndeplinirea obiectivelor acestora, inclusiv evaluarea sistemului de control intern managerial.</w:t>
      </w:r>
    </w:p>
    <w:p w14:paraId="401A933A"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Structura de audit public intern din cadrul Consiliului funcţionează în subordinea directă a Preşedintelui Consiliului Superior al Magistraturii, exercitând o funcţie distinctă şi independentă de activităţile instituţiei.</w:t>
      </w:r>
    </w:p>
    <w:p w14:paraId="568EEDF0" w14:textId="1CCD14BD"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lastRenderedPageBreak/>
        <w:t>Obiectivul general al auditul</w:t>
      </w:r>
      <w:r w:rsidR="009806B9">
        <w:rPr>
          <w:rFonts w:asciiTheme="minorHAnsi" w:hAnsiTheme="minorHAnsi" w:cstheme="minorHAnsi"/>
          <w:sz w:val="26"/>
          <w:szCs w:val="26"/>
        </w:rPr>
        <w:t>ui</w:t>
      </w:r>
      <w:r w:rsidRPr="00564DC7">
        <w:rPr>
          <w:rFonts w:asciiTheme="minorHAnsi" w:hAnsiTheme="minorHAnsi" w:cstheme="minorHAnsi"/>
          <w:sz w:val="26"/>
          <w:szCs w:val="26"/>
        </w:rPr>
        <w:t xml:space="preserve"> public intern vizează, în principal, îmbunătăţirea managementului prin misiuni de asigurare şi activităţi de consiliere.</w:t>
      </w:r>
    </w:p>
    <w:p w14:paraId="444AF02C"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pacing w:val="-4"/>
          <w:sz w:val="26"/>
          <w:szCs w:val="26"/>
        </w:rPr>
        <w:t xml:space="preserve">Compartimentul de audit public intern şi-a </w:t>
      </w:r>
      <w:r w:rsidRPr="00564DC7">
        <w:rPr>
          <w:rFonts w:asciiTheme="minorHAnsi" w:hAnsiTheme="minorHAnsi" w:cstheme="minorHAnsi"/>
          <w:sz w:val="26"/>
          <w:szCs w:val="26"/>
        </w:rPr>
        <w:t xml:space="preserve">desfăşurat activitatea în anul 2023, potrivit Planului multianual de audit public intern pentru perioada 2023 - 2026, în baza căruia a fost elaborat Planul de audit intern pentru anul 2023, ambele documente fiind aprobate de către Preşedintele Consiliului Superior al Magistraturii. </w:t>
      </w:r>
    </w:p>
    <w:p w14:paraId="09EC959D"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Ca urmare a rezultatului analizei de risc şi resurselor de audit disponibile pentru anul 2023 (2 auditori interni, încadraţi cu data de 1 aprilie 2023), au fost planificate un număr de 2 misiuni de audit public intern, procentul de realizare a acestora fiind de 100%, astfel:</w:t>
      </w:r>
    </w:p>
    <w:p w14:paraId="54346267" w14:textId="77777777" w:rsidR="006111CD" w:rsidRPr="00564DC7" w:rsidRDefault="006111CD">
      <w:pPr>
        <w:pStyle w:val="ListParagraph"/>
        <w:numPr>
          <w:ilvl w:val="0"/>
          <w:numId w:val="23"/>
        </w:numPr>
        <w:tabs>
          <w:tab w:val="left" w:pos="1080"/>
        </w:tabs>
        <w:ind w:left="0" w:firstLine="720"/>
        <w:jc w:val="both"/>
        <w:rPr>
          <w:rFonts w:asciiTheme="minorHAnsi" w:eastAsia="Calibri" w:hAnsiTheme="minorHAnsi" w:cstheme="minorHAnsi"/>
          <w:i/>
          <w:sz w:val="26"/>
          <w:szCs w:val="26"/>
        </w:rPr>
      </w:pPr>
      <w:r w:rsidRPr="00564DC7">
        <w:rPr>
          <w:rFonts w:asciiTheme="minorHAnsi" w:hAnsiTheme="minorHAnsi" w:cstheme="minorHAnsi"/>
          <w:iCs/>
          <w:sz w:val="26"/>
          <w:szCs w:val="26"/>
        </w:rPr>
        <w:t>„Evaluarea sistemului de prevenire a corupţiei, 2023”, în perioada 19.06- 01.09.2023, misiune de audit care a fost solicitată de Unitatea Centrală de Armonizare pentru Auditul Public Intern din cadrul Ministerului Finanţelor, prin adresa nr. 430764/26.10.2022</w:t>
      </w:r>
      <w:r w:rsidRPr="00564DC7">
        <w:rPr>
          <w:rFonts w:asciiTheme="minorHAnsi" w:hAnsiTheme="minorHAnsi" w:cstheme="minorHAnsi"/>
          <w:i/>
          <w:sz w:val="26"/>
          <w:szCs w:val="26"/>
        </w:rPr>
        <w:t>;</w:t>
      </w:r>
    </w:p>
    <w:p w14:paraId="78AFF65C" w14:textId="77777777" w:rsidR="006111CD" w:rsidRPr="00564DC7" w:rsidRDefault="006111CD">
      <w:pPr>
        <w:pStyle w:val="ListParagraph"/>
        <w:numPr>
          <w:ilvl w:val="0"/>
          <w:numId w:val="23"/>
        </w:numPr>
        <w:tabs>
          <w:tab w:val="left" w:pos="1080"/>
        </w:tabs>
        <w:ind w:left="0" w:firstLine="720"/>
        <w:jc w:val="both"/>
        <w:rPr>
          <w:rFonts w:asciiTheme="minorHAnsi" w:hAnsiTheme="minorHAnsi" w:cstheme="minorHAnsi"/>
          <w:i/>
          <w:sz w:val="26"/>
          <w:szCs w:val="26"/>
        </w:rPr>
      </w:pPr>
      <w:bookmarkStart w:id="174" w:name="_Hlk135724863"/>
      <w:r w:rsidRPr="00564DC7">
        <w:rPr>
          <w:rFonts w:asciiTheme="minorHAnsi" w:hAnsiTheme="minorHAnsi" w:cstheme="minorHAnsi"/>
          <w:iCs/>
          <w:sz w:val="26"/>
          <w:szCs w:val="26"/>
        </w:rPr>
        <w:t xml:space="preserve">„Evaluarea </w:t>
      </w:r>
      <w:bookmarkEnd w:id="174"/>
      <w:r w:rsidRPr="00564DC7">
        <w:rPr>
          <w:rFonts w:asciiTheme="minorHAnsi" w:hAnsiTheme="minorHAnsi" w:cstheme="minorHAnsi"/>
          <w:iCs/>
          <w:sz w:val="26"/>
          <w:szCs w:val="26"/>
        </w:rPr>
        <w:t>modului de administrare şi gestionare a parcului auto şi a consumului de carburanţi”, în perioada 04.09 - 06.11.2023.</w:t>
      </w:r>
    </w:p>
    <w:p w14:paraId="118B2BAC"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De asemenea, în cursul anului au fost efectuate activități de pregătire a misiunilor de audit şi a corespondenței compartimentului din perioada 2005 – 2021 în vederea realizării arhivării.</w:t>
      </w:r>
    </w:p>
    <w:p w14:paraId="23172FE4" w14:textId="77777777"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Ca urmare a misiunilor de audit public intern efectuate în anul 2023, au fost elaborate un număr de 2 rapoarte de audit intern care cuprind constatările, cauzele, consecinţele şi recomandările auditorilor interni. Rapoartele de audit intern au fost elaborate cu respectarea legislaţiei în vigoare, fiind însuşite de către conducerea structurilor/instituţiilor auditate şi avizate de către Preşedintele Consiliului Superior al Magistraturii.</w:t>
      </w:r>
    </w:p>
    <w:p w14:paraId="4B94FF77" w14:textId="77777777" w:rsidR="006111CD" w:rsidRPr="00564DC7" w:rsidRDefault="006111CD" w:rsidP="00690186">
      <w:pPr>
        <w:ind w:firstLine="720"/>
        <w:jc w:val="both"/>
        <w:rPr>
          <w:rFonts w:asciiTheme="minorHAnsi" w:eastAsia="Calibri" w:hAnsiTheme="minorHAnsi" w:cstheme="minorHAnsi"/>
          <w:i/>
          <w:sz w:val="26"/>
          <w:szCs w:val="26"/>
        </w:rPr>
      </w:pPr>
      <w:r w:rsidRPr="00564DC7">
        <w:rPr>
          <w:rFonts w:asciiTheme="minorHAnsi" w:hAnsiTheme="minorHAnsi" w:cstheme="minorHAnsi"/>
          <w:sz w:val="26"/>
          <w:szCs w:val="26"/>
        </w:rPr>
        <w:t>În cadrul fiecărei misiuni de audit public intern a fost întocmit Dosarul misiunii de audit public intern, care cuprinde documentaţia specifică pentru cele 21 de proceduri aferente etapelor realizării fiecărei misiunii de audit, respectiv aproximativ 100 de documente concretizate în ordine, notificări, minute, declaraţii, studii, chestionare, interviuri, teste, liste de verificare, fişe de identificare şi analiză a problemelor, proiecte, rapoarte, sinteze, adrese, alte documente şi Dosarul de lucru care cuprinde copii xerox ale documentelor justificative, care confirmă şi sprijină constatările şi recomandările auditorilor interni.</w:t>
      </w:r>
    </w:p>
    <w:p w14:paraId="2E195691" w14:textId="02A16304" w:rsidR="006111CD" w:rsidRPr="00564DC7" w:rsidRDefault="006111CD" w:rsidP="00690186">
      <w:pPr>
        <w:ind w:firstLine="720"/>
        <w:jc w:val="both"/>
        <w:rPr>
          <w:rFonts w:asciiTheme="minorHAnsi" w:hAnsiTheme="minorHAnsi" w:cstheme="minorHAnsi"/>
          <w:sz w:val="26"/>
          <w:szCs w:val="26"/>
        </w:rPr>
      </w:pPr>
      <w:r w:rsidRPr="00564DC7">
        <w:rPr>
          <w:rFonts w:asciiTheme="minorHAnsi" w:hAnsiTheme="minorHAnsi" w:cstheme="minorHAnsi"/>
          <w:sz w:val="26"/>
          <w:szCs w:val="26"/>
        </w:rPr>
        <w:t>Implementarea recomandărilor formulate de auditorii interni a fost asigurată de către conducătorii structurilor/instituţiilor auditate, la termenele prevăzute în Planul de acţiune pentru implementarea recomandărilor. Urmărirea implementării recomandărilor s-a realizat în cadrul structurii de audit intern pe baza fişelor de urmărire a implementării recomandărilor.</w:t>
      </w:r>
    </w:p>
    <w:p w14:paraId="414BDF36" w14:textId="1D1AC674" w:rsidR="00036BE0" w:rsidRDefault="006111CD" w:rsidP="00690186">
      <w:pPr>
        <w:ind w:firstLine="709"/>
        <w:jc w:val="both"/>
        <w:rPr>
          <w:rFonts w:asciiTheme="minorHAnsi" w:hAnsiTheme="minorHAnsi" w:cstheme="minorHAnsi"/>
          <w:sz w:val="26"/>
          <w:szCs w:val="26"/>
        </w:rPr>
      </w:pPr>
      <w:r w:rsidRPr="00564DC7">
        <w:rPr>
          <w:rFonts w:asciiTheme="minorHAnsi" w:hAnsiTheme="minorHAnsi" w:cstheme="minorHAnsi"/>
          <w:sz w:val="26"/>
          <w:szCs w:val="26"/>
        </w:rPr>
        <w:t>Referitor la pregătirea profesională a auditorilor interni, aceasta s-a realizat conform prevederilor legale, auditorii participând la cursuri pe teme specifice domeniilor cadrului general de competenţe profesionale, precum şi desfăşurând studiu individual pe teme de audit public intern.</w:t>
      </w:r>
    </w:p>
    <w:p w14:paraId="37D94D6F" w14:textId="77777777" w:rsidR="00500978" w:rsidRPr="00564DC7" w:rsidRDefault="00500978" w:rsidP="00690186">
      <w:pPr>
        <w:ind w:firstLine="709"/>
        <w:jc w:val="both"/>
        <w:rPr>
          <w:rFonts w:asciiTheme="minorHAnsi" w:hAnsiTheme="minorHAnsi" w:cstheme="minorHAnsi"/>
          <w:sz w:val="26"/>
          <w:szCs w:val="26"/>
        </w:rPr>
      </w:pPr>
    </w:p>
    <w:p w14:paraId="33DB4502" w14:textId="070252D3" w:rsidR="006C1588" w:rsidRPr="00564DC7" w:rsidRDefault="006C1588" w:rsidP="00690186">
      <w:pPr>
        <w:pStyle w:val="Heading2"/>
        <w:keepNext w:val="0"/>
        <w:keepLines w:val="0"/>
        <w:suppressLineNumbers/>
        <w:suppressAutoHyphens/>
        <w:spacing w:line="240" w:lineRule="auto"/>
        <w:rPr>
          <w:rFonts w:cstheme="minorHAnsi"/>
          <w:color w:val="auto"/>
          <w:lang w:val="ro-RO"/>
        </w:rPr>
      </w:pPr>
      <w:bookmarkStart w:id="175" w:name="_Toc155267926"/>
      <w:r w:rsidRPr="00564DC7">
        <w:rPr>
          <w:rFonts w:cstheme="minorHAnsi"/>
          <w:color w:val="auto"/>
          <w:lang w:val="ro-RO"/>
        </w:rPr>
        <w:t>VI.11.</w:t>
      </w:r>
      <w:r w:rsidR="000B639A" w:rsidRPr="00564DC7">
        <w:rPr>
          <w:rFonts w:cstheme="minorHAnsi"/>
          <w:color w:val="auto"/>
          <w:lang w:val="ro-RO"/>
        </w:rPr>
        <w:t xml:space="preserve"> </w:t>
      </w:r>
      <w:r w:rsidRPr="00564DC7">
        <w:rPr>
          <w:rFonts w:cstheme="minorHAnsi"/>
          <w:color w:val="auto"/>
          <w:lang w:val="ro-RO"/>
        </w:rPr>
        <w:t>Compartimentul de psihologie a personalului</w:t>
      </w:r>
      <w:bookmarkEnd w:id="175"/>
    </w:p>
    <w:p w14:paraId="186AC3E0" w14:textId="77777777" w:rsidR="006111CD" w:rsidRPr="00564DC7" w:rsidRDefault="006111CD" w:rsidP="00690186">
      <w:pPr>
        <w:ind w:firstLine="709"/>
        <w:jc w:val="both"/>
        <w:rPr>
          <w:rFonts w:asciiTheme="minorHAnsi" w:eastAsiaTheme="minorHAnsi" w:hAnsiTheme="minorHAnsi" w:cstheme="minorHAnsi"/>
          <w:sz w:val="26"/>
          <w:szCs w:val="26"/>
        </w:rPr>
      </w:pPr>
      <w:r w:rsidRPr="00564DC7">
        <w:rPr>
          <w:rFonts w:asciiTheme="minorHAnsi" w:hAnsiTheme="minorHAnsi" w:cstheme="minorHAnsi"/>
          <w:sz w:val="26"/>
          <w:szCs w:val="26"/>
          <w:lang w:eastAsia="en-GB"/>
        </w:rPr>
        <w:t xml:space="preserve">Compartimentul de  psihologie  a  personalului - CPP este constituit  </w:t>
      </w:r>
      <w:r w:rsidRPr="00564DC7">
        <w:rPr>
          <w:rFonts w:asciiTheme="minorHAnsi" w:eastAsiaTheme="minorHAnsi" w:hAnsiTheme="minorHAnsi" w:cstheme="minorHAnsi"/>
          <w:sz w:val="26"/>
          <w:szCs w:val="26"/>
        </w:rPr>
        <w:t>potrivit dispozițiilor din Legea nr. 213/2004 privind exercitarea profesiei de psiholog cu drept de liberă practică, înființarea, organizarea și funcționarea Colegiului Psihologilor din România, structura de specialitate fiind înregistrată  în  Registrul structurilor de psihologie conform avizului de funcționare  nr. 5/2011 eliberat de Comitetul  Director al  Colegiului Psihologilor din România.</w:t>
      </w:r>
    </w:p>
    <w:p w14:paraId="52E936C0" w14:textId="7C4947C6" w:rsidR="006111CD" w:rsidRPr="00564DC7" w:rsidRDefault="006111CD" w:rsidP="00690186">
      <w:pPr>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 xml:space="preserve">Compartimentul de psihologie asigură coordonarea metodologică a activităţii psihologilor din sistemul judiciar, principalele activități desfășurate  fiind  în materia testării  psihologice  </w:t>
      </w:r>
      <w:bookmarkStart w:id="176" w:name="_Hlk118105683"/>
      <w:r w:rsidRPr="00564DC7">
        <w:rPr>
          <w:rFonts w:asciiTheme="minorHAnsi" w:eastAsiaTheme="minorHAnsi" w:hAnsiTheme="minorHAnsi" w:cstheme="minorHAnsi"/>
          <w:sz w:val="26"/>
          <w:szCs w:val="26"/>
        </w:rPr>
        <w:t>a candidaților la concursurile organizate</w:t>
      </w:r>
      <w:r w:rsidR="008D3212">
        <w:rPr>
          <w:rFonts w:asciiTheme="minorHAnsi" w:eastAsiaTheme="minorHAnsi" w:hAnsiTheme="minorHAnsi" w:cstheme="minorHAnsi"/>
          <w:sz w:val="26"/>
          <w:szCs w:val="26"/>
        </w:rPr>
        <w:t xml:space="preserve"> </w:t>
      </w:r>
      <w:r w:rsidRPr="00564DC7">
        <w:rPr>
          <w:rFonts w:asciiTheme="minorHAnsi" w:eastAsiaTheme="minorHAnsi" w:hAnsiTheme="minorHAnsi" w:cstheme="minorHAnsi"/>
          <w:sz w:val="26"/>
          <w:szCs w:val="26"/>
        </w:rPr>
        <w:t>de</w:t>
      </w:r>
      <w:r w:rsidR="008D3212">
        <w:rPr>
          <w:rFonts w:asciiTheme="minorHAnsi" w:eastAsiaTheme="minorHAnsi" w:hAnsiTheme="minorHAnsi" w:cstheme="minorHAnsi"/>
          <w:sz w:val="26"/>
          <w:szCs w:val="26"/>
        </w:rPr>
        <w:t xml:space="preserve"> </w:t>
      </w:r>
      <w:r w:rsidRPr="00564DC7">
        <w:rPr>
          <w:rFonts w:asciiTheme="minorHAnsi" w:eastAsiaTheme="minorHAnsi" w:hAnsiTheme="minorHAnsi" w:cstheme="minorHAnsi"/>
          <w:sz w:val="26"/>
          <w:szCs w:val="26"/>
        </w:rPr>
        <w:t>Consiliu,</w:t>
      </w:r>
      <w:bookmarkEnd w:id="176"/>
      <w:r w:rsidRPr="00564DC7">
        <w:rPr>
          <w:rFonts w:asciiTheme="minorHAnsi" w:eastAsiaTheme="minorHAnsi" w:hAnsiTheme="minorHAnsi" w:cstheme="minorHAnsi"/>
          <w:sz w:val="26"/>
          <w:szCs w:val="26"/>
        </w:rPr>
        <w:t xml:space="preserve"> </w:t>
      </w:r>
      <w:bookmarkStart w:id="177" w:name="_Hlk118115224"/>
      <w:r w:rsidRPr="00564DC7">
        <w:rPr>
          <w:rFonts w:asciiTheme="minorHAnsi" w:eastAsiaTheme="minorHAnsi" w:hAnsiTheme="minorHAnsi" w:cstheme="minorHAnsi"/>
          <w:sz w:val="26"/>
          <w:szCs w:val="26"/>
        </w:rPr>
        <w:t xml:space="preserve">evaluării psihologice periodice a judecătorilor, procurorilor, magistraților - asistenți de la Înalta Curte de Casație și Justiție și a personalului de specialitate juridică asimilat judecătorilor și procurorilor din cadrul Consiliului și Institutului </w:t>
      </w:r>
      <w:r w:rsidRPr="00564DC7">
        <w:rPr>
          <w:rFonts w:asciiTheme="minorHAnsi" w:eastAsiaTheme="minorHAnsi" w:hAnsiTheme="minorHAnsi" w:cstheme="minorHAnsi"/>
          <w:sz w:val="26"/>
          <w:szCs w:val="26"/>
        </w:rPr>
        <w:lastRenderedPageBreak/>
        <w:t>Național al Magistraturii, în condițiile legii,</w:t>
      </w:r>
      <w:bookmarkEnd w:id="177"/>
      <w:r w:rsidR="009806B9">
        <w:rPr>
          <w:rFonts w:asciiTheme="minorHAnsi" w:eastAsiaTheme="minorHAnsi" w:hAnsiTheme="minorHAnsi" w:cstheme="minorHAnsi"/>
          <w:sz w:val="26"/>
          <w:szCs w:val="26"/>
        </w:rPr>
        <w:t xml:space="preserve"> </w:t>
      </w:r>
      <w:r w:rsidRPr="00564DC7">
        <w:rPr>
          <w:rFonts w:asciiTheme="minorHAnsi" w:eastAsiaTheme="minorHAnsi" w:hAnsiTheme="minorHAnsi" w:cstheme="minorHAnsi"/>
          <w:sz w:val="26"/>
          <w:szCs w:val="26"/>
        </w:rPr>
        <w:t>dezvoltării organizaționale</w:t>
      </w:r>
      <w:r w:rsidR="009806B9">
        <w:rPr>
          <w:rFonts w:asciiTheme="minorHAnsi" w:eastAsiaTheme="minorHAnsi" w:hAnsiTheme="minorHAnsi" w:cstheme="minorHAnsi"/>
          <w:sz w:val="26"/>
          <w:szCs w:val="26"/>
        </w:rPr>
        <w:t xml:space="preserve"> și </w:t>
      </w:r>
      <w:r w:rsidRPr="00564DC7">
        <w:rPr>
          <w:rFonts w:asciiTheme="minorHAnsi" w:eastAsiaTheme="minorHAnsi" w:hAnsiTheme="minorHAnsi" w:cstheme="minorHAnsi"/>
          <w:sz w:val="26"/>
          <w:szCs w:val="26"/>
        </w:rPr>
        <w:t>elaborării metodologiilor privind organizarea și desfășurarea testărilor psihologice, desfășurarea programelor de asistență psihologică, analizelor de climat organizațional, evaluării factorilor de risc psihosocial la nivelul personalului etc.</w:t>
      </w:r>
    </w:p>
    <w:p w14:paraId="57E63D70" w14:textId="76A9898C" w:rsidR="006111CD" w:rsidRPr="00564DC7" w:rsidRDefault="006111CD" w:rsidP="00690186">
      <w:pPr>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 xml:space="preserve">Psihologii încadrați la nivelul Consiliului, ICCJ, IJ, INM, PICCJ, curților de apel și al parchetelor de pe lângă curțile de apel sunt atestaţi, în condiţiile legii, în specialitatea </w:t>
      </w:r>
      <w:r w:rsidR="009806B9" w:rsidRPr="00564DC7">
        <w:rPr>
          <w:rFonts w:asciiTheme="minorHAnsi" w:hAnsiTheme="minorHAnsi" w:cstheme="minorHAnsi"/>
          <w:bCs/>
          <w:sz w:val="26"/>
          <w:szCs w:val="26"/>
        </w:rPr>
        <w:t>„</w:t>
      </w:r>
      <w:r w:rsidRPr="00564DC7">
        <w:rPr>
          <w:rFonts w:asciiTheme="minorHAnsi" w:eastAsiaTheme="minorHAnsi" w:hAnsiTheme="minorHAnsi" w:cstheme="minorHAnsi"/>
          <w:sz w:val="26"/>
          <w:szCs w:val="26"/>
        </w:rPr>
        <w:t>psihologia muncii şi organizaţională”.</w:t>
      </w:r>
    </w:p>
    <w:p w14:paraId="36CFDBC9" w14:textId="5032DFA6" w:rsidR="006111CD" w:rsidRPr="00564DC7" w:rsidRDefault="006111CD" w:rsidP="00690186">
      <w:pPr>
        <w:ind w:firstLine="709"/>
        <w:jc w:val="both"/>
        <w:rPr>
          <w:rFonts w:asciiTheme="minorHAnsi" w:eastAsiaTheme="minorHAnsi" w:hAnsiTheme="minorHAnsi" w:cstheme="minorHAnsi"/>
          <w:bCs/>
          <w:sz w:val="26"/>
          <w:szCs w:val="26"/>
        </w:rPr>
      </w:pPr>
      <w:r w:rsidRPr="00564DC7">
        <w:rPr>
          <w:rFonts w:asciiTheme="minorHAnsi" w:eastAsiaTheme="minorHAnsi" w:hAnsiTheme="minorHAnsi" w:cstheme="minorHAnsi"/>
          <w:bCs/>
          <w:sz w:val="26"/>
          <w:szCs w:val="26"/>
        </w:rPr>
        <w:t>Schema  de personal a  CPP este alcătuită din trei posturi ocupate, respectiv un post consilier–psiholog (funcție publică) și două posturi de personal contractual,</w:t>
      </w:r>
      <w:r w:rsidR="00C251F6" w:rsidRPr="00564DC7">
        <w:rPr>
          <w:rFonts w:asciiTheme="minorHAnsi" w:eastAsiaTheme="minorHAnsi" w:hAnsiTheme="minorHAnsi" w:cstheme="minorHAnsi"/>
          <w:bCs/>
          <w:sz w:val="26"/>
          <w:szCs w:val="26"/>
        </w:rPr>
        <w:t xml:space="preserve"> </w:t>
      </w:r>
      <w:r w:rsidRPr="00564DC7">
        <w:rPr>
          <w:rFonts w:asciiTheme="minorHAnsi" w:eastAsiaTheme="minorHAnsi" w:hAnsiTheme="minorHAnsi" w:cstheme="minorHAnsi"/>
          <w:bCs/>
          <w:sz w:val="26"/>
          <w:szCs w:val="26"/>
        </w:rPr>
        <w:t>consilier – psiholog.</w:t>
      </w:r>
    </w:p>
    <w:p w14:paraId="5F2F8FA6" w14:textId="639B39C2" w:rsidR="006111CD" w:rsidRPr="00564DC7" w:rsidRDefault="006111CD" w:rsidP="00690186">
      <w:pPr>
        <w:tabs>
          <w:tab w:val="left" w:pos="630"/>
        </w:tabs>
        <w:ind w:firstLine="709"/>
        <w:jc w:val="both"/>
        <w:rPr>
          <w:rFonts w:asciiTheme="minorHAnsi" w:eastAsiaTheme="minorHAnsi" w:hAnsiTheme="minorHAnsi" w:cstheme="minorHAnsi"/>
          <w:bCs/>
          <w:sz w:val="26"/>
          <w:szCs w:val="26"/>
        </w:rPr>
      </w:pPr>
      <w:r w:rsidRPr="00564DC7">
        <w:rPr>
          <w:rFonts w:asciiTheme="minorHAnsi" w:eastAsiaTheme="minorHAnsi" w:hAnsiTheme="minorHAnsi" w:cstheme="minorHAnsi"/>
          <w:sz w:val="26"/>
          <w:szCs w:val="26"/>
        </w:rPr>
        <w:t xml:space="preserve"> </w:t>
      </w:r>
      <w:r w:rsidRPr="00564DC7">
        <w:rPr>
          <w:rFonts w:asciiTheme="minorHAnsi" w:eastAsiaTheme="minorHAnsi" w:hAnsiTheme="minorHAnsi" w:cstheme="minorHAnsi"/>
          <w:bCs/>
          <w:sz w:val="26"/>
          <w:szCs w:val="26"/>
        </w:rPr>
        <w:t>În ceea ce privește situația celor două posturi de personal contractual, acestea au fost ocupate prin concurs, în luna februarie 2023, în condițiile art.110 alin. (2) din Hotărârea Plenului Consiliului Superior al Magistraturii nr.1073/2018 pentru aprobarea</w:t>
      </w:r>
      <w:r w:rsidR="008D3212">
        <w:rPr>
          <w:rFonts w:asciiTheme="minorHAnsi" w:eastAsiaTheme="minorHAnsi" w:hAnsiTheme="minorHAnsi" w:cstheme="minorHAnsi"/>
          <w:bCs/>
          <w:sz w:val="26"/>
          <w:szCs w:val="26"/>
        </w:rPr>
        <w:t xml:space="preserve"> </w:t>
      </w:r>
      <w:r w:rsidRPr="00564DC7">
        <w:rPr>
          <w:rFonts w:asciiTheme="minorHAnsi" w:eastAsiaTheme="minorHAnsi" w:hAnsiTheme="minorHAnsi" w:cstheme="minorHAnsi"/>
          <w:bCs/>
          <w:sz w:val="26"/>
          <w:szCs w:val="26"/>
        </w:rPr>
        <w:t xml:space="preserve">Regulamentului de organizare şi funcţionare a Consiliului Superior al Magistraturii, </w:t>
      </w:r>
      <w:bookmarkStart w:id="178" w:name="_Hlk145418784"/>
      <w:r w:rsidRPr="00564DC7">
        <w:rPr>
          <w:rFonts w:asciiTheme="minorHAnsi" w:eastAsiaTheme="minorHAnsi" w:hAnsiTheme="minorHAnsi" w:cstheme="minorHAnsi"/>
          <w:bCs/>
          <w:sz w:val="26"/>
          <w:szCs w:val="26"/>
        </w:rPr>
        <w:t>psihologii încadrați fiind atestați în domeniul de competență psihologia muncii și organizațională, treapta de specializare practicant în supervizare.</w:t>
      </w:r>
    </w:p>
    <w:p w14:paraId="3EA6C725" w14:textId="01CBE58B" w:rsidR="006111CD" w:rsidRDefault="006111CD" w:rsidP="00690186">
      <w:pPr>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 xml:space="preserve">Referitor la psihologul încadrat la nivelul compartimentului pe postul de funcționar public, acesta deține atestat de liberă practică în domeniul de competență </w:t>
      </w:r>
      <w:r w:rsidR="009806B9" w:rsidRPr="00564DC7">
        <w:rPr>
          <w:rFonts w:asciiTheme="minorHAnsi" w:hAnsiTheme="minorHAnsi" w:cstheme="minorHAnsi"/>
          <w:bCs/>
          <w:sz w:val="26"/>
          <w:szCs w:val="26"/>
        </w:rPr>
        <w:t>„</w:t>
      </w:r>
      <w:r w:rsidRPr="00564DC7">
        <w:rPr>
          <w:rFonts w:asciiTheme="minorHAnsi" w:eastAsiaTheme="minorHAnsi" w:hAnsiTheme="minorHAnsi" w:cstheme="minorHAnsi"/>
          <w:sz w:val="26"/>
          <w:szCs w:val="26"/>
        </w:rPr>
        <w:t xml:space="preserve">psihologia muncii și organizațională", treapta de specializare </w:t>
      </w:r>
      <w:r w:rsidR="009806B9" w:rsidRPr="00564DC7">
        <w:rPr>
          <w:rFonts w:asciiTheme="minorHAnsi" w:hAnsiTheme="minorHAnsi" w:cstheme="minorHAnsi"/>
          <w:bCs/>
          <w:sz w:val="26"/>
          <w:szCs w:val="26"/>
        </w:rPr>
        <w:t>„</w:t>
      </w:r>
      <w:r w:rsidRPr="00261D6B">
        <w:rPr>
          <w:rFonts w:asciiTheme="minorHAnsi" w:eastAsiaTheme="minorHAnsi" w:hAnsiTheme="minorHAnsi" w:cstheme="minorHAnsi"/>
          <w:sz w:val="26"/>
          <w:szCs w:val="26"/>
        </w:rPr>
        <w:t xml:space="preserve">specialist”, </w:t>
      </w:r>
      <w:r w:rsidRPr="00564DC7">
        <w:rPr>
          <w:rFonts w:asciiTheme="minorHAnsi" w:eastAsiaTheme="minorHAnsi" w:hAnsiTheme="minorHAnsi" w:cstheme="minorHAnsi"/>
          <w:sz w:val="26"/>
          <w:szCs w:val="26"/>
        </w:rPr>
        <w:t>eliberat în  conformitate cu  normele metodologice de aplicare a Legii nr. 213/2004 privind  exercitarea  profesiei de psiholog cu drept de liberă practică, înființarea, organizarea și funcționarea  Colegiului  Psihologilor din România, aprobate prin Hotărârea Guvernului  nr. 788/2005, cu modificările și completările ulterioare.</w:t>
      </w:r>
    </w:p>
    <w:p w14:paraId="0BCE3E5F" w14:textId="77777777" w:rsidR="008D3212" w:rsidRPr="00564DC7" w:rsidRDefault="008D3212" w:rsidP="00690186">
      <w:pPr>
        <w:ind w:firstLine="709"/>
        <w:jc w:val="both"/>
        <w:rPr>
          <w:rFonts w:asciiTheme="minorHAnsi" w:eastAsiaTheme="minorHAnsi" w:hAnsiTheme="minorHAnsi" w:cstheme="minorHAnsi"/>
          <w:sz w:val="26"/>
          <w:szCs w:val="26"/>
        </w:rPr>
      </w:pPr>
    </w:p>
    <w:tbl>
      <w:tblPr>
        <w:tblW w:w="8123" w:type="dxa"/>
        <w:jc w:val="center"/>
        <w:tblLook w:val="04A0" w:firstRow="1" w:lastRow="0" w:firstColumn="1" w:lastColumn="0" w:noHBand="0" w:noVBand="1"/>
      </w:tblPr>
      <w:tblGrid>
        <w:gridCol w:w="1358"/>
        <w:gridCol w:w="1105"/>
        <w:gridCol w:w="1456"/>
        <w:gridCol w:w="1229"/>
        <w:gridCol w:w="1668"/>
        <w:gridCol w:w="1307"/>
      </w:tblGrid>
      <w:tr w:rsidR="00564DC7" w:rsidRPr="00564DC7" w14:paraId="6A67E058" w14:textId="77777777" w:rsidTr="00C251F6">
        <w:trPr>
          <w:trHeight w:val="131"/>
          <w:jc w:val="center"/>
        </w:trPr>
        <w:tc>
          <w:tcPr>
            <w:tcW w:w="1358"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hideMark/>
          </w:tcPr>
          <w:p w14:paraId="759357FB" w14:textId="7730DA8B"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eastAsiaTheme="minorHAnsi" w:hAnsiTheme="minorHAnsi" w:cstheme="minorHAnsi"/>
                <w:bCs/>
                <w:sz w:val="26"/>
                <w:szCs w:val="26"/>
                <w:u w:val="single"/>
              </w:rPr>
              <w:t xml:space="preserve">    </w:t>
            </w:r>
            <w:r w:rsidRPr="00564DC7">
              <w:rPr>
                <w:rFonts w:asciiTheme="minorHAnsi" w:hAnsiTheme="minorHAnsi" w:cstheme="minorHAnsi"/>
                <w:b/>
                <w:bCs/>
                <w:sz w:val="26"/>
                <w:szCs w:val="26"/>
                <w:lang w:eastAsia="ro-RO"/>
              </w:rPr>
              <w:t>Instituția</w:t>
            </w:r>
          </w:p>
          <w:p w14:paraId="30A33BAF" w14:textId="77777777" w:rsidR="006111CD" w:rsidRPr="00564DC7" w:rsidRDefault="006111CD" w:rsidP="00690186">
            <w:pPr>
              <w:jc w:val="center"/>
              <w:rPr>
                <w:rFonts w:asciiTheme="minorHAnsi" w:hAnsiTheme="minorHAnsi" w:cstheme="minorHAnsi"/>
                <w:b/>
                <w:bCs/>
                <w:sz w:val="26"/>
                <w:szCs w:val="26"/>
                <w:lang w:eastAsia="ro-RO"/>
              </w:rPr>
            </w:pPr>
          </w:p>
        </w:tc>
        <w:tc>
          <w:tcPr>
            <w:tcW w:w="1105"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01357A07"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Posturi</w:t>
            </w:r>
          </w:p>
        </w:tc>
        <w:tc>
          <w:tcPr>
            <w:tcW w:w="5660"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B96FCA9"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Situația ocupării  posturilor de psiholog la nivelul sistemului judiciar</w:t>
            </w:r>
          </w:p>
        </w:tc>
      </w:tr>
      <w:tr w:rsidR="00564DC7" w:rsidRPr="00564DC7" w14:paraId="6422D520" w14:textId="77777777" w:rsidTr="00C251F6">
        <w:trPr>
          <w:trHeight w:val="131"/>
          <w:jc w:val="center"/>
        </w:trPr>
        <w:tc>
          <w:tcPr>
            <w:tcW w:w="1358" w:type="dxa"/>
            <w:vMerge/>
            <w:tcBorders>
              <w:left w:val="single" w:sz="4" w:space="0" w:color="auto"/>
              <w:bottom w:val="single" w:sz="4" w:space="0" w:color="auto"/>
              <w:right w:val="single" w:sz="4" w:space="0" w:color="auto"/>
            </w:tcBorders>
            <w:shd w:val="clear" w:color="auto" w:fill="D9D9D9" w:themeFill="background1" w:themeFillShade="D9"/>
            <w:noWrap/>
            <w:vAlign w:val="bottom"/>
            <w:hideMark/>
          </w:tcPr>
          <w:p w14:paraId="2E168C93" w14:textId="77777777" w:rsidR="006111CD" w:rsidRPr="00564DC7" w:rsidRDefault="006111CD" w:rsidP="00690186">
            <w:pPr>
              <w:jc w:val="both"/>
              <w:rPr>
                <w:rFonts w:asciiTheme="minorHAnsi" w:hAnsiTheme="minorHAnsi" w:cstheme="minorHAnsi"/>
                <w:b/>
                <w:bCs/>
                <w:sz w:val="26"/>
                <w:szCs w:val="26"/>
                <w:lang w:eastAsia="ro-RO"/>
              </w:rPr>
            </w:pPr>
          </w:p>
        </w:tc>
        <w:tc>
          <w:tcPr>
            <w:tcW w:w="1105"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21BBFDD" w14:textId="77777777" w:rsidR="006111CD" w:rsidRPr="00564DC7" w:rsidRDefault="006111CD" w:rsidP="00690186">
            <w:pPr>
              <w:jc w:val="both"/>
              <w:rPr>
                <w:rFonts w:asciiTheme="minorHAnsi" w:hAnsiTheme="minorHAnsi" w:cstheme="minorHAnsi"/>
                <w:b/>
                <w:bCs/>
                <w:sz w:val="26"/>
                <w:szCs w:val="26"/>
                <w:lang w:eastAsia="ro-RO"/>
              </w:rPr>
            </w:pPr>
          </w:p>
        </w:tc>
        <w:tc>
          <w:tcPr>
            <w:tcW w:w="1456" w:type="dxa"/>
            <w:tcBorders>
              <w:top w:val="nil"/>
              <w:left w:val="nil"/>
              <w:bottom w:val="single" w:sz="4" w:space="0" w:color="auto"/>
              <w:right w:val="single" w:sz="4" w:space="0" w:color="auto"/>
            </w:tcBorders>
            <w:shd w:val="clear" w:color="auto" w:fill="D9D9D9" w:themeFill="background1" w:themeFillShade="D9"/>
            <w:noWrap/>
            <w:vAlign w:val="bottom"/>
            <w:hideMark/>
          </w:tcPr>
          <w:p w14:paraId="6D9C60AB"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Ocupate</w:t>
            </w:r>
          </w:p>
        </w:tc>
        <w:tc>
          <w:tcPr>
            <w:tcW w:w="1229" w:type="dxa"/>
            <w:tcBorders>
              <w:top w:val="nil"/>
              <w:left w:val="nil"/>
              <w:bottom w:val="single" w:sz="4" w:space="0" w:color="auto"/>
              <w:right w:val="single" w:sz="4" w:space="0" w:color="auto"/>
            </w:tcBorders>
            <w:shd w:val="clear" w:color="auto" w:fill="D9D9D9" w:themeFill="background1" w:themeFillShade="D9"/>
            <w:noWrap/>
            <w:vAlign w:val="bottom"/>
            <w:hideMark/>
          </w:tcPr>
          <w:p w14:paraId="233562BB"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c>
          <w:tcPr>
            <w:tcW w:w="1668" w:type="dxa"/>
            <w:tcBorders>
              <w:top w:val="nil"/>
              <w:left w:val="nil"/>
              <w:bottom w:val="single" w:sz="4" w:space="0" w:color="auto"/>
              <w:right w:val="single" w:sz="4" w:space="0" w:color="auto"/>
            </w:tcBorders>
            <w:shd w:val="clear" w:color="auto" w:fill="D9D9D9" w:themeFill="background1" w:themeFillShade="D9"/>
            <w:noWrap/>
            <w:vAlign w:val="bottom"/>
            <w:hideMark/>
          </w:tcPr>
          <w:p w14:paraId="521954E8"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 xml:space="preserve"> Vacante</w:t>
            </w:r>
          </w:p>
        </w:tc>
        <w:tc>
          <w:tcPr>
            <w:tcW w:w="1307" w:type="dxa"/>
            <w:tcBorders>
              <w:top w:val="nil"/>
              <w:left w:val="nil"/>
              <w:bottom w:val="single" w:sz="4" w:space="0" w:color="auto"/>
              <w:right w:val="single" w:sz="4" w:space="0" w:color="auto"/>
            </w:tcBorders>
            <w:shd w:val="clear" w:color="auto" w:fill="D9D9D9" w:themeFill="background1" w:themeFillShade="D9"/>
            <w:noWrap/>
            <w:vAlign w:val="bottom"/>
            <w:hideMark/>
          </w:tcPr>
          <w:p w14:paraId="30DB323B"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r>
      <w:tr w:rsidR="00564DC7" w:rsidRPr="00564DC7" w14:paraId="7A6A8356" w14:textId="77777777" w:rsidTr="00EB7F3F">
        <w:trPr>
          <w:trHeight w:val="131"/>
          <w:jc w:val="center"/>
        </w:trPr>
        <w:tc>
          <w:tcPr>
            <w:tcW w:w="8123" w:type="dxa"/>
            <w:gridSpan w:val="6"/>
            <w:tcBorders>
              <w:left w:val="single" w:sz="4" w:space="0" w:color="auto"/>
              <w:bottom w:val="single" w:sz="4" w:space="0" w:color="auto"/>
              <w:right w:val="single" w:sz="4" w:space="0" w:color="auto"/>
            </w:tcBorders>
            <w:shd w:val="clear" w:color="auto" w:fill="auto"/>
            <w:noWrap/>
            <w:vAlign w:val="bottom"/>
          </w:tcPr>
          <w:p w14:paraId="55C179CD"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Instituții</w:t>
            </w:r>
          </w:p>
        </w:tc>
      </w:tr>
      <w:tr w:rsidR="00564DC7" w:rsidRPr="00564DC7" w14:paraId="33041311" w14:textId="77777777" w:rsidTr="00C251F6">
        <w:trPr>
          <w:trHeight w:val="267"/>
          <w:jc w:val="center"/>
        </w:trPr>
        <w:tc>
          <w:tcPr>
            <w:tcW w:w="1358" w:type="dxa"/>
            <w:tcBorders>
              <w:left w:val="single" w:sz="4" w:space="0" w:color="auto"/>
              <w:bottom w:val="single" w:sz="4" w:space="0" w:color="auto"/>
              <w:right w:val="single" w:sz="4" w:space="0" w:color="auto"/>
            </w:tcBorders>
            <w:shd w:val="clear" w:color="auto" w:fill="auto"/>
            <w:noWrap/>
            <w:vAlign w:val="bottom"/>
          </w:tcPr>
          <w:p w14:paraId="633D8096"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IJ</w:t>
            </w:r>
          </w:p>
        </w:tc>
        <w:tc>
          <w:tcPr>
            <w:tcW w:w="1105" w:type="dxa"/>
            <w:tcBorders>
              <w:top w:val="single" w:sz="4" w:space="0" w:color="auto"/>
              <w:left w:val="single" w:sz="4" w:space="0" w:color="auto"/>
              <w:bottom w:val="single" w:sz="4" w:space="0" w:color="000000"/>
              <w:right w:val="single" w:sz="4" w:space="0" w:color="auto"/>
            </w:tcBorders>
            <w:vAlign w:val="center"/>
          </w:tcPr>
          <w:p w14:paraId="0C1EA54A" w14:textId="44046CF8" w:rsidR="006111CD" w:rsidRPr="00564DC7" w:rsidRDefault="006111CD"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shd w:val="clear" w:color="auto" w:fill="auto"/>
            <w:noWrap/>
            <w:vAlign w:val="bottom"/>
          </w:tcPr>
          <w:p w14:paraId="0EB7CA59" w14:textId="77777777" w:rsidR="006111CD" w:rsidRPr="00564DC7" w:rsidRDefault="006111CD"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w:t>
            </w:r>
          </w:p>
        </w:tc>
        <w:tc>
          <w:tcPr>
            <w:tcW w:w="1229" w:type="dxa"/>
            <w:tcBorders>
              <w:top w:val="nil"/>
              <w:left w:val="nil"/>
              <w:bottom w:val="single" w:sz="4" w:space="0" w:color="auto"/>
              <w:right w:val="single" w:sz="4" w:space="0" w:color="auto"/>
            </w:tcBorders>
            <w:shd w:val="clear" w:color="auto" w:fill="auto"/>
            <w:noWrap/>
          </w:tcPr>
          <w:p w14:paraId="7A966CF2" w14:textId="73C9E115" w:rsidR="006111CD" w:rsidRPr="00564DC7" w:rsidRDefault="00C251F6" w:rsidP="00690186">
            <w:pPr>
              <w:jc w:val="right"/>
              <w:rPr>
                <w:rFonts w:asciiTheme="minorHAnsi" w:hAnsiTheme="minorHAnsi" w:cstheme="minorHAnsi"/>
                <w:b/>
                <w:bCs/>
                <w:sz w:val="26"/>
                <w:szCs w:val="26"/>
                <w:lang w:eastAsia="ro-RO"/>
              </w:rPr>
            </w:pPr>
            <w:r w:rsidRPr="00564DC7">
              <w:rPr>
                <w:rFonts w:asciiTheme="minorHAnsi" w:eastAsiaTheme="minorHAnsi" w:hAnsiTheme="minorHAnsi" w:cstheme="minorHAnsi"/>
                <w:sz w:val="26"/>
                <w:szCs w:val="26"/>
              </w:rPr>
              <w:t>1</w:t>
            </w:r>
            <w:r w:rsidR="006111CD" w:rsidRPr="00564DC7">
              <w:rPr>
                <w:rFonts w:asciiTheme="minorHAnsi" w:eastAsiaTheme="minorHAnsi" w:hAnsiTheme="minorHAnsi" w:cstheme="minorHAnsi"/>
                <w:sz w:val="26"/>
                <w:szCs w:val="26"/>
              </w:rPr>
              <w:t>00,00%</w:t>
            </w:r>
          </w:p>
        </w:tc>
        <w:tc>
          <w:tcPr>
            <w:tcW w:w="1668" w:type="dxa"/>
            <w:tcBorders>
              <w:top w:val="nil"/>
              <w:left w:val="nil"/>
              <w:bottom w:val="single" w:sz="4" w:space="0" w:color="auto"/>
              <w:right w:val="single" w:sz="4" w:space="0" w:color="auto"/>
            </w:tcBorders>
            <w:shd w:val="clear" w:color="auto" w:fill="auto"/>
            <w:noWrap/>
            <w:vAlign w:val="bottom"/>
          </w:tcPr>
          <w:p w14:paraId="77DE8A9A" w14:textId="77777777" w:rsidR="006111CD" w:rsidRPr="00564DC7" w:rsidRDefault="006111CD" w:rsidP="00690186">
            <w:pPr>
              <w:jc w:val="both"/>
              <w:rPr>
                <w:rFonts w:asciiTheme="minorHAnsi" w:hAnsiTheme="minorHAnsi" w:cstheme="minorHAnsi"/>
                <w:b/>
                <w:bCs/>
                <w:sz w:val="26"/>
                <w:szCs w:val="26"/>
                <w:lang w:eastAsia="ro-RO"/>
              </w:rPr>
            </w:pPr>
          </w:p>
        </w:tc>
        <w:tc>
          <w:tcPr>
            <w:tcW w:w="1307" w:type="dxa"/>
            <w:tcBorders>
              <w:top w:val="nil"/>
              <w:left w:val="nil"/>
              <w:bottom w:val="single" w:sz="4" w:space="0" w:color="auto"/>
              <w:right w:val="single" w:sz="4" w:space="0" w:color="auto"/>
            </w:tcBorders>
            <w:shd w:val="clear" w:color="auto" w:fill="auto"/>
            <w:noWrap/>
            <w:vAlign w:val="bottom"/>
          </w:tcPr>
          <w:p w14:paraId="2F783E8A" w14:textId="77777777" w:rsidR="006111CD" w:rsidRPr="00564DC7" w:rsidRDefault="006111CD" w:rsidP="00690186">
            <w:pPr>
              <w:jc w:val="both"/>
              <w:rPr>
                <w:rFonts w:asciiTheme="minorHAnsi" w:hAnsiTheme="minorHAnsi" w:cstheme="minorHAnsi"/>
                <w:b/>
                <w:bCs/>
                <w:sz w:val="26"/>
                <w:szCs w:val="26"/>
                <w:lang w:eastAsia="ro-RO"/>
              </w:rPr>
            </w:pPr>
          </w:p>
        </w:tc>
      </w:tr>
      <w:tr w:rsidR="00564DC7" w:rsidRPr="00564DC7" w14:paraId="570C0562" w14:textId="77777777" w:rsidTr="00C251F6">
        <w:trPr>
          <w:trHeight w:val="188"/>
          <w:jc w:val="center"/>
        </w:trPr>
        <w:tc>
          <w:tcPr>
            <w:tcW w:w="1358" w:type="dxa"/>
            <w:tcBorders>
              <w:left w:val="single" w:sz="4" w:space="0" w:color="auto"/>
              <w:bottom w:val="single" w:sz="4" w:space="0" w:color="auto"/>
              <w:right w:val="single" w:sz="4" w:space="0" w:color="auto"/>
            </w:tcBorders>
            <w:shd w:val="clear" w:color="auto" w:fill="auto"/>
            <w:noWrap/>
            <w:vAlign w:val="bottom"/>
          </w:tcPr>
          <w:p w14:paraId="3E5C5256" w14:textId="77777777" w:rsidR="00C251F6" w:rsidRPr="00564DC7" w:rsidRDefault="00C251F6"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INM</w:t>
            </w:r>
          </w:p>
        </w:tc>
        <w:tc>
          <w:tcPr>
            <w:tcW w:w="1105" w:type="dxa"/>
            <w:tcBorders>
              <w:top w:val="single" w:sz="4" w:space="0" w:color="auto"/>
              <w:left w:val="single" w:sz="4" w:space="0" w:color="auto"/>
              <w:bottom w:val="single" w:sz="4" w:space="0" w:color="000000"/>
              <w:right w:val="single" w:sz="4" w:space="0" w:color="auto"/>
            </w:tcBorders>
            <w:vAlign w:val="center"/>
          </w:tcPr>
          <w:p w14:paraId="10AC5741" w14:textId="035B714F" w:rsidR="00C251F6" w:rsidRPr="00564DC7" w:rsidRDefault="00C251F6"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2</w:t>
            </w:r>
          </w:p>
        </w:tc>
        <w:tc>
          <w:tcPr>
            <w:tcW w:w="1456" w:type="dxa"/>
            <w:tcBorders>
              <w:top w:val="nil"/>
              <w:left w:val="nil"/>
              <w:bottom w:val="single" w:sz="4" w:space="0" w:color="auto"/>
              <w:right w:val="single" w:sz="4" w:space="0" w:color="auto"/>
            </w:tcBorders>
            <w:shd w:val="clear" w:color="auto" w:fill="auto"/>
            <w:noWrap/>
            <w:vAlign w:val="bottom"/>
          </w:tcPr>
          <w:p w14:paraId="3E9C1B13" w14:textId="77777777" w:rsidR="00C251F6" w:rsidRPr="00564DC7" w:rsidRDefault="00C251F6"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2</w:t>
            </w:r>
          </w:p>
        </w:tc>
        <w:tc>
          <w:tcPr>
            <w:tcW w:w="1229" w:type="dxa"/>
            <w:tcBorders>
              <w:top w:val="nil"/>
              <w:left w:val="nil"/>
              <w:bottom w:val="single" w:sz="4" w:space="0" w:color="auto"/>
              <w:right w:val="single" w:sz="4" w:space="0" w:color="auto"/>
            </w:tcBorders>
            <w:shd w:val="clear" w:color="auto" w:fill="auto"/>
            <w:noWrap/>
          </w:tcPr>
          <w:p w14:paraId="173F189B" w14:textId="2A184C44" w:rsidR="00C251F6" w:rsidRPr="00564DC7" w:rsidRDefault="00C251F6" w:rsidP="00690186">
            <w:pPr>
              <w:jc w:val="right"/>
              <w:rPr>
                <w:rFonts w:asciiTheme="minorHAnsi" w:hAnsiTheme="minorHAnsi" w:cstheme="minorHAnsi"/>
                <w:b/>
                <w:bCs/>
                <w:sz w:val="26"/>
                <w:szCs w:val="26"/>
                <w:lang w:eastAsia="ro-RO"/>
              </w:rPr>
            </w:pPr>
            <w:r w:rsidRPr="00564DC7">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shd w:val="clear" w:color="auto" w:fill="auto"/>
            <w:noWrap/>
            <w:vAlign w:val="bottom"/>
          </w:tcPr>
          <w:p w14:paraId="6A9FB046" w14:textId="77777777" w:rsidR="00C251F6" w:rsidRPr="00564DC7" w:rsidRDefault="00C251F6" w:rsidP="00690186">
            <w:pPr>
              <w:jc w:val="both"/>
              <w:rPr>
                <w:rFonts w:asciiTheme="minorHAnsi" w:hAnsiTheme="minorHAnsi" w:cstheme="minorHAnsi"/>
                <w:b/>
                <w:bCs/>
                <w:sz w:val="26"/>
                <w:szCs w:val="26"/>
                <w:lang w:eastAsia="ro-RO"/>
              </w:rPr>
            </w:pPr>
          </w:p>
        </w:tc>
        <w:tc>
          <w:tcPr>
            <w:tcW w:w="1307" w:type="dxa"/>
            <w:tcBorders>
              <w:top w:val="nil"/>
              <w:left w:val="nil"/>
              <w:bottom w:val="single" w:sz="4" w:space="0" w:color="auto"/>
              <w:right w:val="single" w:sz="4" w:space="0" w:color="auto"/>
            </w:tcBorders>
            <w:shd w:val="clear" w:color="auto" w:fill="auto"/>
            <w:noWrap/>
            <w:vAlign w:val="bottom"/>
          </w:tcPr>
          <w:p w14:paraId="0B3A4F97" w14:textId="77777777" w:rsidR="00C251F6" w:rsidRPr="00564DC7" w:rsidRDefault="00C251F6" w:rsidP="00690186">
            <w:pPr>
              <w:jc w:val="both"/>
              <w:rPr>
                <w:rFonts w:asciiTheme="minorHAnsi" w:hAnsiTheme="minorHAnsi" w:cstheme="minorHAnsi"/>
                <w:b/>
                <w:bCs/>
                <w:sz w:val="26"/>
                <w:szCs w:val="26"/>
                <w:lang w:eastAsia="ro-RO"/>
              </w:rPr>
            </w:pPr>
          </w:p>
        </w:tc>
      </w:tr>
      <w:tr w:rsidR="00564DC7" w:rsidRPr="00564DC7" w14:paraId="7DF44E74" w14:textId="77777777" w:rsidTr="00EB7F3F">
        <w:trPr>
          <w:trHeight w:val="276"/>
          <w:jc w:val="center"/>
        </w:trPr>
        <w:tc>
          <w:tcPr>
            <w:tcW w:w="8123" w:type="dxa"/>
            <w:gridSpan w:val="6"/>
            <w:tcBorders>
              <w:top w:val="nil"/>
              <w:left w:val="single" w:sz="4" w:space="0" w:color="auto"/>
              <w:bottom w:val="single" w:sz="4" w:space="0" w:color="auto"/>
              <w:right w:val="single" w:sz="4" w:space="0" w:color="auto"/>
            </w:tcBorders>
            <w:shd w:val="clear" w:color="auto" w:fill="auto"/>
            <w:noWrap/>
            <w:vAlign w:val="bottom"/>
          </w:tcPr>
          <w:p w14:paraId="03375CEB" w14:textId="77777777" w:rsidR="006111CD" w:rsidRPr="00564DC7" w:rsidRDefault="006111CD" w:rsidP="00690186">
            <w:pPr>
              <w:jc w:val="center"/>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Instanțe judecătorești</w:t>
            </w:r>
          </w:p>
        </w:tc>
      </w:tr>
      <w:tr w:rsidR="00564DC7" w:rsidRPr="00564DC7" w14:paraId="044759F5" w14:textId="77777777" w:rsidTr="003012AC">
        <w:trPr>
          <w:trHeight w:val="253"/>
          <w:jc w:val="center"/>
        </w:trPr>
        <w:tc>
          <w:tcPr>
            <w:tcW w:w="1358" w:type="dxa"/>
            <w:tcBorders>
              <w:top w:val="nil"/>
              <w:left w:val="single" w:sz="4" w:space="0" w:color="auto"/>
              <w:bottom w:val="single" w:sz="4" w:space="0" w:color="auto"/>
              <w:right w:val="single" w:sz="4" w:space="0" w:color="auto"/>
            </w:tcBorders>
            <w:shd w:val="clear" w:color="auto" w:fill="auto"/>
            <w:noWrap/>
            <w:vAlign w:val="bottom"/>
          </w:tcPr>
          <w:p w14:paraId="2072A2FE" w14:textId="77777777" w:rsidR="00C251F6" w:rsidRPr="00564DC7" w:rsidRDefault="00C251F6"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ICCJ</w:t>
            </w:r>
          </w:p>
        </w:tc>
        <w:tc>
          <w:tcPr>
            <w:tcW w:w="1105" w:type="dxa"/>
            <w:tcBorders>
              <w:top w:val="nil"/>
              <w:left w:val="single" w:sz="4" w:space="0" w:color="auto"/>
              <w:bottom w:val="single" w:sz="4" w:space="0" w:color="auto"/>
              <w:right w:val="single" w:sz="4" w:space="0" w:color="auto"/>
            </w:tcBorders>
            <w:shd w:val="clear" w:color="auto" w:fill="auto"/>
            <w:noWrap/>
            <w:vAlign w:val="center"/>
          </w:tcPr>
          <w:p w14:paraId="68E3B593" w14:textId="77777777" w:rsidR="00C251F6" w:rsidRPr="00564DC7" w:rsidRDefault="00C251F6"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shd w:val="clear" w:color="auto" w:fill="auto"/>
            <w:noWrap/>
            <w:vAlign w:val="center"/>
          </w:tcPr>
          <w:p w14:paraId="02B9B74D" w14:textId="77777777" w:rsidR="00C251F6" w:rsidRPr="00564DC7" w:rsidRDefault="00C251F6"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shd w:val="clear" w:color="auto" w:fill="auto"/>
            <w:noWrap/>
          </w:tcPr>
          <w:p w14:paraId="2A6BF6CB" w14:textId="0A43CCB0" w:rsidR="00C251F6" w:rsidRPr="00564DC7" w:rsidRDefault="00C251F6"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shd w:val="clear" w:color="auto" w:fill="auto"/>
            <w:noWrap/>
            <w:vAlign w:val="center"/>
          </w:tcPr>
          <w:p w14:paraId="0AE7944E" w14:textId="77777777" w:rsidR="00C251F6" w:rsidRPr="00564DC7" w:rsidRDefault="00C251F6" w:rsidP="00690186">
            <w:pPr>
              <w:jc w:val="right"/>
              <w:rPr>
                <w:rFonts w:asciiTheme="minorHAnsi" w:eastAsiaTheme="minorHAnsi" w:hAnsiTheme="minorHAnsi" w:cstheme="minorHAnsi"/>
                <w:sz w:val="26"/>
                <w:szCs w:val="26"/>
              </w:rPr>
            </w:pPr>
          </w:p>
        </w:tc>
        <w:tc>
          <w:tcPr>
            <w:tcW w:w="1307" w:type="dxa"/>
            <w:tcBorders>
              <w:top w:val="nil"/>
              <w:left w:val="nil"/>
              <w:bottom w:val="single" w:sz="4" w:space="0" w:color="auto"/>
              <w:right w:val="single" w:sz="4" w:space="0" w:color="auto"/>
            </w:tcBorders>
            <w:shd w:val="clear" w:color="auto" w:fill="auto"/>
            <w:noWrap/>
            <w:vAlign w:val="bottom"/>
          </w:tcPr>
          <w:p w14:paraId="71311D8B" w14:textId="77777777" w:rsidR="00C251F6" w:rsidRPr="00564DC7" w:rsidRDefault="00C251F6" w:rsidP="00690186">
            <w:pPr>
              <w:jc w:val="right"/>
              <w:rPr>
                <w:rFonts w:asciiTheme="minorHAnsi" w:eastAsiaTheme="minorHAnsi" w:hAnsiTheme="minorHAnsi" w:cstheme="minorHAnsi"/>
                <w:sz w:val="26"/>
                <w:szCs w:val="26"/>
              </w:rPr>
            </w:pPr>
          </w:p>
        </w:tc>
      </w:tr>
      <w:tr w:rsidR="00564DC7" w:rsidRPr="00564DC7" w14:paraId="1F218508" w14:textId="77777777" w:rsidTr="00C251F6">
        <w:trPr>
          <w:trHeight w:val="77"/>
          <w:jc w:val="center"/>
        </w:trPr>
        <w:tc>
          <w:tcPr>
            <w:tcW w:w="1358" w:type="dxa"/>
            <w:tcBorders>
              <w:top w:val="nil"/>
              <w:left w:val="single" w:sz="4" w:space="0" w:color="auto"/>
              <w:bottom w:val="single" w:sz="4" w:space="0" w:color="auto"/>
              <w:right w:val="single" w:sz="4" w:space="0" w:color="auto"/>
            </w:tcBorders>
            <w:shd w:val="clear" w:color="auto" w:fill="auto"/>
            <w:noWrap/>
            <w:vAlign w:val="bottom"/>
          </w:tcPr>
          <w:p w14:paraId="3FD976C1" w14:textId="5B9D9F73"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CA</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ADA7DA" w14:textId="77777777" w:rsidR="006111CD" w:rsidRPr="00564DC7" w:rsidRDefault="006111CD" w:rsidP="00690186">
            <w:pPr>
              <w:jc w:val="right"/>
              <w:rPr>
                <w:rFonts w:asciiTheme="minorHAnsi" w:hAnsiTheme="minorHAnsi" w:cstheme="minorHAnsi"/>
                <w:sz w:val="26"/>
                <w:szCs w:val="26"/>
                <w:lang w:eastAsia="ro-RO"/>
              </w:rPr>
            </w:pPr>
            <w:r w:rsidRPr="00564DC7">
              <w:rPr>
                <w:rFonts w:asciiTheme="minorHAnsi" w:eastAsiaTheme="minorHAnsi" w:hAnsiTheme="minorHAnsi" w:cstheme="minorHAnsi"/>
                <w:sz w:val="26"/>
                <w:szCs w:val="26"/>
              </w:rPr>
              <w:t>17</w:t>
            </w:r>
          </w:p>
        </w:tc>
        <w:tc>
          <w:tcPr>
            <w:tcW w:w="1456" w:type="dxa"/>
            <w:tcBorders>
              <w:top w:val="single" w:sz="4" w:space="0" w:color="auto"/>
              <w:left w:val="nil"/>
              <w:bottom w:val="single" w:sz="4" w:space="0" w:color="auto"/>
              <w:right w:val="single" w:sz="4" w:space="0" w:color="auto"/>
            </w:tcBorders>
            <w:shd w:val="clear" w:color="auto" w:fill="auto"/>
            <w:noWrap/>
            <w:vAlign w:val="bottom"/>
          </w:tcPr>
          <w:p w14:paraId="650D1296"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15</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418EEDC4"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88,24%</w:t>
            </w:r>
          </w:p>
        </w:tc>
        <w:tc>
          <w:tcPr>
            <w:tcW w:w="1668" w:type="dxa"/>
            <w:tcBorders>
              <w:top w:val="single" w:sz="4" w:space="0" w:color="auto"/>
              <w:left w:val="nil"/>
              <w:bottom w:val="single" w:sz="4" w:space="0" w:color="auto"/>
              <w:right w:val="single" w:sz="4" w:space="0" w:color="auto"/>
            </w:tcBorders>
            <w:shd w:val="clear" w:color="auto" w:fill="auto"/>
            <w:noWrap/>
            <w:vAlign w:val="bottom"/>
          </w:tcPr>
          <w:p w14:paraId="234459E9"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w:t>
            </w:r>
          </w:p>
        </w:tc>
        <w:tc>
          <w:tcPr>
            <w:tcW w:w="1307" w:type="dxa"/>
            <w:tcBorders>
              <w:top w:val="single" w:sz="4" w:space="0" w:color="auto"/>
              <w:left w:val="nil"/>
              <w:bottom w:val="single" w:sz="4" w:space="0" w:color="auto"/>
              <w:right w:val="single" w:sz="4" w:space="0" w:color="auto"/>
            </w:tcBorders>
            <w:shd w:val="clear" w:color="auto" w:fill="auto"/>
            <w:noWrap/>
            <w:vAlign w:val="bottom"/>
          </w:tcPr>
          <w:p w14:paraId="103A1418"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11,76%</w:t>
            </w:r>
          </w:p>
        </w:tc>
      </w:tr>
      <w:tr w:rsidR="00564DC7" w:rsidRPr="00564DC7" w14:paraId="6EF60C6C" w14:textId="77777777" w:rsidTr="00EB7F3F">
        <w:trPr>
          <w:trHeight w:val="237"/>
          <w:jc w:val="center"/>
        </w:trPr>
        <w:tc>
          <w:tcPr>
            <w:tcW w:w="8123" w:type="dxa"/>
            <w:gridSpan w:val="6"/>
            <w:tcBorders>
              <w:top w:val="nil"/>
              <w:left w:val="single" w:sz="4" w:space="0" w:color="auto"/>
              <w:bottom w:val="single" w:sz="4" w:space="0" w:color="auto"/>
              <w:right w:val="single" w:sz="4" w:space="0" w:color="auto"/>
            </w:tcBorders>
            <w:shd w:val="clear" w:color="auto" w:fill="auto"/>
            <w:noWrap/>
            <w:vAlign w:val="bottom"/>
          </w:tcPr>
          <w:p w14:paraId="63F9531B" w14:textId="77777777" w:rsidR="006111CD" w:rsidRPr="00564DC7" w:rsidRDefault="006111CD" w:rsidP="00690186">
            <w:pPr>
              <w:jc w:val="center"/>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Unități de parchet</w:t>
            </w:r>
          </w:p>
        </w:tc>
      </w:tr>
      <w:tr w:rsidR="00564DC7" w:rsidRPr="00564DC7" w14:paraId="145E5C4B" w14:textId="77777777" w:rsidTr="00E97D58">
        <w:trPr>
          <w:trHeight w:val="296"/>
          <w:jc w:val="center"/>
        </w:trPr>
        <w:tc>
          <w:tcPr>
            <w:tcW w:w="1358" w:type="dxa"/>
            <w:tcBorders>
              <w:top w:val="nil"/>
              <w:left w:val="single" w:sz="4" w:space="0" w:color="auto"/>
              <w:bottom w:val="single" w:sz="4" w:space="0" w:color="auto"/>
              <w:right w:val="single" w:sz="4" w:space="0" w:color="auto"/>
            </w:tcBorders>
            <w:shd w:val="clear" w:color="auto" w:fill="auto"/>
            <w:noWrap/>
            <w:vAlign w:val="bottom"/>
          </w:tcPr>
          <w:p w14:paraId="70476E5D" w14:textId="77777777" w:rsidR="00C251F6" w:rsidRPr="00564DC7" w:rsidRDefault="00C251F6"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PICCJ</w:t>
            </w:r>
          </w:p>
        </w:tc>
        <w:tc>
          <w:tcPr>
            <w:tcW w:w="1105" w:type="dxa"/>
            <w:tcBorders>
              <w:top w:val="nil"/>
              <w:left w:val="single" w:sz="4" w:space="0" w:color="auto"/>
              <w:bottom w:val="single" w:sz="4" w:space="0" w:color="auto"/>
              <w:right w:val="single" w:sz="4" w:space="0" w:color="auto"/>
            </w:tcBorders>
            <w:shd w:val="clear" w:color="auto" w:fill="auto"/>
            <w:noWrap/>
            <w:vAlign w:val="center"/>
          </w:tcPr>
          <w:p w14:paraId="7F61CB9C" w14:textId="77777777" w:rsidR="00C251F6" w:rsidRPr="00564DC7" w:rsidRDefault="00C251F6"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shd w:val="clear" w:color="auto" w:fill="auto"/>
            <w:noWrap/>
            <w:vAlign w:val="center"/>
          </w:tcPr>
          <w:p w14:paraId="65CD1A2D" w14:textId="77777777" w:rsidR="00C251F6" w:rsidRPr="00564DC7" w:rsidRDefault="00C251F6"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shd w:val="clear" w:color="auto" w:fill="auto"/>
            <w:noWrap/>
          </w:tcPr>
          <w:p w14:paraId="4D547574" w14:textId="15933736" w:rsidR="00C251F6" w:rsidRPr="00564DC7" w:rsidRDefault="00C251F6"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shd w:val="clear" w:color="auto" w:fill="auto"/>
            <w:noWrap/>
            <w:vAlign w:val="center"/>
          </w:tcPr>
          <w:p w14:paraId="3C2AD4BC" w14:textId="77777777" w:rsidR="00C251F6" w:rsidRPr="00564DC7" w:rsidRDefault="00C251F6" w:rsidP="00690186">
            <w:pPr>
              <w:jc w:val="right"/>
              <w:rPr>
                <w:rFonts w:asciiTheme="minorHAnsi" w:eastAsiaTheme="minorHAnsi" w:hAnsiTheme="minorHAnsi" w:cstheme="minorHAnsi"/>
                <w:sz w:val="26"/>
                <w:szCs w:val="26"/>
              </w:rPr>
            </w:pPr>
          </w:p>
        </w:tc>
        <w:tc>
          <w:tcPr>
            <w:tcW w:w="1307" w:type="dxa"/>
            <w:tcBorders>
              <w:top w:val="nil"/>
              <w:left w:val="nil"/>
              <w:bottom w:val="single" w:sz="4" w:space="0" w:color="auto"/>
              <w:right w:val="single" w:sz="4" w:space="0" w:color="auto"/>
            </w:tcBorders>
            <w:shd w:val="clear" w:color="auto" w:fill="auto"/>
            <w:noWrap/>
            <w:vAlign w:val="bottom"/>
          </w:tcPr>
          <w:p w14:paraId="522FF1DC" w14:textId="77777777" w:rsidR="00C251F6" w:rsidRPr="00564DC7" w:rsidRDefault="00C251F6" w:rsidP="00690186">
            <w:pPr>
              <w:jc w:val="right"/>
              <w:rPr>
                <w:rFonts w:asciiTheme="minorHAnsi" w:eastAsiaTheme="minorHAnsi" w:hAnsiTheme="minorHAnsi" w:cstheme="minorHAnsi"/>
                <w:sz w:val="26"/>
                <w:szCs w:val="26"/>
              </w:rPr>
            </w:pPr>
          </w:p>
        </w:tc>
      </w:tr>
      <w:tr w:rsidR="00564DC7" w:rsidRPr="00564DC7" w14:paraId="3B0C8C04" w14:textId="77777777" w:rsidTr="00EB7F3F">
        <w:trPr>
          <w:trHeight w:val="296"/>
          <w:jc w:val="center"/>
        </w:trPr>
        <w:tc>
          <w:tcPr>
            <w:tcW w:w="1358" w:type="dxa"/>
            <w:tcBorders>
              <w:top w:val="nil"/>
              <w:left w:val="single" w:sz="4" w:space="0" w:color="auto"/>
              <w:bottom w:val="single" w:sz="4" w:space="0" w:color="auto"/>
              <w:right w:val="single" w:sz="4" w:space="0" w:color="auto"/>
            </w:tcBorders>
            <w:shd w:val="clear" w:color="auto" w:fill="auto"/>
            <w:noWrap/>
            <w:vAlign w:val="bottom"/>
          </w:tcPr>
          <w:p w14:paraId="4B4C4496" w14:textId="54190432" w:rsidR="00C251F6" w:rsidRPr="00564DC7" w:rsidRDefault="00C251F6"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DNA</w:t>
            </w:r>
          </w:p>
        </w:tc>
        <w:tc>
          <w:tcPr>
            <w:tcW w:w="1105" w:type="dxa"/>
            <w:tcBorders>
              <w:top w:val="nil"/>
              <w:left w:val="single" w:sz="4" w:space="0" w:color="auto"/>
              <w:bottom w:val="single" w:sz="4" w:space="0" w:color="auto"/>
              <w:right w:val="single" w:sz="4" w:space="0" w:color="auto"/>
            </w:tcBorders>
            <w:shd w:val="clear" w:color="auto" w:fill="auto"/>
            <w:noWrap/>
            <w:vAlign w:val="center"/>
          </w:tcPr>
          <w:p w14:paraId="47F016B8" w14:textId="77777777" w:rsidR="00C251F6" w:rsidRPr="00564DC7" w:rsidRDefault="00C251F6"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shd w:val="clear" w:color="auto" w:fill="auto"/>
            <w:noWrap/>
            <w:vAlign w:val="center"/>
          </w:tcPr>
          <w:p w14:paraId="60A474B9" w14:textId="77777777" w:rsidR="00C251F6" w:rsidRPr="00564DC7" w:rsidRDefault="00C251F6"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shd w:val="clear" w:color="auto" w:fill="auto"/>
            <w:noWrap/>
          </w:tcPr>
          <w:p w14:paraId="201EBBEB" w14:textId="31B1EFBA" w:rsidR="00C251F6" w:rsidRPr="00564DC7" w:rsidRDefault="00C251F6"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shd w:val="clear" w:color="auto" w:fill="auto"/>
            <w:noWrap/>
            <w:vAlign w:val="center"/>
          </w:tcPr>
          <w:p w14:paraId="561BF0A0" w14:textId="77777777" w:rsidR="00C251F6" w:rsidRPr="00564DC7" w:rsidRDefault="00C251F6" w:rsidP="00690186">
            <w:pPr>
              <w:jc w:val="right"/>
              <w:rPr>
                <w:rFonts w:asciiTheme="minorHAnsi" w:eastAsiaTheme="minorHAnsi" w:hAnsiTheme="minorHAnsi" w:cstheme="minorHAnsi"/>
                <w:sz w:val="26"/>
                <w:szCs w:val="26"/>
              </w:rPr>
            </w:pPr>
          </w:p>
        </w:tc>
        <w:tc>
          <w:tcPr>
            <w:tcW w:w="1307" w:type="dxa"/>
            <w:tcBorders>
              <w:top w:val="nil"/>
              <w:left w:val="nil"/>
              <w:bottom w:val="single" w:sz="4" w:space="0" w:color="auto"/>
              <w:right w:val="single" w:sz="4" w:space="0" w:color="auto"/>
            </w:tcBorders>
            <w:shd w:val="clear" w:color="auto" w:fill="auto"/>
            <w:noWrap/>
            <w:vAlign w:val="bottom"/>
          </w:tcPr>
          <w:p w14:paraId="08EB0431" w14:textId="77777777" w:rsidR="00C251F6" w:rsidRPr="00564DC7" w:rsidRDefault="00C251F6" w:rsidP="00690186">
            <w:pPr>
              <w:jc w:val="right"/>
              <w:rPr>
                <w:rFonts w:asciiTheme="minorHAnsi" w:eastAsiaTheme="minorHAnsi" w:hAnsiTheme="minorHAnsi" w:cstheme="minorHAnsi"/>
                <w:sz w:val="26"/>
                <w:szCs w:val="26"/>
              </w:rPr>
            </w:pPr>
          </w:p>
        </w:tc>
      </w:tr>
      <w:tr w:rsidR="00564DC7" w:rsidRPr="00564DC7" w14:paraId="5293256F" w14:textId="77777777" w:rsidTr="00C251F6">
        <w:trPr>
          <w:trHeight w:val="296"/>
          <w:jc w:val="center"/>
        </w:trPr>
        <w:tc>
          <w:tcPr>
            <w:tcW w:w="1358" w:type="dxa"/>
            <w:tcBorders>
              <w:top w:val="nil"/>
              <w:left w:val="single" w:sz="4" w:space="0" w:color="auto"/>
              <w:bottom w:val="single" w:sz="4" w:space="0" w:color="auto"/>
              <w:right w:val="single" w:sz="4" w:space="0" w:color="auto"/>
            </w:tcBorders>
            <w:shd w:val="clear" w:color="auto" w:fill="auto"/>
            <w:noWrap/>
            <w:vAlign w:val="bottom"/>
          </w:tcPr>
          <w:p w14:paraId="00573809" w14:textId="5EC2D9F0"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DIICOT</w:t>
            </w:r>
          </w:p>
        </w:tc>
        <w:tc>
          <w:tcPr>
            <w:tcW w:w="1105" w:type="dxa"/>
            <w:tcBorders>
              <w:top w:val="nil"/>
              <w:left w:val="single" w:sz="4" w:space="0" w:color="auto"/>
              <w:bottom w:val="single" w:sz="4" w:space="0" w:color="auto"/>
              <w:right w:val="single" w:sz="4" w:space="0" w:color="auto"/>
            </w:tcBorders>
            <w:shd w:val="clear" w:color="auto" w:fill="auto"/>
            <w:noWrap/>
            <w:vAlign w:val="center"/>
          </w:tcPr>
          <w:p w14:paraId="2D0D7289" w14:textId="77777777" w:rsidR="006111CD" w:rsidRPr="00564DC7" w:rsidRDefault="006111CD"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w:t>
            </w:r>
          </w:p>
        </w:tc>
        <w:tc>
          <w:tcPr>
            <w:tcW w:w="1456" w:type="dxa"/>
            <w:tcBorders>
              <w:top w:val="nil"/>
              <w:left w:val="nil"/>
              <w:bottom w:val="single" w:sz="4" w:space="0" w:color="auto"/>
              <w:right w:val="single" w:sz="4" w:space="0" w:color="auto"/>
            </w:tcBorders>
            <w:shd w:val="clear" w:color="auto" w:fill="auto"/>
            <w:noWrap/>
            <w:vAlign w:val="center"/>
          </w:tcPr>
          <w:p w14:paraId="77EFAD43"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229" w:type="dxa"/>
            <w:tcBorders>
              <w:top w:val="nil"/>
              <w:left w:val="nil"/>
              <w:bottom w:val="single" w:sz="4" w:space="0" w:color="auto"/>
              <w:right w:val="single" w:sz="4" w:space="0" w:color="auto"/>
            </w:tcBorders>
            <w:shd w:val="clear" w:color="auto" w:fill="auto"/>
            <w:noWrap/>
          </w:tcPr>
          <w:p w14:paraId="40D6D41B"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100,00%</w:t>
            </w:r>
          </w:p>
        </w:tc>
        <w:tc>
          <w:tcPr>
            <w:tcW w:w="1668" w:type="dxa"/>
            <w:tcBorders>
              <w:top w:val="nil"/>
              <w:left w:val="nil"/>
              <w:bottom w:val="single" w:sz="4" w:space="0" w:color="auto"/>
              <w:right w:val="single" w:sz="4" w:space="0" w:color="auto"/>
            </w:tcBorders>
            <w:shd w:val="clear" w:color="auto" w:fill="auto"/>
            <w:noWrap/>
            <w:vAlign w:val="center"/>
          </w:tcPr>
          <w:p w14:paraId="0C93F7E3" w14:textId="77777777" w:rsidR="006111CD" w:rsidRPr="00564DC7" w:rsidRDefault="006111CD" w:rsidP="00690186">
            <w:pPr>
              <w:jc w:val="right"/>
              <w:rPr>
                <w:rFonts w:asciiTheme="minorHAnsi" w:eastAsiaTheme="minorHAnsi" w:hAnsiTheme="minorHAnsi" w:cstheme="minorHAnsi"/>
                <w:sz w:val="26"/>
                <w:szCs w:val="26"/>
              </w:rPr>
            </w:pPr>
          </w:p>
        </w:tc>
        <w:tc>
          <w:tcPr>
            <w:tcW w:w="1307" w:type="dxa"/>
            <w:tcBorders>
              <w:top w:val="nil"/>
              <w:left w:val="nil"/>
              <w:bottom w:val="single" w:sz="4" w:space="0" w:color="auto"/>
              <w:right w:val="single" w:sz="4" w:space="0" w:color="auto"/>
            </w:tcBorders>
            <w:shd w:val="clear" w:color="auto" w:fill="auto"/>
            <w:noWrap/>
            <w:vAlign w:val="bottom"/>
          </w:tcPr>
          <w:p w14:paraId="23997E68" w14:textId="77777777" w:rsidR="006111CD" w:rsidRPr="00564DC7" w:rsidRDefault="006111CD" w:rsidP="00690186">
            <w:pPr>
              <w:jc w:val="right"/>
              <w:rPr>
                <w:rFonts w:asciiTheme="minorHAnsi" w:eastAsiaTheme="minorHAnsi" w:hAnsiTheme="minorHAnsi" w:cstheme="minorHAnsi"/>
                <w:sz w:val="26"/>
                <w:szCs w:val="26"/>
              </w:rPr>
            </w:pPr>
          </w:p>
        </w:tc>
      </w:tr>
      <w:tr w:rsidR="00564DC7" w:rsidRPr="00564DC7" w14:paraId="5A0306ED" w14:textId="77777777" w:rsidTr="00C251F6">
        <w:trPr>
          <w:trHeight w:val="146"/>
          <w:jc w:val="center"/>
        </w:trPr>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0025D"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PCA</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7B154" w14:textId="77777777" w:rsidR="006111CD" w:rsidRPr="00564DC7" w:rsidRDefault="006111CD" w:rsidP="00690186">
            <w:pPr>
              <w:jc w:val="right"/>
              <w:rPr>
                <w:rFonts w:asciiTheme="minorHAnsi" w:hAnsiTheme="minorHAnsi" w:cstheme="minorHAnsi"/>
                <w:sz w:val="26"/>
                <w:szCs w:val="26"/>
                <w:lang w:eastAsia="ro-RO"/>
              </w:rPr>
            </w:pPr>
            <w:r w:rsidRPr="00564DC7">
              <w:rPr>
                <w:rFonts w:asciiTheme="minorHAnsi" w:hAnsiTheme="minorHAnsi" w:cstheme="minorHAnsi"/>
                <w:sz w:val="26"/>
                <w:szCs w:val="26"/>
                <w:lang w:eastAsia="ro-RO"/>
              </w:rPr>
              <w:t>15</w:t>
            </w:r>
          </w:p>
        </w:tc>
        <w:tc>
          <w:tcPr>
            <w:tcW w:w="1456" w:type="dxa"/>
            <w:tcBorders>
              <w:top w:val="single" w:sz="4" w:space="0" w:color="auto"/>
              <w:left w:val="nil"/>
              <w:bottom w:val="single" w:sz="4" w:space="0" w:color="auto"/>
              <w:right w:val="single" w:sz="4" w:space="0" w:color="auto"/>
            </w:tcBorders>
            <w:shd w:val="clear" w:color="auto" w:fill="auto"/>
            <w:noWrap/>
          </w:tcPr>
          <w:p w14:paraId="18C336C0"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7</w:t>
            </w:r>
          </w:p>
        </w:tc>
        <w:tc>
          <w:tcPr>
            <w:tcW w:w="1229" w:type="dxa"/>
            <w:tcBorders>
              <w:top w:val="single" w:sz="4" w:space="0" w:color="auto"/>
              <w:left w:val="nil"/>
              <w:bottom w:val="single" w:sz="4" w:space="0" w:color="auto"/>
              <w:right w:val="single" w:sz="4" w:space="0" w:color="auto"/>
            </w:tcBorders>
            <w:shd w:val="clear" w:color="auto" w:fill="auto"/>
            <w:noWrap/>
          </w:tcPr>
          <w:p w14:paraId="7F700D80"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46,67%</w:t>
            </w:r>
          </w:p>
        </w:tc>
        <w:tc>
          <w:tcPr>
            <w:tcW w:w="1668" w:type="dxa"/>
            <w:tcBorders>
              <w:top w:val="single" w:sz="4" w:space="0" w:color="auto"/>
              <w:left w:val="nil"/>
              <w:bottom w:val="single" w:sz="4" w:space="0" w:color="auto"/>
              <w:right w:val="single" w:sz="4" w:space="0" w:color="auto"/>
            </w:tcBorders>
            <w:shd w:val="clear" w:color="auto" w:fill="auto"/>
            <w:noWrap/>
          </w:tcPr>
          <w:p w14:paraId="37C9DB84"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w:t>
            </w:r>
          </w:p>
        </w:tc>
        <w:tc>
          <w:tcPr>
            <w:tcW w:w="1307" w:type="dxa"/>
            <w:tcBorders>
              <w:top w:val="single" w:sz="4" w:space="0" w:color="auto"/>
              <w:left w:val="nil"/>
              <w:bottom w:val="single" w:sz="4" w:space="0" w:color="auto"/>
              <w:right w:val="single" w:sz="4" w:space="0" w:color="auto"/>
            </w:tcBorders>
            <w:shd w:val="clear" w:color="auto" w:fill="auto"/>
            <w:noWrap/>
          </w:tcPr>
          <w:p w14:paraId="05B05D96"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53,33%</w:t>
            </w:r>
          </w:p>
        </w:tc>
      </w:tr>
      <w:tr w:rsidR="00564DC7" w:rsidRPr="00564DC7" w14:paraId="0A50FBFB" w14:textId="77777777" w:rsidTr="00C251F6">
        <w:trPr>
          <w:trHeight w:val="321"/>
          <w:jc w:val="center"/>
        </w:trPr>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15D318"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auto"/>
            <w:noWrap/>
          </w:tcPr>
          <w:p w14:paraId="2B2E3470" w14:textId="77777777" w:rsidR="006111CD" w:rsidRPr="00564DC7" w:rsidRDefault="006111CD" w:rsidP="00690186">
            <w:pPr>
              <w:jc w:val="right"/>
              <w:rPr>
                <w:rFonts w:asciiTheme="minorHAnsi" w:hAnsiTheme="minorHAnsi" w:cstheme="minorHAnsi"/>
                <w:b/>
                <w:bCs/>
                <w:sz w:val="26"/>
                <w:szCs w:val="26"/>
                <w:lang w:eastAsia="ro-RO"/>
              </w:rPr>
            </w:pPr>
            <w:r w:rsidRPr="00564DC7">
              <w:rPr>
                <w:rFonts w:asciiTheme="minorHAnsi" w:eastAsiaTheme="minorHAnsi" w:hAnsiTheme="minorHAnsi" w:cstheme="minorHAnsi"/>
                <w:b/>
                <w:bCs/>
                <w:sz w:val="26"/>
                <w:szCs w:val="26"/>
              </w:rPr>
              <w:t>42</w:t>
            </w:r>
          </w:p>
        </w:tc>
        <w:tc>
          <w:tcPr>
            <w:tcW w:w="1456" w:type="dxa"/>
            <w:tcBorders>
              <w:top w:val="single" w:sz="4" w:space="0" w:color="auto"/>
              <w:left w:val="nil"/>
              <w:bottom w:val="single" w:sz="4" w:space="0" w:color="auto"/>
              <w:right w:val="single" w:sz="4" w:space="0" w:color="auto"/>
            </w:tcBorders>
            <w:shd w:val="clear" w:color="auto" w:fill="auto"/>
            <w:noWrap/>
          </w:tcPr>
          <w:p w14:paraId="273D6184"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32</w:t>
            </w:r>
          </w:p>
        </w:tc>
        <w:tc>
          <w:tcPr>
            <w:tcW w:w="1229" w:type="dxa"/>
            <w:tcBorders>
              <w:top w:val="single" w:sz="4" w:space="0" w:color="auto"/>
              <w:left w:val="nil"/>
              <w:bottom w:val="single" w:sz="4" w:space="0" w:color="auto"/>
              <w:right w:val="single" w:sz="4" w:space="0" w:color="auto"/>
            </w:tcBorders>
            <w:shd w:val="clear" w:color="auto" w:fill="auto"/>
            <w:noWrap/>
          </w:tcPr>
          <w:p w14:paraId="48365768" w14:textId="77777777" w:rsidR="006111CD" w:rsidRPr="00564DC7" w:rsidRDefault="006111CD" w:rsidP="00690186">
            <w:pPr>
              <w:jc w:val="right"/>
              <w:rPr>
                <w:rFonts w:asciiTheme="minorHAnsi" w:eastAsiaTheme="minorHAnsi" w:hAnsiTheme="minorHAnsi" w:cstheme="minorHAnsi"/>
                <w:b/>
                <w:bCs/>
                <w:sz w:val="26"/>
                <w:szCs w:val="26"/>
              </w:rPr>
            </w:pPr>
            <w:bookmarkStart w:id="179" w:name="_Hlk150179517"/>
            <w:r w:rsidRPr="00564DC7">
              <w:rPr>
                <w:rFonts w:asciiTheme="minorHAnsi" w:eastAsiaTheme="minorHAnsi" w:hAnsiTheme="minorHAnsi" w:cstheme="minorHAnsi"/>
                <w:b/>
                <w:bCs/>
                <w:sz w:val="26"/>
                <w:szCs w:val="26"/>
              </w:rPr>
              <w:t>76,19%</w:t>
            </w:r>
            <w:bookmarkEnd w:id="179"/>
          </w:p>
        </w:tc>
        <w:tc>
          <w:tcPr>
            <w:tcW w:w="1668" w:type="dxa"/>
            <w:tcBorders>
              <w:top w:val="single" w:sz="4" w:space="0" w:color="auto"/>
              <w:left w:val="nil"/>
              <w:bottom w:val="single" w:sz="4" w:space="0" w:color="auto"/>
              <w:right w:val="single" w:sz="4" w:space="0" w:color="auto"/>
            </w:tcBorders>
            <w:shd w:val="clear" w:color="auto" w:fill="auto"/>
            <w:noWrap/>
          </w:tcPr>
          <w:p w14:paraId="67D53C0D"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10</w:t>
            </w:r>
          </w:p>
        </w:tc>
        <w:tc>
          <w:tcPr>
            <w:tcW w:w="1307" w:type="dxa"/>
            <w:tcBorders>
              <w:top w:val="single" w:sz="4" w:space="0" w:color="auto"/>
              <w:left w:val="nil"/>
              <w:bottom w:val="single" w:sz="4" w:space="0" w:color="auto"/>
              <w:right w:val="single" w:sz="4" w:space="0" w:color="auto"/>
            </w:tcBorders>
            <w:shd w:val="clear" w:color="auto" w:fill="auto"/>
            <w:noWrap/>
          </w:tcPr>
          <w:p w14:paraId="5C963A8C"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23,81%</w:t>
            </w:r>
          </w:p>
        </w:tc>
      </w:tr>
    </w:tbl>
    <w:p w14:paraId="5D540068" w14:textId="6E059541" w:rsidR="006111CD" w:rsidRPr="00564DC7" w:rsidRDefault="006111CD" w:rsidP="00690186">
      <w:pPr>
        <w:tabs>
          <w:tab w:val="left" w:pos="540"/>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bCs/>
          <w:sz w:val="26"/>
          <w:szCs w:val="26"/>
        </w:rPr>
        <w:t>În ceea ce privește</w:t>
      </w:r>
      <w:r w:rsidRPr="00564DC7">
        <w:rPr>
          <w:rFonts w:asciiTheme="minorHAnsi" w:eastAsiaTheme="minorHAnsi" w:hAnsiTheme="minorHAnsi" w:cstheme="minorHAnsi"/>
          <w:sz w:val="26"/>
          <w:szCs w:val="26"/>
        </w:rPr>
        <w:t xml:space="preserve"> situația  posturilor de psiholog  de  la nivelul instituțiilor din sistemul judiciar</w:t>
      </w:r>
      <w:r w:rsidRPr="00564DC7">
        <w:rPr>
          <w:rFonts w:asciiTheme="minorHAnsi" w:eastAsiaTheme="minorHAnsi" w:hAnsiTheme="minorHAnsi" w:cstheme="minorHAnsi"/>
          <w:bCs/>
          <w:sz w:val="26"/>
          <w:szCs w:val="26"/>
        </w:rPr>
        <w:t xml:space="preserve">, acestea sunt ocupate în proporție de 76.19%, </w:t>
      </w:r>
      <w:r w:rsidRPr="00564DC7">
        <w:rPr>
          <w:rFonts w:asciiTheme="minorHAnsi" w:eastAsiaTheme="minorHAnsi" w:hAnsiTheme="minorHAnsi" w:cstheme="minorHAnsi"/>
          <w:sz w:val="26"/>
          <w:szCs w:val="26"/>
        </w:rPr>
        <w:t xml:space="preserve">procente mai mari  fiind  înregistrate  la nivelul IJ și INM,  100 % grad de ocupare, respectiv al instanțelor  judecătorești, 88,89 %  grad de ocupare. </w:t>
      </w:r>
    </w:p>
    <w:p w14:paraId="7AA07F0D" w14:textId="673BC9D5" w:rsidR="006111CD" w:rsidRPr="00564DC7" w:rsidRDefault="006111CD" w:rsidP="00690186">
      <w:pPr>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Referitor la schema de personal de la nivelul unităților de parchet, aceasta este ocupată doar în proporție de 46.67%, fapt care poate afecta aplicarea dispozițiilor legale referitoare la evaluarea psihologică periodică a procurorilor, desfăşurarea programelor de consiliere psihologică și a sesiunilor de dezvoltare a abilităţilor psihologice specifice, precum și a analizelor pentru diagnosticarea eventualelor disfuncţionalităţi sistemice, în scopul eficientizării şi ameliorării condiţiilor de muncă de la nivelul unităților de parchet.</w:t>
      </w:r>
    </w:p>
    <w:p w14:paraId="7A371DCA" w14:textId="7BBAEDE1" w:rsidR="006111CD" w:rsidRPr="00564DC7" w:rsidRDefault="006111CD" w:rsidP="00690186">
      <w:pPr>
        <w:tabs>
          <w:tab w:val="left" w:pos="810"/>
          <w:tab w:val="left" w:pos="3120"/>
        </w:tabs>
        <w:ind w:firstLine="709"/>
        <w:jc w:val="both"/>
        <w:rPr>
          <w:rFonts w:asciiTheme="minorHAnsi" w:eastAsiaTheme="minorHAnsi" w:hAnsiTheme="minorHAnsi" w:cstheme="minorHAnsi"/>
          <w:bCs/>
          <w:sz w:val="26"/>
          <w:szCs w:val="26"/>
        </w:rPr>
      </w:pPr>
      <w:r w:rsidRPr="00564DC7">
        <w:rPr>
          <w:rFonts w:asciiTheme="minorHAnsi" w:eastAsiaTheme="minorHAnsi" w:hAnsiTheme="minorHAnsi" w:cstheme="minorHAnsi"/>
          <w:sz w:val="26"/>
          <w:szCs w:val="26"/>
        </w:rPr>
        <w:lastRenderedPageBreak/>
        <w:t xml:space="preserve">Această situație este accentuată și de faptul 28.57 % dintre psihologii încadrați la nivelul  unităților de parchet sunt  în perioada de stagiu profesional, activitățile desfășurate de aceștia fiind limitate  </w:t>
      </w:r>
      <w:bookmarkEnd w:id="178"/>
      <w:r w:rsidRPr="00564DC7">
        <w:rPr>
          <w:rFonts w:asciiTheme="minorHAnsi" w:eastAsiaTheme="minorHAnsi" w:hAnsiTheme="minorHAnsi" w:cstheme="minorHAnsi"/>
          <w:sz w:val="26"/>
          <w:szCs w:val="26"/>
        </w:rPr>
        <w:t xml:space="preserve">potrivit </w:t>
      </w:r>
      <w:r w:rsidRPr="00564DC7">
        <w:rPr>
          <w:rFonts w:asciiTheme="minorHAnsi" w:eastAsiaTheme="minorHAnsi" w:hAnsiTheme="minorHAnsi" w:cstheme="minorHAnsi"/>
          <w:bCs/>
          <w:sz w:val="26"/>
          <w:szCs w:val="26"/>
        </w:rPr>
        <w:t xml:space="preserve">dispozițiile   art. 38 alin. 1  din  Normele metodologice de aplicare a Legii nr. 213/2004 privind  exercitarea  profesiei de psiholog cu drept de liberă practică, înființarea, organizarea și funcționarea  Colegiului  Psihologilor din România, aprobate prin Hotărârea Guvernului  nr. 788/2005, cu modificările și completările ulterioare, potrivit cărora supervizarea profesională este activitatea formativă specifică profesiei de psiholog prin care se asigură managementul calității actului psihologic. </w:t>
      </w:r>
    </w:p>
    <w:p w14:paraId="2F7EC931" w14:textId="657D8EF2" w:rsidR="006111CD" w:rsidRPr="00564DC7"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bCs/>
          <w:sz w:val="26"/>
          <w:szCs w:val="26"/>
        </w:rPr>
        <w:t xml:space="preserve">De precizat este faptul că o situație similară este identificată și în cazul a </w:t>
      </w:r>
      <w:r w:rsidRPr="00564DC7">
        <w:rPr>
          <w:rFonts w:asciiTheme="minorHAnsi" w:eastAsiaTheme="minorHAnsi" w:hAnsiTheme="minorHAnsi" w:cstheme="minorHAnsi"/>
          <w:sz w:val="26"/>
          <w:szCs w:val="26"/>
        </w:rPr>
        <w:t xml:space="preserve"> 66.67 % dintre  psihologii încadrați  la nivelul CSM, 100 % dintre psihologii încadrați la nivelul IJ și 6.25% dintre psihologii încadrați la nivelul instanțelor judecătorești.</w:t>
      </w:r>
    </w:p>
    <w:p w14:paraId="2DF92B8D" w14:textId="39AC5B7F" w:rsidR="006111CD" w:rsidRPr="00564DC7" w:rsidRDefault="006111CD" w:rsidP="00690186">
      <w:pPr>
        <w:tabs>
          <w:tab w:val="left" w:pos="3120"/>
        </w:tabs>
        <w:ind w:firstLine="709"/>
        <w:jc w:val="both"/>
        <w:rPr>
          <w:rFonts w:asciiTheme="minorHAnsi" w:eastAsiaTheme="minorHAnsi" w:hAnsiTheme="minorHAnsi" w:cstheme="minorHAnsi"/>
          <w:bCs/>
          <w:sz w:val="26"/>
          <w:szCs w:val="26"/>
        </w:rPr>
      </w:pPr>
      <w:r w:rsidRPr="00564DC7">
        <w:rPr>
          <w:rFonts w:asciiTheme="minorHAnsi" w:eastAsiaTheme="minorHAnsi" w:hAnsiTheme="minorHAnsi" w:cstheme="minorHAnsi"/>
          <w:bCs/>
          <w:sz w:val="26"/>
          <w:szCs w:val="26"/>
        </w:rPr>
        <w:t>Raportat la situația prezentată, aceasta este determinată în special de</w:t>
      </w:r>
      <w:r w:rsidR="00380430">
        <w:rPr>
          <w:rFonts w:asciiTheme="minorHAnsi" w:eastAsiaTheme="minorHAnsi" w:hAnsiTheme="minorHAnsi" w:cstheme="minorHAnsi"/>
          <w:bCs/>
          <w:sz w:val="26"/>
          <w:szCs w:val="26"/>
        </w:rPr>
        <w:t xml:space="preserve"> </w:t>
      </w:r>
      <w:r w:rsidRPr="00564DC7">
        <w:rPr>
          <w:rFonts w:asciiTheme="minorHAnsi" w:eastAsiaTheme="minorHAnsi" w:hAnsiTheme="minorHAnsi" w:cstheme="minorHAnsi"/>
          <w:bCs/>
          <w:sz w:val="26"/>
          <w:szCs w:val="26"/>
        </w:rPr>
        <w:t xml:space="preserve">dificultățile întâmpinate în trecut, cu referire specială la situațiile în care nu s-au înscris candidați la concursurile organizate în cursul anului 2021 și 2022 pentru ocuparea posturilor de psiholog la nivelul instanțelor, parchetelor, Institutului Național al Magistraturii și Inspecției Judiciare </w:t>
      </w:r>
      <w:bookmarkStart w:id="180" w:name="_Hlk150189368"/>
      <w:r w:rsidRPr="00564DC7">
        <w:rPr>
          <w:rFonts w:asciiTheme="minorHAnsi" w:eastAsiaTheme="minorHAnsi" w:hAnsiTheme="minorHAnsi" w:cstheme="minorHAnsi"/>
          <w:bCs/>
          <w:sz w:val="26"/>
          <w:szCs w:val="26"/>
        </w:rPr>
        <w:t xml:space="preserve">în cadrul proiectului: </w:t>
      </w:r>
      <w:r w:rsidR="009806B9" w:rsidRPr="00564DC7">
        <w:rPr>
          <w:rFonts w:asciiTheme="minorHAnsi" w:hAnsiTheme="minorHAnsi" w:cstheme="minorHAnsi"/>
          <w:bCs/>
          <w:sz w:val="26"/>
          <w:szCs w:val="26"/>
        </w:rPr>
        <w:t>„</w:t>
      </w:r>
      <w:r w:rsidRPr="00564DC7">
        <w:rPr>
          <w:rFonts w:asciiTheme="minorHAnsi" w:eastAsiaTheme="minorHAnsi" w:hAnsiTheme="minorHAnsi" w:cstheme="minorHAnsi"/>
          <w:bCs/>
          <w:sz w:val="26"/>
          <w:szCs w:val="26"/>
        </w:rPr>
        <w:t>CPCI – Creșterea performanței și calității instituționale prin îmbunătățirea sistemului de evaluare și asistență psihologică la nivelul sistemului judiciar",</w:t>
      </w:r>
      <w:bookmarkEnd w:id="180"/>
      <w:r w:rsidRPr="00564DC7">
        <w:rPr>
          <w:rFonts w:asciiTheme="minorHAnsi" w:eastAsiaTheme="minorHAnsi" w:hAnsiTheme="minorHAnsi" w:cstheme="minorHAnsi"/>
          <w:bCs/>
          <w:sz w:val="26"/>
          <w:szCs w:val="26"/>
        </w:rPr>
        <w:t xml:space="preserve"> recomandarea fiind aceea de a lua în considerare inclusiv ajustarea condițiilor specifice pentru ocuparea postului de psiholog,  prin renunțarea la impunerea unei vechimi minime în specialitatea studiilor absolvite.</w:t>
      </w:r>
    </w:p>
    <w:p w14:paraId="4B089664" w14:textId="26B078FA" w:rsidR="006111CD" w:rsidRPr="00564DC7" w:rsidRDefault="006111CD" w:rsidP="00690186">
      <w:pPr>
        <w:tabs>
          <w:tab w:val="left" w:pos="3120"/>
        </w:tabs>
        <w:ind w:firstLine="709"/>
        <w:jc w:val="both"/>
        <w:rPr>
          <w:rFonts w:asciiTheme="minorHAnsi" w:eastAsiaTheme="minorHAnsi" w:hAnsiTheme="minorHAnsi" w:cstheme="minorHAnsi"/>
          <w:bCs/>
          <w:sz w:val="26"/>
          <w:szCs w:val="26"/>
        </w:rPr>
      </w:pPr>
      <w:r w:rsidRPr="00564DC7">
        <w:rPr>
          <w:rFonts w:asciiTheme="minorHAnsi" w:eastAsiaTheme="minorHAnsi" w:hAnsiTheme="minorHAnsi" w:cstheme="minorHAnsi"/>
          <w:sz w:val="26"/>
          <w:szCs w:val="26"/>
        </w:rPr>
        <w:t xml:space="preserve">Referitor la competenţa profesională  este de menţionat  faptul că în cursul anului 2023, psihologii încadrați la nivelul sistemului judiciar au participat la programele de formare profesională continuă organizate în cadrul </w:t>
      </w:r>
      <w:r w:rsidRPr="00564DC7">
        <w:rPr>
          <w:rFonts w:asciiTheme="minorHAnsi" w:eastAsiaTheme="minorHAnsi" w:hAnsiTheme="minorHAnsi" w:cstheme="minorHAnsi"/>
          <w:bCs/>
          <w:sz w:val="26"/>
          <w:szCs w:val="26"/>
        </w:rPr>
        <w:t xml:space="preserve">proiectului: </w:t>
      </w:r>
      <w:r w:rsidR="009806B9" w:rsidRPr="00564DC7">
        <w:rPr>
          <w:rFonts w:asciiTheme="minorHAnsi" w:hAnsiTheme="minorHAnsi" w:cstheme="minorHAnsi"/>
          <w:bCs/>
          <w:sz w:val="26"/>
          <w:szCs w:val="26"/>
        </w:rPr>
        <w:t>„</w:t>
      </w:r>
      <w:r w:rsidRPr="00564DC7">
        <w:rPr>
          <w:rFonts w:asciiTheme="minorHAnsi" w:eastAsiaTheme="minorHAnsi" w:hAnsiTheme="minorHAnsi" w:cstheme="minorHAnsi"/>
          <w:bCs/>
          <w:sz w:val="26"/>
          <w:szCs w:val="26"/>
        </w:rPr>
        <w:t xml:space="preserve">CPCI – Creșterea performanței și calității instituționale prin îmbunătățirea sistemului de evaluare și asistență psihologică la nivelul sistemului judiciar", creditate de către Colegiul psihologilor din România, având ca temă </w:t>
      </w:r>
      <w:r w:rsidR="009806B9">
        <w:rPr>
          <w:rFonts w:asciiTheme="minorHAnsi" w:eastAsiaTheme="minorHAnsi" w:hAnsiTheme="minorHAnsi" w:cstheme="minorHAnsi"/>
          <w:bCs/>
          <w:sz w:val="26"/>
          <w:szCs w:val="26"/>
        </w:rPr>
        <w:t>a</w:t>
      </w:r>
      <w:r w:rsidRPr="00564DC7">
        <w:rPr>
          <w:rFonts w:asciiTheme="minorHAnsi" w:eastAsiaTheme="minorHAnsi" w:hAnsiTheme="minorHAnsi" w:cstheme="minorHAnsi"/>
          <w:bCs/>
          <w:sz w:val="26"/>
          <w:szCs w:val="26"/>
        </w:rPr>
        <w:t xml:space="preserve">sistența psihologică în context organizațional și </w:t>
      </w:r>
      <w:r w:rsidR="009806B9">
        <w:rPr>
          <w:rFonts w:asciiTheme="minorHAnsi" w:eastAsiaTheme="minorHAnsi" w:hAnsiTheme="minorHAnsi" w:cstheme="minorHAnsi"/>
          <w:bCs/>
          <w:sz w:val="26"/>
          <w:szCs w:val="26"/>
        </w:rPr>
        <w:t>a</w:t>
      </w:r>
      <w:r w:rsidRPr="00564DC7">
        <w:rPr>
          <w:rFonts w:asciiTheme="minorHAnsi" w:eastAsiaTheme="minorHAnsi" w:hAnsiTheme="minorHAnsi" w:cstheme="minorHAnsi"/>
          <w:bCs/>
          <w:sz w:val="26"/>
          <w:szCs w:val="26"/>
        </w:rPr>
        <w:t>naliza climatului organizațional.</w:t>
      </w:r>
    </w:p>
    <w:p w14:paraId="237E4FD3" w14:textId="01C40ED0" w:rsidR="006111CD" w:rsidRPr="00261D6B" w:rsidRDefault="006111CD" w:rsidP="00690186">
      <w:pPr>
        <w:tabs>
          <w:tab w:val="left" w:pos="3120"/>
        </w:tabs>
        <w:ind w:firstLine="709"/>
        <w:jc w:val="both"/>
        <w:rPr>
          <w:rFonts w:asciiTheme="minorHAnsi" w:eastAsiaTheme="minorHAnsi" w:hAnsiTheme="minorHAnsi" w:cstheme="minorHAnsi"/>
          <w:sz w:val="26"/>
          <w:szCs w:val="26"/>
          <w:lang w:val="fr-FR"/>
        </w:rPr>
      </w:pPr>
      <w:r w:rsidRPr="00564DC7">
        <w:rPr>
          <w:rFonts w:asciiTheme="minorHAnsi" w:eastAsiaTheme="minorHAnsi" w:hAnsiTheme="minorHAnsi" w:cstheme="minorHAnsi"/>
          <w:bCs/>
          <w:sz w:val="26"/>
          <w:szCs w:val="26"/>
        </w:rPr>
        <w:t>De asemenea, suplimentar psihologul încadrat la nivelul CPP pe postul de consilier</w:t>
      </w:r>
      <w:r w:rsidR="00500978">
        <w:rPr>
          <w:rFonts w:asciiTheme="minorHAnsi" w:eastAsiaTheme="minorHAnsi" w:hAnsiTheme="minorHAnsi" w:cstheme="minorHAnsi"/>
          <w:bCs/>
          <w:sz w:val="26"/>
          <w:szCs w:val="26"/>
        </w:rPr>
        <w:t xml:space="preserve"> </w:t>
      </w:r>
      <w:r w:rsidRPr="00564DC7">
        <w:rPr>
          <w:rFonts w:asciiTheme="minorHAnsi" w:eastAsiaTheme="minorHAnsi" w:hAnsiTheme="minorHAnsi" w:cstheme="minorHAnsi"/>
          <w:bCs/>
          <w:sz w:val="26"/>
          <w:szCs w:val="26"/>
        </w:rPr>
        <w:t xml:space="preserve">debutant  a participat în cadrul programului de stagiu la două cursuri </w:t>
      </w:r>
      <w:r w:rsidRPr="00564DC7">
        <w:rPr>
          <w:rFonts w:asciiTheme="minorHAnsi" w:eastAsiaTheme="minorHAnsi" w:hAnsiTheme="minorHAnsi" w:cstheme="minorHAnsi"/>
          <w:sz w:val="26"/>
          <w:szCs w:val="26"/>
        </w:rPr>
        <w:t xml:space="preserve">de formare profesională continuă, </w:t>
      </w:r>
      <w:r w:rsidRPr="00564DC7">
        <w:rPr>
          <w:rFonts w:asciiTheme="minorHAnsi" w:eastAsiaTheme="minorHAnsi" w:hAnsiTheme="minorHAnsi" w:cstheme="minorHAnsi"/>
          <w:bCs/>
          <w:sz w:val="26"/>
          <w:szCs w:val="26"/>
        </w:rPr>
        <w:t xml:space="preserve">achiziționate de către Consiliu și creditate de Colegiul Psihologilor din România, respectiv </w:t>
      </w:r>
      <w:r w:rsidRPr="00564DC7">
        <w:rPr>
          <w:rFonts w:asciiTheme="minorHAnsi" w:eastAsiaTheme="minorHAnsi" w:hAnsiTheme="minorHAnsi" w:cstheme="minorHAnsi"/>
          <w:sz w:val="26"/>
          <w:szCs w:val="26"/>
        </w:rPr>
        <w:t xml:space="preserve">Interpretarea Scalelor California Psychological Inventory (CPI) și </w:t>
      </w:r>
      <w:proofErr w:type="spellStart"/>
      <w:r w:rsidRPr="00261D6B">
        <w:rPr>
          <w:rFonts w:asciiTheme="minorHAnsi" w:eastAsiaTheme="minorHAnsi" w:hAnsiTheme="minorHAnsi" w:cstheme="minorHAnsi"/>
          <w:sz w:val="26"/>
          <w:szCs w:val="26"/>
          <w:lang w:val="fr-FR"/>
        </w:rPr>
        <w:t>Testarea</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Standardizată</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în</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Consilierea</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în</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Carieră</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precum</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și</w:t>
      </w:r>
      <w:proofErr w:type="spellEnd"/>
      <w:r w:rsidRPr="00261D6B">
        <w:rPr>
          <w:rFonts w:asciiTheme="minorHAnsi" w:eastAsiaTheme="minorHAnsi" w:hAnsiTheme="minorHAnsi" w:cstheme="minorHAnsi"/>
          <w:sz w:val="26"/>
          <w:szCs w:val="26"/>
          <w:lang w:val="fr-FR"/>
        </w:rPr>
        <w:t xml:space="preserve"> la </w:t>
      </w:r>
      <w:proofErr w:type="spellStart"/>
      <w:r w:rsidRPr="00261D6B">
        <w:rPr>
          <w:rFonts w:asciiTheme="minorHAnsi" w:eastAsiaTheme="minorHAnsi" w:hAnsiTheme="minorHAnsi" w:cstheme="minorHAnsi"/>
          <w:sz w:val="26"/>
          <w:szCs w:val="26"/>
          <w:lang w:val="fr-FR"/>
        </w:rPr>
        <w:t>activități</w:t>
      </w:r>
      <w:proofErr w:type="spellEnd"/>
      <w:r w:rsidRPr="00261D6B">
        <w:rPr>
          <w:rFonts w:asciiTheme="minorHAnsi" w:eastAsiaTheme="minorHAnsi" w:hAnsiTheme="minorHAnsi" w:cstheme="minorHAnsi"/>
          <w:sz w:val="26"/>
          <w:szCs w:val="26"/>
          <w:lang w:val="fr-FR"/>
        </w:rPr>
        <w:t xml:space="preserve"> de </w:t>
      </w:r>
      <w:proofErr w:type="spellStart"/>
      <w:r w:rsidRPr="00261D6B">
        <w:rPr>
          <w:rFonts w:asciiTheme="minorHAnsi" w:eastAsiaTheme="minorHAnsi" w:hAnsiTheme="minorHAnsi" w:cstheme="minorHAnsi"/>
          <w:sz w:val="26"/>
          <w:szCs w:val="26"/>
          <w:lang w:val="fr-FR"/>
        </w:rPr>
        <w:t>asistență</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pentru</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familiarizarea</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cu</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procedurile</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specifice</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testării</w:t>
      </w:r>
      <w:proofErr w:type="spellEnd"/>
      <w:r w:rsidRPr="00261D6B">
        <w:rPr>
          <w:rFonts w:asciiTheme="minorHAnsi" w:eastAsiaTheme="minorHAnsi" w:hAnsiTheme="minorHAnsi" w:cstheme="minorHAnsi"/>
          <w:sz w:val="26"/>
          <w:szCs w:val="26"/>
          <w:lang w:val="fr-FR"/>
        </w:rPr>
        <w:t xml:space="preserve"> </w:t>
      </w:r>
      <w:proofErr w:type="spellStart"/>
      <w:r w:rsidRPr="00261D6B">
        <w:rPr>
          <w:rFonts w:asciiTheme="minorHAnsi" w:eastAsiaTheme="minorHAnsi" w:hAnsiTheme="minorHAnsi" w:cstheme="minorHAnsi"/>
          <w:sz w:val="26"/>
          <w:szCs w:val="26"/>
          <w:lang w:val="fr-FR"/>
        </w:rPr>
        <w:t>psihologice</w:t>
      </w:r>
      <w:proofErr w:type="spellEnd"/>
      <w:r w:rsidRPr="00261D6B">
        <w:rPr>
          <w:rFonts w:asciiTheme="minorHAnsi" w:eastAsiaTheme="minorHAnsi" w:hAnsiTheme="minorHAnsi" w:cstheme="minorHAnsi"/>
          <w:sz w:val="26"/>
          <w:szCs w:val="26"/>
          <w:lang w:val="fr-FR"/>
        </w:rPr>
        <w:t>.</w:t>
      </w:r>
    </w:p>
    <w:p w14:paraId="3FC90ECB" w14:textId="0ECDC449" w:rsidR="006111CD" w:rsidRPr="00564DC7"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 xml:space="preserve">Referitor la atribuția privind dezvoltarea organizațională, în cursul anului 2023, personalul CPP (funcționar public) a participat în calitate de coordonator tehnic al </w:t>
      </w:r>
      <w:r w:rsidRPr="00564DC7">
        <w:rPr>
          <w:rFonts w:asciiTheme="minorHAnsi" w:eastAsiaTheme="minorHAnsi" w:hAnsiTheme="minorHAnsi" w:cstheme="minorHAnsi"/>
          <w:bCs/>
          <w:sz w:val="26"/>
          <w:szCs w:val="26"/>
        </w:rPr>
        <w:t xml:space="preserve">proiectului: </w:t>
      </w:r>
      <w:r w:rsidR="009806B9" w:rsidRPr="00564DC7">
        <w:rPr>
          <w:rFonts w:asciiTheme="minorHAnsi" w:hAnsiTheme="minorHAnsi" w:cstheme="minorHAnsi"/>
          <w:bCs/>
          <w:sz w:val="26"/>
          <w:szCs w:val="26"/>
        </w:rPr>
        <w:t>„</w:t>
      </w:r>
      <w:r w:rsidRPr="00564DC7">
        <w:rPr>
          <w:rFonts w:asciiTheme="minorHAnsi" w:eastAsiaTheme="minorHAnsi" w:hAnsiTheme="minorHAnsi" w:cstheme="minorHAnsi"/>
          <w:bCs/>
          <w:sz w:val="26"/>
          <w:szCs w:val="26"/>
        </w:rPr>
        <w:t>CPCI – Creșterea performanței și calității instituționale prin îmbunătățirea sistemului de evaluare și asistență psihologică la nivelul sistemului judiciar",</w:t>
      </w:r>
      <w:r w:rsidRPr="00564DC7">
        <w:rPr>
          <w:rFonts w:asciiTheme="minorHAnsi" w:eastAsiaTheme="minorHAnsi" w:hAnsiTheme="minorHAnsi" w:cstheme="minorHAnsi"/>
          <w:sz w:val="26"/>
          <w:szCs w:val="26"/>
        </w:rPr>
        <w:t xml:space="preserve"> </w:t>
      </w:r>
      <w:r w:rsidRPr="00564DC7">
        <w:rPr>
          <w:rFonts w:asciiTheme="minorHAnsi" w:eastAsiaTheme="minorHAnsi" w:hAnsiTheme="minorHAnsi" w:cstheme="minorHAnsi"/>
          <w:bCs/>
          <w:sz w:val="26"/>
          <w:szCs w:val="26"/>
        </w:rPr>
        <w:t xml:space="preserve"> </w:t>
      </w:r>
      <w:r w:rsidRPr="00564DC7">
        <w:rPr>
          <w:rFonts w:asciiTheme="minorHAnsi" w:eastAsiaTheme="minorHAnsi" w:hAnsiTheme="minorHAnsi" w:cstheme="minorHAnsi"/>
          <w:sz w:val="26"/>
          <w:szCs w:val="26"/>
        </w:rPr>
        <w:t xml:space="preserve">la ședințele echipei de management, echipei de experți interni în implementare, responsabililor de contract etc., respectiv </w:t>
      </w:r>
      <w:bookmarkStart w:id="181" w:name="_Hlk150191365"/>
      <w:r w:rsidRPr="00564DC7">
        <w:rPr>
          <w:rFonts w:asciiTheme="minorHAnsi" w:eastAsiaTheme="minorHAnsi" w:hAnsiTheme="minorHAnsi" w:cstheme="minorHAnsi"/>
          <w:sz w:val="26"/>
          <w:szCs w:val="26"/>
        </w:rPr>
        <w:t>în calitate de membru la activitățile  grupului de lucru pentru efectuarea analizei posturilor aferente funcțiilor publice din cadrul aparatului propriu al Consiliului.</w:t>
      </w:r>
    </w:p>
    <w:bookmarkEnd w:id="181"/>
    <w:p w14:paraId="1F4963FB" w14:textId="5A9C1935" w:rsidR="006111CD" w:rsidRPr="00564DC7" w:rsidRDefault="006111CD" w:rsidP="00690186">
      <w:pPr>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Suplimentar, personalul CPP</w:t>
      </w:r>
      <w:r w:rsidRPr="00564DC7">
        <w:rPr>
          <w:rFonts w:asciiTheme="minorHAnsi" w:eastAsiaTheme="minorHAnsi" w:hAnsiTheme="minorHAnsi" w:cstheme="minorHAnsi"/>
          <w:bCs/>
          <w:sz w:val="26"/>
          <w:szCs w:val="26"/>
        </w:rPr>
        <w:t xml:space="preserve"> (personal contractual) a participat </w:t>
      </w:r>
      <w:r w:rsidRPr="00564DC7">
        <w:rPr>
          <w:rFonts w:asciiTheme="minorHAnsi" w:eastAsiaTheme="minorHAnsi" w:hAnsiTheme="minorHAnsi" w:cstheme="minorHAnsi"/>
          <w:sz w:val="26"/>
          <w:szCs w:val="26"/>
        </w:rPr>
        <w:t>în calitate de membru la activitățile  grupului de lucru în vederea stabilirii mecanismului de evaluare a satisfacției părților interesate ce urmează a fi implementat la nivelul instanțelor.</w:t>
      </w:r>
    </w:p>
    <w:p w14:paraId="5D8D4CAE" w14:textId="57816539" w:rsidR="006111CD" w:rsidRPr="00564DC7"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 xml:space="preserve">În ceea ce privește competența CPP în elaborarea metodologiilor privind organizarea și desfășurarea testări psihologice din cadrul concursurilor organizate de către Consiliu, potrivit legii și regulamentelor,  în cursul anului 2023 au fost elaborate metodologia privind organizarea și desfășurarea testări psihologice din cadrul concursului de admitere la INM,  metodologia privind organizarea și desfășurarea testări psihologice din cadrul concursului de admitere în magistratură,  </w:t>
      </w:r>
      <w:bookmarkStart w:id="182" w:name="_Hlk150191668"/>
      <w:r w:rsidRPr="00564DC7">
        <w:rPr>
          <w:rFonts w:asciiTheme="minorHAnsi" w:eastAsiaTheme="minorHAnsi" w:hAnsiTheme="minorHAnsi" w:cstheme="minorHAnsi"/>
          <w:sz w:val="26"/>
          <w:szCs w:val="26"/>
        </w:rPr>
        <w:t>metodologia  privind organizarea şi desfăşurarea testării psihologice a persoanelor care solicită reîncadrarea în funcția de judecător</w:t>
      </w:r>
      <w:bookmarkEnd w:id="182"/>
      <w:r w:rsidR="009806B9">
        <w:rPr>
          <w:rFonts w:asciiTheme="minorHAnsi" w:eastAsiaTheme="minorHAnsi" w:hAnsiTheme="minorHAnsi" w:cstheme="minorHAnsi"/>
          <w:sz w:val="26"/>
          <w:szCs w:val="26"/>
        </w:rPr>
        <w:t xml:space="preserve"> și</w:t>
      </w:r>
      <w:r w:rsidRPr="00564DC7">
        <w:rPr>
          <w:rFonts w:asciiTheme="minorHAnsi" w:eastAsiaTheme="minorHAnsi" w:hAnsiTheme="minorHAnsi" w:cstheme="minorHAnsi"/>
          <w:sz w:val="26"/>
          <w:szCs w:val="26"/>
        </w:rPr>
        <w:t xml:space="preserve"> metodologia  privind organizarea şi desfăşurarea testării psihologice a persoanelor care solicită reîncadrarea în funcția de procuror.    </w:t>
      </w:r>
    </w:p>
    <w:p w14:paraId="10C38768" w14:textId="159BDE2A" w:rsidR="006111CD" w:rsidRPr="00564DC7"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shd w:val="clear" w:color="auto" w:fill="FFFFFF"/>
        </w:rPr>
        <w:lastRenderedPageBreak/>
        <w:t xml:space="preserve">Referitor la atribuția de asigurare a testării psihologice </w:t>
      </w:r>
      <w:r w:rsidRPr="00564DC7">
        <w:rPr>
          <w:rFonts w:asciiTheme="minorHAnsi" w:eastAsiaTheme="minorHAnsi" w:hAnsiTheme="minorHAnsi" w:cstheme="minorHAnsi"/>
          <w:sz w:val="26"/>
          <w:szCs w:val="26"/>
        </w:rPr>
        <w:t>a candidaților la concursurile organizate de  Consiliu, aceasta este îndeplinită în condițiile legii, regulamentelor, precum și a metodologiei de organizare și desfășurare a testării psihologice.</w:t>
      </w:r>
    </w:p>
    <w:p w14:paraId="382E4C3E" w14:textId="17A6AE54" w:rsidR="006111CD" w:rsidRPr="00564DC7"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shd w:val="clear" w:color="auto" w:fill="FFFFFF"/>
        </w:rPr>
        <w:t xml:space="preserve">În cursul anului 2023,  testarea psihologică a fost asigurată de psihologi din cadrul Consiliului, ICCJ, INM, curților de apel și PICCJ, compartimentul asigurând coordonarea metodologică a comisiilor de testare psihologică/soluţionare a contestaţiilor pentru  evaluarea unui număr total de 771 candidați, distribuiți astfel: </w:t>
      </w:r>
    </w:p>
    <w:p w14:paraId="632FA77C" w14:textId="777777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48 candidați în cadrul concursului/examenului pentru numirea în funcţii de conducere a judecătorilor, sesiunea  februarie – iunie 2023.</w:t>
      </w:r>
    </w:p>
    <w:p w14:paraId="36392C65" w14:textId="777777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45 candidați în cadrul concursului/examenului pentru numirea în funcţii de conducere a judecătorilor, sesiunea septembrie – decembrie 2023.</w:t>
      </w:r>
    </w:p>
    <w:p w14:paraId="4A68EB31" w14:textId="777777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92 candidați în cadrul concursului/examenului pentru numirea în funcţii de conducere a procurorilor, sesiunea august  – noiembrie 2023.</w:t>
      </w:r>
    </w:p>
    <w:p w14:paraId="3613A219" w14:textId="777777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bookmarkStart w:id="183" w:name="_Hlk150192412"/>
      <w:r w:rsidRPr="00564DC7">
        <w:rPr>
          <w:rFonts w:asciiTheme="minorHAnsi" w:eastAsiaTheme="minorHAnsi" w:hAnsiTheme="minorHAnsi" w:cstheme="minorHAnsi"/>
          <w:sz w:val="26"/>
          <w:szCs w:val="26"/>
          <w:shd w:val="clear" w:color="auto" w:fill="FFFFFF"/>
        </w:rPr>
        <w:t>471 candidați în cadrul concursului de admitere in magistratura/admitere la Institutul Național al Magistraturii, sesiunea iulie 2022– martie 2023.</w:t>
      </w:r>
    </w:p>
    <w:bookmarkEnd w:id="183"/>
    <w:p w14:paraId="2A3E771E" w14:textId="777777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79 candidați în cadrul concursului de admitere in magistratura, sesiunea octombrie 2022–  iunie 2023.</w:t>
      </w:r>
    </w:p>
    <w:p w14:paraId="396C922A" w14:textId="777777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27 </w:t>
      </w:r>
      <w:bookmarkStart w:id="184" w:name="_Hlk150192756"/>
      <w:r w:rsidRPr="00564DC7">
        <w:rPr>
          <w:rFonts w:asciiTheme="minorHAnsi" w:eastAsiaTheme="minorHAnsi" w:hAnsiTheme="minorHAnsi" w:cstheme="minorHAnsi"/>
          <w:sz w:val="26"/>
          <w:szCs w:val="26"/>
          <w:shd w:val="clear" w:color="auto" w:fill="FFFFFF"/>
        </w:rPr>
        <w:t>candidați în cadrul procedurii de reîncadrare în funcția de judecător, sesiunea mai-august 2023.</w:t>
      </w:r>
      <w:bookmarkEnd w:id="184"/>
    </w:p>
    <w:p w14:paraId="15302E0D" w14:textId="06E95F77" w:rsidR="006111CD" w:rsidRPr="00564DC7" w:rsidRDefault="006111CD">
      <w:pPr>
        <w:numPr>
          <w:ilvl w:val="0"/>
          <w:numId w:val="9"/>
        </w:numPr>
        <w:tabs>
          <w:tab w:val="left" w:pos="993"/>
          <w:tab w:val="left" w:pos="3120"/>
        </w:tabs>
        <w:ind w:left="0" w:firstLine="709"/>
        <w:contextualSpacing/>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9 candidați în cadrul procedurii de reîncadrare în funcția de procuror, sesiunea septembrie – noiembrie  2023.</w:t>
      </w:r>
    </w:p>
    <w:p w14:paraId="74636590" w14:textId="700046FB" w:rsidR="006111CD" w:rsidRPr="00564DC7"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 xml:space="preserve">Activitățile desfășurate în cadrul comisiilor de examinare/soluţionare a contestaţiilor din cadrul concursurilor/examenelor enumerate au fost consemnate în rapoartele de activitate întocmite la nivelul CPP, acestea fiind comunicate  Comisiei de organizare a concursului/examenului.  </w:t>
      </w:r>
    </w:p>
    <w:p w14:paraId="243C3209" w14:textId="0CB0AF6F"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Referitor la participarea consilierului – psiholog (funcționar public)</w:t>
      </w:r>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încadrat la nivelul compartimentului în cadrul comisiilor de testare psihologică/soluționare a contestațiilor  din cadrul concursurilor enumerate, acesta a procedat în cursul anului 2023</w:t>
      </w:r>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la examinarea unui număr de 222 de candidați, reprezentând 28.8% din totalul candidaților, respectiv la întocmirea unui număr de  222  rapoarte de evaluare psihocomportamentală.</w:t>
      </w:r>
    </w:p>
    <w:p w14:paraId="34584C53" w14:textId="5D69CA05"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Cu privire la situaţia calificativelor acordate în cadrul comisiilor de testare psihologică, aceasta se prezintă astfel:</w:t>
      </w:r>
    </w:p>
    <w:tbl>
      <w:tblPr>
        <w:tblW w:w="10060" w:type="dxa"/>
        <w:tblLook w:val="04A0" w:firstRow="1" w:lastRow="0" w:firstColumn="1" w:lastColumn="0" w:noHBand="0" w:noVBand="1"/>
      </w:tblPr>
      <w:tblGrid>
        <w:gridCol w:w="3369"/>
        <w:gridCol w:w="1446"/>
        <w:gridCol w:w="1512"/>
        <w:gridCol w:w="1058"/>
        <w:gridCol w:w="1732"/>
        <w:gridCol w:w="1064"/>
      </w:tblGrid>
      <w:tr w:rsidR="00564DC7" w:rsidRPr="00564DC7" w14:paraId="117EBD89" w14:textId="77777777" w:rsidTr="00EB7F3F">
        <w:trPr>
          <w:trHeight w:val="288"/>
        </w:trPr>
        <w:tc>
          <w:tcPr>
            <w:tcW w:w="3369" w:type="dxa"/>
            <w:vMerge w:val="restart"/>
            <w:tcBorders>
              <w:top w:val="single" w:sz="4" w:space="0" w:color="auto"/>
              <w:left w:val="single" w:sz="4" w:space="0" w:color="auto"/>
              <w:right w:val="single" w:sz="4" w:space="0" w:color="auto"/>
            </w:tcBorders>
            <w:shd w:val="clear" w:color="auto" w:fill="auto"/>
            <w:noWrap/>
            <w:vAlign w:val="bottom"/>
            <w:hideMark/>
          </w:tcPr>
          <w:p w14:paraId="323AAC5A" w14:textId="77777777" w:rsidR="006111CD" w:rsidRPr="00564DC7" w:rsidRDefault="006111CD" w:rsidP="00690186">
            <w:pPr>
              <w:jc w:val="both"/>
              <w:rPr>
                <w:rFonts w:asciiTheme="minorHAnsi" w:hAnsiTheme="minorHAnsi" w:cstheme="minorHAnsi"/>
                <w:b/>
                <w:bCs/>
                <w:sz w:val="26"/>
                <w:szCs w:val="26"/>
                <w:lang w:eastAsia="ro-RO"/>
              </w:rPr>
            </w:pPr>
            <w:bookmarkStart w:id="185" w:name="_Hlk149810770"/>
            <w:r w:rsidRPr="00564DC7">
              <w:rPr>
                <w:rFonts w:asciiTheme="minorHAnsi" w:hAnsiTheme="minorHAnsi" w:cstheme="minorHAnsi"/>
                <w:b/>
                <w:bCs/>
                <w:sz w:val="26"/>
                <w:szCs w:val="26"/>
                <w:lang w:eastAsia="ro-RO"/>
              </w:rPr>
              <w:t>Concurs</w:t>
            </w:r>
          </w:p>
          <w:p w14:paraId="0FF2BFBB"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 </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EB223E6"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Persoane examinate</w:t>
            </w:r>
          </w:p>
        </w:tc>
        <w:tc>
          <w:tcPr>
            <w:tcW w:w="5245" w:type="dxa"/>
            <w:gridSpan w:val="4"/>
            <w:tcBorders>
              <w:top w:val="single" w:sz="4" w:space="0" w:color="auto"/>
              <w:left w:val="nil"/>
              <w:bottom w:val="single" w:sz="4" w:space="0" w:color="auto"/>
              <w:right w:val="single" w:sz="4" w:space="0" w:color="auto"/>
            </w:tcBorders>
            <w:shd w:val="clear" w:color="auto" w:fill="auto"/>
            <w:noWrap/>
            <w:vAlign w:val="bottom"/>
            <w:hideMark/>
          </w:tcPr>
          <w:p w14:paraId="43182CE2"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Calificative acordate</w:t>
            </w:r>
          </w:p>
        </w:tc>
      </w:tr>
      <w:tr w:rsidR="00564DC7" w:rsidRPr="00564DC7" w14:paraId="6A792F39" w14:textId="77777777" w:rsidTr="00EB7F3F">
        <w:trPr>
          <w:trHeight w:val="288"/>
        </w:trPr>
        <w:tc>
          <w:tcPr>
            <w:tcW w:w="3369" w:type="dxa"/>
            <w:vMerge/>
            <w:tcBorders>
              <w:left w:val="single" w:sz="4" w:space="0" w:color="auto"/>
              <w:bottom w:val="single" w:sz="4" w:space="0" w:color="auto"/>
              <w:right w:val="single" w:sz="4" w:space="0" w:color="auto"/>
            </w:tcBorders>
            <w:shd w:val="clear" w:color="auto" w:fill="auto"/>
            <w:noWrap/>
            <w:vAlign w:val="bottom"/>
            <w:hideMark/>
          </w:tcPr>
          <w:p w14:paraId="4639E5AB" w14:textId="77777777" w:rsidR="006111CD" w:rsidRPr="00564DC7" w:rsidRDefault="006111CD" w:rsidP="00690186">
            <w:pPr>
              <w:jc w:val="both"/>
              <w:rPr>
                <w:rFonts w:asciiTheme="minorHAnsi" w:hAnsiTheme="minorHAnsi" w:cstheme="minorHAnsi"/>
                <w:b/>
                <w:bCs/>
                <w:sz w:val="26"/>
                <w:szCs w:val="26"/>
                <w:lang w:eastAsia="ro-RO"/>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362CB41A" w14:textId="77777777" w:rsidR="006111CD" w:rsidRPr="00564DC7" w:rsidRDefault="006111CD" w:rsidP="00690186">
            <w:pPr>
              <w:jc w:val="both"/>
              <w:rPr>
                <w:rFonts w:asciiTheme="minorHAnsi" w:hAnsiTheme="minorHAnsi" w:cstheme="minorHAnsi"/>
                <w:b/>
                <w:bCs/>
                <w:sz w:val="26"/>
                <w:szCs w:val="26"/>
                <w:lang w:eastAsia="ro-RO"/>
              </w:rPr>
            </w:pPr>
          </w:p>
        </w:tc>
        <w:tc>
          <w:tcPr>
            <w:tcW w:w="1512" w:type="dxa"/>
            <w:tcBorders>
              <w:top w:val="nil"/>
              <w:left w:val="nil"/>
              <w:bottom w:val="single" w:sz="4" w:space="0" w:color="auto"/>
              <w:right w:val="single" w:sz="4" w:space="0" w:color="auto"/>
            </w:tcBorders>
            <w:shd w:val="clear" w:color="auto" w:fill="auto"/>
            <w:noWrap/>
            <w:vAlign w:val="bottom"/>
            <w:hideMark/>
          </w:tcPr>
          <w:p w14:paraId="6C062142"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apt</w:t>
            </w:r>
          </w:p>
        </w:tc>
        <w:tc>
          <w:tcPr>
            <w:tcW w:w="937" w:type="dxa"/>
            <w:tcBorders>
              <w:top w:val="nil"/>
              <w:left w:val="nil"/>
              <w:bottom w:val="single" w:sz="4" w:space="0" w:color="auto"/>
              <w:right w:val="single" w:sz="4" w:space="0" w:color="auto"/>
            </w:tcBorders>
            <w:shd w:val="clear" w:color="auto" w:fill="auto"/>
            <w:noWrap/>
            <w:vAlign w:val="bottom"/>
            <w:hideMark/>
          </w:tcPr>
          <w:p w14:paraId="4236DCAF"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c>
          <w:tcPr>
            <w:tcW w:w="1732" w:type="dxa"/>
            <w:tcBorders>
              <w:top w:val="nil"/>
              <w:left w:val="nil"/>
              <w:bottom w:val="single" w:sz="4" w:space="0" w:color="auto"/>
              <w:right w:val="single" w:sz="4" w:space="0" w:color="auto"/>
            </w:tcBorders>
            <w:shd w:val="clear" w:color="auto" w:fill="auto"/>
            <w:noWrap/>
            <w:vAlign w:val="bottom"/>
            <w:hideMark/>
          </w:tcPr>
          <w:p w14:paraId="4DBCFB37"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inapt</w:t>
            </w:r>
          </w:p>
        </w:tc>
        <w:tc>
          <w:tcPr>
            <w:tcW w:w="1064" w:type="dxa"/>
            <w:tcBorders>
              <w:top w:val="nil"/>
              <w:left w:val="nil"/>
              <w:bottom w:val="single" w:sz="4" w:space="0" w:color="auto"/>
              <w:right w:val="single" w:sz="4" w:space="0" w:color="auto"/>
            </w:tcBorders>
            <w:shd w:val="clear" w:color="auto" w:fill="auto"/>
            <w:noWrap/>
            <w:vAlign w:val="bottom"/>
            <w:hideMark/>
          </w:tcPr>
          <w:p w14:paraId="65FE5E6B"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r>
      <w:tr w:rsidR="00564DC7" w:rsidRPr="00564DC7" w14:paraId="260740D0" w14:textId="77777777" w:rsidTr="00CB56D1">
        <w:trPr>
          <w:trHeight w:val="24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46157D51"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numirea  în funcții de conducere a judecătorilor</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755D93" w14:textId="77777777" w:rsidR="006111CD" w:rsidRPr="00564DC7" w:rsidRDefault="006111CD" w:rsidP="00690186">
            <w:pPr>
              <w:jc w:val="right"/>
              <w:rPr>
                <w:rFonts w:asciiTheme="minorHAnsi" w:hAnsiTheme="minorHAnsi" w:cstheme="minorHAnsi"/>
                <w:sz w:val="26"/>
                <w:szCs w:val="26"/>
                <w:lang w:eastAsia="ro-RO"/>
              </w:rPr>
            </w:pPr>
            <w:r w:rsidRPr="00564DC7">
              <w:rPr>
                <w:rFonts w:asciiTheme="minorHAnsi" w:eastAsiaTheme="minorHAnsi" w:hAnsiTheme="minorHAnsi" w:cstheme="minorHAnsi"/>
                <w:sz w:val="26"/>
                <w:szCs w:val="26"/>
              </w:rPr>
              <w:t>93</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4E939F60"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92</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105610F3"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98,92%</w:t>
            </w:r>
          </w:p>
        </w:tc>
        <w:tc>
          <w:tcPr>
            <w:tcW w:w="1732" w:type="dxa"/>
            <w:tcBorders>
              <w:top w:val="single" w:sz="4" w:space="0" w:color="auto"/>
              <w:left w:val="nil"/>
              <w:bottom w:val="single" w:sz="4" w:space="0" w:color="auto"/>
              <w:right w:val="single" w:sz="4" w:space="0" w:color="auto"/>
            </w:tcBorders>
            <w:shd w:val="clear" w:color="auto" w:fill="auto"/>
            <w:noWrap/>
            <w:vAlign w:val="bottom"/>
          </w:tcPr>
          <w:p w14:paraId="50D50368"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064" w:type="dxa"/>
            <w:tcBorders>
              <w:top w:val="single" w:sz="4" w:space="0" w:color="auto"/>
              <w:left w:val="nil"/>
              <w:bottom w:val="single" w:sz="4" w:space="0" w:color="auto"/>
              <w:right w:val="single" w:sz="4" w:space="0" w:color="auto"/>
            </w:tcBorders>
            <w:shd w:val="clear" w:color="auto" w:fill="auto"/>
            <w:noWrap/>
            <w:vAlign w:val="bottom"/>
          </w:tcPr>
          <w:p w14:paraId="16F0916A"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1,08%</w:t>
            </w:r>
          </w:p>
        </w:tc>
      </w:tr>
      <w:tr w:rsidR="00564DC7" w:rsidRPr="00564DC7" w14:paraId="12BA2983" w14:textId="77777777" w:rsidTr="00CB56D1">
        <w:trPr>
          <w:trHeight w:val="409"/>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7F4E32F7"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numirea  în functii de conducere a procurorilor</w:t>
            </w:r>
          </w:p>
        </w:tc>
        <w:tc>
          <w:tcPr>
            <w:tcW w:w="1446" w:type="dxa"/>
            <w:tcBorders>
              <w:top w:val="nil"/>
              <w:left w:val="single" w:sz="4" w:space="0" w:color="auto"/>
              <w:bottom w:val="single" w:sz="4" w:space="0" w:color="auto"/>
              <w:right w:val="single" w:sz="4" w:space="0" w:color="auto"/>
            </w:tcBorders>
            <w:shd w:val="clear" w:color="auto" w:fill="auto"/>
            <w:noWrap/>
            <w:vAlign w:val="bottom"/>
          </w:tcPr>
          <w:p w14:paraId="760631E7" w14:textId="77777777" w:rsidR="006111CD" w:rsidRPr="00564DC7" w:rsidRDefault="006111CD" w:rsidP="00690186">
            <w:pPr>
              <w:jc w:val="right"/>
              <w:rPr>
                <w:rFonts w:asciiTheme="minorHAnsi" w:hAnsiTheme="minorHAnsi" w:cstheme="minorHAnsi"/>
                <w:sz w:val="26"/>
                <w:szCs w:val="26"/>
                <w:lang w:eastAsia="ro-RO"/>
              </w:rPr>
            </w:pPr>
            <w:r w:rsidRPr="00564DC7">
              <w:rPr>
                <w:rFonts w:asciiTheme="minorHAnsi" w:eastAsiaTheme="minorHAnsi" w:hAnsiTheme="minorHAnsi" w:cstheme="minorHAnsi"/>
                <w:sz w:val="26"/>
                <w:szCs w:val="26"/>
              </w:rPr>
              <w:t>92</w:t>
            </w:r>
          </w:p>
        </w:tc>
        <w:tc>
          <w:tcPr>
            <w:tcW w:w="1512" w:type="dxa"/>
            <w:tcBorders>
              <w:top w:val="nil"/>
              <w:left w:val="nil"/>
              <w:bottom w:val="single" w:sz="4" w:space="0" w:color="auto"/>
              <w:right w:val="single" w:sz="4" w:space="0" w:color="auto"/>
            </w:tcBorders>
            <w:shd w:val="clear" w:color="auto" w:fill="auto"/>
            <w:noWrap/>
            <w:vAlign w:val="bottom"/>
          </w:tcPr>
          <w:p w14:paraId="66B554A4"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88</w:t>
            </w:r>
          </w:p>
        </w:tc>
        <w:tc>
          <w:tcPr>
            <w:tcW w:w="937" w:type="dxa"/>
            <w:tcBorders>
              <w:top w:val="nil"/>
              <w:left w:val="nil"/>
              <w:bottom w:val="single" w:sz="4" w:space="0" w:color="auto"/>
              <w:right w:val="single" w:sz="4" w:space="0" w:color="auto"/>
            </w:tcBorders>
            <w:shd w:val="clear" w:color="auto" w:fill="auto"/>
            <w:noWrap/>
            <w:vAlign w:val="bottom"/>
          </w:tcPr>
          <w:p w14:paraId="557CFCCE"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95,65%</w:t>
            </w:r>
          </w:p>
        </w:tc>
        <w:tc>
          <w:tcPr>
            <w:tcW w:w="1732" w:type="dxa"/>
            <w:tcBorders>
              <w:top w:val="nil"/>
              <w:left w:val="nil"/>
              <w:bottom w:val="single" w:sz="4" w:space="0" w:color="auto"/>
              <w:right w:val="single" w:sz="4" w:space="0" w:color="auto"/>
            </w:tcBorders>
            <w:shd w:val="clear" w:color="auto" w:fill="auto"/>
            <w:noWrap/>
            <w:vAlign w:val="bottom"/>
          </w:tcPr>
          <w:p w14:paraId="36FB53E3"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w:t>
            </w:r>
          </w:p>
        </w:tc>
        <w:tc>
          <w:tcPr>
            <w:tcW w:w="1064" w:type="dxa"/>
            <w:tcBorders>
              <w:top w:val="nil"/>
              <w:left w:val="nil"/>
              <w:bottom w:val="single" w:sz="4" w:space="0" w:color="auto"/>
              <w:right w:val="single" w:sz="4" w:space="0" w:color="auto"/>
            </w:tcBorders>
            <w:shd w:val="clear" w:color="auto" w:fill="auto"/>
            <w:noWrap/>
            <w:vAlign w:val="bottom"/>
          </w:tcPr>
          <w:p w14:paraId="62CDF844"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4,35%</w:t>
            </w:r>
          </w:p>
        </w:tc>
      </w:tr>
      <w:tr w:rsidR="006111CD" w:rsidRPr="00564DC7" w14:paraId="5F80B62A" w14:textId="77777777" w:rsidTr="00CB56D1">
        <w:trPr>
          <w:trHeight w:val="148"/>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0AD75425"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Total</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C3C2D9" w14:textId="77777777" w:rsidR="006111CD" w:rsidRPr="00564DC7" w:rsidRDefault="006111CD" w:rsidP="00690186">
            <w:pPr>
              <w:jc w:val="right"/>
              <w:rPr>
                <w:rFonts w:asciiTheme="minorHAnsi" w:hAnsiTheme="minorHAnsi" w:cstheme="minorHAnsi"/>
                <w:b/>
                <w:bCs/>
                <w:sz w:val="26"/>
                <w:szCs w:val="26"/>
                <w:lang w:eastAsia="ro-RO"/>
              </w:rPr>
            </w:pPr>
            <w:r w:rsidRPr="00564DC7">
              <w:rPr>
                <w:rFonts w:asciiTheme="minorHAnsi" w:eastAsiaTheme="minorHAnsi" w:hAnsiTheme="minorHAnsi" w:cstheme="minorHAnsi"/>
                <w:sz w:val="26"/>
                <w:szCs w:val="26"/>
              </w:rPr>
              <w:t>185</w:t>
            </w:r>
          </w:p>
        </w:tc>
        <w:tc>
          <w:tcPr>
            <w:tcW w:w="1512" w:type="dxa"/>
            <w:tcBorders>
              <w:top w:val="single" w:sz="4" w:space="0" w:color="auto"/>
              <w:left w:val="nil"/>
              <w:bottom w:val="single" w:sz="4" w:space="0" w:color="auto"/>
              <w:right w:val="single" w:sz="4" w:space="0" w:color="auto"/>
            </w:tcBorders>
            <w:shd w:val="clear" w:color="auto" w:fill="auto"/>
            <w:noWrap/>
            <w:vAlign w:val="bottom"/>
          </w:tcPr>
          <w:p w14:paraId="4E16A32C"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sz w:val="26"/>
                <w:szCs w:val="26"/>
              </w:rPr>
              <w:t>180</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557EAC7F"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97,30%</w:t>
            </w:r>
          </w:p>
        </w:tc>
        <w:tc>
          <w:tcPr>
            <w:tcW w:w="1732" w:type="dxa"/>
            <w:tcBorders>
              <w:top w:val="single" w:sz="4" w:space="0" w:color="auto"/>
              <w:left w:val="nil"/>
              <w:bottom w:val="single" w:sz="4" w:space="0" w:color="auto"/>
              <w:right w:val="single" w:sz="4" w:space="0" w:color="auto"/>
            </w:tcBorders>
            <w:shd w:val="clear" w:color="auto" w:fill="auto"/>
            <w:noWrap/>
            <w:vAlign w:val="bottom"/>
          </w:tcPr>
          <w:p w14:paraId="77AC68FD"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sz w:val="26"/>
                <w:szCs w:val="26"/>
              </w:rPr>
              <w:t>5</w:t>
            </w:r>
          </w:p>
        </w:tc>
        <w:tc>
          <w:tcPr>
            <w:tcW w:w="1064" w:type="dxa"/>
            <w:tcBorders>
              <w:top w:val="single" w:sz="4" w:space="0" w:color="auto"/>
              <w:left w:val="nil"/>
              <w:bottom w:val="single" w:sz="4" w:space="0" w:color="auto"/>
              <w:right w:val="single" w:sz="4" w:space="0" w:color="auto"/>
            </w:tcBorders>
            <w:shd w:val="clear" w:color="auto" w:fill="auto"/>
            <w:noWrap/>
            <w:vAlign w:val="bottom"/>
          </w:tcPr>
          <w:p w14:paraId="2C449E7C"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2,70%</w:t>
            </w:r>
          </w:p>
        </w:tc>
      </w:tr>
      <w:bookmarkEnd w:id="185"/>
    </w:tbl>
    <w:p w14:paraId="67D94F28" w14:textId="77777777" w:rsidR="006111CD" w:rsidRPr="00564DC7" w:rsidRDefault="006111CD" w:rsidP="00690186">
      <w:pPr>
        <w:tabs>
          <w:tab w:val="left" w:pos="3120"/>
        </w:tabs>
        <w:jc w:val="both"/>
        <w:rPr>
          <w:rFonts w:asciiTheme="minorHAnsi" w:eastAsiaTheme="minorHAnsi" w:hAnsiTheme="minorHAnsi" w:cstheme="minorHAnsi"/>
          <w:sz w:val="26"/>
          <w:szCs w:val="26"/>
          <w:shd w:val="clear" w:color="auto" w:fill="FFFFFF"/>
        </w:rPr>
      </w:pPr>
    </w:p>
    <w:tbl>
      <w:tblPr>
        <w:tblW w:w="10255" w:type="dxa"/>
        <w:tblLook w:val="04A0" w:firstRow="1" w:lastRow="0" w:firstColumn="1" w:lastColumn="0" w:noHBand="0" w:noVBand="1"/>
      </w:tblPr>
      <w:tblGrid>
        <w:gridCol w:w="3369"/>
        <w:gridCol w:w="1446"/>
        <w:gridCol w:w="1559"/>
        <w:gridCol w:w="1058"/>
        <w:gridCol w:w="1615"/>
        <w:gridCol w:w="1208"/>
      </w:tblGrid>
      <w:tr w:rsidR="00564DC7" w:rsidRPr="00564DC7" w14:paraId="0B138317" w14:textId="77777777" w:rsidTr="00380430">
        <w:trPr>
          <w:trHeight w:val="288"/>
        </w:trPr>
        <w:tc>
          <w:tcPr>
            <w:tcW w:w="3369" w:type="dxa"/>
            <w:vMerge w:val="restart"/>
            <w:tcBorders>
              <w:top w:val="single" w:sz="4" w:space="0" w:color="auto"/>
              <w:left w:val="single" w:sz="4" w:space="0" w:color="auto"/>
              <w:right w:val="single" w:sz="4" w:space="0" w:color="auto"/>
            </w:tcBorders>
            <w:shd w:val="clear" w:color="auto" w:fill="auto"/>
            <w:noWrap/>
            <w:vAlign w:val="bottom"/>
            <w:hideMark/>
          </w:tcPr>
          <w:p w14:paraId="16BEB2EF" w14:textId="77777777" w:rsidR="006111CD" w:rsidRPr="00564DC7" w:rsidRDefault="006111CD" w:rsidP="00690186">
            <w:pPr>
              <w:jc w:val="both"/>
              <w:rPr>
                <w:rFonts w:asciiTheme="minorHAnsi" w:hAnsiTheme="minorHAnsi" w:cstheme="minorHAnsi"/>
                <w:b/>
                <w:bCs/>
                <w:sz w:val="26"/>
                <w:szCs w:val="26"/>
                <w:lang w:eastAsia="ro-RO"/>
              </w:rPr>
            </w:pPr>
            <w:bookmarkStart w:id="186" w:name="_Hlk117955971"/>
            <w:r w:rsidRPr="00564DC7">
              <w:rPr>
                <w:rFonts w:asciiTheme="minorHAnsi" w:hAnsiTheme="minorHAnsi" w:cstheme="minorHAnsi"/>
                <w:b/>
                <w:bCs/>
                <w:sz w:val="26"/>
                <w:szCs w:val="26"/>
                <w:lang w:eastAsia="ro-RO"/>
              </w:rPr>
              <w:t>Concurs/procedura</w:t>
            </w:r>
          </w:p>
          <w:p w14:paraId="2CE348E7"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 </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67083BC"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Persoane examinate</w:t>
            </w:r>
          </w:p>
        </w:tc>
        <w:tc>
          <w:tcPr>
            <w:tcW w:w="5440"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7A9784"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Calificative acordate</w:t>
            </w:r>
          </w:p>
        </w:tc>
      </w:tr>
      <w:tr w:rsidR="00564DC7" w:rsidRPr="00564DC7" w14:paraId="4FB0CC99" w14:textId="77777777" w:rsidTr="00380430">
        <w:trPr>
          <w:trHeight w:val="288"/>
        </w:trPr>
        <w:tc>
          <w:tcPr>
            <w:tcW w:w="3369" w:type="dxa"/>
            <w:vMerge/>
            <w:tcBorders>
              <w:left w:val="single" w:sz="4" w:space="0" w:color="auto"/>
              <w:bottom w:val="single" w:sz="4" w:space="0" w:color="auto"/>
              <w:right w:val="single" w:sz="4" w:space="0" w:color="auto"/>
            </w:tcBorders>
            <w:shd w:val="clear" w:color="auto" w:fill="auto"/>
            <w:noWrap/>
            <w:vAlign w:val="bottom"/>
            <w:hideMark/>
          </w:tcPr>
          <w:p w14:paraId="0698BE8F" w14:textId="77777777" w:rsidR="006111CD" w:rsidRPr="00564DC7" w:rsidRDefault="006111CD" w:rsidP="00690186">
            <w:pPr>
              <w:jc w:val="both"/>
              <w:rPr>
                <w:rFonts w:asciiTheme="minorHAnsi" w:hAnsiTheme="minorHAnsi" w:cstheme="minorHAnsi"/>
                <w:b/>
                <w:bCs/>
                <w:sz w:val="26"/>
                <w:szCs w:val="26"/>
                <w:lang w:eastAsia="ro-RO"/>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2CD32614" w14:textId="77777777" w:rsidR="006111CD" w:rsidRPr="00564DC7" w:rsidRDefault="006111CD" w:rsidP="00690186">
            <w:pPr>
              <w:jc w:val="both"/>
              <w:rPr>
                <w:rFonts w:asciiTheme="minorHAnsi" w:hAnsiTheme="minorHAnsi" w:cstheme="minorHAnsi"/>
                <w:b/>
                <w:bCs/>
                <w:sz w:val="26"/>
                <w:szCs w:val="26"/>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14:paraId="3B689499"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admis</w:t>
            </w:r>
          </w:p>
        </w:tc>
        <w:tc>
          <w:tcPr>
            <w:tcW w:w="1058" w:type="dxa"/>
            <w:tcBorders>
              <w:top w:val="nil"/>
              <w:left w:val="nil"/>
              <w:bottom w:val="single" w:sz="4" w:space="0" w:color="auto"/>
              <w:right w:val="single" w:sz="4" w:space="0" w:color="auto"/>
            </w:tcBorders>
            <w:shd w:val="clear" w:color="auto" w:fill="auto"/>
            <w:noWrap/>
            <w:vAlign w:val="bottom"/>
            <w:hideMark/>
          </w:tcPr>
          <w:p w14:paraId="3619886D"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c>
          <w:tcPr>
            <w:tcW w:w="1615" w:type="dxa"/>
            <w:tcBorders>
              <w:top w:val="nil"/>
              <w:left w:val="nil"/>
              <w:bottom w:val="single" w:sz="4" w:space="0" w:color="auto"/>
              <w:right w:val="single" w:sz="4" w:space="0" w:color="auto"/>
            </w:tcBorders>
            <w:shd w:val="clear" w:color="auto" w:fill="auto"/>
            <w:noWrap/>
            <w:vAlign w:val="bottom"/>
            <w:hideMark/>
          </w:tcPr>
          <w:p w14:paraId="0C938515"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respins</w:t>
            </w:r>
          </w:p>
        </w:tc>
        <w:tc>
          <w:tcPr>
            <w:tcW w:w="1208" w:type="dxa"/>
            <w:tcBorders>
              <w:top w:val="nil"/>
              <w:left w:val="nil"/>
              <w:bottom w:val="single" w:sz="4" w:space="0" w:color="auto"/>
              <w:right w:val="single" w:sz="4" w:space="0" w:color="auto"/>
            </w:tcBorders>
            <w:shd w:val="clear" w:color="auto" w:fill="auto"/>
            <w:noWrap/>
            <w:vAlign w:val="bottom"/>
            <w:hideMark/>
          </w:tcPr>
          <w:p w14:paraId="1265350C"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r>
      <w:tr w:rsidR="00564DC7" w:rsidRPr="00564DC7" w14:paraId="028DF32A" w14:textId="77777777" w:rsidTr="00380430">
        <w:trPr>
          <w:trHeight w:val="263"/>
        </w:trPr>
        <w:tc>
          <w:tcPr>
            <w:tcW w:w="3369" w:type="dxa"/>
            <w:tcBorders>
              <w:top w:val="nil"/>
              <w:left w:val="single" w:sz="4" w:space="0" w:color="auto"/>
              <w:bottom w:val="single" w:sz="4" w:space="0" w:color="auto"/>
              <w:right w:val="single" w:sz="4" w:space="0" w:color="auto"/>
            </w:tcBorders>
            <w:shd w:val="clear" w:color="auto" w:fill="auto"/>
            <w:noWrap/>
            <w:vAlign w:val="bottom"/>
          </w:tcPr>
          <w:p w14:paraId="14D2E3BC" w14:textId="6EA5F795"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admitere INM/magistratură</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75F9C"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550</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39BEC57"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484</w:t>
            </w:r>
          </w:p>
        </w:tc>
        <w:tc>
          <w:tcPr>
            <w:tcW w:w="1058" w:type="dxa"/>
            <w:tcBorders>
              <w:top w:val="single" w:sz="4" w:space="0" w:color="auto"/>
              <w:left w:val="nil"/>
              <w:bottom w:val="single" w:sz="4" w:space="0" w:color="auto"/>
              <w:right w:val="single" w:sz="4" w:space="0" w:color="auto"/>
            </w:tcBorders>
            <w:shd w:val="clear" w:color="auto" w:fill="auto"/>
            <w:noWrap/>
            <w:vAlign w:val="bottom"/>
          </w:tcPr>
          <w:p w14:paraId="3FC6AB6F"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88%</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43AB9578"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66</w:t>
            </w:r>
          </w:p>
        </w:tc>
        <w:tc>
          <w:tcPr>
            <w:tcW w:w="1208" w:type="dxa"/>
            <w:tcBorders>
              <w:top w:val="single" w:sz="4" w:space="0" w:color="auto"/>
              <w:left w:val="nil"/>
              <w:bottom w:val="single" w:sz="4" w:space="0" w:color="auto"/>
              <w:right w:val="single" w:sz="4" w:space="0" w:color="auto"/>
            </w:tcBorders>
            <w:shd w:val="clear" w:color="auto" w:fill="auto"/>
            <w:noWrap/>
            <w:vAlign w:val="bottom"/>
          </w:tcPr>
          <w:p w14:paraId="2891F5C3"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12%</w:t>
            </w:r>
          </w:p>
        </w:tc>
      </w:tr>
      <w:tr w:rsidR="00564DC7" w:rsidRPr="00564DC7" w14:paraId="4EF99A55" w14:textId="77777777" w:rsidTr="00380430">
        <w:trPr>
          <w:trHeight w:val="139"/>
        </w:trPr>
        <w:tc>
          <w:tcPr>
            <w:tcW w:w="3369" w:type="dxa"/>
            <w:tcBorders>
              <w:top w:val="nil"/>
              <w:left w:val="single" w:sz="4" w:space="0" w:color="auto"/>
              <w:bottom w:val="single" w:sz="4" w:space="0" w:color="auto"/>
              <w:right w:val="single" w:sz="4" w:space="0" w:color="auto"/>
            </w:tcBorders>
            <w:shd w:val="clear" w:color="auto" w:fill="auto"/>
            <w:noWrap/>
            <w:vAlign w:val="bottom"/>
          </w:tcPr>
          <w:p w14:paraId="1AB64403"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reîncadrare în funcția de judecător</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BF1F2"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27</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B5DAD01"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21</w:t>
            </w:r>
          </w:p>
        </w:tc>
        <w:tc>
          <w:tcPr>
            <w:tcW w:w="1058" w:type="dxa"/>
            <w:tcBorders>
              <w:top w:val="single" w:sz="4" w:space="0" w:color="auto"/>
              <w:left w:val="nil"/>
              <w:bottom w:val="single" w:sz="4" w:space="0" w:color="auto"/>
              <w:right w:val="single" w:sz="4" w:space="0" w:color="auto"/>
            </w:tcBorders>
            <w:shd w:val="clear" w:color="auto" w:fill="auto"/>
            <w:noWrap/>
            <w:vAlign w:val="bottom"/>
          </w:tcPr>
          <w:p w14:paraId="43C2BBE8"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77,78%</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20AF8422"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6</w:t>
            </w:r>
          </w:p>
        </w:tc>
        <w:tc>
          <w:tcPr>
            <w:tcW w:w="1208" w:type="dxa"/>
            <w:tcBorders>
              <w:top w:val="single" w:sz="4" w:space="0" w:color="auto"/>
              <w:left w:val="nil"/>
              <w:bottom w:val="single" w:sz="4" w:space="0" w:color="auto"/>
              <w:right w:val="single" w:sz="4" w:space="0" w:color="auto"/>
            </w:tcBorders>
            <w:shd w:val="clear" w:color="auto" w:fill="auto"/>
            <w:noWrap/>
            <w:vAlign w:val="bottom"/>
          </w:tcPr>
          <w:p w14:paraId="086CBF75"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22,22%</w:t>
            </w:r>
          </w:p>
        </w:tc>
      </w:tr>
      <w:tr w:rsidR="00564DC7" w:rsidRPr="00564DC7" w14:paraId="65C66C2B" w14:textId="77777777" w:rsidTr="00380430">
        <w:trPr>
          <w:trHeight w:val="130"/>
        </w:trPr>
        <w:tc>
          <w:tcPr>
            <w:tcW w:w="3369" w:type="dxa"/>
            <w:tcBorders>
              <w:top w:val="nil"/>
              <w:left w:val="single" w:sz="4" w:space="0" w:color="auto"/>
              <w:bottom w:val="single" w:sz="4" w:space="0" w:color="auto"/>
              <w:right w:val="single" w:sz="4" w:space="0" w:color="auto"/>
            </w:tcBorders>
            <w:shd w:val="clear" w:color="auto" w:fill="auto"/>
            <w:noWrap/>
            <w:vAlign w:val="bottom"/>
          </w:tcPr>
          <w:p w14:paraId="58A29CDF"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reîncadrare în funcția de procuror</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909B9"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5A701EE"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w:t>
            </w:r>
          </w:p>
        </w:tc>
        <w:tc>
          <w:tcPr>
            <w:tcW w:w="1058" w:type="dxa"/>
            <w:tcBorders>
              <w:top w:val="single" w:sz="4" w:space="0" w:color="auto"/>
              <w:left w:val="nil"/>
              <w:bottom w:val="single" w:sz="4" w:space="0" w:color="auto"/>
              <w:right w:val="single" w:sz="4" w:space="0" w:color="auto"/>
            </w:tcBorders>
            <w:shd w:val="clear" w:color="auto" w:fill="auto"/>
            <w:noWrap/>
            <w:vAlign w:val="bottom"/>
          </w:tcPr>
          <w:p w14:paraId="5301EDE3"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88,89%</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0C1002EC"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208" w:type="dxa"/>
            <w:tcBorders>
              <w:top w:val="single" w:sz="4" w:space="0" w:color="auto"/>
              <w:left w:val="nil"/>
              <w:bottom w:val="single" w:sz="4" w:space="0" w:color="auto"/>
              <w:right w:val="single" w:sz="4" w:space="0" w:color="auto"/>
            </w:tcBorders>
            <w:shd w:val="clear" w:color="auto" w:fill="auto"/>
            <w:noWrap/>
            <w:vAlign w:val="bottom"/>
          </w:tcPr>
          <w:p w14:paraId="5D4CC8F6"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11,11%</w:t>
            </w:r>
          </w:p>
        </w:tc>
      </w:tr>
      <w:tr w:rsidR="00564DC7" w:rsidRPr="00564DC7" w14:paraId="399C11AC" w14:textId="77777777" w:rsidTr="00380430">
        <w:trPr>
          <w:trHeight w:val="147"/>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49FFFD92"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Total</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FB2B6"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586</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B67E6CD"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513</w:t>
            </w:r>
          </w:p>
        </w:tc>
        <w:tc>
          <w:tcPr>
            <w:tcW w:w="1058" w:type="dxa"/>
            <w:tcBorders>
              <w:top w:val="single" w:sz="4" w:space="0" w:color="auto"/>
              <w:left w:val="nil"/>
              <w:bottom w:val="single" w:sz="4" w:space="0" w:color="auto"/>
              <w:right w:val="single" w:sz="4" w:space="0" w:color="auto"/>
            </w:tcBorders>
            <w:shd w:val="clear" w:color="auto" w:fill="auto"/>
            <w:noWrap/>
            <w:vAlign w:val="bottom"/>
          </w:tcPr>
          <w:p w14:paraId="5C0E3BE2"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87,54%</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291C3F38"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73</w:t>
            </w:r>
          </w:p>
        </w:tc>
        <w:tc>
          <w:tcPr>
            <w:tcW w:w="1208" w:type="dxa"/>
            <w:tcBorders>
              <w:top w:val="single" w:sz="4" w:space="0" w:color="auto"/>
              <w:left w:val="nil"/>
              <w:bottom w:val="single" w:sz="4" w:space="0" w:color="auto"/>
              <w:right w:val="single" w:sz="4" w:space="0" w:color="auto"/>
            </w:tcBorders>
            <w:shd w:val="clear" w:color="auto" w:fill="auto"/>
            <w:noWrap/>
            <w:vAlign w:val="bottom"/>
          </w:tcPr>
          <w:p w14:paraId="3BB21352"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12,46%</w:t>
            </w:r>
          </w:p>
        </w:tc>
      </w:tr>
      <w:bookmarkEnd w:id="186"/>
    </w:tbl>
    <w:p w14:paraId="4BBBF8FD" w14:textId="77777777" w:rsidR="00380430" w:rsidRDefault="00380430" w:rsidP="00690186">
      <w:pPr>
        <w:tabs>
          <w:tab w:val="left" w:pos="3120"/>
        </w:tabs>
        <w:ind w:firstLine="709"/>
        <w:jc w:val="both"/>
        <w:rPr>
          <w:rFonts w:asciiTheme="minorHAnsi" w:eastAsiaTheme="minorHAnsi" w:hAnsiTheme="minorHAnsi" w:cstheme="minorHAnsi"/>
          <w:sz w:val="26"/>
          <w:szCs w:val="26"/>
          <w:shd w:val="clear" w:color="auto" w:fill="FFFFFF"/>
        </w:rPr>
      </w:pPr>
    </w:p>
    <w:p w14:paraId="633FABCE" w14:textId="1DC28D85" w:rsidR="006111CD" w:rsidRPr="00564DC7" w:rsidRDefault="006111CD" w:rsidP="00500978">
      <w:pPr>
        <w:keepNext/>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Referitor la situaţia calificativelor acordate în cadrul comisiilor de soluţionare a contestaţiilor, aceasta se prezintă astfel:</w:t>
      </w:r>
    </w:p>
    <w:tbl>
      <w:tblPr>
        <w:tblW w:w="10194" w:type="dxa"/>
        <w:tblLook w:val="04A0" w:firstRow="1" w:lastRow="0" w:firstColumn="1" w:lastColumn="0" w:noHBand="0" w:noVBand="1"/>
      </w:tblPr>
      <w:tblGrid>
        <w:gridCol w:w="3271"/>
        <w:gridCol w:w="1669"/>
        <w:gridCol w:w="1371"/>
        <w:gridCol w:w="1194"/>
        <w:gridCol w:w="1563"/>
        <w:gridCol w:w="1126"/>
      </w:tblGrid>
      <w:tr w:rsidR="00564DC7" w:rsidRPr="00564DC7" w14:paraId="55459BDE" w14:textId="77777777" w:rsidTr="00CB56D1">
        <w:trPr>
          <w:trHeight w:val="288"/>
        </w:trPr>
        <w:tc>
          <w:tcPr>
            <w:tcW w:w="3273" w:type="dxa"/>
            <w:vMerge w:val="restart"/>
            <w:tcBorders>
              <w:top w:val="single" w:sz="4" w:space="0" w:color="auto"/>
              <w:left w:val="single" w:sz="4" w:space="0" w:color="auto"/>
              <w:right w:val="single" w:sz="4" w:space="0" w:color="auto"/>
            </w:tcBorders>
            <w:shd w:val="clear" w:color="auto" w:fill="auto"/>
            <w:noWrap/>
            <w:vAlign w:val="bottom"/>
            <w:hideMark/>
          </w:tcPr>
          <w:p w14:paraId="1CAED7D4" w14:textId="77777777" w:rsidR="006111CD" w:rsidRPr="00564DC7" w:rsidRDefault="006111CD" w:rsidP="00500978">
            <w:pPr>
              <w:keepNext/>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Concurs</w:t>
            </w:r>
          </w:p>
          <w:p w14:paraId="7A9A9942" w14:textId="77777777" w:rsidR="006111CD" w:rsidRPr="00564DC7" w:rsidRDefault="006111CD" w:rsidP="00500978">
            <w:pPr>
              <w:keepNext/>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 </w:t>
            </w:r>
          </w:p>
        </w:tc>
        <w:tc>
          <w:tcPr>
            <w:tcW w:w="167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7F6707D" w14:textId="77777777" w:rsidR="006111CD" w:rsidRPr="00564DC7" w:rsidRDefault="006111CD" w:rsidP="00500978">
            <w:pPr>
              <w:keepNext/>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Persoane</w:t>
            </w:r>
          </w:p>
          <w:p w14:paraId="64463A75" w14:textId="77777777" w:rsidR="006111CD" w:rsidRPr="00564DC7" w:rsidRDefault="006111CD" w:rsidP="00500978">
            <w:pPr>
              <w:keepNext/>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reexaminate</w:t>
            </w:r>
          </w:p>
        </w:tc>
        <w:tc>
          <w:tcPr>
            <w:tcW w:w="52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53D8C8B" w14:textId="77777777" w:rsidR="006111CD" w:rsidRPr="00564DC7" w:rsidRDefault="006111CD" w:rsidP="00500978">
            <w:pPr>
              <w:keepNext/>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Calificative acordate</w:t>
            </w:r>
          </w:p>
        </w:tc>
      </w:tr>
      <w:tr w:rsidR="00564DC7" w:rsidRPr="00564DC7" w14:paraId="56BDE09F" w14:textId="77777777" w:rsidTr="00CB56D1">
        <w:trPr>
          <w:trHeight w:val="288"/>
        </w:trPr>
        <w:tc>
          <w:tcPr>
            <w:tcW w:w="3273" w:type="dxa"/>
            <w:vMerge/>
            <w:tcBorders>
              <w:left w:val="single" w:sz="4" w:space="0" w:color="auto"/>
              <w:bottom w:val="single" w:sz="4" w:space="0" w:color="auto"/>
              <w:right w:val="single" w:sz="4" w:space="0" w:color="auto"/>
            </w:tcBorders>
            <w:shd w:val="clear" w:color="auto" w:fill="auto"/>
            <w:noWrap/>
            <w:vAlign w:val="bottom"/>
            <w:hideMark/>
          </w:tcPr>
          <w:p w14:paraId="6A7978B9" w14:textId="77777777" w:rsidR="006111CD" w:rsidRPr="00564DC7" w:rsidRDefault="006111CD" w:rsidP="00500978">
            <w:pPr>
              <w:keepNext/>
              <w:jc w:val="both"/>
              <w:rPr>
                <w:rFonts w:asciiTheme="minorHAnsi" w:hAnsiTheme="minorHAnsi" w:cstheme="minorHAnsi"/>
                <w:b/>
                <w:bCs/>
                <w:sz w:val="26"/>
                <w:szCs w:val="26"/>
                <w:lang w:eastAsia="ro-RO"/>
              </w:rPr>
            </w:pPr>
          </w:p>
        </w:tc>
        <w:tc>
          <w:tcPr>
            <w:tcW w:w="1670" w:type="dxa"/>
            <w:vMerge/>
            <w:tcBorders>
              <w:top w:val="single" w:sz="4" w:space="0" w:color="auto"/>
              <w:left w:val="single" w:sz="4" w:space="0" w:color="auto"/>
              <w:bottom w:val="single" w:sz="4" w:space="0" w:color="000000"/>
              <w:right w:val="single" w:sz="4" w:space="0" w:color="auto"/>
            </w:tcBorders>
            <w:vAlign w:val="center"/>
            <w:hideMark/>
          </w:tcPr>
          <w:p w14:paraId="511952AF" w14:textId="77777777" w:rsidR="006111CD" w:rsidRPr="00564DC7" w:rsidRDefault="006111CD" w:rsidP="00500978">
            <w:pPr>
              <w:keepNext/>
              <w:jc w:val="both"/>
              <w:rPr>
                <w:rFonts w:asciiTheme="minorHAnsi" w:hAnsiTheme="minorHAnsi" w:cstheme="minorHAnsi"/>
                <w:b/>
                <w:bCs/>
                <w:sz w:val="26"/>
                <w:szCs w:val="26"/>
                <w:lang w:eastAsia="ro-RO"/>
              </w:rPr>
            </w:pPr>
          </w:p>
        </w:tc>
        <w:tc>
          <w:tcPr>
            <w:tcW w:w="1371" w:type="dxa"/>
            <w:tcBorders>
              <w:top w:val="nil"/>
              <w:left w:val="nil"/>
              <w:bottom w:val="single" w:sz="4" w:space="0" w:color="auto"/>
              <w:right w:val="single" w:sz="4" w:space="0" w:color="auto"/>
            </w:tcBorders>
            <w:shd w:val="clear" w:color="auto" w:fill="auto"/>
            <w:noWrap/>
            <w:vAlign w:val="bottom"/>
            <w:hideMark/>
          </w:tcPr>
          <w:p w14:paraId="5385D89E" w14:textId="77777777" w:rsidR="006111CD" w:rsidRPr="00564DC7" w:rsidRDefault="006111CD" w:rsidP="00500978">
            <w:pPr>
              <w:keepNext/>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apt</w:t>
            </w:r>
          </w:p>
        </w:tc>
        <w:tc>
          <w:tcPr>
            <w:tcW w:w="1194" w:type="dxa"/>
            <w:tcBorders>
              <w:top w:val="nil"/>
              <w:left w:val="nil"/>
              <w:bottom w:val="single" w:sz="4" w:space="0" w:color="auto"/>
              <w:right w:val="single" w:sz="4" w:space="0" w:color="auto"/>
            </w:tcBorders>
            <w:shd w:val="clear" w:color="auto" w:fill="auto"/>
            <w:noWrap/>
            <w:vAlign w:val="bottom"/>
            <w:hideMark/>
          </w:tcPr>
          <w:p w14:paraId="50D40575" w14:textId="77777777" w:rsidR="006111CD" w:rsidRPr="00564DC7" w:rsidRDefault="006111CD" w:rsidP="00500978">
            <w:pPr>
              <w:keepNext/>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c>
          <w:tcPr>
            <w:tcW w:w="1563" w:type="dxa"/>
            <w:tcBorders>
              <w:top w:val="nil"/>
              <w:left w:val="nil"/>
              <w:bottom w:val="single" w:sz="4" w:space="0" w:color="auto"/>
              <w:right w:val="single" w:sz="4" w:space="0" w:color="auto"/>
            </w:tcBorders>
            <w:shd w:val="clear" w:color="auto" w:fill="auto"/>
            <w:noWrap/>
            <w:vAlign w:val="bottom"/>
            <w:hideMark/>
          </w:tcPr>
          <w:p w14:paraId="70E22E18" w14:textId="77777777" w:rsidR="006111CD" w:rsidRPr="00564DC7" w:rsidRDefault="006111CD" w:rsidP="00500978">
            <w:pPr>
              <w:keepNext/>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inapt</w:t>
            </w:r>
          </w:p>
        </w:tc>
        <w:tc>
          <w:tcPr>
            <w:tcW w:w="1123" w:type="dxa"/>
            <w:tcBorders>
              <w:top w:val="nil"/>
              <w:left w:val="nil"/>
              <w:bottom w:val="single" w:sz="4" w:space="0" w:color="auto"/>
              <w:right w:val="single" w:sz="4" w:space="0" w:color="auto"/>
            </w:tcBorders>
            <w:shd w:val="clear" w:color="auto" w:fill="auto"/>
            <w:noWrap/>
            <w:vAlign w:val="bottom"/>
            <w:hideMark/>
          </w:tcPr>
          <w:p w14:paraId="300F51B2" w14:textId="77777777" w:rsidR="006111CD" w:rsidRPr="00564DC7" w:rsidRDefault="006111CD" w:rsidP="00500978">
            <w:pPr>
              <w:keepNext/>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r>
      <w:tr w:rsidR="00564DC7" w:rsidRPr="00564DC7" w14:paraId="0A022743" w14:textId="77777777" w:rsidTr="00CB56D1">
        <w:trPr>
          <w:trHeight w:val="948"/>
        </w:trPr>
        <w:tc>
          <w:tcPr>
            <w:tcW w:w="3273" w:type="dxa"/>
            <w:tcBorders>
              <w:top w:val="nil"/>
              <w:left w:val="single" w:sz="4" w:space="0" w:color="auto"/>
              <w:bottom w:val="single" w:sz="4" w:space="0" w:color="auto"/>
              <w:right w:val="single" w:sz="4" w:space="0" w:color="auto"/>
            </w:tcBorders>
            <w:shd w:val="clear" w:color="auto" w:fill="auto"/>
            <w:noWrap/>
            <w:vAlign w:val="bottom"/>
            <w:hideMark/>
          </w:tcPr>
          <w:p w14:paraId="4D5F0E20" w14:textId="77777777" w:rsidR="006111CD" w:rsidRPr="00564DC7" w:rsidRDefault="006111CD" w:rsidP="00500978">
            <w:pPr>
              <w:keepNext/>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numirea  în funcții de conducere a judecătorilor</w:t>
            </w:r>
          </w:p>
        </w:tc>
        <w:tc>
          <w:tcPr>
            <w:tcW w:w="1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DBDB6" w14:textId="77777777" w:rsidR="006111CD" w:rsidRPr="00564DC7" w:rsidRDefault="006111CD" w:rsidP="00500978">
            <w:pPr>
              <w:keepNext/>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371" w:type="dxa"/>
            <w:tcBorders>
              <w:top w:val="single" w:sz="4" w:space="0" w:color="auto"/>
              <w:left w:val="nil"/>
              <w:bottom w:val="single" w:sz="4" w:space="0" w:color="auto"/>
              <w:right w:val="single" w:sz="4" w:space="0" w:color="auto"/>
            </w:tcBorders>
            <w:shd w:val="clear" w:color="auto" w:fill="auto"/>
            <w:noWrap/>
            <w:vAlign w:val="bottom"/>
          </w:tcPr>
          <w:p w14:paraId="6E53D205" w14:textId="77777777" w:rsidR="006111CD" w:rsidRPr="00564DC7" w:rsidRDefault="006111CD" w:rsidP="00500978">
            <w:pPr>
              <w:keepNext/>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0</w:t>
            </w:r>
          </w:p>
        </w:tc>
        <w:tc>
          <w:tcPr>
            <w:tcW w:w="1194" w:type="dxa"/>
            <w:tcBorders>
              <w:top w:val="single" w:sz="4" w:space="0" w:color="auto"/>
              <w:left w:val="nil"/>
              <w:bottom w:val="single" w:sz="4" w:space="0" w:color="auto"/>
              <w:right w:val="single" w:sz="4" w:space="0" w:color="auto"/>
            </w:tcBorders>
            <w:shd w:val="clear" w:color="auto" w:fill="auto"/>
            <w:noWrap/>
            <w:vAlign w:val="bottom"/>
          </w:tcPr>
          <w:p w14:paraId="20AD0108" w14:textId="77777777" w:rsidR="006111CD" w:rsidRPr="00564DC7" w:rsidRDefault="006111CD" w:rsidP="00500978">
            <w:pPr>
              <w:keepNext/>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0,00%</w:t>
            </w:r>
          </w:p>
        </w:tc>
        <w:tc>
          <w:tcPr>
            <w:tcW w:w="1563" w:type="dxa"/>
            <w:tcBorders>
              <w:top w:val="single" w:sz="4" w:space="0" w:color="auto"/>
              <w:left w:val="nil"/>
              <w:bottom w:val="single" w:sz="4" w:space="0" w:color="auto"/>
              <w:right w:val="single" w:sz="4" w:space="0" w:color="auto"/>
            </w:tcBorders>
            <w:shd w:val="clear" w:color="auto" w:fill="auto"/>
            <w:noWrap/>
            <w:vAlign w:val="bottom"/>
          </w:tcPr>
          <w:p w14:paraId="280D4316" w14:textId="77777777" w:rsidR="006111CD" w:rsidRPr="00564DC7" w:rsidRDefault="006111CD" w:rsidP="00500978">
            <w:pPr>
              <w:keepNext/>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123" w:type="dxa"/>
            <w:tcBorders>
              <w:top w:val="single" w:sz="4" w:space="0" w:color="auto"/>
              <w:left w:val="nil"/>
              <w:bottom w:val="single" w:sz="4" w:space="0" w:color="auto"/>
              <w:right w:val="single" w:sz="4" w:space="0" w:color="auto"/>
            </w:tcBorders>
            <w:shd w:val="clear" w:color="auto" w:fill="auto"/>
            <w:noWrap/>
            <w:vAlign w:val="bottom"/>
          </w:tcPr>
          <w:p w14:paraId="1FD358CB" w14:textId="77777777" w:rsidR="006111CD" w:rsidRPr="00564DC7" w:rsidRDefault="006111CD" w:rsidP="00500978">
            <w:pPr>
              <w:keepNext/>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100,00%</w:t>
            </w:r>
          </w:p>
        </w:tc>
      </w:tr>
      <w:tr w:rsidR="00564DC7" w:rsidRPr="00564DC7" w14:paraId="4DE139B3" w14:textId="77777777" w:rsidTr="00CB56D1">
        <w:trPr>
          <w:trHeight w:val="960"/>
        </w:trPr>
        <w:tc>
          <w:tcPr>
            <w:tcW w:w="3273" w:type="dxa"/>
            <w:tcBorders>
              <w:top w:val="nil"/>
              <w:left w:val="single" w:sz="4" w:space="0" w:color="auto"/>
              <w:bottom w:val="single" w:sz="4" w:space="0" w:color="auto"/>
              <w:right w:val="single" w:sz="4" w:space="0" w:color="auto"/>
            </w:tcBorders>
            <w:shd w:val="clear" w:color="auto" w:fill="auto"/>
            <w:noWrap/>
            <w:vAlign w:val="bottom"/>
            <w:hideMark/>
          </w:tcPr>
          <w:p w14:paraId="0FA8DBB5"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numirea  în functii de conducere a procurorilor</w:t>
            </w:r>
          </w:p>
        </w:tc>
        <w:tc>
          <w:tcPr>
            <w:tcW w:w="1670" w:type="dxa"/>
            <w:tcBorders>
              <w:top w:val="nil"/>
              <w:left w:val="single" w:sz="4" w:space="0" w:color="auto"/>
              <w:bottom w:val="single" w:sz="4" w:space="0" w:color="auto"/>
              <w:right w:val="single" w:sz="4" w:space="0" w:color="auto"/>
            </w:tcBorders>
            <w:shd w:val="clear" w:color="auto" w:fill="auto"/>
            <w:noWrap/>
            <w:vAlign w:val="bottom"/>
          </w:tcPr>
          <w:p w14:paraId="5C01623A"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w:t>
            </w:r>
          </w:p>
        </w:tc>
        <w:tc>
          <w:tcPr>
            <w:tcW w:w="1371" w:type="dxa"/>
            <w:tcBorders>
              <w:top w:val="nil"/>
              <w:left w:val="nil"/>
              <w:bottom w:val="single" w:sz="4" w:space="0" w:color="auto"/>
              <w:right w:val="single" w:sz="4" w:space="0" w:color="auto"/>
            </w:tcBorders>
            <w:shd w:val="clear" w:color="auto" w:fill="auto"/>
            <w:noWrap/>
            <w:vAlign w:val="bottom"/>
          </w:tcPr>
          <w:p w14:paraId="3C22431B"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194" w:type="dxa"/>
            <w:tcBorders>
              <w:top w:val="nil"/>
              <w:left w:val="nil"/>
              <w:bottom w:val="single" w:sz="4" w:space="0" w:color="auto"/>
              <w:right w:val="single" w:sz="4" w:space="0" w:color="auto"/>
            </w:tcBorders>
            <w:shd w:val="clear" w:color="auto" w:fill="auto"/>
            <w:noWrap/>
            <w:vAlign w:val="bottom"/>
          </w:tcPr>
          <w:p w14:paraId="09753C34"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25,00%</w:t>
            </w:r>
          </w:p>
        </w:tc>
        <w:tc>
          <w:tcPr>
            <w:tcW w:w="1563" w:type="dxa"/>
            <w:tcBorders>
              <w:top w:val="nil"/>
              <w:left w:val="nil"/>
              <w:bottom w:val="single" w:sz="4" w:space="0" w:color="auto"/>
              <w:right w:val="single" w:sz="4" w:space="0" w:color="auto"/>
            </w:tcBorders>
            <w:shd w:val="clear" w:color="auto" w:fill="auto"/>
            <w:noWrap/>
            <w:vAlign w:val="bottom"/>
          </w:tcPr>
          <w:p w14:paraId="71933EC0"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3</w:t>
            </w:r>
          </w:p>
        </w:tc>
        <w:tc>
          <w:tcPr>
            <w:tcW w:w="1123" w:type="dxa"/>
            <w:tcBorders>
              <w:top w:val="nil"/>
              <w:left w:val="nil"/>
              <w:bottom w:val="single" w:sz="4" w:space="0" w:color="auto"/>
              <w:right w:val="single" w:sz="4" w:space="0" w:color="auto"/>
            </w:tcBorders>
            <w:shd w:val="clear" w:color="auto" w:fill="auto"/>
            <w:noWrap/>
            <w:vAlign w:val="bottom"/>
          </w:tcPr>
          <w:p w14:paraId="38DB3DDE"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75,00%</w:t>
            </w:r>
          </w:p>
        </w:tc>
      </w:tr>
      <w:tr w:rsidR="006111CD" w:rsidRPr="00564DC7" w14:paraId="12BC138E" w14:textId="77777777" w:rsidTr="00CB56D1">
        <w:trPr>
          <w:trHeight w:val="468"/>
        </w:trPr>
        <w:tc>
          <w:tcPr>
            <w:tcW w:w="3273" w:type="dxa"/>
            <w:tcBorders>
              <w:top w:val="nil"/>
              <w:left w:val="single" w:sz="4" w:space="0" w:color="auto"/>
              <w:bottom w:val="single" w:sz="4" w:space="0" w:color="auto"/>
              <w:right w:val="single" w:sz="4" w:space="0" w:color="auto"/>
            </w:tcBorders>
            <w:shd w:val="clear" w:color="auto" w:fill="auto"/>
            <w:noWrap/>
            <w:vAlign w:val="bottom"/>
            <w:hideMark/>
          </w:tcPr>
          <w:p w14:paraId="546F6FE1"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Total</w:t>
            </w:r>
          </w:p>
        </w:tc>
        <w:tc>
          <w:tcPr>
            <w:tcW w:w="1670" w:type="dxa"/>
            <w:tcBorders>
              <w:top w:val="nil"/>
              <w:left w:val="single" w:sz="4" w:space="0" w:color="auto"/>
              <w:bottom w:val="single" w:sz="4" w:space="0" w:color="auto"/>
              <w:right w:val="single" w:sz="4" w:space="0" w:color="auto"/>
            </w:tcBorders>
            <w:shd w:val="clear" w:color="auto" w:fill="auto"/>
            <w:noWrap/>
            <w:vAlign w:val="bottom"/>
          </w:tcPr>
          <w:p w14:paraId="5223DB23"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sz w:val="26"/>
                <w:szCs w:val="26"/>
              </w:rPr>
              <w:t>5</w:t>
            </w:r>
          </w:p>
        </w:tc>
        <w:tc>
          <w:tcPr>
            <w:tcW w:w="1371" w:type="dxa"/>
            <w:tcBorders>
              <w:top w:val="nil"/>
              <w:left w:val="nil"/>
              <w:bottom w:val="single" w:sz="4" w:space="0" w:color="auto"/>
              <w:right w:val="single" w:sz="4" w:space="0" w:color="auto"/>
            </w:tcBorders>
            <w:shd w:val="clear" w:color="auto" w:fill="auto"/>
            <w:noWrap/>
            <w:vAlign w:val="bottom"/>
          </w:tcPr>
          <w:p w14:paraId="449AA3BC"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sz w:val="26"/>
                <w:szCs w:val="26"/>
              </w:rPr>
              <w:t>1</w:t>
            </w:r>
          </w:p>
        </w:tc>
        <w:tc>
          <w:tcPr>
            <w:tcW w:w="1194" w:type="dxa"/>
            <w:tcBorders>
              <w:top w:val="nil"/>
              <w:left w:val="nil"/>
              <w:bottom w:val="single" w:sz="4" w:space="0" w:color="auto"/>
              <w:right w:val="single" w:sz="4" w:space="0" w:color="auto"/>
            </w:tcBorders>
            <w:shd w:val="clear" w:color="auto" w:fill="auto"/>
            <w:noWrap/>
            <w:vAlign w:val="bottom"/>
          </w:tcPr>
          <w:p w14:paraId="7B882ADA"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20,00%</w:t>
            </w:r>
          </w:p>
        </w:tc>
        <w:tc>
          <w:tcPr>
            <w:tcW w:w="1563" w:type="dxa"/>
            <w:tcBorders>
              <w:top w:val="nil"/>
              <w:left w:val="nil"/>
              <w:bottom w:val="single" w:sz="4" w:space="0" w:color="auto"/>
              <w:right w:val="single" w:sz="4" w:space="0" w:color="auto"/>
            </w:tcBorders>
            <w:shd w:val="clear" w:color="auto" w:fill="auto"/>
            <w:noWrap/>
            <w:vAlign w:val="bottom"/>
          </w:tcPr>
          <w:p w14:paraId="31E0D8F2"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sz w:val="26"/>
                <w:szCs w:val="26"/>
              </w:rPr>
              <w:t>4</w:t>
            </w:r>
          </w:p>
        </w:tc>
        <w:tc>
          <w:tcPr>
            <w:tcW w:w="1123" w:type="dxa"/>
            <w:tcBorders>
              <w:top w:val="nil"/>
              <w:left w:val="nil"/>
              <w:bottom w:val="single" w:sz="4" w:space="0" w:color="auto"/>
              <w:right w:val="single" w:sz="4" w:space="0" w:color="auto"/>
            </w:tcBorders>
            <w:shd w:val="clear" w:color="auto" w:fill="auto"/>
            <w:noWrap/>
            <w:vAlign w:val="bottom"/>
          </w:tcPr>
          <w:p w14:paraId="19EF772F"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80,00%</w:t>
            </w:r>
          </w:p>
        </w:tc>
      </w:tr>
    </w:tbl>
    <w:p w14:paraId="5446DB04" w14:textId="77777777" w:rsidR="006111CD" w:rsidRPr="00564DC7" w:rsidRDefault="006111CD" w:rsidP="00690186">
      <w:pPr>
        <w:tabs>
          <w:tab w:val="left" w:pos="3120"/>
        </w:tabs>
        <w:jc w:val="both"/>
        <w:rPr>
          <w:rFonts w:asciiTheme="minorHAnsi" w:eastAsiaTheme="minorHAnsi" w:hAnsiTheme="minorHAnsi" w:cstheme="minorHAnsi"/>
          <w:sz w:val="26"/>
          <w:szCs w:val="26"/>
          <w:shd w:val="clear" w:color="auto" w:fill="FFFFFF"/>
        </w:rPr>
      </w:pPr>
    </w:p>
    <w:tbl>
      <w:tblPr>
        <w:tblW w:w="10194" w:type="dxa"/>
        <w:tblLook w:val="04A0" w:firstRow="1" w:lastRow="0" w:firstColumn="1" w:lastColumn="0" w:noHBand="0" w:noVBand="1"/>
      </w:tblPr>
      <w:tblGrid>
        <w:gridCol w:w="3288"/>
        <w:gridCol w:w="1654"/>
        <w:gridCol w:w="1446"/>
        <w:gridCol w:w="1118"/>
        <w:gridCol w:w="1630"/>
        <w:gridCol w:w="1058"/>
      </w:tblGrid>
      <w:tr w:rsidR="00564DC7" w:rsidRPr="00564DC7" w14:paraId="7F1D8D49" w14:textId="77777777" w:rsidTr="00CB56D1">
        <w:trPr>
          <w:trHeight w:val="288"/>
        </w:trPr>
        <w:tc>
          <w:tcPr>
            <w:tcW w:w="3288" w:type="dxa"/>
            <w:vMerge w:val="restart"/>
            <w:tcBorders>
              <w:top w:val="single" w:sz="4" w:space="0" w:color="auto"/>
              <w:left w:val="single" w:sz="4" w:space="0" w:color="auto"/>
              <w:right w:val="single" w:sz="4" w:space="0" w:color="auto"/>
            </w:tcBorders>
            <w:shd w:val="clear" w:color="auto" w:fill="auto"/>
            <w:noWrap/>
            <w:vAlign w:val="bottom"/>
            <w:hideMark/>
          </w:tcPr>
          <w:p w14:paraId="5276F9B7"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Concurs/procedură</w:t>
            </w:r>
          </w:p>
          <w:p w14:paraId="3956B2DA"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 </w:t>
            </w:r>
          </w:p>
        </w:tc>
        <w:tc>
          <w:tcPr>
            <w:tcW w:w="165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E183913"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Persoane reexaminate</w:t>
            </w:r>
          </w:p>
        </w:tc>
        <w:tc>
          <w:tcPr>
            <w:tcW w:w="525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2526C9D" w14:textId="77777777" w:rsidR="006111CD" w:rsidRPr="00564DC7" w:rsidRDefault="006111CD" w:rsidP="00690186">
            <w:pPr>
              <w:jc w:val="center"/>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Calificative acordate</w:t>
            </w:r>
          </w:p>
        </w:tc>
      </w:tr>
      <w:tr w:rsidR="00564DC7" w:rsidRPr="00564DC7" w14:paraId="4ED731AA" w14:textId="77777777" w:rsidTr="00CB56D1">
        <w:trPr>
          <w:trHeight w:val="288"/>
        </w:trPr>
        <w:tc>
          <w:tcPr>
            <w:tcW w:w="3288" w:type="dxa"/>
            <w:vMerge/>
            <w:tcBorders>
              <w:left w:val="single" w:sz="4" w:space="0" w:color="auto"/>
              <w:bottom w:val="single" w:sz="4" w:space="0" w:color="auto"/>
              <w:right w:val="single" w:sz="4" w:space="0" w:color="auto"/>
            </w:tcBorders>
            <w:shd w:val="clear" w:color="auto" w:fill="auto"/>
            <w:noWrap/>
            <w:vAlign w:val="bottom"/>
            <w:hideMark/>
          </w:tcPr>
          <w:p w14:paraId="2BC229F3" w14:textId="77777777" w:rsidR="006111CD" w:rsidRPr="00564DC7" w:rsidRDefault="006111CD" w:rsidP="00690186">
            <w:pPr>
              <w:jc w:val="both"/>
              <w:rPr>
                <w:rFonts w:asciiTheme="minorHAnsi" w:hAnsiTheme="minorHAnsi" w:cstheme="minorHAnsi"/>
                <w:b/>
                <w:bCs/>
                <w:sz w:val="26"/>
                <w:szCs w:val="26"/>
                <w:lang w:eastAsia="ro-RO"/>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52D00FA4" w14:textId="77777777" w:rsidR="006111CD" w:rsidRPr="00564DC7" w:rsidRDefault="006111CD" w:rsidP="00690186">
            <w:pPr>
              <w:jc w:val="both"/>
              <w:rPr>
                <w:rFonts w:asciiTheme="minorHAnsi" w:hAnsiTheme="minorHAnsi" w:cstheme="minorHAnsi"/>
                <w:b/>
                <w:bCs/>
                <w:sz w:val="26"/>
                <w:szCs w:val="26"/>
                <w:lang w:eastAsia="ro-RO"/>
              </w:rPr>
            </w:pPr>
          </w:p>
        </w:tc>
        <w:tc>
          <w:tcPr>
            <w:tcW w:w="1446" w:type="dxa"/>
            <w:tcBorders>
              <w:top w:val="nil"/>
              <w:left w:val="nil"/>
              <w:bottom w:val="single" w:sz="4" w:space="0" w:color="auto"/>
              <w:right w:val="single" w:sz="4" w:space="0" w:color="auto"/>
            </w:tcBorders>
            <w:shd w:val="clear" w:color="auto" w:fill="auto"/>
            <w:noWrap/>
            <w:vAlign w:val="bottom"/>
            <w:hideMark/>
          </w:tcPr>
          <w:p w14:paraId="12F4E18B"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admis</w:t>
            </w:r>
          </w:p>
        </w:tc>
        <w:tc>
          <w:tcPr>
            <w:tcW w:w="1118" w:type="dxa"/>
            <w:tcBorders>
              <w:top w:val="nil"/>
              <w:left w:val="nil"/>
              <w:bottom w:val="single" w:sz="4" w:space="0" w:color="auto"/>
              <w:right w:val="single" w:sz="4" w:space="0" w:color="auto"/>
            </w:tcBorders>
            <w:shd w:val="clear" w:color="auto" w:fill="auto"/>
            <w:noWrap/>
            <w:vAlign w:val="bottom"/>
            <w:hideMark/>
          </w:tcPr>
          <w:p w14:paraId="577D589A"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c>
          <w:tcPr>
            <w:tcW w:w="1630" w:type="dxa"/>
            <w:tcBorders>
              <w:top w:val="nil"/>
              <w:left w:val="nil"/>
              <w:bottom w:val="single" w:sz="4" w:space="0" w:color="auto"/>
              <w:right w:val="single" w:sz="4" w:space="0" w:color="auto"/>
            </w:tcBorders>
            <w:shd w:val="clear" w:color="auto" w:fill="auto"/>
            <w:noWrap/>
            <w:vAlign w:val="bottom"/>
            <w:hideMark/>
          </w:tcPr>
          <w:p w14:paraId="7EBCF43E"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respins</w:t>
            </w:r>
          </w:p>
        </w:tc>
        <w:tc>
          <w:tcPr>
            <w:tcW w:w="1058" w:type="dxa"/>
            <w:tcBorders>
              <w:top w:val="nil"/>
              <w:left w:val="nil"/>
              <w:bottom w:val="single" w:sz="4" w:space="0" w:color="auto"/>
              <w:right w:val="single" w:sz="4" w:space="0" w:color="auto"/>
            </w:tcBorders>
            <w:shd w:val="clear" w:color="auto" w:fill="auto"/>
            <w:noWrap/>
            <w:vAlign w:val="bottom"/>
            <w:hideMark/>
          </w:tcPr>
          <w:p w14:paraId="31F2E8BC"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procent</w:t>
            </w:r>
          </w:p>
        </w:tc>
      </w:tr>
      <w:tr w:rsidR="00564DC7" w:rsidRPr="00564DC7" w14:paraId="03F1B494" w14:textId="77777777" w:rsidTr="00CB56D1">
        <w:trPr>
          <w:trHeight w:val="444"/>
        </w:trPr>
        <w:tc>
          <w:tcPr>
            <w:tcW w:w="3288" w:type="dxa"/>
            <w:tcBorders>
              <w:top w:val="nil"/>
              <w:left w:val="single" w:sz="4" w:space="0" w:color="auto"/>
              <w:bottom w:val="single" w:sz="4" w:space="0" w:color="auto"/>
              <w:right w:val="single" w:sz="4" w:space="0" w:color="auto"/>
            </w:tcBorders>
            <w:shd w:val="clear" w:color="auto" w:fill="auto"/>
            <w:noWrap/>
            <w:vAlign w:val="bottom"/>
          </w:tcPr>
          <w:p w14:paraId="30991788"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admitere INM/magistratură</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88EE6"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66</w:t>
            </w:r>
          </w:p>
        </w:tc>
        <w:tc>
          <w:tcPr>
            <w:tcW w:w="1446" w:type="dxa"/>
            <w:tcBorders>
              <w:top w:val="single" w:sz="4" w:space="0" w:color="auto"/>
              <w:left w:val="nil"/>
              <w:bottom w:val="single" w:sz="4" w:space="0" w:color="auto"/>
              <w:right w:val="single" w:sz="4" w:space="0" w:color="auto"/>
            </w:tcBorders>
            <w:shd w:val="clear" w:color="auto" w:fill="auto"/>
            <w:noWrap/>
            <w:vAlign w:val="bottom"/>
          </w:tcPr>
          <w:p w14:paraId="3AFF0D3C"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37</w:t>
            </w:r>
          </w:p>
        </w:tc>
        <w:tc>
          <w:tcPr>
            <w:tcW w:w="1118" w:type="dxa"/>
            <w:tcBorders>
              <w:top w:val="single" w:sz="4" w:space="0" w:color="auto"/>
              <w:left w:val="nil"/>
              <w:bottom w:val="single" w:sz="4" w:space="0" w:color="auto"/>
              <w:right w:val="single" w:sz="4" w:space="0" w:color="auto"/>
            </w:tcBorders>
            <w:shd w:val="clear" w:color="auto" w:fill="auto"/>
            <w:noWrap/>
            <w:vAlign w:val="bottom"/>
          </w:tcPr>
          <w:p w14:paraId="65AB7E0D"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56,06%</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7F0FAEF5"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29</w:t>
            </w:r>
          </w:p>
        </w:tc>
        <w:tc>
          <w:tcPr>
            <w:tcW w:w="1058" w:type="dxa"/>
            <w:tcBorders>
              <w:top w:val="single" w:sz="4" w:space="0" w:color="auto"/>
              <w:left w:val="nil"/>
              <w:bottom w:val="single" w:sz="4" w:space="0" w:color="auto"/>
              <w:right w:val="single" w:sz="4" w:space="0" w:color="auto"/>
            </w:tcBorders>
            <w:shd w:val="clear" w:color="auto" w:fill="auto"/>
            <w:noWrap/>
            <w:vAlign w:val="bottom"/>
          </w:tcPr>
          <w:p w14:paraId="17B7DEF9"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43,94%</w:t>
            </w:r>
          </w:p>
        </w:tc>
      </w:tr>
      <w:tr w:rsidR="00564DC7" w:rsidRPr="00564DC7" w14:paraId="27FE6A80" w14:textId="77777777" w:rsidTr="00CB56D1">
        <w:trPr>
          <w:trHeight w:val="444"/>
        </w:trPr>
        <w:tc>
          <w:tcPr>
            <w:tcW w:w="3288" w:type="dxa"/>
            <w:tcBorders>
              <w:top w:val="nil"/>
              <w:left w:val="single" w:sz="4" w:space="0" w:color="auto"/>
              <w:bottom w:val="single" w:sz="4" w:space="0" w:color="auto"/>
              <w:right w:val="single" w:sz="4" w:space="0" w:color="auto"/>
            </w:tcBorders>
            <w:shd w:val="clear" w:color="auto" w:fill="auto"/>
            <w:noWrap/>
            <w:vAlign w:val="bottom"/>
          </w:tcPr>
          <w:p w14:paraId="6AA93521"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reîncadrare în funcția de judecător</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828FF"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6</w:t>
            </w:r>
          </w:p>
        </w:tc>
        <w:tc>
          <w:tcPr>
            <w:tcW w:w="1446" w:type="dxa"/>
            <w:tcBorders>
              <w:top w:val="single" w:sz="4" w:space="0" w:color="auto"/>
              <w:left w:val="nil"/>
              <w:bottom w:val="single" w:sz="4" w:space="0" w:color="auto"/>
              <w:right w:val="single" w:sz="4" w:space="0" w:color="auto"/>
            </w:tcBorders>
            <w:shd w:val="clear" w:color="auto" w:fill="auto"/>
            <w:noWrap/>
            <w:vAlign w:val="center"/>
          </w:tcPr>
          <w:p w14:paraId="4EF9C20F"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2</w:t>
            </w:r>
          </w:p>
        </w:tc>
        <w:tc>
          <w:tcPr>
            <w:tcW w:w="1118" w:type="dxa"/>
            <w:tcBorders>
              <w:top w:val="single" w:sz="4" w:space="0" w:color="auto"/>
              <w:left w:val="nil"/>
              <w:bottom w:val="single" w:sz="4" w:space="0" w:color="auto"/>
              <w:right w:val="single" w:sz="4" w:space="0" w:color="auto"/>
            </w:tcBorders>
            <w:shd w:val="clear" w:color="auto" w:fill="auto"/>
            <w:noWrap/>
            <w:vAlign w:val="bottom"/>
          </w:tcPr>
          <w:p w14:paraId="5E96AA5D"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33,33%</w:t>
            </w:r>
          </w:p>
        </w:tc>
        <w:tc>
          <w:tcPr>
            <w:tcW w:w="1630" w:type="dxa"/>
            <w:tcBorders>
              <w:top w:val="single" w:sz="8" w:space="0" w:color="auto"/>
              <w:left w:val="nil"/>
              <w:bottom w:val="single" w:sz="8" w:space="0" w:color="auto"/>
              <w:right w:val="single" w:sz="8" w:space="0" w:color="auto"/>
            </w:tcBorders>
            <w:shd w:val="clear" w:color="auto" w:fill="auto"/>
            <w:noWrap/>
            <w:vAlign w:val="center"/>
          </w:tcPr>
          <w:p w14:paraId="5512A7B9"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93A4D"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66,67%</w:t>
            </w:r>
          </w:p>
        </w:tc>
      </w:tr>
      <w:tr w:rsidR="00564DC7" w:rsidRPr="00564DC7" w14:paraId="19EC083B" w14:textId="77777777" w:rsidTr="00CB56D1">
        <w:trPr>
          <w:trHeight w:val="444"/>
        </w:trPr>
        <w:tc>
          <w:tcPr>
            <w:tcW w:w="3288" w:type="dxa"/>
            <w:tcBorders>
              <w:top w:val="nil"/>
              <w:left w:val="single" w:sz="4" w:space="0" w:color="auto"/>
              <w:bottom w:val="single" w:sz="4" w:space="0" w:color="auto"/>
              <w:right w:val="single" w:sz="4" w:space="0" w:color="auto"/>
            </w:tcBorders>
            <w:shd w:val="clear" w:color="auto" w:fill="auto"/>
            <w:noWrap/>
            <w:vAlign w:val="bottom"/>
          </w:tcPr>
          <w:p w14:paraId="664871C3" w14:textId="77777777" w:rsidR="006111CD" w:rsidRPr="00564DC7" w:rsidRDefault="006111CD" w:rsidP="00690186">
            <w:pPr>
              <w:jc w:val="both"/>
              <w:rPr>
                <w:rFonts w:asciiTheme="minorHAnsi" w:hAnsiTheme="minorHAnsi" w:cstheme="minorHAnsi"/>
                <w:sz w:val="26"/>
                <w:szCs w:val="26"/>
                <w:lang w:eastAsia="ro-RO"/>
              </w:rPr>
            </w:pPr>
            <w:r w:rsidRPr="00564DC7">
              <w:rPr>
                <w:rFonts w:asciiTheme="minorHAnsi" w:hAnsiTheme="minorHAnsi" w:cstheme="minorHAnsi"/>
                <w:sz w:val="26"/>
                <w:szCs w:val="26"/>
                <w:lang w:eastAsia="ro-RO"/>
              </w:rPr>
              <w:t>reîncadrare în funcția de procuror</w:t>
            </w:r>
          </w:p>
        </w:tc>
        <w:tc>
          <w:tcPr>
            <w:tcW w:w="1654" w:type="dxa"/>
            <w:tcBorders>
              <w:top w:val="nil"/>
              <w:left w:val="single" w:sz="4" w:space="0" w:color="auto"/>
              <w:bottom w:val="single" w:sz="4" w:space="0" w:color="auto"/>
              <w:right w:val="single" w:sz="4" w:space="0" w:color="auto"/>
            </w:tcBorders>
            <w:shd w:val="clear" w:color="auto" w:fill="auto"/>
            <w:noWrap/>
            <w:vAlign w:val="center"/>
          </w:tcPr>
          <w:p w14:paraId="044127B3"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w:t>
            </w:r>
          </w:p>
        </w:tc>
        <w:tc>
          <w:tcPr>
            <w:tcW w:w="1446" w:type="dxa"/>
            <w:tcBorders>
              <w:top w:val="nil"/>
              <w:left w:val="nil"/>
              <w:bottom w:val="single" w:sz="4" w:space="0" w:color="auto"/>
              <w:right w:val="single" w:sz="4" w:space="0" w:color="auto"/>
            </w:tcBorders>
            <w:shd w:val="clear" w:color="auto" w:fill="auto"/>
            <w:noWrap/>
            <w:vAlign w:val="center"/>
          </w:tcPr>
          <w:p w14:paraId="529CBA0B" w14:textId="77777777" w:rsidR="006111CD" w:rsidRPr="0017447E" w:rsidRDefault="006111CD" w:rsidP="00690186">
            <w:pPr>
              <w:jc w:val="right"/>
              <w:rPr>
                <w:rFonts w:asciiTheme="minorHAnsi" w:eastAsiaTheme="minorHAnsi" w:hAnsiTheme="minorHAnsi" w:cstheme="minorHAnsi"/>
                <w:sz w:val="26"/>
                <w:szCs w:val="26"/>
              </w:rPr>
            </w:pPr>
            <w:r w:rsidRPr="0017447E">
              <w:rPr>
                <w:rFonts w:asciiTheme="minorHAnsi" w:eastAsiaTheme="minorHAnsi" w:hAnsiTheme="minorHAnsi" w:cstheme="minorHAnsi"/>
                <w:sz w:val="26"/>
                <w:szCs w:val="26"/>
              </w:rPr>
              <w:t>1</w:t>
            </w:r>
          </w:p>
        </w:tc>
        <w:tc>
          <w:tcPr>
            <w:tcW w:w="1118" w:type="dxa"/>
            <w:tcBorders>
              <w:top w:val="nil"/>
              <w:left w:val="nil"/>
              <w:bottom w:val="single" w:sz="4" w:space="0" w:color="auto"/>
              <w:right w:val="single" w:sz="4" w:space="0" w:color="auto"/>
            </w:tcBorders>
            <w:shd w:val="clear" w:color="auto" w:fill="auto"/>
            <w:noWrap/>
            <w:vAlign w:val="bottom"/>
          </w:tcPr>
          <w:p w14:paraId="619A24CA" w14:textId="77777777" w:rsidR="006111CD" w:rsidRPr="00564DC7" w:rsidRDefault="006111CD" w:rsidP="00690186">
            <w:pPr>
              <w:jc w:val="both"/>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100,0 %</w:t>
            </w:r>
          </w:p>
        </w:tc>
        <w:tc>
          <w:tcPr>
            <w:tcW w:w="1630" w:type="dxa"/>
            <w:tcBorders>
              <w:top w:val="nil"/>
              <w:left w:val="nil"/>
              <w:bottom w:val="single" w:sz="8" w:space="0" w:color="auto"/>
              <w:right w:val="single" w:sz="8" w:space="0" w:color="auto"/>
            </w:tcBorders>
            <w:shd w:val="clear" w:color="auto" w:fill="auto"/>
            <w:noWrap/>
            <w:vAlign w:val="center"/>
          </w:tcPr>
          <w:p w14:paraId="71824FB1"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0</w:t>
            </w:r>
          </w:p>
        </w:tc>
        <w:tc>
          <w:tcPr>
            <w:tcW w:w="1058" w:type="dxa"/>
            <w:tcBorders>
              <w:top w:val="nil"/>
              <w:left w:val="single" w:sz="4" w:space="0" w:color="auto"/>
              <w:bottom w:val="single" w:sz="4" w:space="0" w:color="auto"/>
              <w:right w:val="single" w:sz="4" w:space="0" w:color="auto"/>
            </w:tcBorders>
            <w:shd w:val="clear" w:color="auto" w:fill="auto"/>
            <w:noWrap/>
            <w:vAlign w:val="bottom"/>
          </w:tcPr>
          <w:p w14:paraId="2F38323D"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0,00%</w:t>
            </w:r>
          </w:p>
        </w:tc>
      </w:tr>
      <w:tr w:rsidR="00564DC7" w:rsidRPr="00564DC7" w14:paraId="0B735227" w14:textId="77777777" w:rsidTr="00CB56D1">
        <w:trPr>
          <w:trHeight w:val="288"/>
        </w:trPr>
        <w:tc>
          <w:tcPr>
            <w:tcW w:w="3288" w:type="dxa"/>
            <w:tcBorders>
              <w:top w:val="nil"/>
              <w:left w:val="single" w:sz="4" w:space="0" w:color="auto"/>
              <w:bottom w:val="single" w:sz="4" w:space="0" w:color="auto"/>
              <w:right w:val="single" w:sz="4" w:space="0" w:color="auto"/>
            </w:tcBorders>
            <w:shd w:val="clear" w:color="auto" w:fill="auto"/>
            <w:noWrap/>
            <w:vAlign w:val="bottom"/>
            <w:hideMark/>
          </w:tcPr>
          <w:p w14:paraId="3D28933C" w14:textId="77777777" w:rsidR="006111CD" w:rsidRPr="00564DC7" w:rsidRDefault="006111CD" w:rsidP="00690186">
            <w:pPr>
              <w:jc w:val="both"/>
              <w:rPr>
                <w:rFonts w:asciiTheme="minorHAnsi" w:hAnsiTheme="minorHAnsi" w:cstheme="minorHAnsi"/>
                <w:b/>
                <w:bCs/>
                <w:sz w:val="26"/>
                <w:szCs w:val="26"/>
                <w:lang w:eastAsia="ro-RO"/>
              </w:rPr>
            </w:pPr>
            <w:r w:rsidRPr="00564DC7">
              <w:rPr>
                <w:rFonts w:asciiTheme="minorHAnsi" w:hAnsiTheme="minorHAnsi" w:cstheme="minorHAnsi"/>
                <w:b/>
                <w:bCs/>
                <w:sz w:val="26"/>
                <w:szCs w:val="26"/>
                <w:lang w:eastAsia="ro-RO"/>
              </w:rPr>
              <w:t>Total</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52DA0"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73</w:t>
            </w:r>
          </w:p>
        </w:tc>
        <w:tc>
          <w:tcPr>
            <w:tcW w:w="1446" w:type="dxa"/>
            <w:tcBorders>
              <w:top w:val="single" w:sz="4" w:space="0" w:color="auto"/>
              <w:left w:val="nil"/>
              <w:bottom w:val="single" w:sz="4" w:space="0" w:color="auto"/>
              <w:right w:val="single" w:sz="4" w:space="0" w:color="auto"/>
            </w:tcBorders>
            <w:shd w:val="clear" w:color="auto" w:fill="auto"/>
            <w:noWrap/>
            <w:vAlign w:val="bottom"/>
          </w:tcPr>
          <w:p w14:paraId="53D4423E"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40</w:t>
            </w:r>
          </w:p>
        </w:tc>
        <w:tc>
          <w:tcPr>
            <w:tcW w:w="1118" w:type="dxa"/>
            <w:tcBorders>
              <w:top w:val="single" w:sz="4" w:space="0" w:color="auto"/>
              <w:left w:val="nil"/>
              <w:bottom w:val="single" w:sz="4" w:space="0" w:color="auto"/>
              <w:right w:val="single" w:sz="4" w:space="0" w:color="auto"/>
            </w:tcBorders>
            <w:shd w:val="clear" w:color="auto" w:fill="auto"/>
            <w:noWrap/>
            <w:vAlign w:val="bottom"/>
          </w:tcPr>
          <w:p w14:paraId="10FE2CAD"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54,79%</w:t>
            </w:r>
          </w:p>
        </w:tc>
        <w:tc>
          <w:tcPr>
            <w:tcW w:w="1630" w:type="dxa"/>
            <w:tcBorders>
              <w:top w:val="single" w:sz="4" w:space="0" w:color="auto"/>
              <w:left w:val="nil"/>
              <w:bottom w:val="single" w:sz="4" w:space="0" w:color="auto"/>
              <w:right w:val="single" w:sz="4" w:space="0" w:color="auto"/>
            </w:tcBorders>
            <w:shd w:val="clear" w:color="auto" w:fill="auto"/>
            <w:noWrap/>
            <w:vAlign w:val="bottom"/>
          </w:tcPr>
          <w:p w14:paraId="0204AEC3" w14:textId="77777777" w:rsidR="006111CD" w:rsidRPr="00564DC7" w:rsidRDefault="006111CD" w:rsidP="00690186">
            <w:pPr>
              <w:jc w:val="right"/>
              <w:rPr>
                <w:rFonts w:asciiTheme="minorHAnsi" w:eastAsiaTheme="minorHAnsi" w:hAnsiTheme="minorHAnsi" w:cstheme="minorHAnsi"/>
                <w:b/>
                <w:bCs/>
                <w:sz w:val="26"/>
                <w:szCs w:val="26"/>
              </w:rPr>
            </w:pPr>
            <w:r w:rsidRPr="00564DC7">
              <w:rPr>
                <w:rFonts w:asciiTheme="minorHAnsi" w:eastAsiaTheme="minorHAnsi" w:hAnsiTheme="minorHAnsi" w:cstheme="minorHAnsi"/>
                <w:b/>
                <w:bCs/>
                <w:sz w:val="26"/>
                <w:szCs w:val="26"/>
              </w:rPr>
              <w:t>33</w:t>
            </w:r>
          </w:p>
        </w:tc>
        <w:tc>
          <w:tcPr>
            <w:tcW w:w="1058" w:type="dxa"/>
            <w:tcBorders>
              <w:top w:val="single" w:sz="4" w:space="0" w:color="auto"/>
              <w:left w:val="nil"/>
              <w:bottom w:val="single" w:sz="4" w:space="0" w:color="auto"/>
              <w:right w:val="single" w:sz="4" w:space="0" w:color="auto"/>
            </w:tcBorders>
            <w:shd w:val="clear" w:color="auto" w:fill="auto"/>
            <w:noWrap/>
            <w:vAlign w:val="bottom"/>
          </w:tcPr>
          <w:p w14:paraId="08B10E04" w14:textId="77777777" w:rsidR="006111CD" w:rsidRPr="00564DC7" w:rsidRDefault="006111CD" w:rsidP="00690186">
            <w:pPr>
              <w:jc w:val="right"/>
              <w:rPr>
                <w:rFonts w:asciiTheme="minorHAnsi" w:eastAsiaTheme="minorHAnsi" w:hAnsiTheme="minorHAnsi" w:cstheme="minorHAnsi"/>
                <w:sz w:val="26"/>
                <w:szCs w:val="26"/>
              </w:rPr>
            </w:pPr>
            <w:r w:rsidRPr="00564DC7">
              <w:rPr>
                <w:rFonts w:asciiTheme="minorHAnsi" w:eastAsiaTheme="minorHAnsi" w:hAnsiTheme="minorHAnsi" w:cstheme="minorHAnsi"/>
                <w:sz w:val="26"/>
                <w:szCs w:val="26"/>
              </w:rPr>
              <w:t>45,21%</w:t>
            </w:r>
          </w:p>
        </w:tc>
      </w:tr>
    </w:tbl>
    <w:p w14:paraId="7EDE648B" w14:textId="4ED3812A"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Suplimentar faţă de concursurile menţionate, consilierul – psiholog (funcționar public)  a fost desemnat de conducerea Consiliului  în calitate de membru în comisia de interviu din cadrul </w:t>
      </w:r>
      <w:bookmarkStart w:id="187" w:name="_Hlk150193727"/>
      <w:r w:rsidRPr="00564DC7">
        <w:rPr>
          <w:rFonts w:asciiTheme="minorHAnsi" w:eastAsiaTheme="minorHAnsi" w:hAnsiTheme="minorHAnsi" w:cstheme="minorHAnsi"/>
          <w:sz w:val="26"/>
          <w:szCs w:val="26"/>
          <w:shd w:val="clear" w:color="auto" w:fill="FFFFFF"/>
        </w:rPr>
        <w:t>concursului de promovare în funcţia de judecător la Înalta Curte de Casaţie şi Justiţie, sesiunea noiembrie 2022 - martie 2023</w:t>
      </w:r>
      <w:bookmarkEnd w:id="187"/>
      <w:r w:rsidRPr="00564DC7">
        <w:rPr>
          <w:rFonts w:asciiTheme="minorHAnsi" w:eastAsiaTheme="minorHAnsi" w:hAnsiTheme="minorHAnsi" w:cstheme="minorHAnsi"/>
          <w:sz w:val="26"/>
          <w:szCs w:val="26"/>
          <w:shd w:val="clear" w:color="auto" w:fill="FFFFFF"/>
        </w:rPr>
        <w:t>,</w:t>
      </w:r>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concursului de promovare în funcţia de judecător la Înalta Curte de Casaţie şi Justiţie, sesiunea aprilie - septembrie 2023,</w:t>
      </w:r>
      <w:bookmarkStart w:id="188" w:name="_Hlk150193908"/>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 xml:space="preserve">procedurii pentru selecţia procurorilor de rang înalt în vederea efectuării de către Ministrul Justiţiei a propunerilor de numire în funcţiile de conducere vacante de </w:t>
      </w:r>
      <w:bookmarkEnd w:id="188"/>
      <w:r w:rsidRPr="00564DC7">
        <w:rPr>
          <w:rFonts w:asciiTheme="minorHAnsi" w:eastAsiaTheme="minorHAnsi" w:hAnsiTheme="minorHAnsi" w:cstheme="minorHAnsi"/>
          <w:sz w:val="26"/>
          <w:szCs w:val="26"/>
          <w:shd w:val="clear" w:color="auto" w:fill="FFFFFF"/>
        </w:rPr>
        <w:t>procuror general al Parchetului de pe lângă Înalta Curte de Casaţie şi Justiţie și</w:t>
      </w:r>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procuror şef al Direcţiei Naţionale Anticorupţie,</w:t>
      </w:r>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procedurii pentru selecţia procurorilor de rang înalt în vederea efectuării de către Ministrul Justiţiei a propunerilor de numire în funcţia de conducere vacantă de procuror şef al Direcţiei de Investigare a Infracţiunilor de Criminalitate Organizată şi Terorism și concursului pentru ocuparea posturilor vacante de procuror existente în cadrul Structurii centrale şi teritoriale a DIICOT.</w:t>
      </w:r>
    </w:p>
    <w:p w14:paraId="34C41C09" w14:textId="344B3845"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Raportat la numărul total de candidați examinați în cursul anului 2023, volumul de activitate al CPP a înregistrat o creștere de 6.64%, comparativ cu anul 2022.</w:t>
      </w:r>
    </w:p>
    <w:p w14:paraId="25FB80A3" w14:textId="44BA78A5"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Referitor la atribuția CPP privind  organizarea  trimestrială a </w:t>
      </w:r>
      <w:bookmarkStart w:id="189" w:name="_Hlk150195572"/>
      <w:r w:rsidRPr="00564DC7">
        <w:rPr>
          <w:rFonts w:asciiTheme="minorHAnsi" w:eastAsiaTheme="minorHAnsi" w:hAnsiTheme="minorHAnsi" w:cstheme="minorHAnsi"/>
          <w:sz w:val="26"/>
          <w:szCs w:val="26"/>
          <w:shd w:val="clear" w:color="auto" w:fill="FFFFFF"/>
        </w:rPr>
        <w:t>sesiunilor de dezvoltare a abilităţilor psihologice</w:t>
      </w:r>
      <w:bookmarkEnd w:id="189"/>
      <w:r w:rsidRPr="00564DC7">
        <w:rPr>
          <w:rFonts w:asciiTheme="minorHAnsi" w:eastAsiaTheme="minorHAnsi" w:hAnsiTheme="minorHAnsi" w:cstheme="minorHAnsi"/>
          <w:sz w:val="26"/>
          <w:szCs w:val="26"/>
          <w:shd w:val="clear" w:color="auto" w:fill="FFFFFF"/>
        </w:rPr>
        <w:t xml:space="preserve"> specifice pentru personalul Consiliului, în cursul anului 2023 au fost organizate 3 sesiuni la nivelul aparatului tehnic.</w:t>
      </w:r>
    </w:p>
    <w:p w14:paraId="3C82C09C" w14:textId="40B33A04"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Având în vedere optimizarea sesiunilor de dezvoltare a abilităţilor psihologice în funcție de nevoile specifice personalului Consiliului, instanțelor și unităților de parchet, în cursul anului 2023 la nivelul CPP a fost elaborat  un chestionar de evaluare a nevoilor de asistență psihologică, acesta fiind distribuit, pentru completare online, pe adresele de email ale personalului de la nivelul Consiliului, precum și ale judecătorilor și procurorilor de la nivelul instanțelor și parchetelor.</w:t>
      </w:r>
    </w:p>
    <w:p w14:paraId="7F2400E0" w14:textId="2FF1677E"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În ceea ce privește</w:t>
      </w:r>
      <w:r w:rsidR="009806B9">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 xml:space="preserve">datele colectate, acestea au scos în evidență interesul sporit al respondenților de la nivelul Consiliului (N =78) de a participa la sesiunile de dezvoltare a abilităților psihologice, 72.1% dintre respondenți apreciind că sunt interesați și foarte interesați să participe la acest tip de activități. </w:t>
      </w:r>
    </w:p>
    <w:p w14:paraId="4D251D83" w14:textId="77777777" w:rsidR="006111CD" w:rsidRPr="00564DC7" w:rsidRDefault="006111CD" w:rsidP="00690186">
      <w:pPr>
        <w:jc w:val="center"/>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noProof/>
          <w:sz w:val="26"/>
          <w:szCs w:val="26"/>
          <w:lang w:val="en-US"/>
        </w:rPr>
        <w:lastRenderedPageBreak/>
        <w:drawing>
          <wp:inline distT="0" distB="0" distL="0" distR="0" wp14:anchorId="611C4E04" wp14:editId="15E9CE04">
            <wp:extent cx="5060039" cy="24765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69949" cy="2481350"/>
                    </a:xfrm>
                    <a:prstGeom prst="rect">
                      <a:avLst/>
                    </a:prstGeom>
                  </pic:spPr>
                </pic:pic>
              </a:graphicData>
            </a:graphic>
          </wp:inline>
        </w:drawing>
      </w:r>
    </w:p>
    <w:p w14:paraId="23E9F944" w14:textId="77777777"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                                                                      Situație - CSM</w:t>
      </w:r>
    </w:p>
    <w:p w14:paraId="620C74E7" w14:textId="6CD9C9ED"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Același intere</w:t>
      </w:r>
      <w:r w:rsidR="004C406B">
        <w:rPr>
          <w:rFonts w:asciiTheme="minorHAnsi" w:eastAsiaTheme="minorHAnsi" w:hAnsiTheme="minorHAnsi" w:cstheme="minorHAnsi"/>
          <w:sz w:val="26"/>
          <w:szCs w:val="26"/>
          <w:shd w:val="clear" w:color="auto" w:fill="FFFFFF"/>
        </w:rPr>
        <w:t xml:space="preserve">s </w:t>
      </w:r>
      <w:r w:rsidRPr="00564DC7">
        <w:rPr>
          <w:rFonts w:asciiTheme="minorHAnsi" w:eastAsiaTheme="minorHAnsi" w:hAnsiTheme="minorHAnsi" w:cstheme="minorHAnsi"/>
          <w:sz w:val="26"/>
          <w:szCs w:val="26"/>
          <w:shd w:val="clear" w:color="auto" w:fill="FFFFFF"/>
        </w:rPr>
        <w:t>sporit pentru participarea la activitățile de dezvoltare a abilităților psihologice a fost înregistrat și la nivelul judecătorilor (N=306), 62.5% dintre respondenți fiind interesați într-o mare măsură de acest tip de activități, respectiv al procurorilor (N= 283), 53% dintre respondenți fiind interesați de acest tip de activități.</w:t>
      </w:r>
    </w:p>
    <w:p w14:paraId="40749389" w14:textId="2BFCC749"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Referitor la structura sesiunilor de dezvoltare a abilităților psihologice, 71.6% dintre judecători doresc ca acestea să aibă o componentă preponderent practic-aplicativă, comparativ cu  66.1% dintre procurori și 57% dintre respondenții de la nivelul Consiliului, aspect care scoate în evidență diferențele dintre</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solicitările specifice de la nivelul instituțiilor din cadrul sistemului judiciar.</w:t>
      </w:r>
    </w:p>
    <w:p w14:paraId="2C40B80A" w14:textId="77777777" w:rsidR="006111CD" w:rsidRPr="00564DC7" w:rsidRDefault="006111CD" w:rsidP="00690186">
      <w:pPr>
        <w:tabs>
          <w:tab w:val="left" w:pos="3120"/>
        </w:tabs>
        <w:jc w:val="center"/>
        <w:rPr>
          <w:rFonts w:asciiTheme="minorHAnsi" w:eastAsiaTheme="minorHAnsi" w:hAnsiTheme="minorHAnsi" w:cstheme="minorHAnsi"/>
          <w:noProof/>
          <w:sz w:val="26"/>
          <w:szCs w:val="26"/>
          <w:shd w:val="clear" w:color="auto" w:fill="FFFFFF"/>
        </w:rPr>
      </w:pPr>
      <w:r w:rsidRPr="00564DC7">
        <w:rPr>
          <w:rFonts w:asciiTheme="minorHAnsi" w:eastAsiaTheme="minorHAnsi" w:hAnsiTheme="minorHAnsi" w:cstheme="minorHAnsi"/>
          <w:noProof/>
          <w:sz w:val="26"/>
          <w:szCs w:val="26"/>
          <w:shd w:val="clear" w:color="auto" w:fill="FFFFFF"/>
          <w:lang w:val="en-US"/>
        </w:rPr>
        <w:drawing>
          <wp:inline distT="0" distB="0" distL="0" distR="0" wp14:anchorId="45912BC5" wp14:editId="6D4906DF">
            <wp:extent cx="5039535" cy="1908313"/>
            <wp:effectExtent l="0" t="0" r="0" b="0"/>
            <wp:docPr id="200981074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60267" cy="1916164"/>
                    </a:xfrm>
                    <a:prstGeom prst="rect">
                      <a:avLst/>
                    </a:prstGeom>
                    <a:noFill/>
                  </pic:spPr>
                </pic:pic>
              </a:graphicData>
            </a:graphic>
          </wp:inline>
        </w:drawing>
      </w:r>
    </w:p>
    <w:p w14:paraId="5E874863" w14:textId="77777777" w:rsidR="006111CD" w:rsidRPr="00564DC7" w:rsidRDefault="006111CD" w:rsidP="00690186">
      <w:pPr>
        <w:tabs>
          <w:tab w:val="left" w:pos="3120"/>
        </w:tabs>
        <w:ind w:firstLine="709"/>
        <w:jc w:val="center"/>
        <w:rPr>
          <w:rFonts w:asciiTheme="minorHAnsi" w:eastAsiaTheme="minorHAnsi" w:hAnsiTheme="minorHAnsi" w:cstheme="minorHAnsi"/>
          <w:noProof/>
          <w:sz w:val="26"/>
          <w:szCs w:val="26"/>
          <w:shd w:val="clear" w:color="auto" w:fill="FFFFFF"/>
        </w:rPr>
      </w:pPr>
      <w:r w:rsidRPr="00564DC7">
        <w:rPr>
          <w:rFonts w:asciiTheme="minorHAnsi" w:eastAsiaTheme="minorHAnsi" w:hAnsiTheme="minorHAnsi" w:cstheme="minorHAnsi"/>
          <w:noProof/>
          <w:sz w:val="26"/>
          <w:szCs w:val="26"/>
          <w:shd w:val="clear" w:color="auto" w:fill="FFFFFF"/>
        </w:rPr>
        <w:t>Situație – instanțe judecătorești</w:t>
      </w:r>
    </w:p>
    <w:p w14:paraId="4202E758" w14:textId="57A7D453" w:rsidR="006111CD" w:rsidRPr="00564DC7" w:rsidRDefault="006111CD" w:rsidP="00690186">
      <w:pPr>
        <w:tabs>
          <w:tab w:val="left" w:pos="3120"/>
        </w:tabs>
        <w:ind w:firstLine="709"/>
        <w:jc w:val="both"/>
        <w:rPr>
          <w:rFonts w:asciiTheme="minorHAnsi" w:eastAsiaTheme="minorHAnsi" w:hAnsiTheme="minorHAnsi" w:cstheme="minorHAnsi"/>
          <w:noProof/>
          <w:sz w:val="26"/>
          <w:szCs w:val="26"/>
          <w:shd w:val="clear" w:color="auto" w:fill="FFFFFF"/>
        </w:rPr>
      </w:pPr>
      <w:r w:rsidRPr="00564DC7">
        <w:rPr>
          <w:rFonts w:asciiTheme="minorHAnsi" w:eastAsiaTheme="minorHAnsi" w:hAnsiTheme="minorHAnsi" w:cstheme="minorHAnsi"/>
          <w:noProof/>
          <w:sz w:val="26"/>
          <w:szCs w:val="26"/>
          <w:shd w:val="clear" w:color="auto" w:fill="FFFFFF"/>
        </w:rPr>
        <w:t>În ceea ce privește compoziția grupului de participanți, majoritatea respondenților optează  pentru grupuri mici, formate din</w:t>
      </w:r>
      <w:r w:rsidR="004C406B">
        <w:rPr>
          <w:rFonts w:asciiTheme="minorHAnsi" w:eastAsiaTheme="minorHAnsi" w:hAnsiTheme="minorHAnsi" w:cstheme="minorHAnsi"/>
          <w:noProof/>
          <w:sz w:val="26"/>
          <w:szCs w:val="26"/>
          <w:shd w:val="clear" w:color="auto" w:fill="FFFFFF"/>
        </w:rPr>
        <w:t xml:space="preserve"> </w:t>
      </w:r>
      <w:r w:rsidRPr="00564DC7">
        <w:rPr>
          <w:rFonts w:asciiTheme="minorHAnsi" w:eastAsiaTheme="minorHAnsi" w:hAnsiTheme="minorHAnsi" w:cstheme="minorHAnsi"/>
          <w:noProof/>
          <w:sz w:val="26"/>
          <w:szCs w:val="26"/>
          <w:shd w:val="clear" w:color="auto" w:fill="FFFFFF"/>
        </w:rPr>
        <w:t xml:space="preserve">3-6 persoane, aspect care corelează semnificativ cu  scopul  practic-aplicativ al sesiunilor de dezvoltare a abilităților psihologice.  </w:t>
      </w:r>
    </w:p>
    <w:p w14:paraId="0471EFA4" w14:textId="77777777" w:rsidR="006111CD" w:rsidRPr="00564DC7" w:rsidRDefault="006111CD" w:rsidP="00690186">
      <w:pPr>
        <w:tabs>
          <w:tab w:val="left" w:pos="3120"/>
        </w:tabs>
        <w:ind w:firstLine="709"/>
        <w:jc w:val="center"/>
        <w:rPr>
          <w:rFonts w:asciiTheme="minorHAnsi" w:eastAsiaTheme="minorHAnsi" w:hAnsiTheme="minorHAnsi" w:cstheme="minorHAnsi"/>
          <w:sz w:val="26"/>
          <w:szCs w:val="26"/>
          <w:shd w:val="clear" w:color="auto" w:fill="FFFFFF"/>
        </w:rPr>
      </w:pPr>
    </w:p>
    <w:p w14:paraId="220323CC" w14:textId="77777777" w:rsidR="006111CD" w:rsidRPr="00564DC7" w:rsidRDefault="006111CD" w:rsidP="00690186">
      <w:pPr>
        <w:jc w:val="center"/>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noProof/>
          <w:sz w:val="26"/>
          <w:szCs w:val="26"/>
          <w:lang w:val="en-US"/>
        </w:rPr>
        <w:drawing>
          <wp:inline distT="0" distB="0" distL="0" distR="0" wp14:anchorId="25997ED7" wp14:editId="0CA3D241">
            <wp:extent cx="4821003" cy="2121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62813" cy="2139949"/>
                    </a:xfrm>
                    <a:prstGeom prst="rect">
                      <a:avLst/>
                    </a:prstGeom>
                  </pic:spPr>
                </pic:pic>
              </a:graphicData>
            </a:graphic>
          </wp:inline>
        </w:drawing>
      </w:r>
    </w:p>
    <w:p w14:paraId="0AB41DA8" w14:textId="77777777"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                                                 Situație  - CSM</w:t>
      </w:r>
    </w:p>
    <w:p w14:paraId="1715BFB2" w14:textId="2DC2DA1E" w:rsidR="006111CD"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lastRenderedPageBreak/>
        <w:t>Referitor la frecvența organizării sesiunilor de dezvoltare a abilităților psihologice, majoritatea respondenților optează pentru desfășurarea</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trimestrială, aspect care scoate în evidență utilitatea acestei activități din perspectiva gestionării eficiente a solicitărilor profesionale de la nivelul Consiliului, instanțelor și unităților de parchet.</w:t>
      </w:r>
    </w:p>
    <w:p w14:paraId="28E7EA3C" w14:textId="77777777" w:rsidR="00380430" w:rsidRPr="00564DC7" w:rsidRDefault="00380430" w:rsidP="00690186">
      <w:pPr>
        <w:tabs>
          <w:tab w:val="left" w:pos="3120"/>
        </w:tabs>
        <w:ind w:firstLine="709"/>
        <w:jc w:val="both"/>
        <w:rPr>
          <w:rFonts w:asciiTheme="minorHAnsi" w:eastAsiaTheme="minorHAnsi" w:hAnsiTheme="minorHAnsi" w:cstheme="minorHAnsi"/>
          <w:sz w:val="26"/>
          <w:szCs w:val="26"/>
          <w:shd w:val="clear" w:color="auto" w:fill="FFFFFF"/>
        </w:rPr>
      </w:pPr>
    </w:p>
    <w:p w14:paraId="3867D7E5" w14:textId="77777777" w:rsidR="006111CD" w:rsidRPr="00564DC7" w:rsidRDefault="006111CD" w:rsidP="00500978">
      <w:pPr>
        <w:tabs>
          <w:tab w:val="left" w:pos="3120"/>
        </w:tabs>
        <w:jc w:val="center"/>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noProof/>
          <w:sz w:val="26"/>
          <w:szCs w:val="26"/>
          <w:lang w:val="en-US"/>
        </w:rPr>
        <w:drawing>
          <wp:inline distT="0" distB="0" distL="0" distR="0" wp14:anchorId="03C5BA6B" wp14:editId="538D5431">
            <wp:extent cx="4311598" cy="20027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7807" cy="2024190"/>
                    </a:xfrm>
                    <a:prstGeom prst="rect">
                      <a:avLst/>
                    </a:prstGeom>
                  </pic:spPr>
                </pic:pic>
              </a:graphicData>
            </a:graphic>
          </wp:inline>
        </w:drawing>
      </w:r>
    </w:p>
    <w:p w14:paraId="586AEBDA" w14:textId="77777777"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                                          Situație – unități de parchet</w:t>
      </w:r>
    </w:p>
    <w:p w14:paraId="6F173B4D" w14:textId="1F82851A" w:rsidR="006111CD"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În ceea ce privește desfășurarea sesiunilor, majoritatea participanților preferă ca acestea să se desfășoare  în  format  fizic, la locul de muncă, principalele teme de interes fiind gestionarea relațiilor tensionate, deprinderi pentru toleranța distresului, echilibrul viață profesională – viață privată, tehnici de mindfulness etc.</w:t>
      </w:r>
    </w:p>
    <w:p w14:paraId="1B0AFD12" w14:textId="77777777" w:rsidR="00380430" w:rsidRPr="00564DC7" w:rsidRDefault="00380430" w:rsidP="00690186">
      <w:pPr>
        <w:tabs>
          <w:tab w:val="left" w:pos="3120"/>
        </w:tabs>
        <w:ind w:firstLine="709"/>
        <w:jc w:val="both"/>
        <w:rPr>
          <w:rFonts w:asciiTheme="minorHAnsi" w:eastAsiaTheme="minorHAnsi" w:hAnsiTheme="minorHAnsi" w:cstheme="minorHAnsi"/>
          <w:sz w:val="26"/>
          <w:szCs w:val="26"/>
          <w:shd w:val="clear" w:color="auto" w:fill="FFFFFF"/>
        </w:rPr>
      </w:pPr>
    </w:p>
    <w:p w14:paraId="7A1B3E20" w14:textId="77777777" w:rsidR="006111CD" w:rsidRPr="00564DC7" w:rsidRDefault="006111CD" w:rsidP="00500978">
      <w:pPr>
        <w:jc w:val="center"/>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noProof/>
          <w:sz w:val="26"/>
          <w:szCs w:val="26"/>
          <w:lang w:val="en-US"/>
        </w:rPr>
        <w:drawing>
          <wp:inline distT="0" distB="0" distL="0" distR="0" wp14:anchorId="6FE3B3EA" wp14:editId="0D7A093A">
            <wp:extent cx="4472029" cy="19353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96067" cy="1945798"/>
                    </a:xfrm>
                    <a:prstGeom prst="rect">
                      <a:avLst/>
                    </a:prstGeom>
                  </pic:spPr>
                </pic:pic>
              </a:graphicData>
            </a:graphic>
          </wp:inline>
        </w:drawing>
      </w:r>
    </w:p>
    <w:p w14:paraId="536A9E47" w14:textId="77777777"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                                                Situație – instanțe</w:t>
      </w:r>
    </w:p>
    <w:p w14:paraId="050DD83F" w14:textId="7D9371E2"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Referitor la consilierea psihologică la cerere, marea majoritate a participanților preferă ca eventualele solicitări</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să fie</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comunicate către psiholog</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prin email, procente mai mici fiind ale respondenților care preferă să adreseze personal eventualele cereri sau telefonic.</w:t>
      </w:r>
    </w:p>
    <w:p w14:paraId="7F2DAE57" w14:textId="77777777" w:rsidR="006111CD" w:rsidRPr="00564DC7" w:rsidRDefault="006111CD" w:rsidP="00500978">
      <w:pPr>
        <w:jc w:val="center"/>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noProof/>
          <w:sz w:val="26"/>
          <w:szCs w:val="26"/>
          <w:lang w:val="en-US"/>
        </w:rPr>
        <w:drawing>
          <wp:inline distT="0" distB="0" distL="0" distR="0" wp14:anchorId="1DC0BB3B" wp14:editId="05DB9304">
            <wp:extent cx="5019040" cy="20872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55407" cy="2102340"/>
                    </a:xfrm>
                    <a:prstGeom prst="rect">
                      <a:avLst/>
                    </a:prstGeom>
                  </pic:spPr>
                </pic:pic>
              </a:graphicData>
            </a:graphic>
          </wp:inline>
        </w:drawing>
      </w:r>
    </w:p>
    <w:p w14:paraId="397B40CE" w14:textId="075DF000"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Referitor la activitatea privind coordonarea metodologică a psihologilor din sistemul judiciar, în cursul anului 2023 la nivelul CPP au fost centralizate și analizate  rapoartele de activitate  ale  psihologilor  de la nivelul instanţelor </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şi  unităților de parchet,  pentru anul 2022.</w:t>
      </w:r>
    </w:p>
    <w:p w14:paraId="4871E1D2" w14:textId="5E3628C5"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lastRenderedPageBreak/>
        <w:t xml:space="preserve">Din analiza datelor, rezultă  că  au fost realizate  studii  de  climat organizațional pe raza a 10 curți de apel (5 tribunale și 23 judecătorii) și a DNA, concluziile fiind comunicate, în unele  cazuri, conducerii și angajaților prin intermediul rapoartelor, discuțiilor, workshopurilor și pliantelor. </w:t>
      </w:r>
    </w:p>
    <w:p w14:paraId="53F11DF7" w14:textId="66CDB50F"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În ceea ce privește</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activitățile de asistență psihologică la cerere, acestea s-au desfășurat pe raza a 13 curți de apel și DNA  în format  fizic, online  și telefonic.</w:t>
      </w:r>
    </w:p>
    <w:p w14:paraId="64175D0D" w14:textId="6BFAAF44"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Sesiunile de dezvoltare a abilităților psihologice s-au organizat la nivelul a  14 curți de apel, 10 tribunale, 22 de judecătorii și DNA. Acestea au abordat teme referitoare la stres, epuizare, gestionarea relațiilor interpersonale și</w:t>
      </w:r>
      <w:r w:rsidR="004C406B">
        <w:rPr>
          <w:rFonts w:asciiTheme="minorHAnsi" w:eastAsiaTheme="minorHAnsi" w:hAnsiTheme="minorHAnsi" w:cstheme="minorHAnsi"/>
          <w:sz w:val="26"/>
          <w:szCs w:val="26"/>
          <w:shd w:val="clear" w:color="auto" w:fill="FFFFFF"/>
        </w:rPr>
        <w:t xml:space="preserve"> </w:t>
      </w:r>
      <w:r w:rsidRPr="00564DC7">
        <w:rPr>
          <w:rFonts w:asciiTheme="minorHAnsi" w:eastAsiaTheme="minorHAnsi" w:hAnsiTheme="minorHAnsi" w:cstheme="minorHAnsi"/>
          <w:sz w:val="26"/>
          <w:szCs w:val="26"/>
          <w:shd w:val="clear" w:color="auto" w:fill="FFFFFF"/>
        </w:rPr>
        <w:t xml:space="preserve">a conflictelor, exerciții de autocunoaștere și dezvoltare personală, dezvoltarea inteligenței emoționale, metode de comunicare eficiente și aspecte legate de valori și principii în mediul organizațional. </w:t>
      </w:r>
    </w:p>
    <w:p w14:paraId="6F59B122" w14:textId="16110B55"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Referitor la structura rapoartelor de activitate întocmite de psihologii de la nivelul instanțelor și unităților de parchet, aceasta este una nesistematizată, modalitatea de raportare a datelor cantitative și calitative fiind foarte diferită, fapt care conduce la dificultăți în prelucrarea  ulterioară a acestora în scopuri statistice.</w:t>
      </w:r>
    </w:p>
    <w:p w14:paraId="5EED5764" w14:textId="26EC7FD7"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De asemenea, referitor la studiile de climat organizațional, din analiza datelor  se observă lipsa unei metodologii unitare de lucru, fapt care afectează eficiența demersului pentru diagnosticarea eventualelor disfuncţionalităţi sistemice, în scopul eficientizării şi ameliorării condiţiilor de muncă de la nivelul instanțelor și parchetelor.</w:t>
      </w:r>
    </w:p>
    <w:p w14:paraId="523E82D9" w14:textId="14162A46" w:rsidR="006111CD" w:rsidRPr="00564DC7" w:rsidRDefault="006111CD" w:rsidP="00690186">
      <w:pPr>
        <w:tabs>
          <w:tab w:val="left" w:pos="3120"/>
        </w:tabs>
        <w:ind w:firstLine="709"/>
        <w:jc w:val="both"/>
        <w:rPr>
          <w:rFonts w:asciiTheme="minorHAnsi" w:eastAsiaTheme="minorHAnsi" w:hAnsiTheme="minorHAnsi" w:cstheme="minorHAnsi"/>
          <w:sz w:val="26"/>
          <w:szCs w:val="26"/>
          <w:shd w:val="clear" w:color="auto" w:fill="FFFFFF"/>
        </w:rPr>
      </w:pPr>
      <w:r w:rsidRPr="00564DC7">
        <w:rPr>
          <w:rFonts w:asciiTheme="minorHAnsi" w:eastAsiaTheme="minorHAnsi" w:hAnsiTheme="minorHAnsi" w:cstheme="minorHAnsi"/>
          <w:sz w:val="26"/>
          <w:szCs w:val="26"/>
          <w:shd w:val="clear" w:color="auto" w:fill="FFFFFF"/>
        </w:rPr>
        <w:t xml:space="preserve">Raportat la situația prezentată, CPP va întreprinde demersuri pentru standardizarea structurii rapoartelor de activitate ale psihologilor din sistemul judiciar, precum și pentru elaborarea unei metodologii unitare de analiză a climatului organizațional. </w:t>
      </w:r>
    </w:p>
    <w:p w14:paraId="7166C4D4" w14:textId="4E5584E8" w:rsidR="006111CD" w:rsidRPr="00564DC7" w:rsidRDefault="006111CD" w:rsidP="00690186">
      <w:pPr>
        <w:tabs>
          <w:tab w:val="left" w:pos="3120"/>
        </w:tabs>
        <w:ind w:firstLine="709"/>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Referitor la organizarea internă a structurii, în anul 2023, s-a procedat la implementarea măsurilor stabilite de Comisia de monitorizare a Sistemului de control intern managerial din cadrul</w:t>
      </w:r>
      <w:r w:rsidR="004C406B">
        <w:rPr>
          <w:rFonts w:asciiTheme="minorHAnsi" w:hAnsiTheme="minorHAnsi" w:cstheme="minorHAnsi"/>
          <w:sz w:val="26"/>
          <w:szCs w:val="26"/>
          <w:lang w:eastAsia="en-GB"/>
        </w:rPr>
        <w:t xml:space="preserve"> </w:t>
      </w:r>
      <w:r w:rsidRPr="00564DC7">
        <w:rPr>
          <w:rFonts w:asciiTheme="minorHAnsi" w:hAnsiTheme="minorHAnsi" w:cstheme="minorHAnsi"/>
          <w:sz w:val="26"/>
          <w:szCs w:val="26"/>
          <w:lang w:eastAsia="en-GB"/>
        </w:rPr>
        <w:t>Consil</w:t>
      </w:r>
      <w:r w:rsidR="004C406B">
        <w:rPr>
          <w:rFonts w:asciiTheme="minorHAnsi" w:hAnsiTheme="minorHAnsi" w:cstheme="minorHAnsi"/>
          <w:sz w:val="26"/>
          <w:szCs w:val="26"/>
          <w:lang w:eastAsia="en-GB"/>
        </w:rPr>
        <w:t>i</w:t>
      </w:r>
      <w:r w:rsidRPr="00564DC7">
        <w:rPr>
          <w:rFonts w:asciiTheme="minorHAnsi" w:hAnsiTheme="minorHAnsi" w:cstheme="minorHAnsi"/>
          <w:sz w:val="26"/>
          <w:szCs w:val="26"/>
          <w:lang w:eastAsia="en-GB"/>
        </w:rPr>
        <w:t>ului, sens în care au fost comunicate rapoartel</w:t>
      </w:r>
      <w:r w:rsidR="004C406B">
        <w:rPr>
          <w:rFonts w:asciiTheme="minorHAnsi" w:hAnsiTheme="minorHAnsi" w:cstheme="minorHAnsi"/>
          <w:sz w:val="26"/>
          <w:szCs w:val="26"/>
          <w:lang w:eastAsia="en-GB"/>
        </w:rPr>
        <w:t xml:space="preserve">e </w:t>
      </w:r>
      <w:r w:rsidRPr="00564DC7">
        <w:rPr>
          <w:rFonts w:asciiTheme="minorHAnsi" w:hAnsiTheme="minorHAnsi" w:cstheme="minorHAnsi"/>
          <w:sz w:val="26"/>
          <w:szCs w:val="26"/>
          <w:lang w:eastAsia="en-GB"/>
        </w:rPr>
        <w:t xml:space="preserve">privind monitorizarea performanţelor compartimentului, inventarul obiectivelor specifice, activităţilor şi a procedurilor documentate, inventarul documentelor gestionate la nivelul structurii etc. </w:t>
      </w:r>
    </w:p>
    <w:p w14:paraId="0E99F94C" w14:textId="0F9B669F" w:rsidR="006111CD" w:rsidRPr="00564DC7" w:rsidRDefault="006111CD" w:rsidP="00690186">
      <w:pPr>
        <w:tabs>
          <w:tab w:val="left" w:pos="3120"/>
        </w:tabs>
        <w:ind w:firstLine="709"/>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Având în vedere derularea în bune condiţii a proiectului Consolidarea capacităţii organizaţionale şi administrative a Consiliului Superior al Magistraturii (Cod MySMIS 135225/SIPOCA760), în cursul anului 2023,  consilierul – psiholog ( funcționar public)   a participat la ședințele planificate, respectiv a procedat la testarea aplicației CSMapp dezvoltate în cadrul proiectului, componenta CPP.</w:t>
      </w:r>
    </w:p>
    <w:p w14:paraId="43FD8AE3" w14:textId="2FF6FF1D" w:rsidR="006111CD" w:rsidRPr="00564DC7" w:rsidRDefault="006111CD" w:rsidP="00690186">
      <w:pPr>
        <w:tabs>
          <w:tab w:val="left" w:pos="3120"/>
        </w:tabs>
        <w:ind w:firstLine="709"/>
        <w:jc w:val="both"/>
        <w:rPr>
          <w:rFonts w:asciiTheme="minorHAnsi" w:hAnsiTheme="minorHAnsi" w:cstheme="minorHAnsi"/>
          <w:sz w:val="26"/>
          <w:szCs w:val="26"/>
          <w:lang w:eastAsia="en-GB"/>
        </w:rPr>
      </w:pPr>
      <w:r w:rsidRPr="00564DC7">
        <w:rPr>
          <w:rFonts w:asciiTheme="minorHAnsi" w:hAnsiTheme="minorHAnsi" w:cstheme="minorHAnsi"/>
          <w:sz w:val="26"/>
          <w:szCs w:val="26"/>
          <w:lang w:eastAsia="en-GB"/>
        </w:rPr>
        <w:t>Suplimentar, personalul încadrat la nivelul compartimentului a procedat la predarea către Compartimentul registratură, secretariat și arhivă a documentelor arhivate</w:t>
      </w:r>
      <w:r w:rsidR="004C406B">
        <w:rPr>
          <w:rFonts w:asciiTheme="minorHAnsi" w:hAnsiTheme="minorHAnsi" w:cstheme="minorHAnsi"/>
          <w:sz w:val="26"/>
          <w:szCs w:val="26"/>
          <w:lang w:eastAsia="en-GB"/>
        </w:rPr>
        <w:t xml:space="preserve"> </w:t>
      </w:r>
      <w:r w:rsidRPr="00564DC7">
        <w:rPr>
          <w:rFonts w:asciiTheme="minorHAnsi" w:hAnsiTheme="minorHAnsi" w:cstheme="minorHAnsi"/>
          <w:sz w:val="26"/>
          <w:szCs w:val="26"/>
          <w:lang w:eastAsia="en-GB"/>
        </w:rPr>
        <w:t>la nivelul compartimentului.</w:t>
      </w:r>
    </w:p>
    <w:p w14:paraId="70C5FBBB" w14:textId="377FFA1D" w:rsidR="006111CD" w:rsidRPr="00564DC7" w:rsidRDefault="006111CD" w:rsidP="00690186">
      <w:pPr>
        <w:tabs>
          <w:tab w:val="left" w:pos="3120"/>
        </w:tabs>
        <w:ind w:firstLine="709"/>
        <w:jc w:val="both"/>
        <w:rPr>
          <w:rFonts w:asciiTheme="minorHAnsi" w:hAnsiTheme="minorHAnsi" w:cstheme="minorHAnsi"/>
          <w:bCs/>
          <w:sz w:val="26"/>
          <w:szCs w:val="26"/>
          <w:lang w:eastAsia="en-GB"/>
        </w:rPr>
      </w:pPr>
      <w:r w:rsidRPr="00564DC7">
        <w:rPr>
          <w:rFonts w:asciiTheme="minorHAnsi" w:hAnsiTheme="minorHAnsi" w:cstheme="minorHAnsi"/>
          <w:sz w:val="26"/>
          <w:szCs w:val="26"/>
          <w:lang w:eastAsia="en-GB"/>
        </w:rPr>
        <w:t>În ceea ce priveşte activitatea de întocmire a lucrărilor, în cursul anului 2023 la nivelul compartimentului au fost înregistrate un număr de 200 de lucrări</w:t>
      </w:r>
      <w:r w:rsidRPr="00564DC7">
        <w:rPr>
          <w:rFonts w:asciiTheme="minorHAnsi" w:hAnsiTheme="minorHAnsi" w:cstheme="minorHAnsi"/>
          <w:bCs/>
          <w:sz w:val="26"/>
          <w:szCs w:val="26"/>
          <w:lang w:eastAsia="en-GB"/>
        </w:rPr>
        <w:t>,  volumul de activitate fiind mai mic cu 16.6%, comparativ cu anul 2022.</w:t>
      </w:r>
    </w:p>
    <w:p w14:paraId="08EF24DD" w14:textId="76FACBB2" w:rsidR="006111CD" w:rsidRPr="00564DC7" w:rsidRDefault="006111CD" w:rsidP="000F1325">
      <w:pPr>
        <w:tabs>
          <w:tab w:val="left" w:pos="3120"/>
        </w:tabs>
        <w:ind w:firstLine="709"/>
        <w:jc w:val="both"/>
        <w:rPr>
          <w:rFonts w:asciiTheme="minorHAnsi" w:hAnsiTheme="minorHAnsi" w:cstheme="minorHAnsi"/>
          <w:bCs/>
          <w:sz w:val="26"/>
          <w:szCs w:val="26"/>
          <w:lang w:eastAsia="en-GB"/>
        </w:rPr>
      </w:pPr>
      <w:r w:rsidRPr="00564DC7">
        <w:rPr>
          <w:rFonts w:asciiTheme="minorHAnsi" w:hAnsiTheme="minorHAnsi" w:cstheme="minorHAnsi"/>
          <w:bCs/>
          <w:sz w:val="26"/>
          <w:szCs w:val="26"/>
          <w:lang w:eastAsia="en-GB"/>
        </w:rPr>
        <w:t xml:space="preserve">De asemenea, în cursul anului 2023  la nivelul compartimentului au fost organizate stagii de practică  la care au participat </w:t>
      </w:r>
      <w:r w:rsidR="000F1325" w:rsidRPr="000F1325">
        <w:rPr>
          <w:rFonts w:asciiTheme="minorHAnsi" w:hAnsiTheme="minorHAnsi" w:cstheme="minorHAnsi"/>
          <w:bCs/>
          <w:sz w:val="26"/>
          <w:szCs w:val="26"/>
          <w:lang w:eastAsia="en-GB"/>
        </w:rPr>
        <w:t>36 studenți la Facultatea de Drept  din cadrul Universității Titu Maiorescu, 10 studenți din cadrul Universității București</w:t>
      </w:r>
      <w:r w:rsidRPr="00564DC7">
        <w:rPr>
          <w:rFonts w:asciiTheme="minorHAnsi" w:hAnsiTheme="minorHAnsi" w:cstheme="minorHAnsi"/>
          <w:bCs/>
          <w:sz w:val="26"/>
          <w:szCs w:val="26"/>
          <w:lang w:eastAsia="en-GB"/>
        </w:rPr>
        <w:t>, 1 student din cadrul ASE și 1 student din cadrul Universității Babeș Bolyai. În cadrul stagiului de practică studenții au beneficiat de servicii de orientare profesională, respectiv</w:t>
      </w:r>
      <w:r w:rsidR="004C406B">
        <w:rPr>
          <w:rFonts w:asciiTheme="minorHAnsi" w:hAnsiTheme="minorHAnsi" w:cstheme="minorHAnsi"/>
          <w:bCs/>
          <w:sz w:val="26"/>
          <w:szCs w:val="26"/>
          <w:lang w:eastAsia="en-GB"/>
        </w:rPr>
        <w:t xml:space="preserve"> </w:t>
      </w:r>
      <w:r w:rsidRPr="00564DC7">
        <w:rPr>
          <w:rFonts w:asciiTheme="minorHAnsi" w:hAnsiTheme="minorHAnsi" w:cstheme="minorHAnsi"/>
          <w:bCs/>
          <w:sz w:val="26"/>
          <w:szCs w:val="26"/>
          <w:lang w:eastAsia="en-GB"/>
        </w:rPr>
        <w:t xml:space="preserve">familiarizarea cu profesiile de judecător și procuror, </w:t>
      </w:r>
      <w:r w:rsidR="004C406B">
        <w:rPr>
          <w:rFonts w:asciiTheme="minorHAnsi" w:hAnsiTheme="minorHAnsi" w:cstheme="minorHAnsi"/>
          <w:bCs/>
          <w:sz w:val="26"/>
          <w:szCs w:val="26"/>
          <w:lang w:eastAsia="en-GB"/>
        </w:rPr>
        <w:t xml:space="preserve"> </w:t>
      </w:r>
      <w:r w:rsidRPr="00564DC7">
        <w:rPr>
          <w:rFonts w:asciiTheme="minorHAnsi" w:hAnsiTheme="minorHAnsi" w:cstheme="minorHAnsi"/>
          <w:bCs/>
          <w:sz w:val="26"/>
          <w:szCs w:val="26"/>
          <w:lang w:eastAsia="en-GB"/>
        </w:rPr>
        <w:t>structura organizatorică a Consiliului,</w:t>
      </w:r>
      <w:r w:rsidR="004C406B">
        <w:rPr>
          <w:rFonts w:asciiTheme="minorHAnsi" w:hAnsiTheme="minorHAnsi" w:cstheme="minorHAnsi"/>
          <w:bCs/>
          <w:sz w:val="26"/>
          <w:szCs w:val="26"/>
          <w:lang w:eastAsia="en-GB"/>
        </w:rPr>
        <w:t xml:space="preserve"> </w:t>
      </w:r>
      <w:r w:rsidRPr="00564DC7">
        <w:rPr>
          <w:rFonts w:asciiTheme="minorHAnsi" w:hAnsiTheme="minorHAnsi" w:cstheme="minorHAnsi"/>
          <w:bCs/>
          <w:sz w:val="26"/>
          <w:szCs w:val="26"/>
          <w:lang w:eastAsia="en-GB"/>
        </w:rPr>
        <w:t>organizarea sistemului judiciar</w:t>
      </w:r>
      <w:r w:rsidR="004C406B">
        <w:rPr>
          <w:rFonts w:asciiTheme="minorHAnsi" w:hAnsiTheme="minorHAnsi" w:cstheme="minorHAnsi"/>
          <w:bCs/>
          <w:sz w:val="26"/>
          <w:szCs w:val="26"/>
          <w:lang w:eastAsia="en-GB"/>
        </w:rPr>
        <w:t xml:space="preserve"> și </w:t>
      </w:r>
      <w:r w:rsidRPr="00564DC7">
        <w:rPr>
          <w:rFonts w:asciiTheme="minorHAnsi" w:hAnsiTheme="minorHAnsi" w:cstheme="minorHAnsi"/>
          <w:bCs/>
          <w:sz w:val="26"/>
          <w:szCs w:val="26"/>
          <w:lang w:eastAsia="en-GB"/>
        </w:rPr>
        <w:t xml:space="preserve">evaluarea intereselor, aptitudinilor și trăsăturilor de personalitate. </w:t>
      </w:r>
    </w:p>
    <w:p w14:paraId="5965F0B3" w14:textId="3BFE9C7D" w:rsidR="006111CD" w:rsidRPr="00380430" w:rsidRDefault="006111CD" w:rsidP="00690186">
      <w:pPr>
        <w:tabs>
          <w:tab w:val="left" w:pos="3120"/>
        </w:tabs>
        <w:ind w:firstLine="709"/>
        <w:jc w:val="both"/>
        <w:rPr>
          <w:rFonts w:asciiTheme="minorHAnsi" w:eastAsiaTheme="minorHAnsi" w:hAnsiTheme="minorHAnsi" w:cstheme="minorHAnsi"/>
          <w:sz w:val="26"/>
          <w:szCs w:val="26"/>
        </w:rPr>
      </w:pPr>
      <w:r w:rsidRPr="00564DC7">
        <w:rPr>
          <w:rFonts w:asciiTheme="minorHAnsi" w:hAnsiTheme="minorHAnsi" w:cstheme="minorHAnsi"/>
          <w:sz w:val="26"/>
          <w:szCs w:val="26"/>
          <w:lang w:eastAsia="en-GB"/>
        </w:rPr>
        <w:t>Referitor la desfășurarea de  lucrări de cercetare în domeniul psihodiagnozei și psihologiei resurselor umane la nivelul compartimentului a fost elaborat studiul</w:t>
      </w:r>
      <w:r w:rsidR="00380430">
        <w:rPr>
          <w:rFonts w:asciiTheme="minorHAnsi" w:eastAsiaTheme="minorHAnsi" w:hAnsiTheme="minorHAnsi" w:cstheme="minorHAnsi"/>
          <w:sz w:val="26"/>
          <w:szCs w:val="26"/>
        </w:rPr>
        <w:t xml:space="preserve"> </w:t>
      </w:r>
      <w:r w:rsidRPr="00261D6B">
        <w:rPr>
          <w:rFonts w:asciiTheme="minorHAnsi" w:eastAsiaTheme="minorHAnsi" w:hAnsiTheme="minorHAnsi" w:cstheme="minorHAnsi"/>
          <w:sz w:val="26"/>
          <w:szCs w:val="26"/>
          <w:lang w:val="fr-FR"/>
        </w:rPr>
        <w:t xml:space="preserve">“ </w:t>
      </w:r>
      <w:r w:rsidRPr="00564DC7">
        <w:rPr>
          <w:rFonts w:asciiTheme="minorHAnsi" w:eastAsiaTheme="minorHAnsi" w:hAnsiTheme="minorHAnsi" w:cstheme="minorHAnsi"/>
          <w:sz w:val="26"/>
          <w:szCs w:val="26"/>
        </w:rPr>
        <w:t>Profilul psihoprofesional al functiei publice – consilier juridic din cadrul Consiliului Superior al Magistraturii</w:t>
      </w:r>
      <w:r w:rsidRPr="00261D6B">
        <w:rPr>
          <w:rFonts w:asciiTheme="minorHAnsi" w:eastAsiaTheme="minorHAnsi" w:hAnsiTheme="minorHAnsi" w:cstheme="minorHAnsi"/>
          <w:sz w:val="26"/>
          <w:szCs w:val="26"/>
          <w:lang w:val="fr-FR"/>
        </w:rPr>
        <w:t>”</w:t>
      </w:r>
      <w:r w:rsidRPr="00564DC7">
        <w:rPr>
          <w:rFonts w:asciiTheme="minorHAnsi" w:eastAsiaTheme="minorHAnsi" w:hAnsiTheme="minorHAnsi" w:cstheme="minorHAnsi"/>
          <w:sz w:val="26"/>
          <w:szCs w:val="26"/>
        </w:rPr>
        <w:t>,</w:t>
      </w:r>
      <w:r w:rsidR="00500978">
        <w:rPr>
          <w:rFonts w:asciiTheme="minorHAnsi" w:eastAsiaTheme="minorHAnsi" w:hAnsiTheme="minorHAnsi" w:cstheme="minorHAnsi"/>
          <w:sz w:val="26"/>
          <w:szCs w:val="26"/>
        </w:rPr>
        <w:t xml:space="preserve"> </w:t>
      </w:r>
      <w:r w:rsidRPr="00564DC7">
        <w:rPr>
          <w:rFonts w:asciiTheme="minorHAnsi" w:hAnsiTheme="minorHAnsi" w:cstheme="minorHAnsi"/>
          <w:sz w:val="26"/>
          <w:szCs w:val="26"/>
          <w:lang w:eastAsia="en-GB"/>
        </w:rPr>
        <w:t>disponibil la adresa</w:t>
      </w:r>
      <w:r w:rsidR="00380430">
        <w:rPr>
          <w:rFonts w:asciiTheme="minorHAnsi" w:hAnsiTheme="minorHAnsi" w:cstheme="minorHAnsi"/>
          <w:sz w:val="26"/>
          <w:szCs w:val="26"/>
          <w:lang w:eastAsia="en-GB"/>
        </w:rPr>
        <w:t xml:space="preserve"> </w:t>
      </w:r>
      <w:hyperlink r:id="rId40" w:history="1">
        <w:r w:rsidR="00920CA0" w:rsidRPr="00920CA0">
          <w:rPr>
            <w:rStyle w:val="Hyperlink"/>
            <w:rFonts w:asciiTheme="minorHAnsi" w:hAnsiTheme="minorHAnsi" w:cstheme="minorHAnsi"/>
            <w:sz w:val="26"/>
            <w:szCs w:val="26"/>
            <w:lang w:eastAsia="en-GB"/>
          </w:rPr>
          <w:t>https://www.researchgate.net</w:t>
        </w:r>
      </w:hyperlink>
    </w:p>
    <w:p w14:paraId="4D000306" w14:textId="72BB74B2" w:rsidR="00D92C14" w:rsidRPr="00564DC7" w:rsidRDefault="006111CD" w:rsidP="00690186">
      <w:pPr>
        <w:ind w:firstLine="709"/>
        <w:jc w:val="both"/>
        <w:rPr>
          <w:rFonts w:asciiTheme="minorHAnsi" w:hAnsiTheme="minorHAnsi" w:cstheme="minorHAnsi"/>
          <w:sz w:val="26"/>
          <w:szCs w:val="26"/>
          <w:lang w:eastAsia="en-GB"/>
        </w:rPr>
        <w:sectPr w:rsidR="00D92C14" w:rsidRPr="00564DC7" w:rsidSect="00A3761E">
          <w:pgSz w:w="11906" w:h="16838" w:code="9"/>
          <w:pgMar w:top="567" w:right="851" w:bottom="567" w:left="851" w:header="567" w:footer="284" w:gutter="0"/>
          <w:cols w:space="708"/>
          <w:docGrid w:linePitch="381"/>
        </w:sectPr>
      </w:pPr>
      <w:r w:rsidRPr="00564DC7">
        <w:rPr>
          <w:rFonts w:asciiTheme="minorHAnsi" w:hAnsiTheme="minorHAnsi" w:cstheme="minorHAnsi"/>
          <w:sz w:val="26"/>
          <w:szCs w:val="26"/>
          <w:lang w:eastAsia="en-GB"/>
        </w:rPr>
        <w:lastRenderedPageBreak/>
        <w:t>De asemenea, în ceea ce privește actele profesionale emise în cadrul comisiilor de examinare/reexaminare psihologică, acestea au fost înregistrate în Registrul de evidenţă a actelor profesionale, gestionat potrivit dispoziţiilor emise de Colegiul Psihologilor din România.</w:t>
      </w:r>
    </w:p>
    <w:p w14:paraId="7F301275" w14:textId="2D6C2E1F" w:rsidR="00CD31B1" w:rsidRPr="00564DC7" w:rsidRDefault="00CD31B1" w:rsidP="00690186">
      <w:pPr>
        <w:ind w:firstLine="709"/>
        <w:jc w:val="both"/>
        <w:rPr>
          <w:rFonts w:asciiTheme="minorHAnsi" w:hAnsiTheme="minorHAnsi" w:cstheme="minorHAnsi"/>
          <w:sz w:val="26"/>
          <w:szCs w:val="26"/>
        </w:rPr>
      </w:pPr>
    </w:p>
    <w:p w14:paraId="0A253E27" w14:textId="77777777" w:rsidR="00D92C14" w:rsidRPr="007F24B9" w:rsidRDefault="006C1588" w:rsidP="00690186">
      <w:pPr>
        <w:pStyle w:val="Heading1"/>
        <w:keepNext w:val="0"/>
        <w:keepLines w:val="0"/>
        <w:suppressLineNumbers/>
        <w:suppressAutoHyphens/>
        <w:spacing w:line="240" w:lineRule="auto"/>
        <w:ind w:firstLine="0"/>
        <w:rPr>
          <w:rFonts w:cstheme="minorHAnsi"/>
          <w:color w:val="auto"/>
          <w:szCs w:val="28"/>
        </w:rPr>
      </w:pPr>
      <w:bookmarkStart w:id="190" w:name="_Toc155267927"/>
      <w:r w:rsidRPr="007F24B9">
        <w:rPr>
          <w:rFonts w:cstheme="minorHAnsi"/>
          <w:color w:val="auto"/>
          <w:szCs w:val="28"/>
        </w:rPr>
        <w:t>CAPITOLUL VII</w:t>
      </w:r>
      <w:bookmarkEnd w:id="172"/>
      <w:bookmarkEnd w:id="190"/>
    </w:p>
    <w:p w14:paraId="752658AD" w14:textId="4D01DD32" w:rsidR="006C1588" w:rsidRPr="007F24B9" w:rsidRDefault="006C1588" w:rsidP="00690186">
      <w:pPr>
        <w:pStyle w:val="Heading1"/>
        <w:keepNext w:val="0"/>
        <w:keepLines w:val="0"/>
        <w:suppressLineNumbers/>
        <w:suppressAutoHyphens/>
        <w:spacing w:before="0" w:after="0" w:line="240" w:lineRule="auto"/>
        <w:ind w:firstLine="0"/>
        <w:rPr>
          <w:rFonts w:cstheme="minorHAnsi"/>
          <w:color w:val="auto"/>
          <w:szCs w:val="28"/>
        </w:rPr>
      </w:pPr>
      <w:bookmarkStart w:id="191" w:name="_Toc155267928"/>
      <w:r w:rsidRPr="007F24B9">
        <w:rPr>
          <w:rFonts w:cstheme="minorHAnsi"/>
          <w:color w:val="auto"/>
          <w:szCs w:val="28"/>
        </w:rPr>
        <w:t>Concluzii</w:t>
      </w:r>
      <w:bookmarkEnd w:id="191"/>
      <w:r w:rsidRPr="007F24B9">
        <w:rPr>
          <w:rFonts w:cstheme="minorHAnsi"/>
          <w:color w:val="auto"/>
          <w:szCs w:val="28"/>
        </w:rPr>
        <w:t xml:space="preserve"> </w:t>
      </w:r>
      <w:bookmarkEnd w:id="173"/>
    </w:p>
    <w:p w14:paraId="30898F0C" w14:textId="77777777" w:rsidR="007F24B9" w:rsidRPr="007F24B9" w:rsidRDefault="007F24B9" w:rsidP="00690186">
      <w:pPr>
        <w:rPr>
          <w:szCs w:val="28"/>
        </w:rPr>
      </w:pPr>
    </w:p>
    <w:p w14:paraId="7AD67982" w14:textId="00A97585" w:rsidR="00564DC7" w:rsidRPr="007F24B9" w:rsidRDefault="00564DC7" w:rsidP="00690186">
      <w:pPr>
        <w:ind w:firstLine="709"/>
        <w:jc w:val="both"/>
        <w:rPr>
          <w:rFonts w:asciiTheme="minorHAnsi" w:hAnsiTheme="minorHAnsi" w:cstheme="minorHAnsi"/>
          <w:sz w:val="26"/>
          <w:szCs w:val="26"/>
        </w:rPr>
      </w:pPr>
      <w:r w:rsidRPr="007F24B9">
        <w:rPr>
          <w:rFonts w:asciiTheme="minorHAnsi" w:hAnsiTheme="minorHAnsi" w:cstheme="minorHAnsi"/>
          <w:sz w:val="26"/>
          <w:szCs w:val="26"/>
        </w:rPr>
        <w:t>Consiliul Superior al Magistraturii, în limita prerogativelor conferite de Constituția României și de prevederile legii organice, a urmărit în cursul anului 2023 ca activitatea derulată să asigure, în primul rând, cadrul legal şi resursele necesare unei activități calitative a sistemului judiciar.</w:t>
      </w:r>
    </w:p>
    <w:p w14:paraId="11007A53" w14:textId="77777777" w:rsidR="00564DC7" w:rsidRPr="007F24B9" w:rsidRDefault="00564DC7" w:rsidP="00690186">
      <w:pPr>
        <w:ind w:firstLine="709"/>
        <w:jc w:val="both"/>
        <w:rPr>
          <w:rFonts w:asciiTheme="minorHAnsi" w:hAnsiTheme="minorHAnsi" w:cstheme="minorHAnsi"/>
          <w:sz w:val="26"/>
          <w:szCs w:val="26"/>
        </w:rPr>
      </w:pPr>
      <w:r w:rsidRPr="007F24B9">
        <w:rPr>
          <w:rFonts w:asciiTheme="minorHAnsi" w:hAnsiTheme="minorHAnsi" w:cstheme="minorHAnsi"/>
          <w:sz w:val="26"/>
          <w:szCs w:val="26"/>
        </w:rPr>
        <w:t>Astfel cum s-a arătat şi în partea introductivă, una dintre marile provocări ale anului de referință, cu impact pentru sistemul judiciar, a reprezentat-o asigurarea necesarului de resurse umane pentru buna desfășurare a activității la nivelul instanțelor şi parchetelor.</w:t>
      </w:r>
    </w:p>
    <w:p w14:paraId="5A616CA3" w14:textId="1010C230" w:rsidR="00564DC7" w:rsidRPr="007F24B9" w:rsidRDefault="00564DC7" w:rsidP="00690186">
      <w:pPr>
        <w:ind w:firstLine="709"/>
        <w:jc w:val="both"/>
        <w:rPr>
          <w:rFonts w:asciiTheme="minorHAnsi" w:hAnsiTheme="minorHAnsi" w:cstheme="minorHAnsi"/>
          <w:sz w:val="26"/>
          <w:szCs w:val="26"/>
        </w:rPr>
      </w:pPr>
      <w:r w:rsidRPr="007F24B9">
        <w:rPr>
          <w:rFonts w:asciiTheme="minorHAnsi" w:eastAsia="Calibri" w:hAnsiTheme="minorHAnsi" w:cstheme="minorHAnsi"/>
          <w:sz w:val="26"/>
          <w:szCs w:val="26"/>
        </w:rPr>
        <w:t xml:space="preserve">Având în vedere necesitatea asigurării desfășurării în bune condiții a activității Înaltei Curți de Casație şi Justiție, </w:t>
      </w:r>
      <w:r w:rsidRPr="007F24B9">
        <w:rPr>
          <w:rFonts w:asciiTheme="minorHAnsi" w:hAnsiTheme="minorHAnsi" w:cstheme="minorHAnsi"/>
          <w:sz w:val="26"/>
          <w:szCs w:val="26"/>
        </w:rPr>
        <w:t xml:space="preserve">au fost organizate două concursuri de promovare în funcția de judecător </w:t>
      </w:r>
      <w:r w:rsidR="00380430">
        <w:rPr>
          <w:rFonts w:asciiTheme="minorHAnsi" w:hAnsiTheme="minorHAnsi" w:cstheme="minorHAnsi"/>
          <w:sz w:val="26"/>
          <w:szCs w:val="26"/>
        </w:rPr>
        <w:t xml:space="preserve">la </w:t>
      </w:r>
      <w:r w:rsidRPr="007F24B9">
        <w:rPr>
          <w:rFonts w:asciiTheme="minorHAnsi" w:hAnsiTheme="minorHAnsi" w:cstheme="minorHAnsi"/>
          <w:sz w:val="26"/>
          <w:szCs w:val="26"/>
        </w:rPr>
        <w:t>instanța supremă, unul dintre acestea finalizat în cursul anului 2023 prin numirea a 8 judecători, iar cel de al doilea concurs fiind în derulare.</w:t>
      </w:r>
    </w:p>
    <w:p w14:paraId="669182AD" w14:textId="77777777" w:rsidR="00564DC7" w:rsidRPr="007F24B9" w:rsidRDefault="00564DC7" w:rsidP="00690186">
      <w:pPr>
        <w:ind w:firstLine="709"/>
        <w:jc w:val="both"/>
        <w:rPr>
          <w:rFonts w:asciiTheme="minorHAnsi" w:hAnsiTheme="minorHAnsi" w:cstheme="minorHAnsi"/>
          <w:bCs/>
          <w:sz w:val="26"/>
          <w:szCs w:val="26"/>
        </w:rPr>
      </w:pPr>
      <w:r w:rsidRPr="007F24B9">
        <w:rPr>
          <w:rFonts w:asciiTheme="minorHAnsi" w:hAnsiTheme="minorHAnsi" w:cstheme="minorHAnsi"/>
          <w:sz w:val="26"/>
          <w:szCs w:val="26"/>
        </w:rPr>
        <w:t xml:space="preserve">Tot în cursul acestuia an, în vederea organizării în bune condiții a activității marilor parchete din România, au fost numiți în funcție procurorul general al Parchetului de pe lângă Înalta Curte de Casație și Justiție, precum și procurorii șefi ai Direcției Naționale Anticorupție și Direcției </w:t>
      </w:r>
      <w:r w:rsidRPr="007F24B9">
        <w:rPr>
          <w:rFonts w:asciiTheme="minorHAnsi" w:hAnsiTheme="minorHAnsi" w:cstheme="minorHAnsi"/>
          <w:bCs/>
          <w:sz w:val="26"/>
          <w:szCs w:val="26"/>
        </w:rPr>
        <w:t xml:space="preserve">de Investigare a Infracțiunilor de Criminalitate Organizată şi Terorism. De asemenea, a fost demarată procedura de ocupare a unor funcții de conducere vacante din cadrul parchetelor, respectiv patru funcții de procuror-șef de secție în cadrul Parchetului de pe lângă Înalta Curte de Casație și Justiție, trei funcții de procuror-șef de secție în cadrul Direcției Naționale Anticorupție și una de procuror-șef adjunct, precum, și trei funcții de procuror-șef de secție în cadrul </w:t>
      </w:r>
      <w:r w:rsidRPr="007F24B9">
        <w:rPr>
          <w:rFonts w:asciiTheme="minorHAnsi" w:hAnsiTheme="minorHAnsi" w:cstheme="minorHAnsi"/>
          <w:sz w:val="26"/>
          <w:szCs w:val="26"/>
        </w:rPr>
        <w:t xml:space="preserve">Direcției </w:t>
      </w:r>
      <w:r w:rsidRPr="007F24B9">
        <w:rPr>
          <w:rFonts w:asciiTheme="minorHAnsi" w:hAnsiTheme="minorHAnsi" w:cstheme="minorHAnsi"/>
          <w:bCs/>
          <w:sz w:val="26"/>
          <w:szCs w:val="26"/>
        </w:rPr>
        <w:t>de Investigare a Infracțiunilor de Criminalitate Organizată şi Terorism.</w:t>
      </w:r>
    </w:p>
    <w:p w14:paraId="31E7B76A" w14:textId="37DC0CC3" w:rsidR="00564DC7" w:rsidRPr="007F24B9" w:rsidRDefault="00564DC7" w:rsidP="00690186">
      <w:pPr>
        <w:ind w:firstLine="709"/>
        <w:jc w:val="both"/>
        <w:rPr>
          <w:rFonts w:asciiTheme="minorHAnsi" w:hAnsiTheme="minorHAnsi" w:cstheme="minorHAnsi"/>
          <w:bCs/>
          <w:sz w:val="26"/>
          <w:szCs w:val="26"/>
        </w:rPr>
      </w:pPr>
      <w:r w:rsidRPr="007F24B9">
        <w:rPr>
          <w:rFonts w:asciiTheme="minorHAnsi" w:hAnsiTheme="minorHAnsi" w:cstheme="minorHAnsi"/>
          <w:sz w:val="26"/>
          <w:szCs w:val="26"/>
        </w:rPr>
        <w:t xml:space="preserve">În cursul anului 2023 au fost finalizate două noi concursuri de admitere în magistratură, fiind ocupate 127 de posturi de judecător la judecătorii și 40 de posturi de procuror la parchetele de pe lângă acestea. Totodată, este în derulare concursul de admitere în magistratură pentru ocuparea a 250 de posturi de judecător la judecătorii şi 147 de posturi de procuror la parchetele de pe lângă judecătorii, concurs care urmează a </w:t>
      </w:r>
      <w:r w:rsidR="00380430">
        <w:rPr>
          <w:rFonts w:asciiTheme="minorHAnsi" w:hAnsiTheme="minorHAnsi" w:cstheme="minorHAnsi"/>
          <w:sz w:val="26"/>
          <w:szCs w:val="26"/>
        </w:rPr>
        <w:t>fi</w:t>
      </w:r>
      <w:r w:rsidRPr="007F24B9">
        <w:rPr>
          <w:rFonts w:asciiTheme="minorHAnsi" w:hAnsiTheme="minorHAnsi" w:cstheme="minorHAnsi"/>
          <w:sz w:val="26"/>
          <w:szCs w:val="26"/>
        </w:rPr>
        <w:t xml:space="preserve"> finaliza</w:t>
      </w:r>
      <w:r w:rsidR="00380430">
        <w:rPr>
          <w:rFonts w:asciiTheme="minorHAnsi" w:hAnsiTheme="minorHAnsi" w:cstheme="minorHAnsi"/>
          <w:sz w:val="26"/>
          <w:szCs w:val="26"/>
        </w:rPr>
        <w:t>t</w:t>
      </w:r>
      <w:r w:rsidRPr="007F24B9">
        <w:rPr>
          <w:rFonts w:asciiTheme="minorHAnsi" w:hAnsiTheme="minorHAnsi" w:cstheme="minorHAnsi"/>
          <w:sz w:val="26"/>
          <w:szCs w:val="26"/>
        </w:rPr>
        <w:t xml:space="preserve"> în cursul lunii martie 2024, precum și concursul de admitere la Institutul Național al Magistraturii ce urmează a fi finalizat la data de 28 martie 2024.</w:t>
      </w:r>
    </w:p>
    <w:p w14:paraId="217429DD" w14:textId="06663E2C" w:rsidR="00564DC7" w:rsidRPr="007F24B9" w:rsidRDefault="00564DC7" w:rsidP="00690186">
      <w:pPr>
        <w:ind w:firstLine="709"/>
        <w:jc w:val="both"/>
        <w:rPr>
          <w:rFonts w:asciiTheme="minorHAnsi" w:hAnsiTheme="minorHAnsi" w:cstheme="minorHAnsi"/>
          <w:sz w:val="26"/>
          <w:szCs w:val="26"/>
        </w:rPr>
      </w:pPr>
      <w:r w:rsidRPr="007F24B9">
        <w:rPr>
          <w:rFonts w:asciiTheme="minorHAnsi" w:hAnsiTheme="minorHAnsi" w:cstheme="minorHAnsi"/>
          <w:sz w:val="26"/>
          <w:szCs w:val="26"/>
        </w:rPr>
        <w:t>În perioada noiembrie 2022 – aprilie 2023 s-a desfășurat examenul de capacitate al judecătorilor şi procurorilor stagiari</w:t>
      </w:r>
      <w:r w:rsidR="00272993">
        <w:rPr>
          <w:rFonts w:asciiTheme="minorHAnsi" w:hAnsiTheme="minorHAnsi" w:cstheme="minorHAnsi"/>
          <w:sz w:val="26"/>
          <w:szCs w:val="26"/>
        </w:rPr>
        <w:t>,</w:t>
      </w:r>
      <w:r w:rsidRPr="007F24B9">
        <w:rPr>
          <w:rFonts w:asciiTheme="minorHAnsi" w:hAnsiTheme="minorHAnsi" w:cstheme="minorHAnsi"/>
          <w:sz w:val="26"/>
          <w:szCs w:val="26"/>
        </w:rPr>
        <w:t xml:space="preserve"> fiind numiți în funcție </w:t>
      </w:r>
      <w:r w:rsidRPr="007F24B9">
        <w:rPr>
          <w:rFonts w:asciiTheme="minorHAnsi" w:hAnsiTheme="minorHAnsi" w:cstheme="minorHAnsi"/>
          <w:bCs/>
          <w:sz w:val="26"/>
          <w:szCs w:val="26"/>
        </w:rPr>
        <w:t>140</w:t>
      </w:r>
      <w:r w:rsidRPr="007F24B9">
        <w:rPr>
          <w:rFonts w:asciiTheme="minorHAnsi" w:hAnsiTheme="minorHAnsi" w:cstheme="minorHAnsi"/>
          <w:b/>
          <w:sz w:val="26"/>
          <w:szCs w:val="26"/>
        </w:rPr>
        <w:t xml:space="preserve"> </w:t>
      </w:r>
      <w:r w:rsidRPr="007F24B9">
        <w:rPr>
          <w:rFonts w:asciiTheme="minorHAnsi" w:hAnsiTheme="minorHAnsi" w:cstheme="minorHAnsi"/>
          <w:bCs/>
          <w:sz w:val="26"/>
          <w:szCs w:val="26"/>
        </w:rPr>
        <w:t>de</w:t>
      </w:r>
      <w:r w:rsidRPr="007F24B9">
        <w:rPr>
          <w:rFonts w:asciiTheme="minorHAnsi" w:hAnsiTheme="minorHAnsi" w:cstheme="minorHAnsi"/>
          <w:sz w:val="26"/>
          <w:szCs w:val="26"/>
        </w:rPr>
        <w:t xml:space="preserve"> judecători și 68 de procurori.</w:t>
      </w:r>
    </w:p>
    <w:p w14:paraId="0076BA49" w14:textId="0A2DEA29" w:rsidR="00564DC7" w:rsidRPr="007F24B9" w:rsidRDefault="00564DC7" w:rsidP="00690186">
      <w:pPr>
        <w:ind w:firstLine="708"/>
        <w:jc w:val="both"/>
        <w:rPr>
          <w:rFonts w:asciiTheme="minorHAnsi" w:hAnsiTheme="minorHAnsi" w:cstheme="minorHAnsi"/>
          <w:bCs/>
          <w:sz w:val="26"/>
          <w:szCs w:val="26"/>
        </w:rPr>
      </w:pPr>
      <w:r w:rsidRPr="007F24B9">
        <w:rPr>
          <w:rFonts w:asciiTheme="minorHAnsi" w:hAnsiTheme="minorHAnsi" w:cstheme="minorHAnsi"/>
          <w:sz w:val="26"/>
          <w:szCs w:val="26"/>
        </w:rPr>
        <w:t>De asemenea, în cadrul procedurii de numire</w:t>
      </w:r>
      <w:r w:rsidRPr="007F24B9">
        <w:rPr>
          <w:rFonts w:asciiTheme="minorHAnsi" w:hAnsiTheme="minorHAnsi" w:cstheme="minorHAnsi"/>
          <w:b/>
          <w:sz w:val="26"/>
          <w:szCs w:val="26"/>
        </w:rPr>
        <w:t xml:space="preserve"> </w:t>
      </w:r>
      <w:r w:rsidRPr="007F24B9">
        <w:rPr>
          <w:rFonts w:asciiTheme="minorHAnsi" w:hAnsiTheme="minorHAnsi" w:cstheme="minorHAnsi"/>
          <w:bCs/>
          <w:sz w:val="26"/>
          <w:szCs w:val="26"/>
        </w:rPr>
        <w:t>și reîncadrare în funcția de judecător şi procuror organizat</w:t>
      </w:r>
      <w:r w:rsidR="00272993">
        <w:rPr>
          <w:rFonts w:asciiTheme="minorHAnsi" w:hAnsiTheme="minorHAnsi" w:cstheme="minorHAnsi"/>
          <w:bCs/>
          <w:sz w:val="26"/>
          <w:szCs w:val="26"/>
        </w:rPr>
        <w:t>e</w:t>
      </w:r>
      <w:r w:rsidRPr="007F24B9">
        <w:rPr>
          <w:rFonts w:asciiTheme="minorHAnsi" w:hAnsiTheme="minorHAnsi" w:cstheme="minorHAnsi"/>
          <w:bCs/>
          <w:sz w:val="26"/>
          <w:szCs w:val="26"/>
        </w:rPr>
        <w:t xml:space="preserve"> în temeiul art. 216 alin. (2) - (3) din Legea nr. 303/2022, au fost numiți în funcție 13 judecători </w:t>
      </w:r>
      <w:r w:rsidR="00672DD1">
        <w:rPr>
          <w:rFonts w:asciiTheme="minorHAnsi" w:hAnsiTheme="minorHAnsi" w:cstheme="minorHAnsi"/>
          <w:bCs/>
          <w:sz w:val="26"/>
          <w:szCs w:val="26"/>
        </w:rPr>
        <w:t xml:space="preserve">și 5 procurori </w:t>
      </w:r>
      <w:r w:rsidRPr="007F24B9">
        <w:rPr>
          <w:rFonts w:asciiTheme="minorHAnsi" w:hAnsiTheme="minorHAnsi" w:cstheme="minorHAnsi"/>
          <w:bCs/>
          <w:sz w:val="26"/>
          <w:szCs w:val="26"/>
        </w:rPr>
        <w:t>în urma reîncadrării acestora</w:t>
      </w:r>
      <w:r w:rsidR="00672DD1">
        <w:rPr>
          <w:rFonts w:asciiTheme="minorHAnsi" w:hAnsiTheme="minorHAnsi" w:cstheme="minorHAnsi"/>
          <w:bCs/>
          <w:sz w:val="26"/>
          <w:szCs w:val="26"/>
        </w:rPr>
        <w:t>.</w:t>
      </w:r>
    </w:p>
    <w:p w14:paraId="65D5426E" w14:textId="0D29721D" w:rsidR="00564DC7" w:rsidRPr="007F24B9"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bCs/>
          <w:sz w:val="26"/>
          <w:szCs w:val="26"/>
        </w:rPr>
        <w:t xml:space="preserve">Tot în cursul anului de referință a fost finalizat concursul pentru ocuparea funcțiilor de conducere în cadrul instanțelor judecătorești demarat în anul 2022 sub legea de organizare anterioară, fiind numiți în funcții de conducere </w:t>
      </w:r>
      <w:r w:rsidRPr="007F24B9">
        <w:rPr>
          <w:rFonts w:asciiTheme="minorHAnsi" w:hAnsiTheme="minorHAnsi" w:cstheme="minorHAnsi"/>
          <w:sz w:val="26"/>
          <w:szCs w:val="26"/>
        </w:rPr>
        <w:t>36 de judecători. În acord cu noile dispoziții legale aplicabile procedurii de numire în funcţii de conducere, intrate în vigoare în luna decembrie 2022, a fost aprobată organizarea concursului pentru ocuparea unui număr de 137 de funcţii de preşedinte vacante la curţi de apel, tribunale, tribunale specializate şi judecătorii,  fiind numiți 34 de judecători în funcții de conducere, pentru un mandat de 3 ani.</w:t>
      </w:r>
    </w:p>
    <w:p w14:paraId="4808D286" w14:textId="77777777" w:rsidR="00B32AA8" w:rsidRDefault="00564DC7" w:rsidP="00B32AA8">
      <w:pPr>
        <w:ind w:firstLine="709"/>
        <w:jc w:val="both"/>
        <w:rPr>
          <w:rFonts w:asciiTheme="minorHAnsi" w:hAnsiTheme="minorHAnsi" w:cstheme="minorHAnsi"/>
          <w:sz w:val="26"/>
          <w:szCs w:val="26"/>
        </w:rPr>
      </w:pPr>
      <w:r w:rsidRPr="007F24B9">
        <w:rPr>
          <w:rFonts w:asciiTheme="minorHAnsi" w:hAnsiTheme="minorHAnsi" w:cstheme="minorHAnsi"/>
          <w:sz w:val="26"/>
          <w:szCs w:val="26"/>
        </w:rPr>
        <w:t xml:space="preserve"> De asemenea, </w:t>
      </w:r>
      <w:r w:rsidR="00B32AA8">
        <w:rPr>
          <w:rFonts w:asciiTheme="minorHAnsi" w:hAnsiTheme="minorHAnsi" w:cstheme="minorHAnsi"/>
          <w:sz w:val="26"/>
          <w:szCs w:val="26"/>
        </w:rPr>
        <w:t>în perioada septembrie – decembrie 2023 s-a desfășurat un nou</w:t>
      </w:r>
      <w:r w:rsidRPr="007F24B9">
        <w:rPr>
          <w:rFonts w:asciiTheme="minorHAnsi" w:hAnsiTheme="minorHAnsi" w:cstheme="minorHAnsi"/>
          <w:sz w:val="26"/>
          <w:szCs w:val="26"/>
        </w:rPr>
        <w:t xml:space="preserve"> concurs pentru ocuparea unui număr de 134 de funcţii de preşedinte la curţi de apel, tribunale, tribunale specializate şi judecătorii, iar rezultatele acestei proceduri</w:t>
      </w:r>
      <w:r w:rsidR="00B32AA8">
        <w:rPr>
          <w:rFonts w:asciiTheme="minorHAnsi" w:hAnsiTheme="minorHAnsi" w:cstheme="minorHAnsi"/>
          <w:sz w:val="26"/>
          <w:szCs w:val="26"/>
        </w:rPr>
        <w:t xml:space="preserve"> privind cele 32 de funcții de conducere ocupate</w:t>
      </w:r>
      <w:r w:rsidRPr="007F24B9">
        <w:rPr>
          <w:rFonts w:asciiTheme="minorHAnsi" w:hAnsiTheme="minorHAnsi" w:cstheme="minorHAnsi"/>
          <w:sz w:val="26"/>
          <w:szCs w:val="26"/>
        </w:rPr>
        <w:t xml:space="preserve"> vor impacta situaţia aferentă anului 2024.</w:t>
      </w:r>
    </w:p>
    <w:p w14:paraId="7902EA66" w14:textId="6E337B29" w:rsidR="00564DC7" w:rsidRPr="007F24B9" w:rsidRDefault="00564DC7" w:rsidP="00B32AA8">
      <w:pPr>
        <w:ind w:firstLine="709"/>
        <w:jc w:val="both"/>
        <w:rPr>
          <w:rFonts w:asciiTheme="minorHAnsi" w:hAnsiTheme="minorHAnsi" w:cstheme="minorHAnsi"/>
          <w:sz w:val="26"/>
          <w:szCs w:val="26"/>
        </w:rPr>
      </w:pPr>
      <w:r w:rsidRPr="007F24B9">
        <w:rPr>
          <w:rFonts w:asciiTheme="minorHAnsi" w:hAnsiTheme="minorHAnsi" w:cstheme="minorHAnsi"/>
          <w:sz w:val="26"/>
          <w:szCs w:val="26"/>
        </w:rPr>
        <w:lastRenderedPageBreak/>
        <w:t xml:space="preserve">Totodată, este în </w:t>
      </w:r>
      <w:r w:rsidR="00326100">
        <w:rPr>
          <w:rFonts w:asciiTheme="minorHAnsi" w:hAnsiTheme="minorHAnsi" w:cstheme="minorHAnsi"/>
          <w:sz w:val="26"/>
          <w:szCs w:val="26"/>
        </w:rPr>
        <w:t xml:space="preserve">desfășurare </w:t>
      </w:r>
      <w:r w:rsidRPr="007F24B9">
        <w:rPr>
          <w:rFonts w:asciiTheme="minorHAnsi" w:hAnsiTheme="minorHAnsi" w:cstheme="minorHAnsi"/>
          <w:sz w:val="26"/>
          <w:szCs w:val="26"/>
        </w:rPr>
        <w:t xml:space="preserve">concursul pentru numirea în funcții de conducere a procurorilor la parchetele de pe lângă curți de apel, tribunale, tribunale specializate și judecătorii, fiind scoase la concurs </w:t>
      </w:r>
      <w:r w:rsidRPr="007F24B9">
        <w:rPr>
          <w:rFonts w:asciiTheme="minorHAnsi" w:hAnsiTheme="minorHAnsi" w:cstheme="minorHAnsi"/>
          <w:bCs/>
          <w:sz w:val="26"/>
          <w:szCs w:val="26"/>
        </w:rPr>
        <w:t>177</w:t>
      </w:r>
      <w:r w:rsidRPr="007F24B9">
        <w:rPr>
          <w:rFonts w:asciiTheme="minorHAnsi" w:hAnsiTheme="minorHAnsi" w:cstheme="minorHAnsi"/>
          <w:b/>
          <w:sz w:val="26"/>
          <w:szCs w:val="26"/>
        </w:rPr>
        <w:t xml:space="preserve"> </w:t>
      </w:r>
      <w:r w:rsidRPr="007F24B9">
        <w:rPr>
          <w:rFonts w:asciiTheme="minorHAnsi" w:hAnsiTheme="minorHAnsi" w:cstheme="minorHAnsi"/>
          <w:bCs/>
          <w:sz w:val="26"/>
          <w:szCs w:val="26"/>
        </w:rPr>
        <w:t xml:space="preserve">de </w:t>
      </w:r>
      <w:r w:rsidRPr="007F24B9">
        <w:rPr>
          <w:rFonts w:asciiTheme="minorHAnsi" w:hAnsiTheme="minorHAnsi" w:cstheme="minorHAnsi"/>
          <w:sz w:val="26"/>
          <w:szCs w:val="26"/>
        </w:rPr>
        <w:t xml:space="preserve">funcţii vacante de procuror general şi prim-procuror de la parchetele de pe lângă curţile de apel, tribunale şi judecătorii. </w:t>
      </w:r>
    </w:p>
    <w:p w14:paraId="7FE74F73" w14:textId="4FE6186C" w:rsidR="00564DC7" w:rsidRPr="007F24B9" w:rsidRDefault="00564DC7" w:rsidP="00690186">
      <w:pPr>
        <w:tabs>
          <w:tab w:val="left" w:pos="709"/>
        </w:tabs>
        <w:jc w:val="both"/>
        <w:rPr>
          <w:rFonts w:asciiTheme="minorHAnsi" w:eastAsia="Calibri" w:hAnsiTheme="minorHAnsi" w:cstheme="minorHAnsi"/>
          <w:sz w:val="26"/>
          <w:szCs w:val="26"/>
        </w:rPr>
      </w:pPr>
      <w:r w:rsidRPr="007F24B9">
        <w:rPr>
          <w:rFonts w:asciiTheme="minorHAnsi" w:hAnsiTheme="minorHAnsi" w:cstheme="minorHAnsi"/>
          <w:sz w:val="26"/>
          <w:szCs w:val="26"/>
        </w:rPr>
        <w:tab/>
        <w:t xml:space="preserve">În cursul anului 2023 a fost organizat un concurs de promovare efectivă a judecătorilor în funcţii de execuţie, fiind promovați un număr de 201 judecători, dintre care 53 la curţile de apel şi 148 </w:t>
      </w:r>
      <w:r w:rsidR="00D16702">
        <w:rPr>
          <w:rFonts w:asciiTheme="minorHAnsi" w:hAnsiTheme="minorHAnsi" w:cstheme="minorHAnsi"/>
          <w:sz w:val="26"/>
          <w:szCs w:val="26"/>
        </w:rPr>
        <w:t xml:space="preserve">de </w:t>
      </w:r>
      <w:r w:rsidRPr="007F24B9">
        <w:rPr>
          <w:rFonts w:asciiTheme="minorHAnsi" w:hAnsiTheme="minorHAnsi" w:cstheme="minorHAnsi"/>
          <w:sz w:val="26"/>
          <w:szCs w:val="26"/>
        </w:rPr>
        <w:t>judecători la tribunale. Totodată, este în derulare concursul de promovare în funcţii de execuţie efectivă a  procurorilor pentru un număr de 154 de posturi.</w:t>
      </w:r>
    </w:p>
    <w:p w14:paraId="67DFED7B" w14:textId="77777777" w:rsidR="00564DC7" w:rsidRPr="007F24B9"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sz w:val="26"/>
          <w:szCs w:val="26"/>
        </w:rPr>
        <w:t>În ceea ce privește activitățile derulate în raport de atribuțiile în materie legislativă, în anul 2023, în exercitarea prerogativelor conferite de art. 39 alin. (3) din Legea nr. 305/2022, au fost înaintate Consiliului Superior al Magistraturii spre avizare proiectele mai multor acte normative care privesc activitatea autorității judecătorești.</w:t>
      </w:r>
    </w:p>
    <w:p w14:paraId="14A66785" w14:textId="77777777" w:rsidR="00564DC7" w:rsidRPr="007F24B9"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sz w:val="26"/>
          <w:szCs w:val="26"/>
        </w:rPr>
        <w:t>În exercitarea acestei atribuții, Consiliul Superior al Magistraturii a avizat favorabil cu observații sau fără observații, mai multe proiecte de acte normative, activitate amplu detaliată în secțiunea dedicată din prezentul raport. Totodată, cu privire la unele dintre proiectele de acte normative supuse analizei și avizării, Consiliul a emis avize negative.</w:t>
      </w:r>
    </w:p>
    <w:p w14:paraId="4EDE1901" w14:textId="77777777" w:rsidR="00564DC7" w:rsidRPr="007F24B9"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sz w:val="26"/>
          <w:szCs w:val="26"/>
        </w:rPr>
        <w:t>În anul de referință, în exercitarea atribuțiilor Consiliului Superior al Magistraturii prevăzute de art. 39 alin. (1) din Legea nr. 305/2022, dar și, punctual, de alte dispoziții legale, au fost adoptate, modificate și completate mai multe regulamente ce intră în competența de reglementare a Consiliului, în special în ceea ce privește cariera magistraților.</w:t>
      </w:r>
    </w:p>
    <w:p w14:paraId="39722457" w14:textId="77777777" w:rsidR="00564DC7" w:rsidRPr="007F24B9"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bCs/>
          <w:sz w:val="26"/>
          <w:szCs w:val="26"/>
        </w:rPr>
        <w:t>Raporturile Consiliului Superior al Magistraturii cu Parlamentul României</w:t>
      </w:r>
      <w:r w:rsidRPr="007F24B9">
        <w:rPr>
          <w:rFonts w:asciiTheme="minorHAnsi" w:hAnsiTheme="minorHAnsi" w:cstheme="minorHAnsi"/>
          <w:b/>
          <w:sz w:val="26"/>
          <w:szCs w:val="26"/>
        </w:rPr>
        <w:t xml:space="preserve"> </w:t>
      </w:r>
      <w:r w:rsidRPr="007F24B9">
        <w:rPr>
          <w:rFonts w:asciiTheme="minorHAnsi" w:hAnsiTheme="minorHAnsi" w:cstheme="minorHAnsi"/>
          <w:sz w:val="26"/>
          <w:szCs w:val="26"/>
        </w:rPr>
        <w:t xml:space="preserve">s-au concretizat, în principal, în avizarea propunerilor legislative aflate în dezbatere parlamentară și în exprimarea unor puncte de vedere față de o serie de propuneri legislative, atât de către Plen, cât şi prin intermediul comisiilor de specialitate. De asemenea, este de menționat participarea unor reprezentanți ai Consiliului la ședințele comisiilor de specialitate ale celor două camere ale Parlamentului în care s-au discutat acte normative care vizau sistemul judiciar. </w:t>
      </w:r>
    </w:p>
    <w:p w14:paraId="6AE8E370" w14:textId="77777777" w:rsidR="00564DC7" w:rsidRPr="007F24B9"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sz w:val="26"/>
          <w:szCs w:val="26"/>
        </w:rPr>
        <w:t>În ceea ce privește</w:t>
      </w:r>
      <w:r w:rsidRPr="007F24B9">
        <w:rPr>
          <w:rFonts w:asciiTheme="minorHAnsi" w:hAnsiTheme="minorHAnsi" w:cstheme="minorHAnsi"/>
          <w:b/>
          <w:sz w:val="26"/>
          <w:szCs w:val="26"/>
        </w:rPr>
        <w:t xml:space="preserve"> </w:t>
      </w:r>
      <w:r w:rsidRPr="007F24B9">
        <w:rPr>
          <w:rFonts w:asciiTheme="minorHAnsi" w:hAnsiTheme="minorHAnsi" w:cstheme="minorHAnsi"/>
          <w:bCs/>
          <w:sz w:val="26"/>
          <w:szCs w:val="26"/>
        </w:rPr>
        <w:t>raporturile Consiliului Superior al Magistraturii cu puterea executivă,</w:t>
      </w:r>
      <w:r w:rsidRPr="007F24B9">
        <w:rPr>
          <w:rFonts w:asciiTheme="minorHAnsi" w:hAnsiTheme="minorHAnsi" w:cstheme="minorHAnsi"/>
          <w:sz w:val="26"/>
          <w:szCs w:val="26"/>
        </w:rPr>
        <w:t xml:space="preserve"> se evidențiază colaborarea cu Ministerul Justiției din perspectiva procesului legislativ, colaborare în cadrul căreia Consiliul şi-a exercitat atribuțiile referitoare la avizarea actelor normative care privesc activitatea autorității judecătorești, prevăzute de art. 39 alin. (3) din Legea nr. 305/2004, prezentate anterior. O altă componentă importantă a acestor raporturi se referă la sesizările transmise Ministerului Justiției de către Plenul Consiliului Superior al Magistraturii,</w:t>
      </w:r>
      <w:r w:rsidRPr="007F24B9">
        <w:rPr>
          <w:rFonts w:asciiTheme="minorHAnsi" w:hAnsiTheme="minorHAnsi" w:cstheme="minorHAnsi"/>
          <w:b/>
          <w:sz w:val="26"/>
          <w:szCs w:val="26"/>
        </w:rPr>
        <w:t xml:space="preserve"> </w:t>
      </w:r>
      <w:r w:rsidRPr="007F24B9">
        <w:rPr>
          <w:rFonts w:asciiTheme="minorHAnsi" w:hAnsiTheme="minorHAnsi" w:cstheme="minorHAnsi"/>
          <w:sz w:val="26"/>
          <w:szCs w:val="26"/>
        </w:rPr>
        <w:t xml:space="preserve">în temeiul art. 39 alin. (5) din Legea nr. 305/2022, pentru inițierea sau modificarea unor acte normative. </w:t>
      </w:r>
    </w:p>
    <w:p w14:paraId="036A249F" w14:textId="77777777" w:rsidR="00564DC7" w:rsidRPr="007F24B9" w:rsidRDefault="00564DC7" w:rsidP="00690186">
      <w:pPr>
        <w:keepNext/>
        <w:keepLines/>
        <w:ind w:firstLine="708"/>
        <w:jc w:val="both"/>
        <w:rPr>
          <w:rFonts w:asciiTheme="minorHAnsi" w:hAnsiTheme="minorHAnsi" w:cstheme="minorHAnsi"/>
          <w:sz w:val="26"/>
          <w:szCs w:val="26"/>
        </w:rPr>
      </w:pPr>
      <w:r w:rsidRPr="007F24B9">
        <w:rPr>
          <w:rFonts w:asciiTheme="minorHAnsi" w:hAnsiTheme="minorHAnsi" w:cstheme="minorHAnsi"/>
          <w:sz w:val="26"/>
          <w:szCs w:val="26"/>
        </w:rPr>
        <w:t xml:space="preserve">În ceea ce privește </w:t>
      </w:r>
      <w:r w:rsidRPr="007F24B9">
        <w:rPr>
          <w:rFonts w:asciiTheme="minorHAnsi" w:hAnsiTheme="minorHAnsi" w:cstheme="minorHAnsi"/>
          <w:bCs/>
          <w:sz w:val="26"/>
          <w:szCs w:val="26"/>
        </w:rPr>
        <w:t>relația Consiliului cu Președintele României</w:t>
      </w:r>
      <w:r w:rsidRPr="007F24B9">
        <w:rPr>
          <w:rFonts w:asciiTheme="minorHAnsi" w:hAnsiTheme="minorHAnsi" w:cstheme="minorHAnsi"/>
          <w:b/>
          <w:sz w:val="26"/>
          <w:szCs w:val="26"/>
        </w:rPr>
        <w:t xml:space="preserve">, </w:t>
      </w:r>
      <w:r w:rsidRPr="007F24B9">
        <w:rPr>
          <w:rFonts w:asciiTheme="minorHAnsi" w:hAnsiTheme="minorHAnsi" w:cstheme="minorHAnsi"/>
          <w:sz w:val="26"/>
          <w:szCs w:val="26"/>
        </w:rPr>
        <w:t xml:space="preserve">aceasta s-a circumscris prevederilor art. 134 din Constituția României şi celor din legile organice privind justiția, în temeiul cărora au fost înaintate Președintelui României hotărârile Secţiilor Consiliului Superior al Magistraturii privind propunerile de numire şi de eliberare din funcțiile de judecător şi procuror. </w:t>
      </w:r>
    </w:p>
    <w:p w14:paraId="1A0B8EA7" w14:textId="41D65251" w:rsidR="00564DC7" w:rsidRPr="007F24B9" w:rsidRDefault="00564DC7" w:rsidP="00690186">
      <w:pPr>
        <w:autoSpaceDE w:val="0"/>
        <w:autoSpaceDN w:val="0"/>
        <w:adjustRightInd w:val="0"/>
        <w:ind w:firstLine="708"/>
        <w:jc w:val="both"/>
        <w:rPr>
          <w:rFonts w:asciiTheme="minorHAnsi" w:hAnsiTheme="minorHAnsi" w:cstheme="minorHAnsi"/>
          <w:sz w:val="26"/>
          <w:szCs w:val="26"/>
        </w:rPr>
      </w:pPr>
      <w:r w:rsidRPr="007F24B9">
        <w:rPr>
          <w:rFonts w:asciiTheme="minorHAnsi" w:hAnsiTheme="minorHAnsi" w:cstheme="minorHAnsi"/>
          <w:sz w:val="26"/>
          <w:szCs w:val="26"/>
        </w:rPr>
        <w:t xml:space="preserve">Activitatea Consiliului Superior al Magistraturii în anul 2023 a urmărit și </w:t>
      </w:r>
      <w:r w:rsidRPr="007F24B9">
        <w:rPr>
          <w:rFonts w:asciiTheme="minorHAnsi" w:hAnsiTheme="minorHAnsi" w:cstheme="minorHAnsi"/>
          <w:bCs/>
          <w:sz w:val="26"/>
          <w:szCs w:val="26"/>
        </w:rPr>
        <w:t>dezvoltarea capacității instituționale a Institutului Național al Magistraturii și Școlii Naționale de Grefieri,</w:t>
      </w:r>
      <w:r w:rsidRPr="007F24B9">
        <w:rPr>
          <w:rFonts w:asciiTheme="minorHAnsi" w:hAnsiTheme="minorHAnsi" w:cstheme="minorHAnsi"/>
          <w:sz w:val="26"/>
          <w:szCs w:val="26"/>
        </w:rPr>
        <w:t xml:space="preserve"> asigurând participarea celor două instituții în cadrul proiectelor cu finanțare externă ce asigură formarea judecătorilor, procurorilor și grefierilor, dar şi completarea echipelor de formatori a</w:t>
      </w:r>
      <w:r w:rsidR="00272993">
        <w:rPr>
          <w:rFonts w:asciiTheme="minorHAnsi" w:hAnsiTheme="minorHAnsi" w:cstheme="minorHAnsi"/>
          <w:sz w:val="26"/>
          <w:szCs w:val="26"/>
        </w:rPr>
        <w:t>le</w:t>
      </w:r>
      <w:r w:rsidRPr="007F24B9">
        <w:rPr>
          <w:rFonts w:asciiTheme="minorHAnsi" w:hAnsiTheme="minorHAnsi" w:cstheme="minorHAnsi"/>
          <w:sz w:val="26"/>
          <w:szCs w:val="26"/>
        </w:rPr>
        <w:t xml:space="preserve"> celor două instituții, prin ocuparea posturilor vacante din structura organizatorică.</w:t>
      </w:r>
    </w:p>
    <w:p w14:paraId="486C5A8F" w14:textId="2138DE75" w:rsidR="00564DC7" w:rsidRPr="007F24B9" w:rsidRDefault="00564DC7" w:rsidP="00690186">
      <w:pPr>
        <w:ind w:right="43" w:firstLine="706"/>
        <w:jc w:val="both"/>
        <w:rPr>
          <w:rFonts w:asciiTheme="minorHAnsi" w:hAnsiTheme="minorHAnsi" w:cstheme="minorHAnsi"/>
          <w:sz w:val="26"/>
          <w:szCs w:val="26"/>
        </w:rPr>
      </w:pPr>
      <w:r w:rsidRPr="006662CD">
        <w:rPr>
          <w:rFonts w:asciiTheme="minorHAnsi" w:hAnsiTheme="minorHAnsi" w:cstheme="minorHAnsi"/>
          <w:sz w:val="26"/>
          <w:szCs w:val="26"/>
        </w:rPr>
        <w:t xml:space="preserve">În ceea ce privește </w:t>
      </w:r>
      <w:r w:rsidRPr="006662CD">
        <w:rPr>
          <w:rFonts w:asciiTheme="minorHAnsi" w:hAnsiTheme="minorHAnsi" w:cstheme="minorHAnsi"/>
          <w:bCs/>
          <w:sz w:val="26"/>
          <w:szCs w:val="26"/>
        </w:rPr>
        <w:t>atribuțiile jurisdicționale în materie disciplinară</w:t>
      </w:r>
      <w:r w:rsidRPr="006662CD">
        <w:rPr>
          <w:rFonts w:asciiTheme="minorHAnsi" w:hAnsiTheme="minorHAnsi" w:cstheme="minorHAnsi"/>
          <w:sz w:val="26"/>
          <w:szCs w:val="26"/>
        </w:rPr>
        <w:t xml:space="preserve"> ale Consiliului, datele statistice indică un număr de </w:t>
      </w:r>
      <w:r w:rsidR="006662CD" w:rsidRPr="006662CD">
        <w:rPr>
          <w:rFonts w:asciiTheme="minorHAnsi" w:hAnsiTheme="minorHAnsi" w:cstheme="minorHAnsi"/>
          <w:sz w:val="26"/>
          <w:szCs w:val="26"/>
        </w:rPr>
        <w:t>21</w:t>
      </w:r>
      <w:r w:rsidRPr="006662CD">
        <w:rPr>
          <w:rFonts w:asciiTheme="minorHAnsi" w:hAnsiTheme="minorHAnsi" w:cstheme="minorHAnsi"/>
          <w:sz w:val="26"/>
          <w:szCs w:val="26"/>
        </w:rPr>
        <w:t xml:space="preserve"> sancțiuni disciplinare aplicate judecătorilor, dintre care 1</w:t>
      </w:r>
      <w:r w:rsidR="006662CD" w:rsidRPr="006662CD">
        <w:rPr>
          <w:rFonts w:asciiTheme="minorHAnsi" w:hAnsiTheme="minorHAnsi" w:cstheme="minorHAnsi"/>
          <w:sz w:val="26"/>
          <w:szCs w:val="26"/>
        </w:rPr>
        <w:t>1</w:t>
      </w:r>
      <w:r w:rsidRPr="006662CD">
        <w:rPr>
          <w:rFonts w:asciiTheme="minorHAnsi" w:hAnsiTheme="minorHAnsi" w:cstheme="minorHAnsi"/>
          <w:sz w:val="26"/>
          <w:szCs w:val="26"/>
        </w:rPr>
        <w:t xml:space="preserve"> sancțiuni disciplinare nu sunt definitive, și </w:t>
      </w:r>
      <w:r w:rsidR="006662CD" w:rsidRPr="006662CD">
        <w:rPr>
          <w:rFonts w:asciiTheme="minorHAnsi" w:hAnsiTheme="minorHAnsi" w:cstheme="minorHAnsi"/>
          <w:sz w:val="26"/>
          <w:szCs w:val="26"/>
        </w:rPr>
        <w:t>2</w:t>
      </w:r>
      <w:r w:rsidRPr="006662CD">
        <w:rPr>
          <w:rFonts w:asciiTheme="minorHAnsi" w:hAnsiTheme="minorHAnsi" w:cstheme="minorHAnsi"/>
          <w:sz w:val="26"/>
          <w:szCs w:val="26"/>
        </w:rPr>
        <w:t xml:space="preserve"> sancțiuni disciplinare aplicate procurorilor, dintre care una nu este definitivă.</w:t>
      </w:r>
      <w:r w:rsidRPr="007F24B9">
        <w:rPr>
          <w:rFonts w:asciiTheme="minorHAnsi" w:hAnsiTheme="minorHAnsi" w:cstheme="minorHAnsi"/>
          <w:sz w:val="26"/>
          <w:szCs w:val="26"/>
        </w:rPr>
        <w:t xml:space="preserve"> </w:t>
      </w:r>
    </w:p>
    <w:p w14:paraId="7FDAFB22" w14:textId="1BB4ECB4" w:rsidR="00564DC7" w:rsidRPr="007F24B9" w:rsidRDefault="00564DC7" w:rsidP="00690186">
      <w:pPr>
        <w:ind w:firstLine="720"/>
        <w:jc w:val="both"/>
        <w:rPr>
          <w:rFonts w:asciiTheme="minorHAnsi" w:hAnsiTheme="minorHAnsi" w:cstheme="minorHAnsi"/>
          <w:sz w:val="26"/>
          <w:szCs w:val="26"/>
        </w:rPr>
      </w:pPr>
      <w:r w:rsidRPr="007F24B9">
        <w:rPr>
          <w:rFonts w:asciiTheme="minorHAnsi" w:hAnsiTheme="minorHAnsi" w:cstheme="minorHAnsi"/>
          <w:bCs/>
          <w:sz w:val="26"/>
          <w:szCs w:val="26"/>
        </w:rPr>
        <w:t>Subsumat rolului principal al Consiliului Superior al Magistraturii,</w:t>
      </w:r>
      <w:r w:rsidRPr="007F24B9">
        <w:rPr>
          <w:rFonts w:asciiTheme="minorHAnsi" w:hAnsiTheme="minorHAnsi" w:cstheme="minorHAnsi"/>
          <w:sz w:val="26"/>
          <w:szCs w:val="26"/>
        </w:rPr>
        <w:t xml:space="preserve"> acela de </w:t>
      </w:r>
      <w:r w:rsidRPr="007F24B9">
        <w:rPr>
          <w:rFonts w:asciiTheme="minorHAnsi" w:hAnsiTheme="minorHAnsi" w:cstheme="minorHAnsi"/>
          <w:iCs/>
          <w:sz w:val="26"/>
          <w:szCs w:val="26"/>
        </w:rPr>
        <w:t>garant al independenței justiției</w:t>
      </w:r>
      <w:r w:rsidRPr="007F24B9">
        <w:rPr>
          <w:rFonts w:asciiTheme="minorHAnsi" w:hAnsiTheme="minorHAnsi" w:cstheme="minorHAnsi"/>
          <w:sz w:val="26"/>
          <w:szCs w:val="26"/>
        </w:rPr>
        <w:t xml:space="preserve">, în anul 2023, </w:t>
      </w:r>
      <w:r w:rsidRPr="007F24B9">
        <w:rPr>
          <w:rFonts w:asciiTheme="minorHAnsi" w:hAnsiTheme="minorHAnsi" w:cstheme="minorHAnsi"/>
          <w:bCs/>
          <w:kern w:val="32"/>
          <w:sz w:val="26"/>
          <w:szCs w:val="26"/>
        </w:rPr>
        <w:t>Consiliului a adoptat 1</w:t>
      </w:r>
      <w:r w:rsidR="00F520A6">
        <w:rPr>
          <w:rFonts w:asciiTheme="minorHAnsi" w:hAnsiTheme="minorHAnsi" w:cstheme="minorHAnsi"/>
          <w:bCs/>
          <w:kern w:val="32"/>
          <w:sz w:val="26"/>
          <w:szCs w:val="26"/>
        </w:rPr>
        <w:t>3</w:t>
      </w:r>
      <w:r w:rsidRPr="007F24B9">
        <w:rPr>
          <w:rFonts w:asciiTheme="minorHAnsi" w:hAnsiTheme="minorHAnsi" w:cstheme="minorHAnsi"/>
          <w:bCs/>
          <w:kern w:val="32"/>
          <w:sz w:val="26"/>
          <w:szCs w:val="26"/>
        </w:rPr>
        <w:t xml:space="preserve"> hotărâri</w:t>
      </w:r>
      <w:r w:rsidRPr="007F24B9">
        <w:rPr>
          <w:rFonts w:asciiTheme="minorHAnsi" w:hAnsiTheme="minorHAnsi" w:cstheme="minorHAnsi"/>
          <w:sz w:val="26"/>
          <w:szCs w:val="26"/>
        </w:rPr>
        <w:t xml:space="preserve"> având ca obiect apărarea reputației profesionale şi a independenței şi imparțialității judecătorilor și procurorilor.</w:t>
      </w:r>
    </w:p>
    <w:p w14:paraId="0EE149BB" w14:textId="04BC0DCD" w:rsidR="00564DC7" w:rsidRPr="007F24B9" w:rsidRDefault="00564DC7" w:rsidP="00690186">
      <w:pPr>
        <w:ind w:firstLine="851"/>
        <w:jc w:val="both"/>
        <w:rPr>
          <w:rFonts w:asciiTheme="minorHAnsi" w:hAnsiTheme="minorHAnsi" w:cstheme="minorHAnsi"/>
          <w:sz w:val="26"/>
          <w:szCs w:val="26"/>
        </w:rPr>
      </w:pPr>
      <w:r w:rsidRPr="007F24B9">
        <w:rPr>
          <w:rFonts w:asciiTheme="minorHAnsi" w:hAnsiTheme="minorHAnsi" w:cstheme="minorHAnsi"/>
          <w:bCs/>
          <w:kern w:val="32"/>
          <w:sz w:val="26"/>
          <w:szCs w:val="26"/>
        </w:rPr>
        <w:lastRenderedPageBreak/>
        <w:t xml:space="preserve">Secția pentru judecători a Consiliului Superior al Magistraturii, în perioada de referință, a soluționat </w:t>
      </w:r>
      <w:r w:rsidR="00F520A6">
        <w:rPr>
          <w:rFonts w:asciiTheme="minorHAnsi" w:hAnsiTheme="minorHAnsi" w:cstheme="minorHAnsi"/>
          <w:sz w:val="26"/>
          <w:szCs w:val="26"/>
        </w:rPr>
        <w:t>9</w:t>
      </w:r>
      <w:r w:rsidRPr="007F24B9">
        <w:rPr>
          <w:rFonts w:asciiTheme="minorHAnsi" w:hAnsiTheme="minorHAnsi" w:cstheme="minorHAnsi"/>
          <w:sz w:val="26"/>
          <w:szCs w:val="26"/>
        </w:rPr>
        <w:t xml:space="preserve"> sesizări având ca obiect apărarea reputației profesionale şi a independenței şi imparțialității judecătorilor, fiind pronunțate </w:t>
      </w:r>
      <w:r w:rsidR="00F520A6">
        <w:rPr>
          <w:rFonts w:asciiTheme="minorHAnsi" w:hAnsiTheme="minorHAnsi" w:cstheme="minorHAnsi"/>
          <w:sz w:val="26"/>
          <w:szCs w:val="26"/>
        </w:rPr>
        <w:t>5</w:t>
      </w:r>
      <w:r w:rsidRPr="007F24B9">
        <w:rPr>
          <w:rFonts w:asciiTheme="minorHAnsi" w:hAnsiTheme="minorHAnsi" w:cstheme="minorHAnsi"/>
          <w:sz w:val="26"/>
          <w:szCs w:val="26"/>
        </w:rPr>
        <w:t xml:space="preserve"> hotărâri de admitere şi 4 hotărâri de respingere.</w:t>
      </w:r>
    </w:p>
    <w:p w14:paraId="73D64081" w14:textId="46628376" w:rsidR="00564DC7" w:rsidRPr="007F24B9" w:rsidRDefault="00564DC7" w:rsidP="00690186">
      <w:pPr>
        <w:ind w:firstLine="720"/>
        <w:jc w:val="both"/>
        <w:rPr>
          <w:rFonts w:asciiTheme="minorHAnsi" w:hAnsiTheme="minorHAnsi" w:cstheme="minorHAnsi"/>
          <w:bCs/>
          <w:sz w:val="26"/>
          <w:szCs w:val="26"/>
          <w:lang w:eastAsia="ro-RO"/>
        </w:rPr>
      </w:pPr>
      <w:r w:rsidRPr="007F24B9">
        <w:rPr>
          <w:rFonts w:asciiTheme="minorHAnsi" w:hAnsiTheme="minorHAnsi" w:cstheme="minorHAnsi"/>
          <w:bCs/>
          <w:kern w:val="32"/>
          <w:sz w:val="26"/>
          <w:szCs w:val="26"/>
        </w:rPr>
        <w:t xml:space="preserve">Totodată, </w:t>
      </w:r>
      <w:r w:rsidRPr="007F24B9">
        <w:rPr>
          <w:rFonts w:asciiTheme="minorHAnsi" w:hAnsiTheme="minorHAnsi" w:cstheme="minorHAnsi"/>
          <w:sz w:val="26"/>
          <w:szCs w:val="26"/>
        </w:rPr>
        <w:t xml:space="preserve">Secția pentru procurori a pronunțat </w:t>
      </w:r>
      <w:r w:rsidR="00F520A6">
        <w:rPr>
          <w:rFonts w:asciiTheme="minorHAnsi" w:hAnsiTheme="minorHAnsi" w:cstheme="minorHAnsi"/>
          <w:sz w:val="26"/>
          <w:szCs w:val="26"/>
        </w:rPr>
        <w:t>4</w:t>
      </w:r>
      <w:r w:rsidR="006007DD">
        <w:rPr>
          <w:rFonts w:asciiTheme="minorHAnsi" w:hAnsiTheme="minorHAnsi" w:cstheme="minorHAnsi"/>
          <w:sz w:val="26"/>
          <w:szCs w:val="26"/>
        </w:rPr>
        <w:t xml:space="preserve"> </w:t>
      </w:r>
      <w:r w:rsidRPr="007F24B9">
        <w:rPr>
          <w:rFonts w:asciiTheme="minorHAnsi" w:hAnsiTheme="minorHAnsi" w:cstheme="minorHAnsi"/>
          <w:sz w:val="26"/>
          <w:szCs w:val="26"/>
        </w:rPr>
        <w:t>hotărâri</w:t>
      </w:r>
      <w:r w:rsidRPr="007F24B9">
        <w:rPr>
          <w:rFonts w:asciiTheme="minorHAnsi" w:hAnsiTheme="minorHAnsi" w:cstheme="minorHAnsi"/>
          <w:b/>
          <w:bCs/>
          <w:sz w:val="26"/>
          <w:szCs w:val="26"/>
        </w:rPr>
        <w:t xml:space="preserve"> </w:t>
      </w:r>
      <w:r w:rsidRPr="007F24B9">
        <w:rPr>
          <w:rFonts w:asciiTheme="minorHAnsi" w:hAnsiTheme="minorHAnsi" w:cstheme="minorHAnsi"/>
          <w:sz w:val="26"/>
          <w:szCs w:val="26"/>
        </w:rPr>
        <w:t xml:space="preserve">având ca obiect cereri privind apărarea reputației profesionale şi a independenței şi imparțialității procurorilor, </w:t>
      </w:r>
      <w:r w:rsidRPr="007F24B9">
        <w:rPr>
          <w:rFonts w:asciiTheme="minorHAnsi" w:hAnsiTheme="minorHAnsi" w:cstheme="minorHAnsi"/>
          <w:bCs/>
          <w:sz w:val="26"/>
          <w:szCs w:val="26"/>
          <w:lang w:eastAsia="ro-RO"/>
        </w:rPr>
        <w:t xml:space="preserve">dintre care </w:t>
      </w:r>
      <w:r w:rsidR="00F520A6">
        <w:rPr>
          <w:rFonts w:asciiTheme="minorHAnsi" w:hAnsiTheme="minorHAnsi" w:cstheme="minorHAnsi"/>
          <w:bCs/>
          <w:sz w:val="26"/>
          <w:szCs w:val="26"/>
          <w:lang w:eastAsia="ro-RO"/>
        </w:rPr>
        <w:t>3</w:t>
      </w:r>
      <w:r w:rsidRPr="007F24B9">
        <w:rPr>
          <w:rFonts w:asciiTheme="minorHAnsi" w:hAnsiTheme="minorHAnsi" w:cstheme="minorHAnsi"/>
          <w:bCs/>
          <w:sz w:val="26"/>
          <w:szCs w:val="26"/>
          <w:lang w:eastAsia="ro-RO"/>
        </w:rPr>
        <w:t xml:space="preserve"> hotărâri de admitere și 1 hotărâre de respingere.</w:t>
      </w:r>
    </w:p>
    <w:p w14:paraId="7D759031" w14:textId="77777777" w:rsidR="00564DC7" w:rsidRPr="007F24B9" w:rsidRDefault="00564DC7" w:rsidP="00690186">
      <w:pPr>
        <w:ind w:firstLine="720"/>
        <w:jc w:val="both"/>
        <w:rPr>
          <w:rFonts w:asciiTheme="minorHAnsi" w:hAnsiTheme="minorHAnsi" w:cstheme="minorHAnsi"/>
          <w:sz w:val="26"/>
          <w:szCs w:val="26"/>
        </w:rPr>
      </w:pPr>
      <w:r w:rsidRPr="007F24B9">
        <w:rPr>
          <w:rFonts w:asciiTheme="minorHAnsi" w:hAnsiTheme="minorHAnsi" w:cstheme="minorHAnsi"/>
          <w:bCs/>
          <w:sz w:val="26"/>
          <w:szCs w:val="26"/>
          <w:lang w:eastAsia="ro-RO"/>
        </w:rPr>
        <w:t xml:space="preserve">În ceea ce privește Mecanismul de Cooperare și Verificare, Consiliul Superior al Magistraturii a subliniat importanța ridicării acestuia față de România în mod public, iar în ceea ce privește mecanismul statului de drept instituit de către Comisia Europeană încă din anul 2020, Consiliul </w:t>
      </w:r>
      <w:r w:rsidRPr="007F24B9">
        <w:rPr>
          <w:rFonts w:asciiTheme="minorHAnsi" w:hAnsiTheme="minorHAnsi" w:cstheme="minorHAnsi"/>
          <w:sz w:val="26"/>
          <w:szCs w:val="26"/>
        </w:rPr>
        <w:t>a transmis contribuția sa anuală la chestionarul Comisiei Europene și a participat la reuniunile de dialog organizate.</w:t>
      </w:r>
    </w:p>
    <w:p w14:paraId="2229A768" w14:textId="77777777" w:rsidR="00564DC7" w:rsidRPr="007F24B9" w:rsidRDefault="00564DC7" w:rsidP="00690186">
      <w:pPr>
        <w:ind w:firstLine="720"/>
        <w:jc w:val="both"/>
        <w:rPr>
          <w:rFonts w:asciiTheme="minorHAnsi" w:hAnsiTheme="minorHAnsi" w:cstheme="minorHAnsi"/>
          <w:sz w:val="26"/>
          <w:szCs w:val="26"/>
        </w:rPr>
      </w:pPr>
      <w:r w:rsidRPr="007F24B9">
        <w:rPr>
          <w:rFonts w:asciiTheme="minorHAnsi" w:hAnsiTheme="minorHAnsi" w:cstheme="minorHAnsi"/>
          <w:sz w:val="26"/>
          <w:szCs w:val="26"/>
        </w:rPr>
        <w:t xml:space="preserve">În cursul anului 2023, a continuat dialogul de cooperare cu reprezentanți ai sistemelor judiciare sau reprezentanți ai altor state atât din spațiul european, cât şi la nivel internațional, precum Rețeaua Europeană a Consiliilor Judiciare, Consiliul Superior al Magistraturii manifestând deschidere spre dialog și colaborare în domenii de interes comun. </w:t>
      </w:r>
    </w:p>
    <w:p w14:paraId="33080125" w14:textId="77777777" w:rsidR="00564DC7" w:rsidRDefault="00564DC7" w:rsidP="00690186">
      <w:pPr>
        <w:ind w:firstLine="708"/>
        <w:jc w:val="both"/>
        <w:rPr>
          <w:rFonts w:asciiTheme="minorHAnsi" w:hAnsiTheme="minorHAnsi" w:cstheme="minorHAnsi"/>
          <w:sz w:val="26"/>
          <w:szCs w:val="26"/>
        </w:rPr>
      </w:pPr>
      <w:r w:rsidRPr="007F24B9">
        <w:rPr>
          <w:rFonts w:asciiTheme="minorHAnsi" w:hAnsiTheme="minorHAnsi" w:cstheme="minorHAnsi"/>
          <w:sz w:val="26"/>
          <w:szCs w:val="26"/>
        </w:rPr>
        <w:t>În ceea ce privește activitatea în domeniul programelor cu finanțare externă, trebuie menționat că în anul 2023 aceasta a fost intensă, Consiliul Superior al Magistraturii implementând 6 proiecte cu finanțare externă POCA și având în derulare o serie de proiecte cu finanțare în cadrul mecanismului norvegian și, respectiv, al programului de finanțare elvețian, alături de proiecte derulate prin Planul Național de Reziliență și Redresare.</w:t>
      </w:r>
    </w:p>
    <w:p w14:paraId="58D07A00" w14:textId="2D5B13C3" w:rsidR="00326100" w:rsidRPr="007F24B9" w:rsidRDefault="00326100" w:rsidP="00690186">
      <w:pPr>
        <w:ind w:firstLine="708"/>
        <w:jc w:val="both"/>
        <w:rPr>
          <w:rFonts w:asciiTheme="minorHAnsi" w:hAnsiTheme="minorHAnsi" w:cstheme="minorHAnsi"/>
          <w:sz w:val="26"/>
          <w:szCs w:val="26"/>
        </w:rPr>
      </w:pPr>
      <w:r>
        <w:rPr>
          <w:rFonts w:asciiTheme="minorHAnsi" w:hAnsiTheme="minorHAnsi" w:cstheme="minorHAnsi"/>
          <w:sz w:val="26"/>
          <w:szCs w:val="26"/>
        </w:rPr>
        <w:t>Consiliul Superior al Magistraturii a continuat demersurile și în sfera digitalizării justiției, fiind implementat la nivel național, în mod gratuit, portalul Registratura.rejust.ro, dosarul electronic pentru judecători care permite căutarea unui dosar în toate instanțele de judecată printr-o interfață unică, precum și o procedură pentru identificarea unor mijloace tehnice informatice care să conducă la îmbunătățirea procesului de anonimizare a hotărârilor judecătorești publicate în aplicația Rejust.</w:t>
      </w:r>
    </w:p>
    <w:p w14:paraId="5520C367" w14:textId="3074D9B3" w:rsidR="00564DC7" w:rsidRPr="007F24B9" w:rsidRDefault="00326100" w:rsidP="00690186">
      <w:pPr>
        <w:ind w:firstLine="709"/>
        <w:jc w:val="both"/>
        <w:rPr>
          <w:rFonts w:asciiTheme="minorHAnsi" w:hAnsiTheme="minorHAnsi" w:cstheme="minorHAnsi"/>
          <w:sz w:val="26"/>
          <w:szCs w:val="26"/>
        </w:rPr>
      </w:pPr>
      <w:r>
        <w:rPr>
          <w:rFonts w:asciiTheme="minorHAnsi" w:hAnsiTheme="minorHAnsi" w:cstheme="minorHAnsi"/>
          <w:sz w:val="26"/>
          <w:szCs w:val="26"/>
        </w:rPr>
        <w:t>Se poate concluziona, a</w:t>
      </w:r>
      <w:r w:rsidR="00564DC7" w:rsidRPr="007F24B9">
        <w:rPr>
          <w:rFonts w:asciiTheme="minorHAnsi" w:hAnsiTheme="minorHAnsi" w:cstheme="minorHAnsi"/>
          <w:sz w:val="26"/>
          <w:szCs w:val="26"/>
        </w:rPr>
        <w:t>vând în vedere activitatea Consiliului în perioada de referință</w:t>
      </w:r>
      <w:r>
        <w:rPr>
          <w:rFonts w:asciiTheme="minorHAnsi" w:hAnsiTheme="minorHAnsi" w:cstheme="minorHAnsi"/>
          <w:sz w:val="26"/>
          <w:szCs w:val="26"/>
        </w:rPr>
        <w:t xml:space="preserve">, că </w:t>
      </w:r>
      <w:r w:rsidR="00564DC7" w:rsidRPr="007F24B9">
        <w:rPr>
          <w:rFonts w:asciiTheme="minorHAnsi" w:hAnsiTheme="minorHAnsi" w:cstheme="minorHAnsi"/>
          <w:sz w:val="26"/>
          <w:szCs w:val="26"/>
        </w:rPr>
        <w:t>în anul 2023, aceasta a fost orientată spre a asigura necesarul de personal la nivelul instanțelor judecătorești şi parchetelor de pe lângă acestea, pentru garantarea accesului la justiție al cetățenilor ca drept fundamental.</w:t>
      </w:r>
    </w:p>
    <w:p w14:paraId="64F533E3" w14:textId="5620BA14" w:rsidR="00564DC7" w:rsidRPr="007F24B9" w:rsidRDefault="00564DC7" w:rsidP="00690186">
      <w:pPr>
        <w:ind w:firstLine="709"/>
        <w:jc w:val="both"/>
        <w:rPr>
          <w:rFonts w:asciiTheme="minorHAnsi" w:hAnsiTheme="minorHAnsi" w:cstheme="minorHAnsi"/>
          <w:sz w:val="26"/>
          <w:szCs w:val="26"/>
        </w:rPr>
      </w:pPr>
      <w:r w:rsidRPr="007F24B9">
        <w:rPr>
          <w:rFonts w:asciiTheme="minorHAnsi" w:hAnsiTheme="minorHAnsi" w:cstheme="minorHAnsi"/>
          <w:sz w:val="26"/>
          <w:szCs w:val="26"/>
        </w:rPr>
        <w:t xml:space="preserve">În același timp, activitatea Consiliului a urmărit constat, pe parcursul întregului an, asigurarea unui înalt nivel de performanță în cadrul autorității judecătorești, precum şi respectarea independenței și a imparțialității corpului magistraților, premise indispensabile </w:t>
      </w:r>
      <w:r w:rsidR="00272993">
        <w:rPr>
          <w:rFonts w:asciiTheme="minorHAnsi" w:hAnsiTheme="minorHAnsi" w:cstheme="minorHAnsi"/>
          <w:sz w:val="26"/>
          <w:szCs w:val="26"/>
        </w:rPr>
        <w:br/>
      </w:r>
      <w:r w:rsidRPr="007F24B9">
        <w:rPr>
          <w:rFonts w:asciiTheme="minorHAnsi" w:hAnsiTheme="minorHAnsi" w:cstheme="minorHAnsi"/>
          <w:sz w:val="26"/>
          <w:szCs w:val="26"/>
        </w:rPr>
        <w:t>într-o societate democratică pentru ocrotirea drepturilor și libertăților fundamentale ale cetățenilor, dar şi independența sistemului judiciar, în ansamblul său, garanție a separației puterilor în stat.</w:t>
      </w:r>
    </w:p>
    <w:p w14:paraId="4A201D98" w14:textId="386841A5" w:rsidR="003F56DF" w:rsidRPr="00564DC7" w:rsidRDefault="00564DC7" w:rsidP="00690186">
      <w:pPr>
        <w:ind w:firstLine="709"/>
        <w:jc w:val="both"/>
        <w:rPr>
          <w:rFonts w:asciiTheme="minorHAnsi" w:hAnsiTheme="minorHAnsi" w:cstheme="minorHAnsi"/>
          <w:sz w:val="26"/>
          <w:szCs w:val="26"/>
        </w:rPr>
      </w:pPr>
      <w:r w:rsidRPr="007F24B9">
        <w:rPr>
          <w:rFonts w:asciiTheme="minorHAnsi" w:hAnsiTheme="minorHAnsi" w:cstheme="minorHAnsi"/>
          <w:sz w:val="26"/>
          <w:szCs w:val="26"/>
        </w:rPr>
        <w:t xml:space="preserve">În consecință, </w:t>
      </w:r>
      <w:r w:rsidR="00B96717">
        <w:rPr>
          <w:rFonts w:asciiTheme="minorHAnsi" w:hAnsiTheme="minorHAnsi" w:cstheme="minorHAnsi"/>
          <w:sz w:val="26"/>
          <w:szCs w:val="26"/>
        </w:rPr>
        <w:t xml:space="preserve">și în anul 2023, coordonata în jurul căreia s-a desfășurat </w:t>
      </w:r>
      <w:r w:rsidRPr="007F24B9">
        <w:rPr>
          <w:rFonts w:asciiTheme="minorHAnsi" w:hAnsiTheme="minorHAnsi" w:cstheme="minorHAnsi"/>
          <w:sz w:val="26"/>
          <w:szCs w:val="26"/>
        </w:rPr>
        <w:t xml:space="preserve">misiunea Consiliului Superior al Magistraturii </w:t>
      </w:r>
      <w:r w:rsidR="00B96717">
        <w:rPr>
          <w:rFonts w:asciiTheme="minorHAnsi" w:hAnsiTheme="minorHAnsi" w:cstheme="minorHAnsi"/>
          <w:sz w:val="26"/>
          <w:szCs w:val="26"/>
        </w:rPr>
        <w:t>a fost aceea de a asigura un</w:t>
      </w:r>
      <w:r w:rsidRPr="007F24B9">
        <w:rPr>
          <w:rFonts w:asciiTheme="minorHAnsi" w:hAnsiTheme="minorHAnsi" w:cstheme="minorHAnsi"/>
          <w:sz w:val="26"/>
          <w:szCs w:val="26"/>
        </w:rPr>
        <w:t xml:space="preserve"> sistem judiciar imparțial, independent, responsabil şi credibil, condiție esențială pentru calitatea justiției şi a statului de drept. </w:t>
      </w:r>
    </w:p>
    <w:p w14:paraId="2DE79E56" w14:textId="77777777" w:rsidR="006C1588" w:rsidRPr="00564DC7" w:rsidRDefault="006C1588" w:rsidP="00690186">
      <w:pPr>
        <w:widowControl w:val="0"/>
        <w:suppressLineNumbers/>
        <w:suppressAutoHyphens/>
        <w:autoSpaceDE w:val="0"/>
        <w:autoSpaceDN w:val="0"/>
        <w:adjustRightInd w:val="0"/>
        <w:jc w:val="both"/>
        <w:rPr>
          <w:rFonts w:asciiTheme="minorHAnsi" w:hAnsiTheme="minorHAnsi" w:cstheme="minorHAnsi"/>
          <w:sz w:val="20"/>
        </w:rPr>
      </w:pPr>
    </w:p>
    <w:p w14:paraId="29B22781" w14:textId="77777777" w:rsidR="006C1588" w:rsidRPr="00564DC7" w:rsidRDefault="006C1588" w:rsidP="00690186">
      <w:pPr>
        <w:widowControl w:val="0"/>
        <w:suppressLineNumbers/>
        <w:suppressAutoHyphens/>
        <w:autoSpaceDE w:val="0"/>
        <w:autoSpaceDN w:val="0"/>
        <w:adjustRightInd w:val="0"/>
        <w:ind w:firstLine="708"/>
        <w:jc w:val="both"/>
        <w:rPr>
          <w:rFonts w:asciiTheme="minorHAnsi" w:hAnsiTheme="minorHAnsi" w:cstheme="minorHAnsi"/>
          <w:b/>
          <w:sz w:val="20"/>
        </w:rPr>
      </w:pPr>
      <w:r w:rsidRPr="00564DC7">
        <w:rPr>
          <w:rFonts w:asciiTheme="minorHAnsi" w:hAnsiTheme="minorHAnsi" w:cstheme="minorHAnsi"/>
          <w:b/>
          <w:sz w:val="24"/>
          <w:szCs w:val="24"/>
        </w:rPr>
        <w:t xml:space="preserve">                                                      </w:t>
      </w:r>
    </w:p>
    <w:p w14:paraId="4967DB18" w14:textId="77777777" w:rsidR="00294578" w:rsidRPr="00564DC7" w:rsidRDefault="00294578" w:rsidP="00690186">
      <w:pPr>
        <w:suppressLineNumbers/>
        <w:suppressAutoHyphens/>
        <w:jc w:val="both"/>
        <w:rPr>
          <w:rFonts w:asciiTheme="minorHAnsi" w:hAnsiTheme="minorHAnsi" w:cstheme="minorHAnsi"/>
          <w:sz w:val="24"/>
          <w:szCs w:val="24"/>
        </w:rPr>
      </w:pPr>
    </w:p>
    <w:p w14:paraId="304CFAF7" w14:textId="77777777" w:rsidR="00294578" w:rsidRPr="00564DC7" w:rsidRDefault="00294578" w:rsidP="00690186">
      <w:pPr>
        <w:suppressLineNumbers/>
        <w:tabs>
          <w:tab w:val="center" w:pos="4320"/>
          <w:tab w:val="right" w:pos="8640"/>
        </w:tabs>
        <w:suppressAutoHyphens/>
        <w:jc w:val="both"/>
        <w:rPr>
          <w:rFonts w:asciiTheme="minorHAnsi" w:hAnsiTheme="minorHAnsi" w:cstheme="minorHAnsi"/>
          <w:b/>
          <w:sz w:val="26"/>
          <w:szCs w:val="26"/>
          <w14:shadow w14:blurRad="63500" w14:dist="50800" w14:dir="13500000" w14:sx="0" w14:sy="0" w14:kx="0" w14:ky="0" w14:algn="none">
            <w14:srgbClr w14:val="000000">
              <w14:alpha w14:val="50000"/>
            </w14:srgbClr>
          </w14:shadow>
        </w:rPr>
      </w:pPr>
    </w:p>
    <w:p w14:paraId="361D6B52" w14:textId="1E217178" w:rsidR="00EB0149" w:rsidRPr="00564DC7" w:rsidRDefault="00EB0149" w:rsidP="00690186">
      <w:pPr>
        <w:widowControl w:val="0"/>
        <w:autoSpaceDE w:val="0"/>
        <w:autoSpaceDN w:val="0"/>
        <w:adjustRightInd w:val="0"/>
        <w:jc w:val="both"/>
        <w:rPr>
          <w:rFonts w:asciiTheme="minorHAnsi" w:hAnsiTheme="minorHAnsi" w:cstheme="minorHAnsi"/>
          <w:sz w:val="26"/>
          <w:szCs w:val="26"/>
        </w:rPr>
      </w:pPr>
    </w:p>
    <w:sectPr w:rsidR="00EB0149" w:rsidRPr="00564DC7" w:rsidSect="00A3761E">
      <w:pgSz w:w="11906" w:h="16838" w:code="9"/>
      <w:pgMar w:top="567" w:right="851" w:bottom="567" w:left="851"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D4BB" w14:textId="77777777" w:rsidR="00A3761E" w:rsidRDefault="00A3761E" w:rsidP="003C4716">
      <w:r>
        <w:separator/>
      </w:r>
    </w:p>
  </w:endnote>
  <w:endnote w:type="continuationSeparator" w:id="0">
    <w:p w14:paraId="3DE87C6B" w14:textId="77777777" w:rsidR="00A3761E" w:rsidRDefault="00A3761E"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084168"/>
      <w:docPartObj>
        <w:docPartGallery w:val="Page Numbers (Bottom of Page)"/>
        <w:docPartUnique/>
      </w:docPartObj>
    </w:sdtPr>
    <w:sdtEndPr>
      <w:rPr>
        <w:rFonts w:asciiTheme="minorHAnsi" w:hAnsiTheme="minorHAnsi" w:cstheme="minorHAnsi"/>
        <w:noProof/>
        <w:sz w:val="24"/>
        <w:szCs w:val="24"/>
      </w:rPr>
    </w:sdtEndPr>
    <w:sdtContent>
      <w:p w14:paraId="45077922" w14:textId="2F4D074D" w:rsidR="00B8312D" w:rsidRPr="007216EF" w:rsidRDefault="00000000">
        <w:pPr>
          <w:pStyle w:val="Footer"/>
          <w:jc w:val="center"/>
          <w:rPr>
            <w:rFonts w:asciiTheme="minorHAnsi" w:hAnsiTheme="minorHAnsi" w:cstheme="minorHAnsi"/>
            <w:sz w:val="24"/>
            <w:szCs w:val="24"/>
          </w:rPr>
        </w:pPr>
      </w:p>
    </w:sdtContent>
  </w:sdt>
  <w:p w14:paraId="2A093BFE" w14:textId="34451739" w:rsidR="00B8312D" w:rsidRPr="003F3275" w:rsidRDefault="00B8312D">
    <w:pPr>
      <w:pStyle w:val="Footer"/>
      <w:rPr>
        <w:rFonts w:asciiTheme="minorHAnsi" w:hAnsiTheme="minorHAnsi" w:cstheme="minorHAnsi"/>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DE3E" w14:textId="6E4AAE47" w:rsidR="00B8312D" w:rsidRPr="007216EF" w:rsidRDefault="00B8312D">
    <w:pPr>
      <w:pStyle w:val="Footer"/>
      <w:jc w:val="center"/>
      <w:rPr>
        <w:rFonts w:asciiTheme="minorHAnsi" w:hAnsiTheme="minorHAnsi" w:cstheme="minorHAnsi"/>
        <w:sz w:val="24"/>
        <w:szCs w:val="24"/>
      </w:rPr>
    </w:pPr>
  </w:p>
  <w:p w14:paraId="5F789084" w14:textId="420CC53E" w:rsidR="00B8312D" w:rsidRPr="003F3275" w:rsidRDefault="00000000">
    <w:pPr>
      <w:pStyle w:val="Footer"/>
      <w:rPr>
        <w:rFonts w:asciiTheme="minorHAnsi" w:hAnsiTheme="minorHAnsi" w:cstheme="minorHAnsi"/>
        <w:sz w:val="2"/>
        <w:szCs w:val="2"/>
      </w:rPr>
    </w:pPr>
    <w:sdt>
      <w:sdtPr>
        <w:rPr>
          <w:rFonts w:asciiTheme="minorHAnsi" w:hAnsiTheme="minorHAnsi" w:cstheme="minorHAnsi"/>
        </w:rPr>
        <w:id w:val="2074076205"/>
        <w:docPartObj>
          <w:docPartGallery w:val="Page Numbers (Top of Page)"/>
          <w:docPartUnique/>
        </w:docPartObj>
      </w:sdtPr>
      <w:sdtEndPr>
        <w:rPr>
          <w:sz w:val="20"/>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2A58" w14:textId="77777777" w:rsidR="00B8312D" w:rsidRDefault="00B831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F613" w14:textId="5A2900A7" w:rsidR="00B8312D" w:rsidRPr="007216EF" w:rsidRDefault="00B8312D">
    <w:pPr>
      <w:pStyle w:val="Footer"/>
      <w:jc w:val="center"/>
      <w:rPr>
        <w:rFonts w:asciiTheme="minorHAnsi" w:hAnsiTheme="minorHAnsi" w:cstheme="minorHAnsi"/>
        <w:sz w:val="24"/>
        <w:szCs w:val="24"/>
      </w:rPr>
    </w:pPr>
  </w:p>
  <w:p w14:paraId="7F6C1409" w14:textId="7BC64B27" w:rsidR="00B8312D" w:rsidRPr="003F3275" w:rsidRDefault="00B8312D">
    <w:pPr>
      <w:pStyle w:val="Footer"/>
      <w:rPr>
        <w:rFonts w:asciiTheme="minorHAnsi" w:hAnsiTheme="minorHAnsi" w:cstheme="minorHAnsi"/>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6574"/>
      <w:docPartObj>
        <w:docPartGallery w:val="Page Numbers (Bottom of Page)"/>
        <w:docPartUnique/>
      </w:docPartObj>
    </w:sdtPr>
    <w:sdtEndPr>
      <w:rPr>
        <w:rFonts w:asciiTheme="minorHAnsi" w:hAnsiTheme="minorHAnsi" w:cstheme="minorHAnsi"/>
        <w:noProof/>
        <w:sz w:val="24"/>
        <w:szCs w:val="24"/>
      </w:rPr>
    </w:sdtEndPr>
    <w:sdtContent>
      <w:p w14:paraId="74CA52E8" w14:textId="77777777" w:rsidR="00B8312D" w:rsidRPr="007216EF" w:rsidRDefault="00B8312D">
        <w:pPr>
          <w:pStyle w:val="Footer"/>
          <w:jc w:val="center"/>
          <w:rPr>
            <w:rFonts w:asciiTheme="minorHAnsi" w:hAnsiTheme="minorHAnsi" w:cstheme="minorHAnsi"/>
            <w:sz w:val="24"/>
            <w:szCs w:val="24"/>
          </w:rPr>
        </w:pPr>
        <w:r w:rsidRPr="007216EF">
          <w:rPr>
            <w:rFonts w:asciiTheme="minorHAnsi" w:hAnsiTheme="minorHAnsi" w:cstheme="minorHAnsi"/>
            <w:sz w:val="24"/>
            <w:szCs w:val="24"/>
          </w:rPr>
          <w:fldChar w:fldCharType="begin"/>
        </w:r>
        <w:r w:rsidRPr="007216EF">
          <w:rPr>
            <w:rFonts w:asciiTheme="minorHAnsi" w:hAnsiTheme="minorHAnsi" w:cstheme="minorHAnsi"/>
            <w:sz w:val="24"/>
            <w:szCs w:val="24"/>
          </w:rPr>
          <w:instrText xml:space="preserve"> PAGE   \* MERGEFORMAT </w:instrText>
        </w:r>
        <w:r w:rsidRPr="007216EF">
          <w:rPr>
            <w:rFonts w:asciiTheme="minorHAnsi" w:hAnsiTheme="minorHAnsi" w:cstheme="minorHAnsi"/>
            <w:sz w:val="24"/>
            <w:szCs w:val="24"/>
          </w:rPr>
          <w:fldChar w:fldCharType="separate"/>
        </w:r>
        <w:r w:rsidR="00B9260E">
          <w:rPr>
            <w:rFonts w:asciiTheme="minorHAnsi" w:hAnsiTheme="minorHAnsi" w:cstheme="minorHAnsi"/>
            <w:noProof/>
            <w:sz w:val="24"/>
            <w:szCs w:val="24"/>
          </w:rPr>
          <w:t>141</w:t>
        </w:r>
        <w:r w:rsidRPr="007216EF">
          <w:rPr>
            <w:rFonts w:asciiTheme="minorHAnsi" w:hAnsiTheme="minorHAnsi" w:cstheme="minorHAnsi"/>
            <w:noProof/>
            <w:sz w:val="24"/>
            <w:szCs w:val="24"/>
          </w:rPr>
          <w:fldChar w:fldCharType="end"/>
        </w:r>
      </w:p>
    </w:sdtContent>
  </w:sdt>
  <w:p w14:paraId="10DB8DF6" w14:textId="77777777" w:rsidR="00B8312D" w:rsidRPr="003F3275" w:rsidRDefault="00B8312D">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377A3" w14:textId="77777777" w:rsidR="00A3761E" w:rsidRDefault="00A3761E" w:rsidP="003C4716">
      <w:r>
        <w:separator/>
      </w:r>
    </w:p>
  </w:footnote>
  <w:footnote w:type="continuationSeparator" w:id="0">
    <w:p w14:paraId="7515E588" w14:textId="77777777" w:rsidR="00A3761E" w:rsidRDefault="00A3761E" w:rsidP="003C4716">
      <w:r>
        <w:continuationSeparator/>
      </w:r>
    </w:p>
  </w:footnote>
  <w:footnote w:id="1">
    <w:p w14:paraId="1E3F8B7C" w14:textId="77777777" w:rsidR="0034506F" w:rsidRPr="00261D6B" w:rsidRDefault="0034506F" w:rsidP="0034506F">
      <w:pPr>
        <w:pStyle w:val="FootnoteText"/>
        <w:jc w:val="both"/>
        <w:rPr>
          <w:lang w:val="fr-FR"/>
        </w:rPr>
      </w:pPr>
      <w:r w:rsidRPr="00341548">
        <w:rPr>
          <w:rStyle w:val="FootnoteReference"/>
          <w:color w:val="000000" w:themeColor="text1"/>
        </w:rPr>
        <w:footnoteRef/>
      </w:r>
      <w:r w:rsidRPr="00261D6B">
        <w:rPr>
          <w:color w:val="000000" w:themeColor="text1"/>
          <w:lang w:val="fr-FR"/>
        </w:rPr>
        <w:t xml:space="preserve"> </w:t>
      </w:r>
      <w:proofErr w:type="spellStart"/>
      <w:r w:rsidRPr="00261D6B">
        <w:rPr>
          <w:color w:val="000000" w:themeColor="text1"/>
          <w:lang w:val="fr-FR"/>
        </w:rPr>
        <w:t>Direcții</w:t>
      </w:r>
      <w:proofErr w:type="spellEnd"/>
      <w:r w:rsidRPr="00261D6B">
        <w:rPr>
          <w:color w:val="000000" w:themeColor="text1"/>
          <w:lang w:val="fr-FR"/>
        </w:rPr>
        <w:t xml:space="preserve"> de </w:t>
      </w:r>
      <w:proofErr w:type="spellStart"/>
      <w:r w:rsidRPr="00261D6B">
        <w:rPr>
          <w:color w:val="000000" w:themeColor="text1"/>
          <w:lang w:val="fr-FR"/>
        </w:rPr>
        <w:t>acțiune</w:t>
      </w:r>
      <w:proofErr w:type="spellEnd"/>
      <w:r w:rsidRPr="00261D6B">
        <w:rPr>
          <w:color w:val="000000" w:themeColor="text1"/>
          <w:lang w:val="fr-FR"/>
        </w:rPr>
        <w:t xml:space="preserve"> </w:t>
      </w:r>
      <w:proofErr w:type="spellStart"/>
      <w:r w:rsidRPr="00261D6B">
        <w:rPr>
          <w:color w:val="000000" w:themeColor="text1"/>
          <w:lang w:val="fr-FR"/>
        </w:rPr>
        <w:t>și</w:t>
      </w:r>
      <w:proofErr w:type="spellEnd"/>
      <w:r w:rsidRPr="00261D6B">
        <w:rPr>
          <w:color w:val="000000" w:themeColor="text1"/>
          <w:lang w:val="fr-FR"/>
        </w:rPr>
        <w:t xml:space="preserve"> </w:t>
      </w:r>
      <w:proofErr w:type="spellStart"/>
      <w:r w:rsidRPr="00261D6B">
        <w:rPr>
          <w:color w:val="000000" w:themeColor="text1"/>
          <w:lang w:val="fr-FR"/>
        </w:rPr>
        <w:t>obiective</w:t>
      </w:r>
      <w:proofErr w:type="spellEnd"/>
      <w:r w:rsidRPr="00261D6B">
        <w:rPr>
          <w:color w:val="000000" w:themeColor="text1"/>
          <w:lang w:val="fr-FR"/>
        </w:rPr>
        <w:t xml:space="preserve"> ale </w:t>
      </w:r>
      <w:proofErr w:type="spellStart"/>
      <w:r w:rsidRPr="00261D6B">
        <w:rPr>
          <w:color w:val="000000" w:themeColor="text1"/>
          <w:lang w:val="fr-FR"/>
        </w:rPr>
        <w:t>Consiliului</w:t>
      </w:r>
      <w:proofErr w:type="spellEnd"/>
      <w:r w:rsidRPr="00261D6B">
        <w:rPr>
          <w:color w:val="000000" w:themeColor="text1"/>
          <w:lang w:val="fr-FR"/>
        </w:rPr>
        <w:t xml:space="preserve"> Superior al </w:t>
      </w:r>
      <w:proofErr w:type="spellStart"/>
      <w:r w:rsidRPr="00261D6B">
        <w:rPr>
          <w:color w:val="000000" w:themeColor="text1"/>
          <w:lang w:val="fr-FR"/>
        </w:rPr>
        <w:t>Magistraturii</w:t>
      </w:r>
      <w:proofErr w:type="spellEnd"/>
      <w:r w:rsidRPr="00261D6B">
        <w:rPr>
          <w:color w:val="000000" w:themeColor="text1"/>
          <w:lang w:val="fr-FR"/>
        </w:rPr>
        <w:t xml:space="preserve"> </w:t>
      </w:r>
      <w:proofErr w:type="spellStart"/>
      <w:r w:rsidRPr="00261D6B">
        <w:rPr>
          <w:color w:val="000000" w:themeColor="text1"/>
          <w:lang w:val="fr-FR"/>
        </w:rPr>
        <w:t>pentru</w:t>
      </w:r>
      <w:proofErr w:type="spellEnd"/>
      <w:r w:rsidRPr="00261D6B">
        <w:rPr>
          <w:color w:val="000000" w:themeColor="text1"/>
          <w:lang w:val="fr-FR"/>
        </w:rPr>
        <w:t xml:space="preserve"> </w:t>
      </w:r>
      <w:proofErr w:type="spellStart"/>
      <w:r w:rsidRPr="00261D6B">
        <w:rPr>
          <w:color w:val="000000" w:themeColor="text1"/>
          <w:lang w:val="fr-FR"/>
        </w:rPr>
        <w:t>mandatul</w:t>
      </w:r>
      <w:proofErr w:type="spellEnd"/>
      <w:r w:rsidRPr="00261D6B">
        <w:rPr>
          <w:color w:val="000000" w:themeColor="text1"/>
          <w:lang w:val="fr-FR"/>
        </w:rPr>
        <w:t xml:space="preserve"> 2023-2029, </w:t>
      </w:r>
      <w:proofErr w:type="spellStart"/>
      <w:r w:rsidRPr="00261D6B">
        <w:rPr>
          <w:color w:val="000000" w:themeColor="text1"/>
          <w:lang w:val="fr-FR"/>
        </w:rPr>
        <w:t>adoptate</w:t>
      </w:r>
      <w:proofErr w:type="spellEnd"/>
      <w:r w:rsidRPr="00261D6B">
        <w:rPr>
          <w:color w:val="000000" w:themeColor="text1"/>
          <w:lang w:val="fr-FR"/>
        </w:rPr>
        <w:t xml:space="preserve"> </w:t>
      </w:r>
      <w:proofErr w:type="spellStart"/>
      <w:r w:rsidRPr="00261D6B">
        <w:rPr>
          <w:color w:val="000000" w:themeColor="text1"/>
          <w:lang w:val="fr-FR"/>
        </w:rPr>
        <w:t>prin</w:t>
      </w:r>
      <w:proofErr w:type="spellEnd"/>
      <w:r w:rsidRPr="00261D6B">
        <w:rPr>
          <w:color w:val="000000" w:themeColor="text1"/>
          <w:lang w:val="fr-FR"/>
        </w:rPr>
        <w:t xml:space="preserve"> </w:t>
      </w:r>
      <w:proofErr w:type="spellStart"/>
      <w:r w:rsidRPr="00261D6B">
        <w:rPr>
          <w:color w:val="000000" w:themeColor="text1"/>
          <w:lang w:val="fr-FR"/>
        </w:rPr>
        <w:t>Hotărârea</w:t>
      </w:r>
      <w:proofErr w:type="spellEnd"/>
      <w:r w:rsidRPr="00261D6B">
        <w:rPr>
          <w:color w:val="000000" w:themeColor="text1"/>
          <w:lang w:val="fr-FR"/>
        </w:rPr>
        <w:t xml:space="preserve"> nr. 55/30 </w:t>
      </w:r>
      <w:proofErr w:type="spellStart"/>
      <w:r w:rsidRPr="00261D6B">
        <w:rPr>
          <w:color w:val="000000" w:themeColor="text1"/>
          <w:lang w:val="fr-FR"/>
        </w:rPr>
        <w:t>martie</w:t>
      </w:r>
      <w:proofErr w:type="spellEnd"/>
      <w:r w:rsidRPr="00261D6B">
        <w:rPr>
          <w:color w:val="000000" w:themeColor="text1"/>
          <w:lang w:val="fr-FR"/>
        </w:rPr>
        <w:t xml:space="preserve"> 2023 a </w:t>
      </w:r>
      <w:proofErr w:type="spellStart"/>
      <w:r w:rsidRPr="00261D6B">
        <w:rPr>
          <w:color w:val="000000" w:themeColor="text1"/>
          <w:lang w:val="fr-FR"/>
        </w:rPr>
        <w:t>Plenului</w:t>
      </w:r>
      <w:proofErr w:type="spellEnd"/>
      <w:r w:rsidRPr="00261D6B">
        <w:rPr>
          <w:color w:val="000000" w:themeColor="text1"/>
          <w:lang w:val="fr-FR"/>
        </w:rPr>
        <w:t xml:space="preserve"> </w:t>
      </w:r>
      <w:proofErr w:type="spellStart"/>
      <w:r w:rsidRPr="00261D6B">
        <w:rPr>
          <w:color w:val="000000" w:themeColor="text1"/>
          <w:lang w:val="fr-FR"/>
        </w:rPr>
        <w:t>Consiliului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34E"/>
    <w:multiLevelType w:val="hybridMultilevel"/>
    <w:tmpl w:val="45ECE85A"/>
    <w:lvl w:ilvl="0" w:tplc="0409000B">
      <w:start w:val="1"/>
      <w:numFmt w:val="bullet"/>
      <w:lvlText w:val=""/>
      <w:lvlJc w:val="left"/>
      <w:pPr>
        <w:ind w:left="1440" w:hanging="360"/>
      </w:pPr>
      <w:rPr>
        <w:rFonts w:ascii="Wingdings" w:hAnsi="Wingdings" w:hint="default"/>
      </w:rPr>
    </w:lvl>
    <w:lvl w:ilvl="1" w:tplc="A89E2A22">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B14B10"/>
    <w:multiLevelType w:val="hybridMultilevel"/>
    <w:tmpl w:val="E104F7E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0964030C"/>
    <w:multiLevelType w:val="hybridMultilevel"/>
    <w:tmpl w:val="4B789350"/>
    <w:lvl w:ilvl="0" w:tplc="78EC9C86">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 w15:restartNumberingAfterBreak="0">
    <w:nsid w:val="0A470740"/>
    <w:multiLevelType w:val="hybridMultilevel"/>
    <w:tmpl w:val="9C96C4D8"/>
    <w:lvl w:ilvl="0" w:tplc="08AE545A">
      <w:start w:val="1"/>
      <w:numFmt w:val="upperLetter"/>
      <w:lvlText w:val="%1."/>
      <w:lvlJc w:val="left"/>
      <w:pPr>
        <w:ind w:left="1406" w:hanging="69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B6C5A10"/>
    <w:multiLevelType w:val="hybridMultilevel"/>
    <w:tmpl w:val="D8222C5C"/>
    <w:lvl w:ilvl="0" w:tplc="08090015">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0D871650"/>
    <w:multiLevelType w:val="hybridMultilevel"/>
    <w:tmpl w:val="9E2A307E"/>
    <w:lvl w:ilvl="0" w:tplc="5A247DB2">
      <w:start w:val="2"/>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6" w15:restartNumberingAfterBreak="0">
    <w:nsid w:val="10EF52EB"/>
    <w:multiLevelType w:val="hybridMultilevel"/>
    <w:tmpl w:val="D4369474"/>
    <w:lvl w:ilvl="0" w:tplc="CF9E98CE">
      <w:start w:val="1"/>
      <w:numFmt w:val="upperLetter"/>
      <w:lvlText w:val="%1."/>
      <w:lvlJc w:val="left"/>
      <w:pPr>
        <w:ind w:left="1068" w:hanging="360"/>
      </w:pPr>
      <w:rPr>
        <w:rFonts w:hint="default"/>
      </w:rPr>
    </w:lvl>
    <w:lvl w:ilvl="1" w:tplc="CEAACFA4">
      <w:start w:val="1"/>
      <w:numFmt w:val="decimal"/>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21E4439"/>
    <w:multiLevelType w:val="hybridMultilevel"/>
    <w:tmpl w:val="9380FA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6F2F04"/>
    <w:multiLevelType w:val="hybridMultilevel"/>
    <w:tmpl w:val="FE4A0D44"/>
    <w:lvl w:ilvl="0" w:tplc="BBA654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646A3"/>
    <w:multiLevelType w:val="hybridMultilevel"/>
    <w:tmpl w:val="914457C8"/>
    <w:lvl w:ilvl="0" w:tplc="B440AFE0">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15:restartNumberingAfterBreak="0">
    <w:nsid w:val="21090FD0"/>
    <w:multiLevelType w:val="hybridMultilevel"/>
    <w:tmpl w:val="DFF2DC90"/>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1" w15:restartNumberingAfterBreak="0">
    <w:nsid w:val="2B7D0459"/>
    <w:multiLevelType w:val="hybridMultilevel"/>
    <w:tmpl w:val="F1B679E0"/>
    <w:lvl w:ilvl="0" w:tplc="0418000F">
      <w:start w:val="1"/>
      <w:numFmt w:val="decimal"/>
      <w:lvlText w:val="%1."/>
      <w:lvlJc w:val="left"/>
      <w:pPr>
        <w:tabs>
          <w:tab w:val="num" w:pos="360"/>
        </w:tabs>
        <w:ind w:left="360" w:hanging="360"/>
      </w:pPr>
    </w:lvl>
    <w:lvl w:ilvl="1" w:tplc="04180019">
      <w:start w:val="1"/>
      <w:numFmt w:val="lowerLetter"/>
      <w:lvlText w:val="%2."/>
      <w:lvlJc w:val="left"/>
      <w:pPr>
        <w:tabs>
          <w:tab w:val="num" w:pos="1080"/>
        </w:tabs>
        <w:ind w:left="1080" w:hanging="360"/>
      </w:pPr>
    </w:lvl>
    <w:lvl w:ilvl="2" w:tplc="0418001B">
      <w:start w:val="1"/>
      <w:numFmt w:val="lowerRoman"/>
      <w:lvlText w:val="%3."/>
      <w:lvlJc w:val="right"/>
      <w:pPr>
        <w:tabs>
          <w:tab w:val="num" w:pos="1800"/>
        </w:tabs>
        <w:ind w:left="1800" w:hanging="180"/>
      </w:pPr>
    </w:lvl>
    <w:lvl w:ilvl="3" w:tplc="0418000F">
      <w:start w:val="1"/>
      <w:numFmt w:val="decimal"/>
      <w:lvlText w:val="%4."/>
      <w:lvlJc w:val="left"/>
      <w:pPr>
        <w:tabs>
          <w:tab w:val="num" w:pos="2520"/>
        </w:tabs>
        <w:ind w:left="2520" w:hanging="360"/>
      </w:pPr>
    </w:lvl>
    <w:lvl w:ilvl="4" w:tplc="04180019">
      <w:start w:val="1"/>
      <w:numFmt w:val="lowerLetter"/>
      <w:lvlText w:val="%5."/>
      <w:lvlJc w:val="left"/>
      <w:pPr>
        <w:tabs>
          <w:tab w:val="num" w:pos="3240"/>
        </w:tabs>
        <w:ind w:left="3240" w:hanging="360"/>
      </w:pPr>
    </w:lvl>
    <w:lvl w:ilvl="5" w:tplc="0418001B">
      <w:start w:val="1"/>
      <w:numFmt w:val="lowerRoman"/>
      <w:lvlText w:val="%6."/>
      <w:lvlJc w:val="right"/>
      <w:pPr>
        <w:tabs>
          <w:tab w:val="num" w:pos="3960"/>
        </w:tabs>
        <w:ind w:left="3960" w:hanging="180"/>
      </w:pPr>
    </w:lvl>
    <w:lvl w:ilvl="6" w:tplc="0418000F">
      <w:start w:val="1"/>
      <w:numFmt w:val="decimal"/>
      <w:lvlText w:val="%7."/>
      <w:lvlJc w:val="left"/>
      <w:pPr>
        <w:tabs>
          <w:tab w:val="num" w:pos="4680"/>
        </w:tabs>
        <w:ind w:left="4680" w:hanging="360"/>
      </w:pPr>
    </w:lvl>
    <w:lvl w:ilvl="7" w:tplc="04180019">
      <w:start w:val="1"/>
      <w:numFmt w:val="lowerLetter"/>
      <w:lvlText w:val="%8."/>
      <w:lvlJc w:val="left"/>
      <w:pPr>
        <w:tabs>
          <w:tab w:val="num" w:pos="5400"/>
        </w:tabs>
        <w:ind w:left="5400" w:hanging="360"/>
      </w:pPr>
    </w:lvl>
    <w:lvl w:ilvl="8" w:tplc="0418001B">
      <w:start w:val="1"/>
      <w:numFmt w:val="lowerRoman"/>
      <w:lvlText w:val="%9."/>
      <w:lvlJc w:val="right"/>
      <w:pPr>
        <w:tabs>
          <w:tab w:val="num" w:pos="6120"/>
        </w:tabs>
        <w:ind w:left="6120" w:hanging="180"/>
      </w:pPr>
    </w:lvl>
  </w:abstractNum>
  <w:abstractNum w:abstractNumId="12" w15:restartNumberingAfterBreak="0">
    <w:nsid w:val="3A127DDF"/>
    <w:multiLevelType w:val="hybridMultilevel"/>
    <w:tmpl w:val="304EA11C"/>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146661A"/>
    <w:multiLevelType w:val="multilevel"/>
    <w:tmpl w:val="5DEA3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65E12"/>
    <w:multiLevelType w:val="hybridMultilevel"/>
    <w:tmpl w:val="62D03E00"/>
    <w:lvl w:ilvl="0" w:tplc="BD9481F6">
      <w:start w:val="1"/>
      <w:numFmt w:val="bullet"/>
      <w:lvlText w:val=""/>
      <w:lvlJc w:val="left"/>
      <w:pPr>
        <w:ind w:left="990"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57F6036"/>
    <w:multiLevelType w:val="hybridMultilevel"/>
    <w:tmpl w:val="67CC6EB4"/>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47D27FC6"/>
    <w:multiLevelType w:val="hybridMultilevel"/>
    <w:tmpl w:val="6D2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31A24"/>
    <w:multiLevelType w:val="hybridMultilevel"/>
    <w:tmpl w:val="F9805A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19" w15:restartNumberingAfterBreak="0">
    <w:nsid w:val="4D4A48BC"/>
    <w:multiLevelType w:val="hybridMultilevel"/>
    <w:tmpl w:val="66566A64"/>
    <w:lvl w:ilvl="0" w:tplc="04180001">
      <w:start w:val="1"/>
      <w:numFmt w:val="bullet"/>
      <w:lvlText w:val=""/>
      <w:lvlJc w:val="left"/>
      <w:pPr>
        <w:ind w:left="5799" w:hanging="360"/>
      </w:pPr>
      <w:rPr>
        <w:rFonts w:ascii="Symbol" w:hAnsi="Symbol" w:hint="default"/>
      </w:rPr>
    </w:lvl>
    <w:lvl w:ilvl="1" w:tplc="04180003">
      <w:start w:val="1"/>
      <w:numFmt w:val="bullet"/>
      <w:lvlText w:val="o"/>
      <w:lvlJc w:val="left"/>
      <w:pPr>
        <w:ind w:left="6519" w:hanging="360"/>
      </w:pPr>
      <w:rPr>
        <w:rFonts w:ascii="Courier New" w:hAnsi="Courier New" w:cs="Courier New" w:hint="default"/>
      </w:rPr>
    </w:lvl>
    <w:lvl w:ilvl="2" w:tplc="04180005">
      <w:start w:val="1"/>
      <w:numFmt w:val="bullet"/>
      <w:lvlText w:val=""/>
      <w:lvlJc w:val="left"/>
      <w:pPr>
        <w:ind w:left="7239" w:hanging="360"/>
      </w:pPr>
      <w:rPr>
        <w:rFonts w:ascii="Wingdings" w:hAnsi="Wingdings" w:hint="default"/>
      </w:rPr>
    </w:lvl>
    <w:lvl w:ilvl="3" w:tplc="04180001">
      <w:start w:val="1"/>
      <w:numFmt w:val="bullet"/>
      <w:lvlText w:val=""/>
      <w:lvlJc w:val="left"/>
      <w:pPr>
        <w:ind w:left="7959" w:hanging="360"/>
      </w:pPr>
      <w:rPr>
        <w:rFonts w:ascii="Symbol" w:hAnsi="Symbol" w:hint="default"/>
      </w:rPr>
    </w:lvl>
    <w:lvl w:ilvl="4" w:tplc="04180003">
      <w:start w:val="1"/>
      <w:numFmt w:val="bullet"/>
      <w:lvlText w:val="o"/>
      <w:lvlJc w:val="left"/>
      <w:pPr>
        <w:ind w:left="8679" w:hanging="360"/>
      </w:pPr>
      <w:rPr>
        <w:rFonts w:ascii="Courier New" w:hAnsi="Courier New" w:cs="Courier New" w:hint="default"/>
      </w:rPr>
    </w:lvl>
    <w:lvl w:ilvl="5" w:tplc="04180005">
      <w:start w:val="1"/>
      <w:numFmt w:val="bullet"/>
      <w:lvlText w:val=""/>
      <w:lvlJc w:val="left"/>
      <w:pPr>
        <w:ind w:left="9399" w:hanging="360"/>
      </w:pPr>
      <w:rPr>
        <w:rFonts w:ascii="Wingdings" w:hAnsi="Wingdings" w:hint="default"/>
      </w:rPr>
    </w:lvl>
    <w:lvl w:ilvl="6" w:tplc="04180001">
      <w:start w:val="1"/>
      <w:numFmt w:val="bullet"/>
      <w:lvlText w:val=""/>
      <w:lvlJc w:val="left"/>
      <w:pPr>
        <w:ind w:left="10119" w:hanging="360"/>
      </w:pPr>
      <w:rPr>
        <w:rFonts w:ascii="Symbol" w:hAnsi="Symbol" w:hint="default"/>
      </w:rPr>
    </w:lvl>
    <w:lvl w:ilvl="7" w:tplc="04180003">
      <w:start w:val="1"/>
      <w:numFmt w:val="bullet"/>
      <w:lvlText w:val="o"/>
      <w:lvlJc w:val="left"/>
      <w:pPr>
        <w:ind w:left="10839" w:hanging="360"/>
      </w:pPr>
      <w:rPr>
        <w:rFonts w:ascii="Courier New" w:hAnsi="Courier New" w:cs="Courier New" w:hint="default"/>
      </w:rPr>
    </w:lvl>
    <w:lvl w:ilvl="8" w:tplc="04180005">
      <w:start w:val="1"/>
      <w:numFmt w:val="bullet"/>
      <w:lvlText w:val=""/>
      <w:lvlJc w:val="left"/>
      <w:pPr>
        <w:ind w:left="11559" w:hanging="360"/>
      </w:pPr>
      <w:rPr>
        <w:rFonts w:ascii="Wingdings" w:hAnsi="Wingdings" w:hint="default"/>
      </w:rPr>
    </w:lvl>
  </w:abstractNum>
  <w:abstractNum w:abstractNumId="20" w15:restartNumberingAfterBreak="0">
    <w:nsid w:val="5270694E"/>
    <w:multiLevelType w:val="hybridMultilevel"/>
    <w:tmpl w:val="357AE624"/>
    <w:lvl w:ilvl="0" w:tplc="04180001">
      <w:start w:val="1"/>
      <w:numFmt w:val="bullet"/>
      <w:lvlText w:val=""/>
      <w:lvlJc w:val="left"/>
      <w:pPr>
        <w:ind w:left="1859" w:hanging="360"/>
      </w:pPr>
      <w:rPr>
        <w:rFonts w:ascii="Symbol" w:hAnsi="Symbol" w:hint="default"/>
      </w:rPr>
    </w:lvl>
    <w:lvl w:ilvl="1" w:tplc="04180003" w:tentative="1">
      <w:start w:val="1"/>
      <w:numFmt w:val="bullet"/>
      <w:lvlText w:val="o"/>
      <w:lvlJc w:val="left"/>
      <w:pPr>
        <w:ind w:left="2579" w:hanging="360"/>
      </w:pPr>
      <w:rPr>
        <w:rFonts w:ascii="Courier New" w:hAnsi="Courier New" w:cs="Courier New" w:hint="default"/>
      </w:rPr>
    </w:lvl>
    <w:lvl w:ilvl="2" w:tplc="04180005" w:tentative="1">
      <w:start w:val="1"/>
      <w:numFmt w:val="bullet"/>
      <w:lvlText w:val=""/>
      <w:lvlJc w:val="left"/>
      <w:pPr>
        <w:ind w:left="3299" w:hanging="360"/>
      </w:pPr>
      <w:rPr>
        <w:rFonts w:ascii="Wingdings" w:hAnsi="Wingdings" w:hint="default"/>
      </w:rPr>
    </w:lvl>
    <w:lvl w:ilvl="3" w:tplc="04180001" w:tentative="1">
      <w:start w:val="1"/>
      <w:numFmt w:val="bullet"/>
      <w:lvlText w:val=""/>
      <w:lvlJc w:val="left"/>
      <w:pPr>
        <w:ind w:left="4019" w:hanging="360"/>
      </w:pPr>
      <w:rPr>
        <w:rFonts w:ascii="Symbol" w:hAnsi="Symbol" w:hint="default"/>
      </w:rPr>
    </w:lvl>
    <w:lvl w:ilvl="4" w:tplc="04180003" w:tentative="1">
      <w:start w:val="1"/>
      <w:numFmt w:val="bullet"/>
      <w:lvlText w:val="o"/>
      <w:lvlJc w:val="left"/>
      <w:pPr>
        <w:ind w:left="4739" w:hanging="360"/>
      </w:pPr>
      <w:rPr>
        <w:rFonts w:ascii="Courier New" w:hAnsi="Courier New" w:cs="Courier New" w:hint="default"/>
      </w:rPr>
    </w:lvl>
    <w:lvl w:ilvl="5" w:tplc="04180005" w:tentative="1">
      <w:start w:val="1"/>
      <w:numFmt w:val="bullet"/>
      <w:lvlText w:val=""/>
      <w:lvlJc w:val="left"/>
      <w:pPr>
        <w:ind w:left="5459" w:hanging="360"/>
      </w:pPr>
      <w:rPr>
        <w:rFonts w:ascii="Wingdings" w:hAnsi="Wingdings" w:hint="default"/>
      </w:rPr>
    </w:lvl>
    <w:lvl w:ilvl="6" w:tplc="04180001" w:tentative="1">
      <w:start w:val="1"/>
      <w:numFmt w:val="bullet"/>
      <w:lvlText w:val=""/>
      <w:lvlJc w:val="left"/>
      <w:pPr>
        <w:ind w:left="6179" w:hanging="360"/>
      </w:pPr>
      <w:rPr>
        <w:rFonts w:ascii="Symbol" w:hAnsi="Symbol" w:hint="default"/>
      </w:rPr>
    </w:lvl>
    <w:lvl w:ilvl="7" w:tplc="04180003" w:tentative="1">
      <w:start w:val="1"/>
      <w:numFmt w:val="bullet"/>
      <w:lvlText w:val="o"/>
      <w:lvlJc w:val="left"/>
      <w:pPr>
        <w:ind w:left="6899" w:hanging="360"/>
      </w:pPr>
      <w:rPr>
        <w:rFonts w:ascii="Courier New" w:hAnsi="Courier New" w:cs="Courier New" w:hint="default"/>
      </w:rPr>
    </w:lvl>
    <w:lvl w:ilvl="8" w:tplc="04180005" w:tentative="1">
      <w:start w:val="1"/>
      <w:numFmt w:val="bullet"/>
      <w:lvlText w:val=""/>
      <w:lvlJc w:val="left"/>
      <w:pPr>
        <w:ind w:left="7619" w:hanging="360"/>
      </w:pPr>
      <w:rPr>
        <w:rFonts w:ascii="Wingdings" w:hAnsi="Wingdings" w:hint="default"/>
      </w:rPr>
    </w:lvl>
  </w:abstractNum>
  <w:abstractNum w:abstractNumId="21" w15:restartNumberingAfterBreak="0">
    <w:nsid w:val="535528AA"/>
    <w:multiLevelType w:val="hybridMultilevel"/>
    <w:tmpl w:val="D92E62B0"/>
    <w:lvl w:ilvl="0" w:tplc="7692545E">
      <w:start w:val="1"/>
      <w:numFmt w:val="upperLetter"/>
      <w:lvlText w:val="%1."/>
      <w:lvlJc w:val="left"/>
      <w:pPr>
        <w:ind w:left="720" w:hanging="360"/>
      </w:pPr>
      <w:rPr>
        <w:rFonts w:asciiTheme="minorHAnsi" w:hAnsiTheme="minorHAnsi" w:cstheme="minorHAnsi"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2" w15:restartNumberingAfterBreak="0">
    <w:nsid w:val="545222FC"/>
    <w:multiLevelType w:val="hybridMultilevel"/>
    <w:tmpl w:val="904E644A"/>
    <w:lvl w:ilvl="0" w:tplc="A89E2A2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740FAE"/>
    <w:multiLevelType w:val="hybridMultilevel"/>
    <w:tmpl w:val="21E6C01A"/>
    <w:lvl w:ilvl="0" w:tplc="DE1C5166">
      <w:numFmt w:val="decimal"/>
      <w:lvlText w:val="-"/>
      <w:lvlJc w:val="left"/>
      <w:pPr>
        <w:tabs>
          <w:tab w:val="num" w:pos="1068"/>
        </w:tabs>
        <w:ind w:left="1068" w:hanging="360"/>
      </w:pPr>
      <w:rPr>
        <w:rFonts w:ascii="Bookman Old Style" w:eastAsia="Times New Roman" w:hAnsi="Bookman Old Style" w:cs="Times New Roman" w:hint="default"/>
      </w:rPr>
    </w:lvl>
    <w:lvl w:ilvl="1" w:tplc="78C6D638">
      <w:numFmt w:val="decimal"/>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A2A550F"/>
    <w:multiLevelType w:val="hybridMultilevel"/>
    <w:tmpl w:val="C42E8D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AB359BE"/>
    <w:multiLevelType w:val="hybridMultilevel"/>
    <w:tmpl w:val="35F8F58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61AD048C"/>
    <w:multiLevelType w:val="hybridMultilevel"/>
    <w:tmpl w:val="498CDF1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7" w15:restartNumberingAfterBreak="0">
    <w:nsid w:val="62B92819"/>
    <w:multiLevelType w:val="hybridMultilevel"/>
    <w:tmpl w:val="143CC4B4"/>
    <w:lvl w:ilvl="0" w:tplc="A89E2A22">
      <w:numFmt w:val="bullet"/>
      <w:lvlText w:val="-"/>
      <w:lvlJc w:val="left"/>
      <w:pPr>
        <w:ind w:left="1426" w:hanging="360"/>
      </w:pPr>
      <w:rPr>
        <w:rFonts w:ascii="Times New Roman" w:eastAsia="Times New Roman" w:hAnsi="Times New Roman" w:cs="Times New Roman"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8"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4D63DF2"/>
    <w:multiLevelType w:val="hybridMultilevel"/>
    <w:tmpl w:val="608C64C8"/>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6C524CBC"/>
    <w:multiLevelType w:val="hybridMultilevel"/>
    <w:tmpl w:val="BE068880"/>
    <w:lvl w:ilvl="0" w:tplc="0A547C28">
      <w:start w:val="1"/>
      <w:numFmt w:val="upperLetter"/>
      <w:lvlText w:val="%1."/>
      <w:lvlJc w:val="left"/>
      <w:pPr>
        <w:ind w:left="1080" w:hanging="360"/>
      </w:pPr>
      <w:rPr>
        <w:rFonts w:hint="default"/>
        <w:b/>
        <w:bCs/>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1" w15:restartNumberingAfterBreak="0">
    <w:nsid w:val="6C9A1C86"/>
    <w:multiLevelType w:val="hybridMultilevel"/>
    <w:tmpl w:val="6CFC681C"/>
    <w:lvl w:ilvl="0" w:tplc="A306A312">
      <w:start w:val="8"/>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4553A1"/>
    <w:multiLevelType w:val="hybridMultilevel"/>
    <w:tmpl w:val="FAAE9B5E"/>
    <w:lvl w:ilvl="0" w:tplc="D19AC00A">
      <w:start w:val="1"/>
      <w:numFmt w:val="upp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3" w15:restartNumberingAfterBreak="0">
    <w:nsid w:val="74622D33"/>
    <w:multiLevelType w:val="hybridMultilevel"/>
    <w:tmpl w:val="78281010"/>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782A424A"/>
    <w:multiLevelType w:val="hybridMultilevel"/>
    <w:tmpl w:val="982679B4"/>
    <w:lvl w:ilvl="0" w:tplc="04180001">
      <w:start w:val="1"/>
      <w:numFmt w:val="bullet"/>
      <w:lvlText w:val=""/>
      <w:lvlJc w:val="left"/>
      <w:pPr>
        <w:ind w:left="1078" w:hanging="360"/>
      </w:pPr>
      <w:rPr>
        <w:rFonts w:ascii="Symbol" w:hAnsi="Symbol" w:hint="default"/>
      </w:rPr>
    </w:lvl>
    <w:lvl w:ilvl="1" w:tplc="04180003" w:tentative="1">
      <w:start w:val="1"/>
      <w:numFmt w:val="bullet"/>
      <w:lvlText w:val="o"/>
      <w:lvlJc w:val="left"/>
      <w:pPr>
        <w:ind w:left="1798" w:hanging="360"/>
      </w:pPr>
      <w:rPr>
        <w:rFonts w:ascii="Courier New" w:hAnsi="Courier New" w:cs="Courier New" w:hint="default"/>
      </w:rPr>
    </w:lvl>
    <w:lvl w:ilvl="2" w:tplc="04180005" w:tentative="1">
      <w:start w:val="1"/>
      <w:numFmt w:val="bullet"/>
      <w:lvlText w:val=""/>
      <w:lvlJc w:val="left"/>
      <w:pPr>
        <w:ind w:left="2518" w:hanging="360"/>
      </w:pPr>
      <w:rPr>
        <w:rFonts w:ascii="Wingdings" w:hAnsi="Wingdings" w:hint="default"/>
      </w:rPr>
    </w:lvl>
    <w:lvl w:ilvl="3" w:tplc="04180001" w:tentative="1">
      <w:start w:val="1"/>
      <w:numFmt w:val="bullet"/>
      <w:lvlText w:val=""/>
      <w:lvlJc w:val="left"/>
      <w:pPr>
        <w:ind w:left="3238" w:hanging="360"/>
      </w:pPr>
      <w:rPr>
        <w:rFonts w:ascii="Symbol" w:hAnsi="Symbol" w:hint="default"/>
      </w:rPr>
    </w:lvl>
    <w:lvl w:ilvl="4" w:tplc="04180003" w:tentative="1">
      <w:start w:val="1"/>
      <w:numFmt w:val="bullet"/>
      <w:lvlText w:val="o"/>
      <w:lvlJc w:val="left"/>
      <w:pPr>
        <w:ind w:left="3958" w:hanging="360"/>
      </w:pPr>
      <w:rPr>
        <w:rFonts w:ascii="Courier New" w:hAnsi="Courier New" w:cs="Courier New" w:hint="default"/>
      </w:rPr>
    </w:lvl>
    <w:lvl w:ilvl="5" w:tplc="04180005" w:tentative="1">
      <w:start w:val="1"/>
      <w:numFmt w:val="bullet"/>
      <w:lvlText w:val=""/>
      <w:lvlJc w:val="left"/>
      <w:pPr>
        <w:ind w:left="4678" w:hanging="360"/>
      </w:pPr>
      <w:rPr>
        <w:rFonts w:ascii="Wingdings" w:hAnsi="Wingdings" w:hint="default"/>
      </w:rPr>
    </w:lvl>
    <w:lvl w:ilvl="6" w:tplc="04180001" w:tentative="1">
      <w:start w:val="1"/>
      <w:numFmt w:val="bullet"/>
      <w:lvlText w:val=""/>
      <w:lvlJc w:val="left"/>
      <w:pPr>
        <w:ind w:left="5398" w:hanging="360"/>
      </w:pPr>
      <w:rPr>
        <w:rFonts w:ascii="Symbol" w:hAnsi="Symbol" w:hint="default"/>
      </w:rPr>
    </w:lvl>
    <w:lvl w:ilvl="7" w:tplc="04180003" w:tentative="1">
      <w:start w:val="1"/>
      <w:numFmt w:val="bullet"/>
      <w:lvlText w:val="o"/>
      <w:lvlJc w:val="left"/>
      <w:pPr>
        <w:ind w:left="6118" w:hanging="360"/>
      </w:pPr>
      <w:rPr>
        <w:rFonts w:ascii="Courier New" w:hAnsi="Courier New" w:cs="Courier New" w:hint="default"/>
      </w:rPr>
    </w:lvl>
    <w:lvl w:ilvl="8" w:tplc="04180005" w:tentative="1">
      <w:start w:val="1"/>
      <w:numFmt w:val="bullet"/>
      <w:lvlText w:val=""/>
      <w:lvlJc w:val="left"/>
      <w:pPr>
        <w:ind w:left="6838" w:hanging="360"/>
      </w:pPr>
      <w:rPr>
        <w:rFonts w:ascii="Wingdings" w:hAnsi="Wingdings" w:hint="default"/>
      </w:rPr>
    </w:lvl>
  </w:abstractNum>
  <w:abstractNum w:abstractNumId="35"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1380857569">
    <w:abstractNumId w:val="32"/>
  </w:num>
  <w:num w:numId="2" w16cid:durableId="240335666">
    <w:abstractNumId w:val="17"/>
  </w:num>
  <w:num w:numId="3" w16cid:durableId="949238057">
    <w:abstractNumId w:val="30"/>
  </w:num>
  <w:num w:numId="4" w16cid:durableId="1859420108">
    <w:abstractNumId w:val="6"/>
  </w:num>
  <w:num w:numId="5" w16cid:durableId="1741439650">
    <w:abstractNumId w:val="24"/>
  </w:num>
  <w:num w:numId="6" w16cid:durableId="104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3984457">
    <w:abstractNumId w:val="21"/>
  </w:num>
  <w:num w:numId="8" w16cid:durableId="390539687">
    <w:abstractNumId w:val="14"/>
  </w:num>
  <w:num w:numId="9" w16cid:durableId="238904686">
    <w:abstractNumId w:val="9"/>
  </w:num>
  <w:num w:numId="10" w16cid:durableId="1493565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6364385">
    <w:abstractNumId w:val="1"/>
  </w:num>
  <w:num w:numId="12" w16cid:durableId="1695880030">
    <w:abstractNumId w:val="16"/>
  </w:num>
  <w:num w:numId="13" w16cid:durableId="1255283830">
    <w:abstractNumId w:val="35"/>
  </w:num>
  <w:num w:numId="14" w16cid:durableId="1446268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5793951">
    <w:abstractNumId w:val="19"/>
  </w:num>
  <w:num w:numId="16" w16cid:durableId="499124280">
    <w:abstractNumId w:val="18"/>
  </w:num>
  <w:num w:numId="17" w16cid:durableId="925311899">
    <w:abstractNumId w:val="4"/>
  </w:num>
  <w:num w:numId="18" w16cid:durableId="403524868">
    <w:abstractNumId w:val="31"/>
  </w:num>
  <w:num w:numId="19" w16cid:durableId="1596279563">
    <w:abstractNumId w:val="7"/>
  </w:num>
  <w:num w:numId="20" w16cid:durableId="1167524794">
    <w:abstractNumId w:val="20"/>
  </w:num>
  <w:num w:numId="21" w16cid:durableId="134883652">
    <w:abstractNumId w:val="26"/>
  </w:num>
  <w:num w:numId="22" w16cid:durableId="497233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6410218">
    <w:abstractNumId w:val="22"/>
  </w:num>
  <w:num w:numId="24" w16cid:durableId="841042399">
    <w:abstractNumId w:val="34"/>
  </w:num>
  <w:num w:numId="25" w16cid:durableId="1118984506">
    <w:abstractNumId w:val="0"/>
  </w:num>
  <w:num w:numId="26" w16cid:durableId="1797872633">
    <w:abstractNumId w:val="25"/>
  </w:num>
  <w:num w:numId="27" w16cid:durableId="158542159">
    <w:abstractNumId w:val="13"/>
  </w:num>
  <w:num w:numId="28" w16cid:durableId="2114590162">
    <w:abstractNumId w:val="23"/>
  </w:num>
  <w:num w:numId="29" w16cid:durableId="1321150551">
    <w:abstractNumId w:val="5"/>
  </w:num>
  <w:num w:numId="30" w16cid:durableId="622809033">
    <w:abstractNumId w:val="10"/>
  </w:num>
  <w:num w:numId="31" w16cid:durableId="1394818624">
    <w:abstractNumId w:val="12"/>
  </w:num>
  <w:num w:numId="32" w16cid:durableId="523371165">
    <w:abstractNumId w:val="33"/>
  </w:num>
  <w:num w:numId="33" w16cid:durableId="1034620237">
    <w:abstractNumId w:val="15"/>
  </w:num>
  <w:num w:numId="34" w16cid:durableId="903950950">
    <w:abstractNumId w:val="29"/>
  </w:num>
  <w:num w:numId="35" w16cid:durableId="131481883">
    <w:abstractNumId w:val="27"/>
  </w:num>
  <w:num w:numId="36" w16cid:durableId="391733709">
    <w:abstractNumId w:val="28"/>
  </w:num>
  <w:num w:numId="37" w16cid:durableId="506677664">
    <w:abstractNumId w:val="1"/>
  </w:num>
  <w:num w:numId="38" w16cid:durableId="535973195">
    <w:abstractNumId w:val="16"/>
  </w:num>
  <w:num w:numId="39" w16cid:durableId="206926299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0B"/>
    <w:rsid w:val="00003FDB"/>
    <w:rsid w:val="0001595E"/>
    <w:rsid w:val="00016C07"/>
    <w:rsid w:val="00021A77"/>
    <w:rsid w:val="00021ABC"/>
    <w:rsid w:val="0003082F"/>
    <w:rsid w:val="000308D9"/>
    <w:rsid w:val="00030AEB"/>
    <w:rsid w:val="00034A77"/>
    <w:rsid w:val="000363DB"/>
    <w:rsid w:val="00036BE0"/>
    <w:rsid w:val="00040CE8"/>
    <w:rsid w:val="00042A22"/>
    <w:rsid w:val="000433CD"/>
    <w:rsid w:val="00047F4D"/>
    <w:rsid w:val="000514B8"/>
    <w:rsid w:val="000546E1"/>
    <w:rsid w:val="0005685B"/>
    <w:rsid w:val="00056C92"/>
    <w:rsid w:val="00060B02"/>
    <w:rsid w:val="00070CBD"/>
    <w:rsid w:val="00080B02"/>
    <w:rsid w:val="00085C84"/>
    <w:rsid w:val="00086FFA"/>
    <w:rsid w:val="000917EC"/>
    <w:rsid w:val="00095BA5"/>
    <w:rsid w:val="00097EFD"/>
    <w:rsid w:val="000A052D"/>
    <w:rsid w:val="000A08F1"/>
    <w:rsid w:val="000A0BF0"/>
    <w:rsid w:val="000A3D59"/>
    <w:rsid w:val="000A5385"/>
    <w:rsid w:val="000A6A12"/>
    <w:rsid w:val="000A7E28"/>
    <w:rsid w:val="000B1C72"/>
    <w:rsid w:val="000B1DB7"/>
    <w:rsid w:val="000B3441"/>
    <w:rsid w:val="000B56FB"/>
    <w:rsid w:val="000B5B0E"/>
    <w:rsid w:val="000B5F54"/>
    <w:rsid w:val="000B639A"/>
    <w:rsid w:val="000B720B"/>
    <w:rsid w:val="000C070E"/>
    <w:rsid w:val="000C23C6"/>
    <w:rsid w:val="000C431F"/>
    <w:rsid w:val="000C4995"/>
    <w:rsid w:val="000D42FB"/>
    <w:rsid w:val="000D44E1"/>
    <w:rsid w:val="000D474C"/>
    <w:rsid w:val="000D7E8B"/>
    <w:rsid w:val="000E06DB"/>
    <w:rsid w:val="000E19C5"/>
    <w:rsid w:val="000E1EA9"/>
    <w:rsid w:val="000E34D7"/>
    <w:rsid w:val="000F1325"/>
    <w:rsid w:val="000F37DE"/>
    <w:rsid w:val="000F7F7F"/>
    <w:rsid w:val="00102D04"/>
    <w:rsid w:val="00113059"/>
    <w:rsid w:val="00113498"/>
    <w:rsid w:val="001141A5"/>
    <w:rsid w:val="00120E2B"/>
    <w:rsid w:val="0012437C"/>
    <w:rsid w:val="001245D1"/>
    <w:rsid w:val="0012767B"/>
    <w:rsid w:val="0013179E"/>
    <w:rsid w:val="001409C4"/>
    <w:rsid w:val="00140BF7"/>
    <w:rsid w:val="001429B9"/>
    <w:rsid w:val="00143852"/>
    <w:rsid w:val="00150131"/>
    <w:rsid w:val="001525AC"/>
    <w:rsid w:val="00153AB9"/>
    <w:rsid w:val="00165B7E"/>
    <w:rsid w:val="001671DE"/>
    <w:rsid w:val="001677FC"/>
    <w:rsid w:val="0017447E"/>
    <w:rsid w:val="00175A22"/>
    <w:rsid w:val="00177938"/>
    <w:rsid w:val="001806E6"/>
    <w:rsid w:val="001921CD"/>
    <w:rsid w:val="001933D0"/>
    <w:rsid w:val="00194DD8"/>
    <w:rsid w:val="0019743C"/>
    <w:rsid w:val="001A3FFE"/>
    <w:rsid w:val="001B3630"/>
    <w:rsid w:val="001B5B35"/>
    <w:rsid w:val="001B619A"/>
    <w:rsid w:val="001C45AF"/>
    <w:rsid w:val="001C5CD5"/>
    <w:rsid w:val="001D59F3"/>
    <w:rsid w:val="001D5A82"/>
    <w:rsid w:val="001E3777"/>
    <w:rsid w:val="001E3F01"/>
    <w:rsid w:val="001E48D0"/>
    <w:rsid w:val="001E4A5F"/>
    <w:rsid w:val="001E500E"/>
    <w:rsid w:val="001E7CF5"/>
    <w:rsid w:val="001F04B3"/>
    <w:rsid w:val="001F0ED8"/>
    <w:rsid w:val="001F157D"/>
    <w:rsid w:val="001F1E8C"/>
    <w:rsid w:val="001F2B1E"/>
    <w:rsid w:val="001F2E0B"/>
    <w:rsid w:val="00200C42"/>
    <w:rsid w:val="002019FA"/>
    <w:rsid w:val="00201FE2"/>
    <w:rsid w:val="00213BE5"/>
    <w:rsid w:val="00215950"/>
    <w:rsid w:val="002205BA"/>
    <w:rsid w:val="00233FBD"/>
    <w:rsid w:val="00250275"/>
    <w:rsid w:val="0025293F"/>
    <w:rsid w:val="00252E3D"/>
    <w:rsid w:val="00253738"/>
    <w:rsid w:val="00255AD3"/>
    <w:rsid w:val="00261D6B"/>
    <w:rsid w:val="00262F8E"/>
    <w:rsid w:val="00266D2F"/>
    <w:rsid w:val="002715FB"/>
    <w:rsid w:val="002724B2"/>
    <w:rsid w:val="00272993"/>
    <w:rsid w:val="00274BD8"/>
    <w:rsid w:val="00280204"/>
    <w:rsid w:val="00281CDF"/>
    <w:rsid w:val="00282999"/>
    <w:rsid w:val="00291D94"/>
    <w:rsid w:val="002925F9"/>
    <w:rsid w:val="002929B2"/>
    <w:rsid w:val="00294578"/>
    <w:rsid w:val="0029541E"/>
    <w:rsid w:val="00295716"/>
    <w:rsid w:val="0029654B"/>
    <w:rsid w:val="002A2289"/>
    <w:rsid w:val="002A3555"/>
    <w:rsid w:val="002A495B"/>
    <w:rsid w:val="002A540D"/>
    <w:rsid w:val="002A7A0A"/>
    <w:rsid w:val="002B38BC"/>
    <w:rsid w:val="002C0F8B"/>
    <w:rsid w:val="002C206D"/>
    <w:rsid w:val="002C57B9"/>
    <w:rsid w:val="002D02D1"/>
    <w:rsid w:val="002D2740"/>
    <w:rsid w:val="002D4EEB"/>
    <w:rsid w:val="002D7CBA"/>
    <w:rsid w:val="002E1B4C"/>
    <w:rsid w:val="002F25CA"/>
    <w:rsid w:val="003005D7"/>
    <w:rsid w:val="00303E82"/>
    <w:rsid w:val="003046E4"/>
    <w:rsid w:val="00304C36"/>
    <w:rsid w:val="003175C4"/>
    <w:rsid w:val="00322B22"/>
    <w:rsid w:val="00324A62"/>
    <w:rsid w:val="00326100"/>
    <w:rsid w:val="003302EB"/>
    <w:rsid w:val="00332B75"/>
    <w:rsid w:val="003350CB"/>
    <w:rsid w:val="0033659A"/>
    <w:rsid w:val="00341548"/>
    <w:rsid w:val="003444E2"/>
    <w:rsid w:val="0034506F"/>
    <w:rsid w:val="00350EEE"/>
    <w:rsid w:val="00353EBC"/>
    <w:rsid w:val="0035438F"/>
    <w:rsid w:val="0036063B"/>
    <w:rsid w:val="00360E52"/>
    <w:rsid w:val="00367830"/>
    <w:rsid w:val="003679FC"/>
    <w:rsid w:val="00370181"/>
    <w:rsid w:val="00370D08"/>
    <w:rsid w:val="00371DA2"/>
    <w:rsid w:val="00374A61"/>
    <w:rsid w:val="003778DE"/>
    <w:rsid w:val="00377B97"/>
    <w:rsid w:val="00380430"/>
    <w:rsid w:val="00383CF7"/>
    <w:rsid w:val="00392E2D"/>
    <w:rsid w:val="003A2BC2"/>
    <w:rsid w:val="003A45BC"/>
    <w:rsid w:val="003A4F3F"/>
    <w:rsid w:val="003A5545"/>
    <w:rsid w:val="003A5D3F"/>
    <w:rsid w:val="003A6C35"/>
    <w:rsid w:val="003B235F"/>
    <w:rsid w:val="003B2E77"/>
    <w:rsid w:val="003C252B"/>
    <w:rsid w:val="003C289D"/>
    <w:rsid w:val="003C35C9"/>
    <w:rsid w:val="003C369C"/>
    <w:rsid w:val="003C3CBD"/>
    <w:rsid w:val="003C4716"/>
    <w:rsid w:val="003C75E4"/>
    <w:rsid w:val="003D2838"/>
    <w:rsid w:val="003D3E61"/>
    <w:rsid w:val="003D7A7B"/>
    <w:rsid w:val="003E0E83"/>
    <w:rsid w:val="003E217D"/>
    <w:rsid w:val="003E2246"/>
    <w:rsid w:val="003E530B"/>
    <w:rsid w:val="003F3275"/>
    <w:rsid w:val="003F42DF"/>
    <w:rsid w:val="003F4F22"/>
    <w:rsid w:val="003F56DF"/>
    <w:rsid w:val="00402492"/>
    <w:rsid w:val="00407A96"/>
    <w:rsid w:val="00410D51"/>
    <w:rsid w:val="00413F0F"/>
    <w:rsid w:val="00415679"/>
    <w:rsid w:val="0041576D"/>
    <w:rsid w:val="00430F0A"/>
    <w:rsid w:val="0043423B"/>
    <w:rsid w:val="00436C28"/>
    <w:rsid w:val="00437164"/>
    <w:rsid w:val="004402FF"/>
    <w:rsid w:val="004431CA"/>
    <w:rsid w:val="00447438"/>
    <w:rsid w:val="004509D4"/>
    <w:rsid w:val="00450D3F"/>
    <w:rsid w:val="004529CA"/>
    <w:rsid w:val="00454C20"/>
    <w:rsid w:val="004611CD"/>
    <w:rsid w:val="00461547"/>
    <w:rsid w:val="00464661"/>
    <w:rsid w:val="00467CC1"/>
    <w:rsid w:val="004772ED"/>
    <w:rsid w:val="004852A0"/>
    <w:rsid w:val="00487B42"/>
    <w:rsid w:val="00491E1E"/>
    <w:rsid w:val="00494971"/>
    <w:rsid w:val="004A1DAA"/>
    <w:rsid w:val="004A2B37"/>
    <w:rsid w:val="004A60F7"/>
    <w:rsid w:val="004A6DC4"/>
    <w:rsid w:val="004B0EA2"/>
    <w:rsid w:val="004B4DCB"/>
    <w:rsid w:val="004B5C1C"/>
    <w:rsid w:val="004B5E95"/>
    <w:rsid w:val="004B6128"/>
    <w:rsid w:val="004C16C8"/>
    <w:rsid w:val="004C1A98"/>
    <w:rsid w:val="004C3815"/>
    <w:rsid w:val="004C406B"/>
    <w:rsid w:val="004D0FEF"/>
    <w:rsid w:val="004D5BA5"/>
    <w:rsid w:val="004E177D"/>
    <w:rsid w:val="004E1847"/>
    <w:rsid w:val="004E699D"/>
    <w:rsid w:val="004F1255"/>
    <w:rsid w:val="00500978"/>
    <w:rsid w:val="005012A9"/>
    <w:rsid w:val="00501EC7"/>
    <w:rsid w:val="00503220"/>
    <w:rsid w:val="00514E47"/>
    <w:rsid w:val="00515280"/>
    <w:rsid w:val="00521D07"/>
    <w:rsid w:val="00522495"/>
    <w:rsid w:val="00523F2C"/>
    <w:rsid w:val="00524384"/>
    <w:rsid w:val="00525863"/>
    <w:rsid w:val="00530784"/>
    <w:rsid w:val="00535DE5"/>
    <w:rsid w:val="00536124"/>
    <w:rsid w:val="00537867"/>
    <w:rsid w:val="005404F8"/>
    <w:rsid w:val="005418AF"/>
    <w:rsid w:val="005423B1"/>
    <w:rsid w:val="005435A6"/>
    <w:rsid w:val="005477F0"/>
    <w:rsid w:val="00550673"/>
    <w:rsid w:val="00554C01"/>
    <w:rsid w:val="005562E3"/>
    <w:rsid w:val="005625CB"/>
    <w:rsid w:val="005644D9"/>
    <w:rsid w:val="00564DC7"/>
    <w:rsid w:val="005663F0"/>
    <w:rsid w:val="005676CB"/>
    <w:rsid w:val="005814B4"/>
    <w:rsid w:val="00586A66"/>
    <w:rsid w:val="005905C1"/>
    <w:rsid w:val="005929CE"/>
    <w:rsid w:val="0059415E"/>
    <w:rsid w:val="005976E2"/>
    <w:rsid w:val="005A09A5"/>
    <w:rsid w:val="005A2984"/>
    <w:rsid w:val="005A3917"/>
    <w:rsid w:val="005A3A5C"/>
    <w:rsid w:val="005A4280"/>
    <w:rsid w:val="005A7F42"/>
    <w:rsid w:val="005B000A"/>
    <w:rsid w:val="005B300C"/>
    <w:rsid w:val="005B4FD1"/>
    <w:rsid w:val="005C27EE"/>
    <w:rsid w:val="005D00B9"/>
    <w:rsid w:val="005E4553"/>
    <w:rsid w:val="005E4855"/>
    <w:rsid w:val="005E73F1"/>
    <w:rsid w:val="005F235B"/>
    <w:rsid w:val="005F37D7"/>
    <w:rsid w:val="005F7D54"/>
    <w:rsid w:val="00600104"/>
    <w:rsid w:val="006007DD"/>
    <w:rsid w:val="00603A40"/>
    <w:rsid w:val="00604405"/>
    <w:rsid w:val="0060735D"/>
    <w:rsid w:val="006073D8"/>
    <w:rsid w:val="006111CD"/>
    <w:rsid w:val="00614E9E"/>
    <w:rsid w:val="00614FA7"/>
    <w:rsid w:val="0061596F"/>
    <w:rsid w:val="006209B8"/>
    <w:rsid w:val="00621E22"/>
    <w:rsid w:val="00621EAF"/>
    <w:rsid w:val="00623212"/>
    <w:rsid w:val="00624E0B"/>
    <w:rsid w:val="00625067"/>
    <w:rsid w:val="00633795"/>
    <w:rsid w:val="00634AE0"/>
    <w:rsid w:val="006350C1"/>
    <w:rsid w:val="0064053E"/>
    <w:rsid w:val="00646F06"/>
    <w:rsid w:val="00655067"/>
    <w:rsid w:val="00657D9D"/>
    <w:rsid w:val="00664D32"/>
    <w:rsid w:val="006662CD"/>
    <w:rsid w:val="00666D2A"/>
    <w:rsid w:val="006721EB"/>
    <w:rsid w:val="00672D98"/>
    <w:rsid w:val="00672DD1"/>
    <w:rsid w:val="0067766D"/>
    <w:rsid w:val="00680A25"/>
    <w:rsid w:val="00683ACD"/>
    <w:rsid w:val="00690186"/>
    <w:rsid w:val="0069211C"/>
    <w:rsid w:val="00692367"/>
    <w:rsid w:val="00692982"/>
    <w:rsid w:val="00696963"/>
    <w:rsid w:val="006A0F65"/>
    <w:rsid w:val="006B6F93"/>
    <w:rsid w:val="006C129F"/>
    <w:rsid w:val="006C1479"/>
    <w:rsid w:val="006C1588"/>
    <w:rsid w:val="006C5F7E"/>
    <w:rsid w:val="006D0900"/>
    <w:rsid w:val="006D2B12"/>
    <w:rsid w:val="006D2D67"/>
    <w:rsid w:val="006D3862"/>
    <w:rsid w:val="006D63E2"/>
    <w:rsid w:val="006E2552"/>
    <w:rsid w:val="006E32DB"/>
    <w:rsid w:val="006F1BDC"/>
    <w:rsid w:val="006F2B1B"/>
    <w:rsid w:val="006F68D4"/>
    <w:rsid w:val="007004DC"/>
    <w:rsid w:val="00700C7C"/>
    <w:rsid w:val="00703085"/>
    <w:rsid w:val="0070404D"/>
    <w:rsid w:val="007051B8"/>
    <w:rsid w:val="00710921"/>
    <w:rsid w:val="00712FF3"/>
    <w:rsid w:val="007158FD"/>
    <w:rsid w:val="007216EF"/>
    <w:rsid w:val="0072701B"/>
    <w:rsid w:val="00730D0A"/>
    <w:rsid w:val="007311F9"/>
    <w:rsid w:val="00731F6B"/>
    <w:rsid w:val="00734AE7"/>
    <w:rsid w:val="00735A4D"/>
    <w:rsid w:val="00740D2E"/>
    <w:rsid w:val="00742DCB"/>
    <w:rsid w:val="00747B80"/>
    <w:rsid w:val="0075113C"/>
    <w:rsid w:val="007553D1"/>
    <w:rsid w:val="007555C6"/>
    <w:rsid w:val="007556D5"/>
    <w:rsid w:val="007618E3"/>
    <w:rsid w:val="0076628D"/>
    <w:rsid w:val="00766643"/>
    <w:rsid w:val="0077063B"/>
    <w:rsid w:val="00771743"/>
    <w:rsid w:val="00773195"/>
    <w:rsid w:val="00780209"/>
    <w:rsid w:val="0078231A"/>
    <w:rsid w:val="0078463E"/>
    <w:rsid w:val="007860A9"/>
    <w:rsid w:val="00786614"/>
    <w:rsid w:val="00787016"/>
    <w:rsid w:val="00787721"/>
    <w:rsid w:val="00787AE7"/>
    <w:rsid w:val="00792D33"/>
    <w:rsid w:val="007935BD"/>
    <w:rsid w:val="00794630"/>
    <w:rsid w:val="00794D64"/>
    <w:rsid w:val="00797793"/>
    <w:rsid w:val="007A42F9"/>
    <w:rsid w:val="007A4A5C"/>
    <w:rsid w:val="007A4C67"/>
    <w:rsid w:val="007B0FB1"/>
    <w:rsid w:val="007B29F8"/>
    <w:rsid w:val="007C1083"/>
    <w:rsid w:val="007C2A1E"/>
    <w:rsid w:val="007C4664"/>
    <w:rsid w:val="007C5736"/>
    <w:rsid w:val="007D01C3"/>
    <w:rsid w:val="007D0D1C"/>
    <w:rsid w:val="007D14D9"/>
    <w:rsid w:val="007D2757"/>
    <w:rsid w:val="007D2F8F"/>
    <w:rsid w:val="007D7DBE"/>
    <w:rsid w:val="007E07C4"/>
    <w:rsid w:val="007E1E3A"/>
    <w:rsid w:val="007E39F7"/>
    <w:rsid w:val="007E3A56"/>
    <w:rsid w:val="007E6FE1"/>
    <w:rsid w:val="007E716A"/>
    <w:rsid w:val="007E7337"/>
    <w:rsid w:val="007F24B9"/>
    <w:rsid w:val="007F42D5"/>
    <w:rsid w:val="008026E3"/>
    <w:rsid w:val="008113C1"/>
    <w:rsid w:val="00812F08"/>
    <w:rsid w:val="00813691"/>
    <w:rsid w:val="0081394B"/>
    <w:rsid w:val="0081585F"/>
    <w:rsid w:val="00827657"/>
    <w:rsid w:val="008279CF"/>
    <w:rsid w:val="00834257"/>
    <w:rsid w:val="00840ACB"/>
    <w:rsid w:val="00844128"/>
    <w:rsid w:val="008455C7"/>
    <w:rsid w:val="00846E39"/>
    <w:rsid w:val="00846EF9"/>
    <w:rsid w:val="0085149C"/>
    <w:rsid w:val="0085409E"/>
    <w:rsid w:val="00855A65"/>
    <w:rsid w:val="008564CC"/>
    <w:rsid w:val="00861682"/>
    <w:rsid w:val="0086328B"/>
    <w:rsid w:val="008646C2"/>
    <w:rsid w:val="0087084F"/>
    <w:rsid w:val="00871093"/>
    <w:rsid w:val="008749FB"/>
    <w:rsid w:val="00875F4D"/>
    <w:rsid w:val="0087625E"/>
    <w:rsid w:val="008765BD"/>
    <w:rsid w:val="00877661"/>
    <w:rsid w:val="00877E30"/>
    <w:rsid w:val="008800ED"/>
    <w:rsid w:val="00882C34"/>
    <w:rsid w:val="008874A8"/>
    <w:rsid w:val="0089039F"/>
    <w:rsid w:val="00890674"/>
    <w:rsid w:val="00896D1C"/>
    <w:rsid w:val="008B0D1A"/>
    <w:rsid w:val="008B26A6"/>
    <w:rsid w:val="008B4C29"/>
    <w:rsid w:val="008B587C"/>
    <w:rsid w:val="008C03E4"/>
    <w:rsid w:val="008C0572"/>
    <w:rsid w:val="008C059D"/>
    <w:rsid w:val="008C3778"/>
    <w:rsid w:val="008C59F8"/>
    <w:rsid w:val="008D3212"/>
    <w:rsid w:val="008D3B06"/>
    <w:rsid w:val="008D5ABC"/>
    <w:rsid w:val="008D5F14"/>
    <w:rsid w:val="008D6E51"/>
    <w:rsid w:val="008D7A24"/>
    <w:rsid w:val="008E5D04"/>
    <w:rsid w:val="008F2519"/>
    <w:rsid w:val="008F2651"/>
    <w:rsid w:val="008F4D36"/>
    <w:rsid w:val="008F69B5"/>
    <w:rsid w:val="00901D4C"/>
    <w:rsid w:val="0090272D"/>
    <w:rsid w:val="0090461F"/>
    <w:rsid w:val="00904997"/>
    <w:rsid w:val="00911AC5"/>
    <w:rsid w:val="0091394F"/>
    <w:rsid w:val="00916559"/>
    <w:rsid w:val="00916805"/>
    <w:rsid w:val="009201C8"/>
    <w:rsid w:val="00920CA0"/>
    <w:rsid w:val="00923131"/>
    <w:rsid w:val="0092462B"/>
    <w:rsid w:val="00926062"/>
    <w:rsid w:val="00931EFD"/>
    <w:rsid w:val="00934006"/>
    <w:rsid w:val="009343D5"/>
    <w:rsid w:val="0093715F"/>
    <w:rsid w:val="009434C0"/>
    <w:rsid w:val="0094516E"/>
    <w:rsid w:val="0095423E"/>
    <w:rsid w:val="00955187"/>
    <w:rsid w:val="009572B9"/>
    <w:rsid w:val="009578B9"/>
    <w:rsid w:val="00963CB7"/>
    <w:rsid w:val="009726E1"/>
    <w:rsid w:val="00972729"/>
    <w:rsid w:val="0097656B"/>
    <w:rsid w:val="00977A0D"/>
    <w:rsid w:val="009806B9"/>
    <w:rsid w:val="0098182B"/>
    <w:rsid w:val="00982777"/>
    <w:rsid w:val="00994155"/>
    <w:rsid w:val="00994350"/>
    <w:rsid w:val="00995723"/>
    <w:rsid w:val="009B0537"/>
    <w:rsid w:val="009B1560"/>
    <w:rsid w:val="009B2638"/>
    <w:rsid w:val="009B3992"/>
    <w:rsid w:val="009B3D4D"/>
    <w:rsid w:val="009C61FF"/>
    <w:rsid w:val="009D0128"/>
    <w:rsid w:val="009D2374"/>
    <w:rsid w:val="009E2CA1"/>
    <w:rsid w:val="009E7DEA"/>
    <w:rsid w:val="009F3C70"/>
    <w:rsid w:val="00A016BA"/>
    <w:rsid w:val="00A01972"/>
    <w:rsid w:val="00A05036"/>
    <w:rsid w:val="00A059AF"/>
    <w:rsid w:val="00A05F24"/>
    <w:rsid w:val="00A068F6"/>
    <w:rsid w:val="00A14C6F"/>
    <w:rsid w:val="00A30879"/>
    <w:rsid w:val="00A31749"/>
    <w:rsid w:val="00A3558D"/>
    <w:rsid w:val="00A3618C"/>
    <w:rsid w:val="00A3761E"/>
    <w:rsid w:val="00A40F58"/>
    <w:rsid w:val="00A51754"/>
    <w:rsid w:val="00A52FAE"/>
    <w:rsid w:val="00A537AD"/>
    <w:rsid w:val="00A60527"/>
    <w:rsid w:val="00A61DD6"/>
    <w:rsid w:val="00A62131"/>
    <w:rsid w:val="00A62D1A"/>
    <w:rsid w:val="00A64FDD"/>
    <w:rsid w:val="00A65D9D"/>
    <w:rsid w:val="00A66AD8"/>
    <w:rsid w:val="00A76481"/>
    <w:rsid w:val="00A81508"/>
    <w:rsid w:val="00A84BE2"/>
    <w:rsid w:val="00A91944"/>
    <w:rsid w:val="00A944DA"/>
    <w:rsid w:val="00A94DB0"/>
    <w:rsid w:val="00AA0999"/>
    <w:rsid w:val="00AA223F"/>
    <w:rsid w:val="00AA4335"/>
    <w:rsid w:val="00AA5D8A"/>
    <w:rsid w:val="00AB1CDE"/>
    <w:rsid w:val="00AB4BE5"/>
    <w:rsid w:val="00AC2D56"/>
    <w:rsid w:val="00AC503E"/>
    <w:rsid w:val="00AC564F"/>
    <w:rsid w:val="00AC6CF3"/>
    <w:rsid w:val="00AC6ECD"/>
    <w:rsid w:val="00AD33DB"/>
    <w:rsid w:val="00AD614C"/>
    <w:rsid w:val="00AE17B8"/>
    <w:rsid w:val="00AE667C"/>
    <w:rsid w:val="00B00003"/>
    <w:rsid w:val="00B06DBB"/>
    <w:rsid w:val="00B10A94"/>
    <w:rsid w:val="00B11022"/>
    <w:rsid w:val="00B11F29"/>
    <w:rsid w:val="00B11FD4"/>
    <w:rsid w:val="00B1247D"/>
    <w:rsid w:val="00B1514A"/>
    <w:rsid w:val="00B2289A"/>
    <w:rsid w:val="00B23003"/>
    <w:rsid w:val="00B2450C"/>
    <w:rsid w:val="00B30BCF"/>
    <w:rsid w:val="00B30E79"/>
    <w:rsid w:val="00B32AA8"/>
    <w:rsid w:val="00B330FD"/>
    <w:rsid w:val="00B34455"/>
    <w:rsid w:val="00B37280"/>
    <w:rsid w:val="00B40B06"/>
    <w:rsid w:val="00B60E96"/>
    <w:rsid w:val="00B62418"/>
    <w:rsid w:val="00B63266"/>
    <w:rsid w:val="00B732F8"/>
    <w:rsid w:val="00B7362B"/>
    <w:rsid w:val="00B8120A"/>
    <w:rsid w:val="00B8312D"/>
    <w:rsid w:val="00B83ECD"/>
    <w:rsid w:val="00B85F29"/>
    <w:rsid w:val="00B9260E"/>
    <w:rsid w:val="00B958AE"/>
    <w:rsid w:val="00B96717"/>
    <w:rsid w:val="00B96E3B"/>
    <w:rsid w:val="00BA0251"/>
    <w:rsid w:val="00BA04BE"/>
    <w:rsid w:val="00BB4EED"/>
    <w:rsid w:val="00BB65E5"/>
    <w:rsid w:val="00BB688E"/>
    <w:rsid w:val="00BB77A7"/>
    <w:rsid w:val="00BC103D"/>
    <w:rsid w:val="00BC556C"/>
    <w:rsid w:val="00BC5D01"/>
    <w:rsid w:val="00BD4524"/>
    <w:rsid w:val="00BD4F08"/>
    <w:rsid w:val="00BE3130"/>
    <w:rsid w:val="00BF0C53"/>
    <w:rsid w:val="00BF117D"/>
    <w:rsid w:val="00BF2301"/>
    <w:rsid w:val="00BF2537"/>
    <w:rsid w:val="00BF5273"/>
    <w:rsid w:val="00C0437F"/>
    <w:rsid w:val="00C06491"/>
    <w:rsid w:val="00C10BE7"/>
    <w:rsid w:val="00C203CB"/>
    <w:rsid w:val="00C20432"/>
    <w:rsid w:val="00C22ADB"/>
    <w:rsid w:val="00C251F6"/>
    <w:rsid w:val="00C30339"/>
    <w:rsid w:val="00C34078"/>
    <w:rsid w:val="00C3476D"/>
    <w:rsid w:val="00C36995"/>
    <w:rsid w:val="00C36A8A"/>
    <w:rsid w:val="00C41A59"/>
    <w:rsid w:val="00C41C70"/>
    <w:rsid w:val="00C43AF7"/>
    <w:rsid w:val="00C45E2C"/>
    <w:rsid w:val="00C47030"/>
    <w:rsid w:val="00C53E4C"/>
    <w:rsid w:val="00C576E0"/>
    <w:rsid w:val="00C57EE5"/>
    <w:rsid w:val="00C61CF5"/>
    <w:rsid w:val="00C638A4"/>
    <w:rsid w:val="00C643F2"/>
    <w:rsid w:val="00C66D48"/>
    <w:rsid w:val="00C673C3"/>
    <w:rsid w:val="00C70EA6"/>
    <w:rsid w:val="00C71D9D"/>
    <w:rsid w:val="00C72546"/>
    <w:rsid w:val="00C731D1"/>
    <w:rsid w:val="00C754BA"/>
    <w:rsid w:val="00C75860"/>
    <w:rsid w:val="00C75D53"/>
    <w:rsid w:val="00C80609"/>
    <w:rsid w:val="00C81DAB"/>
    <w:rsid w:val="00C81EA3"/>
    <w:rsid w:val="00C83ACC"/>
    <w:rsid w:val="00C879FB"/>
    <w:rsid w:val="00C909D9"/>
    <w:rsid w:val="00C931D2"/>
    <w:rsid w:val="00C961D1"/>
    <w:rsid w:val="00C976D3"/>
    <w:rsid w:val="00CA26D7"/>
    <w:rsid w:val="00CA6C88"/>
    <w:rsid w:val="00CB314C"/>
    <w:rsid w:val="00CB32D2"/>
    <w:rsid w:val="00CB3F9B"/>
    <w:rsid w:val="00CB5310"/>
    <w:rsid w:val="00CB56D1"/>
    <w:rsid w:val="00CB6137"/>
    <w:rsid w:val="00CD2859"/>
    <w:rsid w:val="00CD31B1"/>
    <w:rsid w:val="00CD4D95"/>
    <w:rsid w:val="00CE4F7D"/>
    <w:rsid w:val="00CF0D23"/>
    <w:rsid w:val="00CF2EFE"/>
    <w:rsid w:val="00CF5777"/>
    <w:rsid w:val="00CF64ED"/>
    <w:rsid w:val="00D02947"/>
    <w:rsid w:val="00D07975"/>
    <w:rsid w:val="00D132B2"/>
    <w:rsid w:val="00D140D7"/>
    <w:rsid w:val="00D158D6"/>
    <w:rsid w:val="00D16702"/>
    <w:rsid w:val="00D218FE"/>
    <w:rsid w:val="00D228A3"/>
    <w:rsid w:val="00D24B4A"/>
    <w:rsid w:val="00D2677E"/>
    <w:rsid w:val="00D345F7"/>
    <w:rsid w:val="00D3497A"/>
    <w:rsid w:val="00D41F68"/>
    <w:rsid w:val="00D450BC"/>
    <w:rsid w:val="00D5160C"/>
    <w:rsid w:val="00D55689"/>
    <w:rsid w:val="00D60054"/>
    <w:rsid w:val="00D60A94"/>
    <w:rsid w:val="00D64BB5"/>
    <w:rsid w:val="00D66D4A"/>
    <w:rsid w:val="00D74092"/>
    <w:rsid w:val="00D83BD9"/>
    <w:rsid w:val="00D841BF"/>
    <w:rsid w:val="00D847B2"/>
    <w:rsid w:val="00D84ADE"/>
    <w:rsid w:val="00D92856"/>
    <w:rsid w:val="00D92C14"/>
    <w:rsid w:val="00D972B8"/>
    <w:rsid w:val="00D97EA6"/>
    <w:rsid w:val="00DA0111"/>
    <w:rsid w:val="00DA1C17"/>
    <w:rsid w:val="00DA3665"/>
    <w:rsid w:val="00DB07D0"/>
    <w:rsid w:val="00DB168C"/>
    <w:rsid w:val="00DB1B17"/>
    <w:rsid w:val="00DB40AF"/>
    <w:rsid w:val="00DB44E7"/>
    <w:rsid w:val="00DB78B1"/>
    <w:rsid w:val="00DC07C1"/>
    <w:rsid w:val="00DC09B3"/>
    <w:rsid w:val="00DD1A94"/>
    <w:rsid w:val="00DD587D"/>
    <w:rsid w:val="00DD595C"/>
    <w:rsid w:val="00DE0E9C"/>
    <w:rsid w:val="00DE1E1D"/>
    <w:rsid w:val="00DE251F"/>
    <w:rsid w:val="00DF0668"/>
    <w:rsid w:val="00DF2558"/>
    <w:rsid w:val="00DF5DF3"/>
    <w:rsid w:val="00E000EF"/>
    <w:rsid w:val="00E034B5"/>
    <w:rsid w:val="00E03764"/>
    <w:rsid w:val="00E1054D"/>
    <w:rsid w:val="00E14168"/>
    <w:rsid w:val="00E15E93"/>
    <w:rsid w:val="00E2145C"/>
    <w:rsid w:val="00E21AD8"/>
    <w:rsid w:val="00E22997"/>
    <w:rsid w:val="00E242DA"/>
    <w:rsid w:val="00E24508"/>
    <w:rsid w:val="00E2457C"/>
    <w:rsid w:val="00E257AF"/>
    <w:rsid w:val="00E4222B"/>
    <w:rsid w:val="00E51AFD"/>
    <w:rsid w:val="00E52D31"/>
    <w:rsid w:val="00E551D2"/>
    <w:rsid w:val="00E646C6"/>
    <w:rsid w:val="00E673BE"/>
    <w:rsid w:val="00E708BB"/>
    <w:rsid w:val="00E83ADE"/>
    <w:rsid w:val="00E84B3F"/>
    <w:rsid w:val="00E84FF0"/>
    <w:rsid w:val="00E86F7F"/>
    <w:rsid w:val="00E94094"/>
    <w:rsid w:val="00EA0549"/>
    <w:rsid w:val="00EA0916"/>
    <w:rsid w:val="00EA393A"/>
    <w:rsid w:val="00EA4A35"/>
    <w:rsid w:val="00EA544A"/>
    <w:rsid w:val="00EA5DAE"/>
    <w:rsid w:val="00EA7C5A"/>
    <w:rsid w:val="00EB0149"/>
    <w:rsid w:val="00EB0756"/>
    <w:rsid w:val="00EB298D"/>
    <w:rsid w:val="00EB358A"/>
    <w:rsid w:val="00EB7AAC"/>
    <w:rsid w:val="00EC0C6B"/>
    <w:rsid w:val="00EC1936"/>
    <w:rsid w:val="00EC4352"/>
    <w:rsid w:val="00EC4721"/>
    <w:rsid w:val="00EC4D87"/>
    <w:rsid w:val="00EC544B"/>
    <w:rsid w:val="00EC638D"/>
    <w:rsid w:val="00EC6B7B"/>
    <w:rsid w:val="00EC7EDE"/>
    <w:rsid w:val="00ED0CAF"/>
    <w:rsid w:val="00ED1524"/>
    <w:rsid w:val="00ED32FA"/>
    <w:rsid w:val="00ED7FC4"/>
    <w:rsid w:val="00EE0223"/>
    <w:rsid w:val="00EE1C4D"/>
    <w:rsid w:val="00EE466D"/>
    <w:rsid w:val="00EE5677"/>
    <w:rsid w:val="00EE6984"/>
    <w:rsid w:val="00EF0EBC"/>
    <w:rsid w:val="00EF5BBD"/>
    <w:rsid w:val="00F03F34"/>
    <w:rsid w:val="00F059A3"/>
    <w:rsid w:val="00F10C01"/>
    <w:rsid w:val="00F13093"/>
    <w:rsid w:val="00F14651"/>
    <w:rsid w:val="00F16EB1"/>
    <w:rsid w:val="00F210F7"/>
    <w:rsid w:val="00F2303F"/>
    <w:rsid w:val="00F31B67"/>
    <w:rsid w:val="00F34902"/>
    <w:rsid w:val="00F40648"/>
    <w:rsid w:val="00F41ABF"/>
    <w:rsid w:val="00F429E0"/>
    <w:rsid w:val="00F42DC0"/>
    <w:rsid w:val="00F4396F"/>
    <w:rsid w:val="00F43A38"/>
    <w:rsid w:val="00F451D5"/>
    <w:rsid w:val="00F506B5"/>
    <w:rsid w:val="00F51AAC"/>
    <w:rsid w:val="00F51F22"/>
    <w:rsid w:val="00F520A6"/>
    <w:rsid w:val="00F52687"/>
    <w:rsid w:val="00F537E2"/>
    <w:rsid w:val="00F60E8E"/>
    <w:rsid w:val="00F61A4B"/>
    <w:rsid w:val="00F62259"/>
    <w:rsid w:val="00F62ECA"/>
    <w:rsid w:val="00F65180"/>
    <w:rsid w:val="00F652E7"/>
    <w:rsid w:val="00F65BC6"/>
    <w:rsid w:val="00F7106C"/>
    <w:rsid w:val="00F71182"/>
    <w:rsid w:val="00F71667"/>
    <w:rsid w:val="00F7167B"/>
    <w:rsid w:val="00F72621"/>
    <w:rsid w:val="00F729AA"/>
    <w:rsid w:val="00F72DE9"/>
    <w:rsid w:val="00F72F7D"/>
    <w:rsid w:val="00F75DE3"/>
    <w:rsid w:val="00F77552"/>
    <w:rsid w:val="00F775C2"/>
    <w:rsid w:val="00F77690"/>
    <w:rsid w:val="00F7778E"/>
    <w:rsid w:val="00F80376"/>
    <w:rsid w:val="00F82D9B"/>
    <w:rsid w:val="00F835E6"/>
    <w:rsid w:val="00F84829"/>
    <w:rsid w:val="00F8687F"/>
    <w:rsid w:val="00F87B4A"/>
    <w:rsid w:val="00F950DA"/>
    <w:rsid w:val="00F97AF3"/>
    <w:rsid w:val="00FA3FC2"/>
    <w:rsid w:val="00FA5889"/>
    <w:rsid w:val="00FA79B2"/>
    <w:rsid w:val="00FB04D7"/>
    <w:rsid w:val="00FB220B"/>
    <w:rsid w:val="00FB35BB"/>
    <w:rsid w:val="00FB4643"/>
    <w:rsid w:val="00FB5F46"/>
    <w:rsid w:val="00FD4D93"/>
    <w:rsid w:val="00FD595D"/>
    <w:rsid w:val="00FD6353"/>
    <w:rsid w:val="00FE544B"/>
    <w:rsid w:val="00FF1034"/>
    <w:rsid w:val="00FF12EC"/>
    <w:rsid w:val="00FF44F9"/>
    <w:rsid w:val="00FF4A5E"/>
    <w:rsid w:val="00FF531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41822"/>
  <w15:docId w15:val="{2AE10EB0-5723-4C23-A915-3C771F35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49"/>
    <w:pPr>
      <w:spacing w:after="0" w:line="240" w:lineRule="auto"/>
    </w:pPr>
    <w:rPr>
      <w:rFonts w:ascii="Arial" w:eastAsia="Times New Roman" w:hAnsi="Arial" w:cs="Times New Roman"/>
      <w:sz w:val="28"/>
      <w:szCs w:val="20"/>
    </w:rPr>
  </w:style>
  <w:style w:type="paragraph" w:styleId="Heading1">
    <w:name w:val="heading 1"/>
    <w:basedOn w:val="Normal"/>
    <w:next w:val="Normal"/>
    <w:link w:val="Heading1Char"/>
    <w:uiPriority w:val="9"/>
    <w:qFormat/>
    <w:rsid w:val="000B3441"/>
    <w:pPr>
      <w:keepNext/>
      <w:keepLines/>
      <w:spacing w:before="240" w:after="240" w:line="276" w:lineRule="auto"/>
      <w:ind w:firstLine="851"/>
      <w:jc w:val="center"/>
      <w:outlineLvl w:val="0"/>
    </w:pPr>
    <w:rPr>
      <w:rFonts w:asciiTheme="minorHAnsi" w:eastAsiaTheme="majorEastAsia" w:hAnsiTheme="minorHAnsi" w:cstheme="majorBidi"/>
      <w:b/>
      <w:color w:val="000000" w:themeColor="text1"/>
      <w:szCs w:val="32"/>
    </w:rPr>
  </w:style>
  <w:style w:type="paragraph" w:styleId="Heading2">
    <w:name w:val="heading 2"/>
    <w:basedOn w:val="Normal"/>
    <w:next w:val="Normal"/>
    <w:link w:val="Heading2Char"/>
    <w:uiPriority w:val="9"/>
    <w:unhideWhenUsed/>
    <w:qFormat/>
    <w:rsid w:val="008C059D"/>
    <w:pPr>
      <w:keepNext/>
      <w:keepLines/>
      <w:spacing w:before="120" w:after="120" w:line="276" w:lineRule="auto"/>
      <w:ind w:firstLine="709"/>
      <w:outlineLvl w:val="1"/>
    </w:pPr>
    <w:rPr>
      <w:rFonts w:asciiTheme="minorHAnsi" w:eastAsiaTheme="majorEastAsia" w:hAnsiTheme="minorHAnsi" w:cstheme="majorBidi"/>
      <w:b/>
      <w:color w:val="000000" w:themeColor="text1"/>
      <w:sz w:val="26"/>
      <w:szCs w:val="26"/>
      <w:lang w:val="en-US"/>
    </w:rPr>
  </w:style>
  <w:style w:type="paragraph" w:styleId="Heading3">
    <w:name w:val="heading 3"/>
    <w:basedOn w:val="Normal"/>
    <w:next w:val="Normal"/>
    <w:link w:val="Heading3Char"/>
    <w:unhideWhenUsed/>
    <w:qFormat/>
    <w:rsid w:val="008C059D"/>
    <w:pPr>
      <w:keepNext/>
      <w:keepLines/>
      <w:spacing w:before="120" w:after="120" w:line="276" w:lineRule="auto"/>
      <w:ind w:firstLine="709"/>
      <w:outlineLvl w:val="2"/>
    </w:pPr>
    <w:rPr>
      <w:rFonts w:asciiTheme="minorHAnsi" w:eastAsiaTheme="majorEastAsia" w:hAnsiTheme="minorHAnsi" w:cstheme="majorBidi"/>
      <w:b/>
      <w:color w:val="000000" w:themeColor="text1"/>
      <w:sz w:val="26"/>
      <w:szCs w:val="24"/>
    </w:rPr>
  </w:style>
  <w:style w:type="paragraph" w:styleId="Heading5">
    <w:name w:val="heading 5"/>
    <w:basedOn w:val="Normal"/>
    <w:next w:val="Normal"/>
    <w:link w:val="Heading5Char"/>
    <w:qFormat/>
    <w:rsid w:val="003F4F2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Forth level,List Paragraph1,List1,Bullet list,1st level - Bullet List Paragraph,Lettre d'introduction,Paragrafo elenco,List Paragraph11,Normal bullet 21,List Paragraph111,Bullet list1,Bullet Points,Liste Paragraf,Paragraph"/>
    <w:basedOn w:val="Normal"/>
    <w:link w:val="ListParagraphChar"/>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character" w:customStyle="1" w:styleId="Heading5Char">
    <w:name w:val="Heading 5 Char"/>
    <w:basedOn w:val="DefaultParagraphFont"/>
    <w:link w:val="Heading5"/>
    <w:rsid w:val="003F4F22"/>
    <w:rPr>
      <w:rFonts w:ascii="Arial" w:eastAsia="Times New Roman" w:hAnsi="Arial" w:cs="Times New Roman"/>
      <w:b/>
      <w:bCs/>
      <w:i/>
      <w:iCs/>
      <w:sz w:val="26"/>
      <w:szCs w:val="26"/>
    </w:rPr>
  </w:style>
  <w:style w:type="paragraph" w:styleId="NoSpacing">
    <w:name w:val="No Spacing"/>
    <w:link w:val="NoSpacingChar"/>
    <w:qFormat/>
    <w:rsid w:val="006C1588"/>
    <w:pPr>
      <w:spacing w:after="0" w:line="240" w:lineRule="auto"/>
    </w:pPr>
    <w:rPr>
      <w:rFonts w:ascii="Arial" w:eastAsia="Times New Roman" w:hAnsi="Arial" w:cs="Times New Roman"/>
      <w:sz w:val="28"/>
      <w:szCs w:val="20"/>
      <w:lang w:val="en-US"/>
    </w:rPr>
  </w:style>
  <w:style w:type="character" w:customStyle="1" w:styleId="Heading1Char">
    <w:name w:val="Heading 1 Char"/>
    <w:basedOn w:val="DefaultParagraphFont"/>
    <w:link w:val="Heading1"/>
    <w:uiPriority w:val="9"/>
    <w:rsid w:val="000B3441"/>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712FF3"/>
    <w:pPr>
      <w:spacing w:line="259" w:lineRule="auto"/>
      <w:outlineLvl w:val="9"/>
    </w:pPr>
    <w:rPr>
      <w:lang w:val="en-US"/>
    </w:rPr>
  </w:style>
  <w:style w:type="paragraph" w:styleId="TOC1">
    <w:name w:val="toc 1"/>
    <w:basedOn w:val="Normal"/>
    <w:next w:val="Normal"/>
    <w:autoRedefine/>
    <w:uiPriority w:val="39"/>
    <w:unhideWhenUsed/>
    <w:rsid w:val="003C75E4"/>
    <w:pPr>
      <w:tabs>
        <w:tab w:val="right" w:leader="dot" w:pos="10194"/>
      </w:tabs>
      <w:spacing w:after="100"/>
    </w:pPr>
    <w:rPr>
      <w:rFonts w:asciiTheme="majorHAnsi" w:hAnsiTheme="majorHAnsi"/>
      <w:b/>
      <w:sz w:val="26"/>
    </w:rPr>
  </w:style>
  <w:style w:type="paragraph" w:styleId="TOC2">
    <w:name w:val="toc 2"/>
    <w:basedOn w:val="Normal"/>
    <w:next w:val="Normal"/>
    <w:autoRedefine/>
    <w:uiPriority w:val="39"/>
    <w:unhideWhenUsed/>
    <w:rsid w:val="008F2519"/>
    <w:pPr>
      <w:spacing w:after="100"/>
      <w:ind w:left="280"/>
    </w:pPr>
    <w:rPr>
      <w:rFonts w:asciiTheme="majorHAnsi" w:hAnsiTheme="majorHAnsi"/>
      <w:sz w:val="26"/>
    </w:rPr>
  </w:style>
  <w:style w:type="paragraph" w:styleId="TOC3">
    <w:name w:val="toc 3"/>
    <w:basedOn w:val="Normal"/>
    <w:next w:val="Normal"/>
    <w:autoRedefine/>
    <w:uiPriority w:val="39"/>
    <w:unhideWhenUsed/>
    <w:rsid w:val="008F2519"/>
    <w:pPr>
      <w:spacing w:after="100"/>
      <w:ind w:left="560"/>
    </w:pPr>
    <w:rPr>
      <w:rFonts w:asciiTheme="majorHAnsi" w:hAnsiTheme="majorHAnsi"/>
      <w:sz w:val="26"/>
    </w:rPr>
  </w:style>
  <w:style w:type="character" w:customStyle="1" w:styleId="Heading2Char">
    <w:name w:val="Heading 2 Char"/>
    <w:basedOn w:val="DefaultParagraphFont"/>
    <w:link w:val="Heading2"/>
    <w:uiPriority w:val="9"/>
    <w:rsid w:val="008C059D"/>
    <w:rPr>
      <w:rFonts w:eastAsiaTheme="majorEastAsia" w:cstheme="majorBidi"/>
      <w:b/>
      <w:color w:val="000000" w:themeColor="text1"/>
      <w:sz w:val="26"/>
      <w:szCs w:val="26"/>
      <w:lang w:val="en-US"/>
    </w:rPr>
  </w:style>
  <w:style w:type="paragraph" w:customStyle="1" w:styleId="AddParagraf">
    <w:name w:val="AddParagraf"/>
    <w:basedOn w:val="Normal"/>
    <w:link w:val="AddParagrafCaracter"/>
    <w:qFormat/>
    <w:rsid w:val="00621E22"/>
    <w:pPr>
      <w:numPr>
        <w:ilvl w:val="1"/>
      </w:numPr>
      <w:spacing w:after="180"/>
      <w:ind w:right="48" w:firstLine="709"/>
      <w:jc w:val="both"/>
    </w:pPr>
    <w:rPr>
      <w:rFonts w:ascii="Calibri" w:hAnsi="Calibri" w:cs="Arial"/>
      <w:sz w:val="24"/>
      <w:szCs w:val="24"/>
    </w:rPr>
  </w:style>
  <w:style w:type="character" w:customStyle="1" w:styleId="AddParagrafCaracter">
    <w:name w:val="AddParagraf Caracter"/>
    <w:link w:val="AddParagraf"/>
    <w:qFormat/>
    <w:locked/>
    <w:rsid w:val="00621E22"/>
    <w:rPr>
      <w:rFonts w:ascii="Calibri" w:eastAsia="Times New Roman" w:hAnsi="Calibri" w:cs="Arial"/>
      <w:sz w:val="24"/>
      <w:szCs w:val="24"/>
    </w:rPr>
  </w:style>
  <w:style w:type="paragraph" w:customStyle="1" w:styleId="Default">
    <w:name w:val="Default"/>
    <w:rsid w:val="00621E22"/>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Normal bullet 2 Char,Forth level Char,List Paragraph1 Char,List1 Char,Bullet list Char,1st level - Bullet List Paragraph Char,Lettre d'introduction Char,Paragrafo elenco Char,List Paragraph11 Char,Normal bullet 21 Char,Paragraph Char"/>
    <w:link w:val="ListParagraph"/>
    <w:uiPriority w:val="34"/>
    <w:qFormat/>
    <w:rsid w:val="00621E22"/>
    <w:rPr>
      <w:rFonts w:ascii="Arial" w:eastAsia="Times New Roman" w:hAnsi="Arial" w:cs="Times New Roman"/>
      <w:sz w:val="28"/>
      <w:szCs w:val="20"/>
    </w:rPr>
  </w:style>
  <w:style w:type="character" w:customStyle="1" w:styleId="Heading3Char">
    <w:name w:val="Heading 3 Char"/>
    <w:basedOn w:val="DefaultParagraphFont"/>
    <w:link w:val="Heading3"/>
    <w:rsid w:val="008C059D"/>
    <w:rPr>
      <w:rFonts w:eastAsiaTheme="majorEastAsia" w:cstheme="majorBidi"/>
      <w:b/>
      <w:color w:val="000000" w:themeColor="text1"/>
      <w:sz w:val="26"/>
      <w:szCs w:val="24"/>
    </w:rPr>
  </w:style>
  <w:style w:type="character" w:styleId="Strong">
    <w:name w:val="Strong"/>
    <w:uiPriority w:val="22"/>
    <w:qFormat/>
    <w:rsid w:val="003A2BC2"/>
    <w:rPr>
      <w:b/>
      <w:bCs/>
    </w:rPr>
  </w:style>
  <w:style w:type="paragraph" w:styleId="NormalWeb">
    <w:name w:val="Normal (Web)"/>
    <w:basedOn w:val="Normal"/>
    <w:link w:val="NormalWebChar"/>
    <w:unhideWhenUsed/>
    <w:rsid w:val="003A2BC2"/>
    <w:pPr>
      <w:spacing w:before="100" w:beforeAutospacing="1" w:after="100" w:afterAutospacing="1"/>
    </w:pPr>
    <w:rPr>
      <w:rFonts w:ascii="Times New Roman" w:hAnsi="Times New Roman"/>
      <w:sz w:val="24"/>
      <w:szCs w:val="24"/>
      <w:lang w:eastAsia="ro-RO"/>
    </w:rPr>
  </w:style>
  <w:style w:type="character" w:customStyle="1" w:styleId="rvts5">
    <w:name w:val="rvts5"/>
    <w:rsid w:val="003A2BC2"/>
  </w:style>
  <w:style w:type="character" w:customStyle="1" w:styleId="NormalWebChar">
    <w:name w:val="Normal (Web) Char"/>
    <w:link w:val="NormalWeb"/>
    <w:locked/>
    <w:rsid w:val="003A2BC2"/>
    <w:rPr>
      <w:rFonts w:ascii="Times New Roman" w:eastAsia="Times New Roman" w:hAnsi="Times New Roman" w:cs="Times New Roman"/>
      <w:sz w:val="24"/>
      <w:szCs w:val="24"/>
      <w:lang w:eastAsia="ro-RO"/>
    </w:rPr>
  </w:style>
  <w:style w:type="character" w:customStyle="1" w:styleId="NoSpacingChar">
    <w:name w:val="No Spacing Char"/>
    <w:link w:val="NoSpacing"/>
    <w:rsid w:val="00683ACD"/>
    <w:rPr>
      <w:rFonts w:ascii="Arial" w:eastAsia="Times New Roman" w:hAnsi="Arial" w:cs="Times New Roman"/>
      <w:sz w:val="28"/>
      <w:szCs w:val="20"/>
      <w:lang w:val="en-US"/>
    </w:rPr>
  </w:style>
  <w:style w:type="character" w:customStyle="1" w:styleId="markedcontent">
    <w:name w:val="markedcontent"/>
    <w:basedOn w:val="DefaultParagraphFont"/>
    <w:rsid w:val="00AA0999"/>
  </w:style>
  <w:style w:type="character" w:customStyle="1" w:styleId="Bodytext2">
    <w:name w:val="Body text (2)_"/>
    <w:basedOn w:val="DefaultParagraphFont"/>
    <w:link w:val="Bodytext20"/>
    <w:rsid w:val="00AA0999"/>
    <w:rPr>
      <w:rFonts w:ascii="Trebuchet MS" w:eastAsia="Trebuchet MS" w:hAnsi="Trebuchet MS" w:cs="Trebuchet MS"/>
      <w:shd w:val="clear" w:color="auto" w:fill="FFFFFF"/>
    </w:rPr>
  </w:style>
  <w:style w:type="paragraph" w:customStyle="1" w:styleId="Bodytext20">
    <w:name w:val="Body text (2)"/>
    <w:basedOn w:val="Normal"/>
    <w:link w:val="Bodytext2"/>
    <w:rsid w:val="00AA0999"/>
    <w:pPr>
      <w:widowControl w:val="0"/>
      <w:shd w:val="clear" w:color="auto" w:fill="FFFFFF"/>
      <w:spacing w:line="0" w:lineRule="atLeast"/>
    </w:pPr>
    <w:rPr>
      <w:rFonts w:ascii="Trebuchet MS" w:eastAsia="Trebuchet MS" w:hAnsi="Trebuchet MS" w:cs="Trebuchet MS"/>
      <w:sz w:val="22"/>
      <w:szCs w:val="22"/>
    </w:rPr>
  </w:style>
  <w:style w:type="character" w:customStyle="1" w:styleId="Bodytext2Italic">
    <w:name w:val="Body text (2) + Italic"/>
    <w:basedOn w:val="Bodytext2"/>
    <w:rsid w:val="00AA0999"/>
    <w:rPr>
      <w:rFonts w:ascii="Trebuchet MS" w:eastAsia="Trebuchet MS" w:hAnsi="Trebuchet MS" w:cs="Trebuchet MS"/>
      <w:b w:val="0"/>
      <w:bCs w:val="0"/>
      <w:i/>
      <w:iCs/>
      <w:smallCaps w:val="0"/>
      <w:strike w:val="0"/>
      <w:color w:val="000000"/>
      <w:spacing w:val="0"/>
      <w:w w:val="100"/>
      <w:position w:val="0"/>
      <w:sz w:val="22"/>
      <w:szCs w:val="22"/>
      <w:u w:val="none"/>
      <w:shd w:val="clear" w:color="auto" w:fill="FFFFFF"/>
      <w:lang w:val="ro-RO" w:eastAsia="ro-RO" w:bidi="ro-RO"/>
    </w:rPr>
  </w:style>
  <w:style w:type="paragraph" w:customStyle="1" w:styleId="rvps1">
    <w:name w:val="rvps1"/>
    <w:basedOn w:val="Normal"/>
    <w:rsid w:val="00E2457C"/>
    <w:pPr>
      <w:jc w:val="center"/>
    </w:pPr>
    <w:rPr>
      <w:rFonts w:ascii="Times New Roman" w:hAnsi="Times New Roman"/>
      <w:sz w:val="24"/>
      <w:szCs w:val="24"/>
      <w:lang w:val="en-US"/>
    </w:rPr>
  </w:style>
  <w:style w:type="character" w:customStyle="1" w:styleId="Bodytext1">
    <w:name w:val="Body text|1_"/>
    <w:basedOn w:val="DefaultParagraphFont"/>
    <w:link w:val="Bodytext10"/>
    <w:rsid w:val="00A944DA"/>
    <w:rPr>
      <w:rFonts w:ascii="Calibri" w:eastAsia="Calibri" w:hAnsi="Calibri" w:cs="Calibri"/>
    </w:rPr>
  </w:style>
  <w:style w:type="paragraph" w:customStyle="1" w:styleId="Bodytext10">
    <w:name w:val="Body text|1"/>
    <w:basedOn w:val="Normal"/>
    <w:link w:val="Bodytext1"/>
    <w:rsid w:val="00A944DA"/>
    <w:pPr>
      <w:widowControl w:val="0"/>
    </w:pPr>
    <w:rPr>
      <w:rFonts w:ascii="Calibri" w:eastAsia="Calibri" w:hAnsi="Calibri" w:cs="Calibri"/>
      <w:sz w:val="22"/>
      <w:szCs w:val="22"/>
    </w:rPr>
  </w:style>
  <w:style w:type="character" w:customStyle="1" w:styleId="Heading11">
    <w:name w:val="Heading #1|1_"/>
    <w:basedOn w:val="DefaultParagraphFont"/>
    <w:link w:val="Heading110"/>
    <w:rsid w:val="00A944DA"/>
    <w:rPr>
      <w:rFonts w:ascii="Arial" w:eastAsia="Arial" w:hAnsi="Arial" w:cs="Arial"/>
      <w:b/>
      <w:sz w:val="28"/>
    </w:rPr>
  </w:style>
  <w:style w:type="paragraph" w:customStyle="1" w:styleId="Heading110">
    <w:name w:val="Heading #1|1"/>
    <w:basedOn w:val="Normal"/>
    <w:link w:val="Heading11"/>
    <w:rsid w:val="00A944DA"/>
    <w:pPr>
      <w:widowControl w:val="0"/>
      <w:spacing w:after="200"/>
      <w:outlineLvl w:val="0"/>
    </w:pPr>
    <w:rPr>
      <w:rFonts w:eastAsia="Arial" w:cs="Arial"/>
      <w:b/>
      <w:szCs w:val="22"/>
    </w:rPr>
  </w:style>
  <w:style w:type="table" w:customStyle="1" w:styleId="TableGrid1">
    <w:name w:val="Table Grid1"/>
    <w:basedOn w:val="TableNormal"/>
    <w:next w:val="TableGrid"/>
    <w:rsid w:val="006D09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rsid w:val="00030AEB"/>
  </w:style>
  <w:style w:type="character" w:customStyle="1" w:styleId="apple-converted-space">
    <w:name w:val="apple-converted-space"/>
    <w:rsid w:val="00600104"/>
  </w:style>
  <w:style w:type="character" w:customStyle="1" w:styleId="preformatatted">
    <w:name w:val="preformatatted"/>
    <w:basedOn w:val="DefaultParagraphFont"/>
    <w:rsid w:val="00B83ECD"/>
  </w:style>
  <w:style w:type="character" w:styleId="Emphasis">
    <w:name w:val="Emphasis"/>
    <w:basedOn w:val="DefaultParagraphFont"/>
    <w:uiPriority w:val="20"/>
    <w:qFormat/>
    <w:rsid w:val="007935BD"/>
    <w:rPr>
      <w:i/>
      <w:iCs/>
    </w:rPr>
  </w:style>
  <w:style w:type="paragraph" w:styleId="FootnoteText">
    <w:name w:val="footnote text"/>
    <w:basedOn w:val="Normal"/>
    <w:link w:val="FootnoteTextChar"/>
    <w:uiPriority w:val="99"/>
    <w:unhideWhenUsed/>
    <w:rsid w:val="003F56DF"/>
    <w:rPr>
      <w:rFonts w:asciiTheme="minorHAnsi" w:eastAsiaTheme="minorHAnsi" w:hAnsiTheme="minorHAnsi" w:cstheme="minorBidi"/>
      <w:sz w:val="20"/>
      <w:lang w:val="en-GB"/>
    </w:rPr>
  </w:style>
  <w:style w:type="character" w:customStyle="1" w:styleId="FootnoteTextChar">
    <w:name w:val="Footnote Text Char"/>
    <w:basedOn w:val="DefaultParagraphFont"/>
    <w:link w:val="FootnoteText"/>
    <w:uiPriority w:val="99"/>
    <w:rsid w:val="003F56DF"/>
    <w:rPr>
      <w:sz w:val="20"/>
      <w:szCs w:val="20"/>
      <w:lang w:val="en-GB"/>
    </w:rPr>
  </w:style>
  <w:style w:type="character" w:styleId="FootnoteReference">
    <w:name w:val="footnote reference"/>
    <w:basedOn w:val="DefaultParagraphFont"/>
    <w:uiPriority w:val="99"/>
    <w:unhideWhenUsed/>
    <w:rsid w:val="003F56DF"/>
    <w:rPr>
      <w:vertAlign w:val="superscript"/>
    </w:rPr>
  </w:style>
  <w:style w:type="paragraph" w:styleId="Revision">
    <w:name w:val="Revision"/>
    <w:hidden/>
    <w:uiPriority w:val="99"/>
    <w:semiHidden/>
    <w:rsid w:val="00F61A4B"/>
    <w:pPr>
      <w:spacing w:after="0" w:line="240" w:lineRule="auto"/>
    </w:pPr>
    <w:rPr>
      <w:rFonts w:ascii="Arial" w:eastAsia="Times New Roman" w:hAnsi="Arial" w:cs="Times New Roman"/>
      <w:sz w:val="28"/>
      <w:szCs w:val="20"/>
    </w:rPr>
  </w:style>
  <w:style w:type="character" w:styleId="UnresolvedMention">
    <w:name w:val="Unresolved Mention"/>
    <w:basedOn w:val="DefaultParagraphFont"/>
    <w:uiPriority w:val="99"/>
    <w:semiHidden/>
    <w:unhideWhenUsed/>
    <w:rsid w:val="00D450BC"/>
    <w:rPr>
      <w:color w:val="605E5C"/>
      <w:shd w:val="clear" w:color="auto" w:fill="E1DFDD"/>
    </w:rPr>
  </w:style>
  <w:style w:type="character" w:customStyle="1" w:styleId="Fontdeparagrafimplicit1">
    <w:name w:val="Font de paragraf implicit1"/>
    <w:rsid w:val="00EC0C6B"/>
  </w:style>
  <w:style w:type="character" w:customStyle="1" w:styleId="contentpasted0">
    <w:name w:val="contentpasted0"/>
    <w:basedOn w:val="DefaultParagraphFont"/>
    <w:rsid w:val="00CF0D23"/>
  </w:style>
  <w:style w:type="character" w:customStyle="1" w:styleId="normaltextrun">
    <w:name w:val="normaltextrun"/>
    <w:basedOn w:val="DefaultParagraphFont"/>
    <w:rsid w:val="00AC2D56"/>
  </w:style>
  <w:style w:type="character" w:customStyle="1" w:styleId="rvts11">
    <w:name w:val="rvts11"/>
    <w:rsid w:val="00150131"/>
  </w:style>
  <w:style w:type="character" w:customStyle="1" w:styleId="rvts4">
    <w:name w:val="rvts4"/>
    <w:basedOn w:val="DefaultParagraphFont"/>
    <w:rsid w:val="00150131"/>
  </w:style>
  <w:style w:type="paragraph" w:styleId="PlainText">
    <w:name w:val="Plain Text"/>
    <w:basedOn w:val="Normal"/>
    <w:link w:val="PlainTextChar"/>
    <w:uiPriority w:val="99"/>
    <w:semiHidden/>
    <w:unhideWhenUsed/>
    <w:rsid w:val="0034506F"/>
    <w:rPr>
      <w:rFonts w:ascii="Calibri" w:eastAsiaTheme="minorHAnsi" w:hAnsi="Calibri" w:cs="Calibri"/>
      <w:sz w:val="22"/>
      <w:szCs w:val="22"/>
      <w:lang w:val="en-US"/>
      <w14:ligatures w14:val="standardContextual"/>
    </w:rPr>
  </w:style>
  <w:style w:type="character" w:customStyle="1" w:styleId="PlainTextChar">
    <w:name w:val="Plain Text Char"/>
    <w:basedOn w:val="DefaultParagraphFont"/>
    <w:link w:val="PlainText"/>
    <w:uiPriority w:val="99"/>
    <w:semiHidden/>
    <w:rsid w:val="0034506F"/>
    <w:rPr>
      <w:rFonts w:ascii="Calibri" w:hAnsi="Calibri" w:cs="Calibri"/>
      <w:lang w:val="en-US"/>
      <w14:ligatures w14:val="standardContextual"/>
    </w:rPr>
  </w:style>
  <w:style w:type="character" w:styleId="CommentReference">
    <w:name w:val="annotation reference"/>
    <w:basedOn w:val="DefaultParagraphFont"/>
    <w:uiPriority w:val="99"/>
    <w:semiHidden/>
    <w:unhideWhenUsed/>
    <w:rsid w:val="007E7337"/>
    <w:rPr>
      <w:sz w:val="16"/>
      <w:szCs w:val="16"/>
    </w:rPr>
  </w:style>
  <w:style w:type="paragraph" w:styleId="CommentText">
    <w:name w:val="annotation text"/>
    <w:basedOn w:val="Normal"/>
    <w:link w:val="CommentTextChar"/>
    <w:uiPriority w:val="99"/>
    <w:semiHidden/>
    <w:unhideWhenUsed/>
    <w:rsid w:val="007E7337"/>
    <w:rPr>
      <w:sz w:val="20"/>
    </w:rPr>
  </w:style>
  <w:style w:type="character" w:customStyle="1" w:styleId="CommentTextChar">
    <w:name w:val="Comment Text Char"/>
    <w:basedOn w:val="DefaultParagraphFont"/>
    <w:link w:val="CommentText"/>
    <w:uiPriority w:val="99"/>
    <w:semiHidden/>
    <w:rsid w:val="007E7337"/>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500978"/>
    <w:rPr>
      <w:color w:val="954F72" w:themeColor="followedHyperlink"/>
      <w:u w:val="single"/>
    </w:rPr>
  </w:style>
  <w:style w:type="paragraph" w:customStyle="1" w:styleId="msonormal0">
    <w:name w:val="msonormal"/>
    <w:basedOn w:val="Normal"/>
    <w:rsid w:val="002C206D"/>
    <w:pPr>
      <w:spacing w:before="100" w:beforeAutospacing="1" w:after="100" w:afterAutospacing="1"/>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6423">
      <w:bodyDiv w:val="1"/>
      <w:marLeft w:val="0"/>
      <w:marRight w:val="0"/>
      <w:marTop w:val="0"/>
      <w:marBottom w:val="0"/>
      <w:divBdr>
        <w:top w:val="none" w:sz="0" w:space="0" w:color="auto"/>
        <w:left w:val="none" w:sz="0" w:space="0" w:color="auto"/>
        <w:bottom w:val="none" w:sz="0" w:space="0" w:color="auto"/>
        <w:right w:val="none" w:sz="0" w:space="0" w:color="auto"/>
      </w:divBdr>
    </w:div>
    <w:div w:id="38018028">
      <w:bodyDiv w:val="1"/>
      <w:marLeft w:val="0"/>
      <w:marRight w:val="0"/>
      <w:marTop w:val="0"/>
      <w:marBottom w:val="0"/>
      <w:divBdr>
        <w:top w:val="none" w:sz="0" w:space="0" w:color="auto"/>
        <w:left w:val="none" w:sz="0" w:space="0" w:color="auto"/>
        <w:bottom w:val="none" w:sz="0" w:space="0" w:color="auto"/>
        <w:right w:val="none" w:sz="0" w:space="0" w:color="auto"/>
      </w:divBdr>
    </w:div>
    <w:div w:id="43334978">
      <w:bodyDiv w:val="1"/>
      <w:marLeft w:val="0"/>
      <w:marRight w:val="0"/>
      <w:marTop w:val="0"/>
      <w:marBottom w:val="0"/>
      <w:divBdr>
        <w:top w:val="none" w:sz="0" w:space="0" w:color="auto"/>
        <w:left w:val="none" w:sz="0" w:space="0" w:color="auto"/>
        <w:bottom w:val="none" w:sz="0" w:space="0" w:color="auto"/>
        <w:right w:val="none" w:sz="0" w:space="0" w:color="auto"/>
      </w:divBdr>
    </w:div>
    <w:div w:id="51079125">
      <w:bodyDiv w:val="1"/>
      <w:marLeft w:val="0"/>
      <w:marRight w:val="0"/>
      <w:marTop w:val="0"/>
      <w:marBottom w:val="0"/>
      <w:divBdr>
        <w:top w:val="none" w:sz="0" w:space="0" w:color="auto"/>
        <w:left w:val="none" w:sz="0" w:space="0" w:color="auto"/>
        <w:bottom w:val="none" w:sz="0" w:space="0" w:color="auto"/>
        <w:right w:val="none" w:sz="0" w:space="0" w:color="auto"/>
      </w:divBdr>
    </w:div>
    <w:div w:id="88082451">
      <w:bodyDiv w:val="1"/>
      <w:marLeft w:val="0"/>
      <w:marRight w:val="0"/>
      <w:marTop w:val="0"/>
      <w:marBottom w:val="0"/>
      <w:divBdr>
        <w:top w:val="none" w:sz="0" w:space="0" w:color="auto"/>
        <w:left w:val="none" w:sz="0" w:space="0" w:color="auto"/>
        <w:bottom w:val="none" w:sz="0" w:space="0" w:color="auto"/>
        <w:right w:val="none" w:sz="0" w:space="0" w:color="auto"/>
      </w:divBdr>
    </w:div>
    <w:div w:id="116876046">
      <w:bodyDiv w:val="1"/>
      <w:marLeft w:val="0"/>
      <w:marRight w:val="0"/>
      <w:marTop w:val="0"/>
      <w:marBottom w:val="0"/>
      <w:divBdr>
        <w:top w:val="none" w:sz="0" w:space="0" w:color="auto"/>
        <w:left w:val="none" w:sz="0" w:space="0" w:color="auto"/>
        <w:bottom w:val="none" w:sz="0" w:space="0" w:color="auto"/>
        <w:right w:val="none" w:sz="0" w:space="0" w:color="auto"/>
      </w:divBdr>
    </w:div>
    <w:div w:id="126243939">
      <w:bodyDiv w:val="1"/>
      <w:marLeft w:val="0"/>
      <w:marRight w:val="0"/>
      <w:marTop w:val="0"/>
      <w:marBottom w:val="0"/>
      <w:divBdr>
        <w:top w:val="none" w:sz="0" w:space="0" w:color="auto"/>
        <w:left w:val="none" w:sz="0" w:space="0" w:color="auto"/>
        <w:bottom w:val="none" w:sz="0" w:space="0" w:color="auto"/>
        <w:right w:val="none" w:sz="0" w:space="0" w:color="auto"/>
      </w:divBdr>
    </w:div>
    <w:div w:id="138815687">
      <w:bodyDiv w:val="1"/>
      <w:marLeft w:val="0"/>
      <w:marRight w:val="0"/>
      <w:marTop w:val="0"/>
      <w:marBottom w:val="0"/>
      <w:divBdr>
        <w:top w:val="none" w:sz="0" w:space="0" w:color="auto"/>
        <w:left w:val="none" w:sz="0" w:space="0" w:color="auto"/>
        <w:bottom w:val="none" w:sz="0" w:space="0" w:color="auto"/>
        <w:right w:val="none" w:sz="0" w:space="0" w:color="auto"/>
      </w:divBdr>
    </w:div>
    <w:div w:id="171071054">
      <w:bodyDiv w:val="1"/>
      <w:marLeft w:val="0"/>
      <w:marRight w:val="0"/>
      <w:marTop w:val="0"/>
      <w:marBottom w:val="0"/>
      <w:divBdr>
        <w:top w:val="none" w:sz="0" w:space="0" w:color="auto"/>
        <w:left w:val="none" w:sz="0" w:space="0" w:color="auto"/>
        <w:bottom w:val="none" w:sz="0" w:space="0" w:color="auto"/>
        <w:right w:val="none" w:sz="0" w:space="0" w:color="auto"/>
      </w:divBdr>
    </w:div>
    <w:div w:id="200358933">
      <w:bodyDiv w:val="1"/>
      <w:marLeft w:val="0"/>
      <w:marRight w:val="0"/>
      <w:marTop w:val="0"/>
      <w:marBottom w:val="0"/>
      <w:divBdr>
        <w:top w:val="none" w:sz="0" w:space="0" w:color="auto"/>
        <w:left w:val="none" w:sz="0" w:space="0" w:color="auto"/>
        <w:bottom w:val="none" w:sz="0" w:space="0" w:color="auto"/>
        <w:right w:val="none" w:sz="0" w:space="0" w:color="auto"/>
      </w:divBdr>
    </w:div>
    <w:div w:id="246429999">
      <w:bodyDiv w:val="1"/>
      <w:marLeft w:val="0"/>
      <w:marRight w:val="0"/>
      <w:marTop w:val="0"/>
      <w:marBottom w:val="0"/>
      <w:divBdr>
        <w:top w:val="none" w:sz="0" w:space="0" w:color="auto"/>
        <w:left w:val="none" w:sz="0" w:space="0" w:color="auto"/>
        <w:bottom w:val="none" w:sz="0" w:space="0" w:color="auto"/>
        <w:right w:val="none" w:sz="0" w:space="0" w:color="auto"/>
      </w:divBdr>
    </w:div>
    <w:div w:id="300382165">
      <w:bodyDiv w:val="1"/>
      <w:marLeft w:val="0"/>
      <w:marRight w:val="0"/>
      <w:marTop w:val="0"/>
      <w:marBottom w:val="0"/>
      <w:divBdr>
        <w:top w:val="none" w:sz="0" w:space="0" w:color="auto"/>
        <w:left w:val="none" w:sz="0" w:space="0" w:color="auto"/>
        <w:bottom w:val="none" w:sz="0" w:space="0" w:color="auto"/>
        <w:right w:val="none" w:sz="0" w:space="0" w:color="auto"/>
      </w:divBdr>
    </w:div>
    <w:div w:id="304357934">
      <w:bodyDiv w:val="1"/>
      <w:marLeft w:val="0"/>
      <w:marRight w:val="0"/>
      <w:marTop w:val="0"/>
      <w:marBottom w:val="0"/>
      <w:divBdr>
        <w:top w:val="none" w:sz="0" w:space="0" w:color="auto"/>
        <w:left w:val="none" w:sz="0" w:space="0" w:color="auto"/>
        <w:bottom w:val="none" w:sz="0" w:space="0" w:color="auto"/>
        <w:right w:val="none" w:sz="0" w:space="0" w:color="auto"/>
      </w:divBdr>
    </w:div>
    <w:div w:id="356004987">
      <w:bodyDiv w:val="1"/>
      <w:marLeft w:val="0"/>
      <w:marRight w:val="0"/>
      <w:marTop w:val="0"/>
      <w:marBottom w:val="0"/>
      <w:divBdr>
        <w:top w:val="none" w:sz="0" w:space="0" w:color="auto"/>
        <w:left w:val="none" w:sz="0" w:space="0" w:color="auto"/>
        <w:bottom w:val="none" w:sz="0" w:space="0" w:color="auto"/>
        <w:right w:val="none" w:sz="0" w:space="0" w:color="auto"/>
      </w:divBdr>
    </w:div>
    <w:div w:id="356781486">
      <w:bodyDiv w:val="1"/>
      <w:marLeft w:val="0"/>
      <w:marRight w:val="0"/>
      <w:marTop w:val="0"/>
      <w:marBottom w:val="0"/>
      <w:divBdr>
        <w:top w:val="none" w:sz="0" w:space="0" w:color="auto"/>
        <w:left w:val="none" w:sz="0" w:space="0" w:color="auto"/>
        <w:bottom w:val="none" w:sz="0" w:space="0" w:color="auto"/>
        <w:right w:val="none" w:sz="0" w:space="0" w:color="auto"/>
      </w:divBdr>
    </w:div>
    <w:div w:id="372777067">
      <w:bodyDiv w:val="1"/>
      <w:marLeft w:val="0"/>
      <w:marRight w:val="0"/>
      <w:marTop w:val="0"/>
      <w:marBottom w:val="0"/>
      <w:divBdr>
        <w:top w:val="none" w:sz="0" w:space="0" w:color="auto"/>
        <w:left w:val="none" w:sz="0" w:space="0" w:color="auto"/>
        <w:bottom w:val="none" w:sz="0" w:space="0" w:color="auto"/>
        <w:right w:val="none" w:sz="0" w:space="0" w:color="auto"/>
      </w:divBdr>
    </w:div>
    <w:div w:id="373039976">
      <w:bodyDiv w:val="1"/>
      <w:marLeft w:val="0"/>
      <w:marRight w:val="0"/>
      <w:marTop w:val="0"/>
      <w:marBottom w:val="0"/>
      <w:divBdr>
        <w:top w:val="none" w:sz="0" w:space="0" w:color="auto"/>
        <w:left w:val="none" w:sz="0" w:space="0" w:color="auto"/>
        <w:bottom w:val="none" w:sz="0" w:space="0" w:color="auto"/>
        <w:right w:val="none" w:sz="0" w:space="0" w:color="auto"/>
      </w:divBdr>
    </w:div>
    <w:div w:id="381559743">
      <w:bodyDiv w:val="1"/>
      <w:marLeft w:val="0"/>
      <w:marRight w:val="0"/>
      <w:marTop w:val="0"/>
      <w:marBottom w:val="0"/>
      <w:divBdr>
        <w:top w:val="none" w:sz="0" w:space="0" w:color="auto"/>
        <w:left w:val="none" w:sz="0" w:space="0" w:color="auto"/>
        <w:bottom w:val="none" w:sz="0" w:space="0" w:color="auto"/>
        <w:right w:val="none" w:sz="0" w:space="0" w:color="auto"/>
      </w:divBdr>
    </w:div>
    <w:div w:id="398208392">
      <w:bodyDiv w:val="1"/>
      <w:marLeft w:val="0"/>
      <w:marRight w:val="0"/>
      <w:marTop w:val="0"/>
      <w:marBottom w:val="0"/>
      <w:divBdr>
        <w:top w:val="none" w:sz="0" w:space="0" w:color="auto"/>
        <w:left w:val="none" w:sz="0" w:space="0" w:color="auto"/>
        <w:bottom w:val="none" w:sz="0" w:space="0" w:color="auto"/>
        <w:right w:val="none" w:sz="0" w:space="0" w:color="auto"/>
      </w:divBdr>
    </w:div>
    <w:div w:id="399015419">
      <w:bodyDiv w:val="1"/>
      <w:marLeft w:val="0"/>
      <w:marRight w:val="0"/>
      <w:marTop w:val="0"/>
      <w:marBottom w:val="0"/>
      <w:divBdr>
        <w:top w:val="none" w:sz="0" w:space="0" w:color="auto"/>
        <w:left w:val="none" w:sz="0" w:space="0" w:color="auto"/>
        <w:bottom w:val="none" w:sz="0" w:space="0" w:color="auto"/>
        <w:right w:val="none" w:sz="0" w:space="0" w:color="auto"/>
      </w:divBdr>
    </w:div>
    <w:div w:id="407730346">
      <w:bodyDiv w:val="1"/>
      <w:marLeft w:val="0"/>
      <w:marRight w:val="0"/>
      <w:marTop w:val="0"/>
      <w:marBottom w:val="0"/>
      <w:divBdr>
        <w:top w:val="none" w:sz="0" w:space="0" w:color="auto"/>
        <w:left w:val="none" w:sz="0" w:space="0" w:color="auto"/>
        <w:bottom w:val="none" w:sz="0" w:space="0" w:color="auto"/>
        <w:right w:val="none" w:sz="0" w:space="0" w:color="auto"/>
      </w:divBdr>
    </w:div>
    <w:div w:id="433478156">
      <w:bodyDiv w:val="1"/>
      <w:marLeft w:val="0"/>
      <w:marRight w:val="0"/>
      <w:marTop w:val="0"/>
      <w:marBottom w:val="0"/>
      <w:divBdr>
        <w:top w:val="none" w:sz="0" w:space="0" w:color="auto"/>
        <w:left w:val="none" w:sz="0" w:space="0" w:color="auto"/>
        <w:bottom w:val="none" w:sz="0" w:space="0" w:color="auto"/>
        <w:right w:val="none" w:sz="0" w:space="0" w:color="auto"/>
      </w:divBdr>
    </w:div>
    <w:div w:id="498276274">
      <w:bodyDiv w:val="1"/>
      <w:marLeft w:val="0"/>
      <w:marRight w:val="0"/>
      <w:marTop w:val="0"/>
      <w:marBottom w:val="0"/>
      <w:divBdr>
        <w:top w:val="none" w:sz="0" w:space="0" w:color="auto"/>
        <w:left w:val="none" w:sz="0" w:space="0" w:color="auto"/>
        <w:bottom w:val="none" w:sz="0" w:space="0" w:color="auto"/>
        <w:right w:val="none" w:sz="0" w:space="0" w:color="auto"/>
      </w:divBdr>
    </w:div>
    <w:div w:id="510069949">
      <w:bodyDiv w:val="1"/>
      <w:marLeft w:val="0"/>
      <w:marRight w:val="0"/>
      <w:marTop w:val="0"/>
      <w:marBottom w:val="0"/>
      <w:divBdr>
        <w:top w:val="none" w:sz="0" w:space="0" w:color="auto"/>
        <w:left w:val="none" w:sz="0" w:space="0" w:color="auto"/>
        <w:bottom w:val="none" w:sz="0" w:space="0" w:color="auto"/>
        <w:right w:val="none" w:sz="0" w:space="0" w:color="auto"/>
      </w:divBdr>
    </w:div>
    <w:div w:id="542135535">
      <w:bodyDiv w:val="1"/>
      <w:marLeft w:val="0"/>
      <w:marRight w:val="0"/>
      <w:marTop w:val="0"/>
      <w:marBottom w:val="0"/>
      <w:divBdr>
        <w:top w:val="none" w:sz="0" w:space="0" w:color="auto"/>
        <w:left w:val="none" w:sz="0" w:space="0" w:color="auto"/>
        <w:bottom w:val="none" w:sz="0" w:space="0" w:color="auto"/>
        <w:right w:val="none" w:sz="0" w:space="0" w:color="auto"/>
      </w:divBdr>
    </w:div>
    <w:div w:id="627860326">
      <w:bodyDiv w:val="1"/>
      <w:marLeft w:val="0"/>
      <w:marRight w:val="0"/>
      <w:marTop w:val="0"/>
      <w:marBottom w:val="0"/>
      <w:divBdr>
        <w:top w:val="none" w:sz="0" w:space="0" w:color="auto"/>
        <w:left w:val="none" w:sz="0" w:space="0" w:color="auto"/>
        <w:bottom w:val="none" w:sz="0" w:space="0" w:color="auto"/>
        <w:right w:val="none" w:sz="0" w:space="0" w:color="auto"/>
      </w:divBdr>
    </w:div>
    <w:div w:id="658004603">
      <w:bodyDiv w:val="1"/>
      <w:marLeft w:val="0"/>
      <w:marRight w:val="0"/>
      <w:marTop w:val="0"/>
      <w:marBottom w:val="0"/>
      <w:divBdr>
        <w:top w:val="none" w:sz="0" w:space="0" w:color="auto"/>
        <w:left w:val="none" w:sz="0" w:space="0" w:color="auto"/>
        <w:bottom w:val="none" w:sz="0" w:space="0" w:color="auto"/>
        <w:right w:val="none" w:sz="0" w:space="0" w:color="auto"/>
      </w:divBdr>
    </w:div>
    <w:div w:id="679771075">
      <w:bodyDiv w:val="1"/>
      <w:marLeft w:val="0"/>
      <w:marRight w:val="0"/>
      <w:marTop w:val="0"/>
      <w:marBottom w:val="0"/>
      <w:divBdr>
        <w:top w:val="none" w:sz="0" w:space="0" w:color="auto"/>
        <w:left w:val="none" w:sz="0" w:space="0" w:color="auto"/>
        <w:bottom w:val="none" w:sz="0" w:space="0" w:color="auto"/>
        <w:right w:val="none" w:sz="0" w:space="0" w:color="auto"/>
      </w:divBdr>
    </w:div>
    <w:div w:id="734594543">
      <w:bodyDiv w:val="1"/>
      <w:marLeft w:val="0"/>
      <w:marRight w:val="0"/>
      <w:marTop w:val="0"/>
      <w:marBottom w:val="0"/>
      <w:divBdr>
        <w:top w:val="none" w:sz="0" w:space="0" w:color="auto"/>
        <w:left w:val="none" w:sz="0" w:space="0" w:color="auto"/>
        <w:bottom w:val="none" w:sz="0" w:space="0" w:color="auto"/>
        <w:right w:val="none" w:sz="0" w:space="0" w:color="auto"/>
      </w:divBdr>
    </w:div>
    <w:div w:id="782071468">
      <w:bodyDiv w:val="1"/>
      <w:marLeft w:val="0"/>
      <w:marRight w:val="0"/>
      <w:marTop w:val="0"/>
      <w:marBottom w:val="0"/>
      <w:divBdr>
        <w:top w:val="none" w:sz="0" w:space="0" w:color="auto"/>
        <w:left w:val="none" w:sz="0" w:space="0" w:color="auto"/>
        <w:bottom w:val="none" w:sz="0" w:space="0" w:color="auto"/>
        <w:right w:val="none" w:sz="0" w:space="0" w:color="auto"/>
      </w:divBdr>
    </w:div>
    <w:div w:id="800654298">
      <w:bodyDiv w:val="1"/>
      <w:marLeft w:val="0"/>
      <w:marRight w:val="0"/>
      <w:marTop w:val="0"/>
      <w:marBottom w:val="0"/>
      <w:divBdr>
        <w:top w:val="none" w:sz="0" w:space="0" w:color="auto"/>
        <w:left w:val="none" w:sz="0" w:space="0" w:color="auto"/>
        <w:bottom w:val="none" w:sz="0" w:space="0" w:color="auto"/>
        <w:right w:val="none" w:sz="0" w:space="0" w:color="auto"/>
      </w:divBdr>
    </w:div>
    <w:div w:id="843400552">
      <w:bodyDiv w:val="1"/>
      <w:marLeft w:val="0"/>
      <w:marRight w:val="0"/>
      <w:marTop w:val="0"/>
      <w:marBottom w:val="0"/>
      <w:divBdr>
        <w:top w:val="none" w:sz="0" w:space="0" w:color="auto"/>
        <w:left w:val="none" w:sz="0" w:space="0" w:color="auto"/>
        <w:bottom w:val="none" w:sz="0" w:space="0" w:color="auto"/>
        <w:right w:val="none" w:sz="0" w:space="0" w:color="auto"/>
      </w:divBdr>
    </w:div>
    <w:div w:id="862282474">
      <w:bodyDiv w:val="1"/>
      <w:marLeft w:val="0"/>
      <w:marRight w:val="0"/>
      <w:marTop w:val="0"/>
      <w:marBottom w:val="0"/>
      <w:divBdr>
        <w:top w:val="none" w:sz="0" w:space="0" w:color="auto"/>
        <w:left w:val="none" w:sz="0" w:space="0" w:color="auto"/>
        <w:bottom w:val="none" w:sz="0" w:space="0" w:color="auto"/>
        <w:right w:val="none" w:sz="0" w:space="0" w:color="auto"/>
      </w:divBdr>
    </w:div>
    <w:div w:id="864710587">
      <w:bodyDiv w:val="1"/>
      <w:marLeft w:val="0"/>
      <w:marRight w:val="0"/>
      <w:marTop w:val="0"/>
      <w:marBottom w:val="0"/>
      <w:divBdr>
        <w:top w:val="none" w:sz="0" w:space="0" w:color="auto"/>
        <w:left w:val="none" w:sz="0" w:space="0" w:color="auto"/>
        <w:bottom w:val="none" w:sz="0" w:space="0" w:color="auto"/>
        <w:right w:val="none" w:sz="0" w:space="0" w:color="auto"/>
      </w:divBdr>
    </w:div>
    <w:div w:id="893739389">
      <w:bodyDiv w:val="1"/>
      <w:marLeft w:val="0"/>
      <w:marRight w:val="0"/>
      <w:marTop w:val="0"/>
      <w:marBottom w:val="0"/>
      <w:divBdr>
        <w:top w:val="none" w:sz="0" w:space="0" w:color="auto"/>
        <w:left w:val="none" w:sz="0" w:space="0" w:color="auto"/>
        <w:bottom w:val="none" w:sz="0" w:space="0" w:color="auto"/>
        <w:right w:val="none" w:sz="0" w:space="0" w:color="auto"/>
      </w:divBdr>
    </w:div>
    <w:div w:id="905452674">
      <w:bodyDiv w:val="1"/>
      <w:marLeft w:val="0"/>
      <w:marRight w:val="0"/>
      <w:marTop w:val="0"/>
      <w:marBottom w:val="0"/>
      <w:divBdr>
        <w:top w:val="none" w:sz="0" w:space="0" w:color="auto"/>
        <w:left w:val="none" w:sz="0" w:space="0" w:color="auto"/>
        <w:bottom w:val="none" w:sz="0" w:space="0" w:color="auto"/>
        <w:right w:val="none" w:sz="0" w:space="0" w:color="auto"/>
      </w:divBdr>
    </w:div>
    <w:div w:id="910117222">
      <w:bodyDiv w:val="1"/>
      <w:marLeft w:val="0"/>
      <w:marRight w:val="0"/>
      <w:marTop w:val="0"/>
      <w:marBottom w:val="0"/>
      <w:divBdr>
        <w:top w:val="none" w:sz="0" w:space="0" w:color="auto"/>
        <w:left w:val="none" w:sz="0" w:space="0" w:color="auto"/>
        <w:bottom w:val="none" w:sz="0" w:space="0" w:color="auto"/>
        <w:right w:val="none" w:sz="0" w:space="0" w:color="auto"/>
      </w:divBdr>
    </w:div>
    <w:div w:id="929772582">
      <w:bodyDiv w:val="1"/>
      <w:marLeft w:val="0"/>
      <w:marRight w:val="0"/>
      <w:marTop w:val="0"/>
      <w:marBottom w:val="0"/>
      <w:divBdr>
        <w:top w:val="none" w:sz="0" w:space="0" w:color="auto"/>
        <w:left w:val="none" w:sz="0" w:space="0" w:color="auto"/>
        <w:bottom w:val="none" w:sz="0" w:space="0" w:color="auto"/>
        <w:right w:val="none" w:sz="0" w:space="0" w:color="auto"/>
      </w:divBdr>
    </w:div>
    <w:div w:id="942761595">
      <w:bodyDiv w:val="1"/>
      <w:marLeft w:val="0"/>
      <w:marRight w:val="0"/>
      <w:marTop w:val="0"/>
      <w:marBottom w:val="0"/>
      <w:divBdr>
        <w:top w:val="none" w:sz="0" w:space="0" w:color="auto"/>
        <w:left w:val="none" w:sz="0" w:space="0" w:color="auto"/>
        <w:bottom w:val="none" w:sz="0" w:space="0" w:color="auto"/>
        <w:right w:val="none" w:sz="0" w:space="0" w:color="auto"/>
      </w:divBdr>
    </w:div>
    <w:div w:id="952439354">
      <w:bodyDiv w:val="1"/>
      <w:marLeft w:val="0"/>
      <w:marRight w:val="0"/>
      <w:marTop w:val="0"/>
      <w:marBottom w:val="0"/>
      <w:divBdr>
        <w:top w:val="none" w:sz="0" w:space="0" w:color="auto"/>
        <w:left w:val="none" w:sz="0" w:space="0" w:color="auto"/>
        <w:bottom w:val="none" w:sz="0" w:space="0" w:color="auto"/>
        <w:right w:val="none" w:sz="0" w:space="0" w:color="auto"/>
      </w:divBdr>
    </w:div>
    <w:div w:id="952593094">
      <w:bodyDiv w:val="1"/>
      <w:marLeft w:val="0"/>
      <w:marRight w:val="0"/>
      <w:marTop w:val="0"/>
      <w:marBottom w:val="0"/>
      <w:divBdr>
        <w:top w:val="none" w:sz="0" w:space="0" w:color="auto"/>
        <w:left w:val="none" w:sz="0" w:space="0" w:color="auto"/>
        <w:bottom w:val="none" w:sz="0" w:space="0" w:color="auto"/>
        <w:right w:val="none" w:sz="0" w:space="0" w:color="auto"/>
      </w:divBdr>
    </w:div>
    <w:div w:id="977104376">
      <w:bodyDiv w:val="1"/>
      <w:marLeft w:val="0"/>
      <w:marRight w:val="0"/>
      <w:marTop w:val="0"/>
      <w:marBottom w:val="0"/>
      <w:divBdr>
        <w:top w:val="none" w:sz="0" w:space="0" w:color="auto"/>
        <w:left w:val="none" w:sz="0" w:space="0" w:color="auto"/>
        <w:bottom w:val="none" w:sz="0" w:space="0" w:color="auto"/>
        <w:right w:val="none" w:sz="0" w:space="0" w:color="auto"/>
      </w:divBdr>
    </w:div>
    <w:div w:id="996572314">
      <w:bodyDiv w:val="1"/>
      <w:marLeft w:val="0"/>
      <w:marRight w:val="0"/>
      <w:marTop w:val="0"/>
      <w:marBottom w:val="0"/>
      <w:divBdr>
        <w:top w:val="none" w:sz="0" w:space="0" w:color="auto"/>
        <w:left w:val="none" w:sz="0" w:space="0" w:color="auto"/>
        <w:bottom w:val="none" w:sz="0" w:space="0" w:color="auto"/>
        <w:right w:val="none" w:sz="0" w:space="0" w:color="auto"/>
      </w:divBdr>
    </w:div>
    <w:div w:id="1014921216">
      <w:bodyDiv w:val="1"/>
      <w:marLeft w:val="0"/>
      <w:marRight w:val="0"/>
      <w:marTop w:val="0"/>
      <w:marBottom w:val="0"/>
      <w:divBdr>
        <w:top w:val="none" w:sz="0" w:space="0" w:color="auto"/>
        <w:left w:val="none" w:sz="0" w:space="0" w:color="auto"/>
        <w:bottom w:val="none" w:sz="0" w:space="0" w:color="auto"/>
        <w:right w:val="none" w:sz="0" w:space="0" w:color="auto"/>
      </w:divBdr>
    </w:div>
    <w:div w:id="1022779625">
      <w:bodyDiv w:val="1"/>
      <w:marLeft w:val="0"/>
      <w:marRight w:val="0"/>
      <w:marTop w:val="0"/>
      <w:marBottom w:val="0"/>
      <w:divBdr>
        <w:top w:val="none" w:sz="0" w:space="0" w:color="auto"/>
        <w:left w:val="none" w:sz="0" w:space="0" w:color="auto"/>
        <w:bottom w:val="none" w:sz="0" w:space="0" w:color="auto"/>
        <w:right w:val="none" w:sz="0" w:space="0" w:color="auto"/>
      </w:divBdr>
    </w:div>
    <w:div w:id="1051422736">
      <w:bodyDiv w:val="1"/>
      <w:marLeft w:val="0"/>
      <w:marRight w:val="0"/>
      <w:marTop w:val="0"/>
      <w:marBottom w:val="0"/>
      <w:divBdr>
        <w:top w:val="none" w:sz="0" w:space="0" w:color="auto"/>
        <w:left w:val="none" w:sz="0" w:space="0" w:color="auto"/>
        <w:bottom w:val="none" w:sz="0" w:space="0" w:color="auto"/>
        <w:right w:val="none" w:sz="0" w:space="0" w:color="auto"/>
      </w:divBdr>
    </w:div>
    <w:div w:id="1097873572">
      <w:bodyDiv w:val="1"/>
      <w:marLeft w:val="0"/>
      <w:marRight w:val="0"/>
      <w:marTop w:val="0"/>
      <w:marBottom w:val="0"/>
      <w:divBdr>
        <w:top w:val="none" w:sz="0" w:space="0" w:color="auto"/>
        <w:left w:val="none" w:sz="0" w:space="0" w:color="auto"/>
        <w:bottom w:val="none" w:sz="0" w:space="0" w:color="auto"/>
        <w:right w:val="none" w:sz="0" w:space="0" w:color="auto"/>
      </w:divBdr>
    </w:div>
    <w:div w:id="1107702082">
      <w:bodyDiv w:val="1"/>
      <w:marLeft w:val="0"/>
      <w:marRight w:val="0"/>
      <w:marTop w:val="0"/>
      <w:marBottom w:val="0"/>
      <w:divBdr>
        <w:top w:val="none" w:sz="0" w:space="0" w:color="auto"/>
        <w:left w:val="none" w:sz="0" w:space="0" w:color="auto"/>
        <w:bottom w:val="none" w:sz="0" w:space="0" w:color="auto"/>
        <w:right w:val="none" w:sz="0" w:space="0" w:color="auto"/>
      </w:divBdr>
    </w:div>
    <w:div w:id="1115292928">
      <w:bodyDiv w:val="1"/>
      <w:marLeft w:val="0"/>
      <w:marRight w:val="0"/>
      <w:marTop w:val="0"/>
      <w:marBottom w:val="0"/>
      <w:divBdr>
        <w:top w:val="none" w:sz="0" w:space="0" w:color="auto"/>
        <w:left w:val="none" w:sz="0" w:space="0" w:color="auto"/>
        <w:bottom w:val="none" w:sz="0" w:space="0" w:color="auto"/>
        <w:right w:val="none" w:sz="0" w:space="0" w:color="auto"/>
      </w:divBdr>
    </w:div>
    <w:div w:id="1126392885">
      <w:bodyDiv w:val="1"/>
      <w:marLeft w:val="0"/>
      <w:marRight w:val="0"/>
      <w:marTop w:val="0"/>
      <w:marBottom w:val="0"/>
      <w:divBdr>
        <w:top w:val="none" w:sz="0" w:space="0" w:color="auto"/>
        <w:left w:val="none" w:sz="0" w:space="0" w:color="auto"/>
        <w:bottom w:val="none" w:sz="0" w:space="0" w:color="auto"/>
        <w:right w:val="none" w:sz="0" w:space="0" w:color="auto"/>
      </w:divBdr>
    </w:div>
    <w:div w:id="1147552612">
      <w:bodyDiv w:val="1"/>
      <w:marLeft w:val="0"/>
      <w:marRight w:val="0"/>
      <w:marTop w:val="0"/>
      <w:marBottom w:val="0"/>
      <w:divBdr>
        <w:top w:val="none" w:sz="0" w:space="0" w:color="auto"/>
        <w:left w:val="none" w:sz="0" w:space="0" w:color="auto"/>
        <w:bottom w:val="none" w:sz="0" w:space="0" w:color="auto"/>
        <w:right w:val="none" w:sz="0" w:space="0" w:color="auto"/>
      </w:divBdr>
    </w:div>
    <w:div w:id="1235696918">
      <w:bodyDiv w:val="1"/>
      <w:marLeft w:val="0"/>
      <w:marRight w:val="0"/>
      <w:marTop w:val="0"/>
      <w:marBottom w:val="0"/>
      <w:divBdr>
        <w:top w:val="none" w:sz="0" w:space="0" w:color="auto"/>
        <w:left w:val="none" w:sz="0" w:space="0" w:color="auto"/>
        <w:bottom w:val="none" w:sz="0" w:space="0" w:color="auto"/>
        <w:right w:val="none" w:sz="0" w:space="0" w:color="auto"/>
      </w:divBdr>
    </w:div>
    <w:div w:id="1257591656">
      <w:bodyDiv w:val="1"/>
      <w:marLeft w:val="0"/>
      <w:marRight w:val="0"/>
      <w:marTop w:val="0"/>
      <w:marBottom w:val="0"/>
      <w:divBdr>
        <w:top w:val="none" w:sz="0" w:space="0" w:color="auto"/>
        <w:left w:val="none" w:sz="0" w:space="0" w:color="auto"/>
        <w:bottom w:val="none" w:sz="0" w:space="0" w:color="auto"/>
        <w:right w:val="none" w:sz="0" w:space="0" w:color="auto"/>
      </w:divBdr>
    </w:div>
    <w:div w:id="1260138488">
      <w:bodyDiv w:val="1"/>
      <w:marLeft w:val="0"/>
      <w:marRight w:val="0"/>
      <w:marTop w:val="0"/>
      <w:marBottom w:val="0"/>
      <w:divBdr>
        <w:top w:val="none" w:sz="0" w:space="0" w:color="auto"/>
        <w:left w:val="none" w:sz="0" w:space="0" w:color="auto"/>
        <w:bottom w:val="none" w:sz="0" w:space="0" w:color="auto"/>
        <w:right w:val="none" w:sz="0" w:space="0" w:color="auto"/>
      </w:divBdr>
    </w:div>
    <w:div w:id="1307978741">
      <w:bodyDiv w:val="1"/>
      <w:marLeft w:val="0"/>
      <w:marRight w:val="0"/>
      <w:marTop w:val="0"/>
      <w:marBottom w:val="0"/>
      <w:divBdr>
        <w:top w:val="none" w:sz="0" w:space="0" w:color="auto"/>
        <w:left w:val="none" w:sz="0" w:space="0" w:color="auto"/>
        <w:bottom w:val="none" w:sz="0" w:space="0" w:color="auto"/>
        <w:right w:val="none" w:sz="0" w:space="0" w:color="auto"/>
      </w:divBdr>
    </w:div>
    <w:div w:id="1353993289">
      <w:bodyDiv w:val="1"/>
      <w:marLeft w:val="0"/>
      <w:marRight w:val="0"/>
      <w:marTop w:val="0"/>
      <w:marBottom w:val="0"/>
      <w:divBdr>
        <w:top w:val="none" w:sz="0" w:space="0" w:color="auto"/>
        <w:left w:val="none" w:sz="0" w:space="0" w:color="auto"/>
        <w:bottom w:val="none" w:sz="0" w:space="0" w:color="auto"/>
        <w:right w:val="none" w:sz="0" w:space="0" w:color="auto"/>
      </w:divBdr>
    </w:div>
    <w:div w:id="1370951011">
      <w:bodyDiv w:val="1"/>
      <w:marLeft w:val="0"/>
      <w:marRight w:val="0"/>
      <w:marTop w:val="0"/>
      <w:marBottom w:val="0"/>
      <w:divBdr>
        <w:top w:val="none" w:sz="0" w:space="0" w:color="auto"/>
        <w:left w:val="none" w:sz="0" w:space="0" w:color="auto"/>
        <w:bottom w:val="none" w:sz="0" w:space="0" w:color="auto"/>
        <w:right w:val="none" w:sz="0" w:space="0" w:color="auto"/>
      </w:divBdr>
    </w:div>
    <w:div w:id="1408529820">
      <w:bodyDiv w:val="1"/>
      <w:marLeft w:val="0"/>
      <w:marRight w:val="0"/>
      <w:marTop w:val="0"/>
      <w:marBottom w:val="0"/>
      <w:divBdr>
        <w:top w:val="none" w:sz="0" w:space="0" w:color="auto"/>
        <w:left w:val="none" w:sz="0" w:space="0" w:color="auto"/>
        <w:bottom w:val="none" w:sz="0" w:space="0" w:color="auto"/>
        <w:right w:val="none" w:sz="0" w:space="0" w:color="auto"/>
      </w:divBdr>
    </w:div>
    <w:div w:id="1498112622">
      <w:bodyDiv w:val="1"/>
      <w:marLeft w:val="0"/>
      <w:marRight w:val="0"/>
      <w:marTop w:val="0"/>
      <w:marBottom w:val="0"/>
      <w:divBdr>
        <w:top w:val="none" w:sz="0" w:space="0" w:color="auto"/>
        <w:left w:val="none" w:sz="0" w:space="0" w:color="auto"/>
        <w:bottom w:val="none" w:sz="0" w:space="0" w:color="auto"/>
        <w:right w:val="none" w:sz="0" w:space="0" w:color="auto"/>
      </w:divBdr>
    </w:div>
    <w:div w:id="1514302951">
      <w:bodyDiv w:val="1"/>
      <w:marLeft w:val="0"/>
      <w:marRight w:val="0"/>
      <w:marTop w:val="0"/>
      <w:marBottom w:val="0"/>
      <w:divBdr>
        <w:top w:val="none" w:sz="0" w:space="0" w:color="auto"/>
        <w:left w:val="none" w:sz="0" w:space="0" w:color="auto"/>
        <w:bottom w:val="none" w:sz="0" w:space="0" w:color="auto"/>
        <w:right w:val="none" w:sz="0" w:space="0" w:color="auto"/>
      </w:divBdr>
    </w:div>
    <w:div w:id="1539663980">
      <w:bodyDiv w:val="1"/>
      <w:marLeft w:val="0"/>
      <w:marRight w:val="0"/>
      <w:marTop w:val="0"/>
      <w:marBottom w:val="0"/>
      <w:divBdr>
        <w:top w:val="none" w:sz="0" w:space="0" w:color="auto"/>
        <w:left w:val="none" w:sz="0" w:space="0" w:color="auto"/>
        <w:bottom w:val="none" w:sz="0" w:space="0" w:color="auto"/>
        <w:right w:val="none" w:sz="0" w:space="0" w:color="auto"/>
      </w:divBdr>
    </w:div>
    <w:div w:id="1545755991">
      <w:bodyDiv w:val="1"/>
      <w:marLeft w:val="0"/>
      <w:marRight w:val="0"/>
      <w:marTop w:val="0"/>
      <w:marBottom w:val="0"/>
      <w:divBdr>
        <w:top w:val="none" w:sz="0" w:space="0" w:color="auto"/>
        <w:left w:val="none" w:sz="0" w:space="0" w:color="auto"/>
        <w:bottom w:val="none" w:sz="0" w:space="0" w:color="auto"/>
        <w:right w:val="none" w:sz="0" w:space="0" w:color="auto"/>
      </w:divBdr>
    </w:div>
    <w:div w:id="1553614076">
      <w:bodyDiv w:val="1"/>
      <w:marLeft w:val="0"/>
      <w:marRight w:val="0"/>
      <w:marTop w:val="0"/>
      <w:marBottom w:val="0"/>
      <w:divBdr>
        <w:top w:val="none" w:sz="0" w:space="0" w:color="auto"/>
        <w:left w:val="none" w:sz="0" w:space="0" w:color="auto"/>
        <w:bottom w:val="none" w:sz="0" w:space="0" w:color="auto"/>
        <w:right w:val="none" w:sz="0" w:space="0" w:color="auto"/>
      </w:divBdr>
    </w:div>
    <w:div w:id="1595477368">
      <w:bodyDiv w:val="1"/>
      <w:marLeft w:val="0"/>
      <w:marRight w:val="0"/>
      <w:marTop w:val="0"/>
      <w:marBottom w:val="0"/>
      <w:divBdr>
        <w:top w:val="none" w:sz="0" w:space="0" w:color="auto"/>
        <w:left w:val="none" w:sz="0" w:space="0" w:color="auto"/>
        <w:bottom w:val="none" w:sz="0" w:space="0" w:color="auto"/>
        <w:right w:val="none" w:sz="0" w:space="0" w:color="auto"/>
      </w:divBdr>
    </w:div>
    <w:div w:id="1605265777">
      <w:bodyDiv w:val="1"/>
      <w:marLeft w:val="0"/>
      <w:marRight w:val="0"/>
      <w:marTop w:val="0"/>
      <w:marBottom w:val="0"/>
      <w:divBdr>
        <w:top w:val="none" w:sz="0" w:space="0" w:color="auto"/>
        <w:left w:val="none" w:sz="0" w:space="0" w:color="auto"/>
        <w:bottom w:val="none" w:sz="0" w:space="0" w:color="auto"/>
        <w:right w:val="none" w:sz="0" w:space="0" w:color="auto"/>
      </w:divBdr>
    </w:div>
    <w:div w:id="1653026819">
      <w:bodyDiv w:val="1"/>
      <w:marLeft w:val="0"/>
      <w:marRight w:val="0"/>
      <w:marTop w:val="0"/>
      <w:marBottom w:val="0"/>
      <w:divBdr>
        <w:top w:val="none" w:sz="0" w:space="0" w:color="auto"/>
        <w:left w:val="none" w:sz="0" w:space="0" w:color="auto"/>
        <w:bottom w:val="none" w:sz="0" w:space="0" w:color="auto"/>
        <w:right w:val="none" w:sz="0" w:space="0" w:color="auto"/>
      </w:divBdr>
    </w:div>
    <w:div w:id="1659963215">
      <w:bodyDiv w:val="1"/>
      <w:marLeft w:val="0"/>
      <w:marRight w:val="0"/>
      <w:marTop w:val="0"/>
      <w:marBottom w:val="0"/>
      <w:divBdr>
        <w:top w:val="none" w:sz="0" w:space="0" w:color="auto"/>
        <w:left w:val="none" w:sz="0" w:space="0" w:color="auto"/>
        <w:bottom w:val="none" w:sz="0" w:space="0" w:color="auto"/>
        <w:right w:val="none" w:sz="0" w:space="0" w:color="auto"/>
      </w:divBdr>
    </w:div>
    <w:div w:id="1675956084">
      <w:bodyDiv w:val="1"/>
      <w:marLeft w:val="0"/>
      <w:marRight w:val="0"/>
      <w:marTop w:val="0"/>
      <w:marBottom w:val="0"/>
      <w:divBdr>
        <w:top w:val="none" w:sz="0" w:space="0" w:color="auto"/>
        <w:left w:val="none" w:sz="0" w:space="0" w:color="auto"/>
        <w:bottom w:val="none" w:sz="0" w:space="0" w:color="auto"/>
        <w:right w:val="none" w:sz="0" w:space="0" w:color="auto"/>
      </w:divBdr>
    </w:div>
    <w:div w:id="1677809934">
      <w:bodyDiv w:val="1"/>
      <w:marLeft w:val="0"/>
      <w:marRight w:val="0"/>
      <w:marTop w:val="0"/>
      <w:marBottom w:val="0"/>
      <w:divBdr>
        <w:top w:val="none" w:sz="0" w:space="0" w:color="auto"/>
        <w:left w:val="none" w:sz="0" w:space="0" w:color="auto"/>
        <w:bottom w:val="none" w:sz="0" w:space="0" w:color="auto"/>
        <w:right w:val="none" w:sz="0" w:space="0" w:color="auto"/>
      </w:divBdr>
    </w:div>
    <w:div w:id="1686324808">
      <w:bodyDiv w:val="1"/>
      <w:marLeft w:val="0"/>
      <w:marRight w:val="0"/>
      <w:marTop w:val="0"/>
      <w:marBottom w:val="0"/>
      <w:divBdr>
        <w:top w:val="none" w:sz="0" w:space="0" w:color="auto"/>
        <w:left w:val="none" w:sz="0" w:space="0" w:color="auto"/>
        <w:bottom w:val="none" w:sz="0" w:space="0" w:color="auto"/>
        <w:right w:val="none" w:sz="0" w:space="0" w:color="auto"/>
      </w:divBdr>
    </w:div>
    <w:div w:id="1752964345">
      <w:bodyDiv w:val="1"/>
      <w:marLeft w:val="0"/>
      <w:marRight w:val="0"/>
      <w:marTop w:val="0"/>
      <w:marBottom w:val="0"/>
      <w:divBdr>
        <w:top w:val="none" w:sz="0" w:space="0" w:color="auto"/>
        <w:left w:val="none" w:sz="0" w:space="0" w:color="auto"/>
        <w:bottom w:val="none" w:sz="0" w:space="0" w:color="auto"/>
        <w:right w:val="none" w:sz="0" w:space="0" w:color="auto"/>
      </w:divBdr>
    </w:div>
    <w:div w:id="1772044364">
      <w:bodyDiv w:val="1"/>
      <w:marLeft w:val="0"/>
      <w:marRight w:val="0"/>
      <w:marTop w:val="0"/>
      <w:marBottom w:val="0"/>
      <w:divBdr>
        <w:top w:val="none" w:sz="0" w:space="0" w:color="auto"/>
        <w:left w:val="none" w:sz="0" w:space="0" w:color="auto"/>
        <w:bottom w:val="none" w:sz="0" w:space="0" w:color="auto"/>
        <w:right w:val="none" w:sz="0" w:space="0" w:color="auto"/>
      </w:divBdr>
    </w:div>
    <w:div w:id="1844785006">
      <w:bodyDiv w:val="1"/>
      <w:marLeft w:val="0"/>
      <w:marRight w:val="0"/>
      <w:marTop w:val="0"/>
      <w:marBottom w:val="0"/>
      <w:divBdr>
        <w:top w:val="none" w:sz="0" w:space="0" w:color="auto"/>
        <w:left w:val="none" w:sz="0" w:space="0" w:color="auto"/>
        <w:bottom w:val="none" w:sz="0" w:space="0" w:color="auto"/>
        <w:right w:val="none" w:sz="0" w:space="0" w:color="auto"/>
      </w:divBdr>
    </w:div>
    <w:div w:id="1860466030">
      <w:bodyDiv w:val="1"/>
      <w:marLeft w:val="0"/>
      <w:marRight w:val="0"/>
      <w:marTop w:val="0"/>
      <w:marBottom w:val="0"/>
      <w:divBdr>
        <w:top w:val="none" w:sz="0" w:space="0" w:color="auto"/>
        <w:left w:val="none" w:sz="0" w:space="0" w:color="auto"/>
        <w:bottom w:val="none" w:sz="0" w:space="0" w:color="auto"/>
        <w:right w:val="none" w:sz="0" w:space="0" w:color="auto"/>
      </w:divBdr>
    </w:div>
    <w:div w:id="1915972570">
      <w:bodyDiv w:val="1"/>
      <w:marLeft w:val="0"/>
      <w:marRight w:val="0"/>
      <w:marTop w:val="0"/>
      <w:marBottom w:val="0"/>
      <w:divBdr>
        <w:top w:val="none" w:sz="0" w:space="0" w:color="auto"/>
        <w:left w:val="none" w:sz="0" w:space="0" w:color="auto"/>
        <w:bottom w:val="none" w:sz="0" w:space="0" w:color="auto"/>
        <w:right w:val="none" w:sz="0" w:space="0" w:color="auto"/>
      </w:divBdr>
    </w:div>
    <w:div w:id="1969555326">
      <w:bodyDiv w:val="1"/>
      <w:marLeft w:val="0"/>
      <w:marRight w:val="0"/>
      <w:marTop w:val="0"/>
      <w:marBottom w:val="0"/>
      <w:divBdr>
        <w:top w:val="none" w:sz="0" w:space="0" w:color="auto"/>
        <w:left w:val="none" w:sz="0" w:space="0" w:color="auto"/>
        <w:bottom w:val="none" w:sz="0" w:space="0" w:color="auto"/>
        <w:right w:val="none" w:sz="0" w:space="0" w:color="auto"/>
      </w:divBdr>
    </w:div>
    <w:div w:id="2000617880">
      <w:bodyDiv w:val="1"/>
      <w:marLeft w:val="0"/>
      <w:marRight w:val="0"/>
      <w:marTop w:val="0"/>
      <w:marBottom w:val="0"/>
      <w:divBdr>
        <w:top w:val="none" w:sz="0" w:space="0" w:color="auto"/>
        <w:left w:val="none" w:sz="0" w:space="0" w:color="auto"/>
        <w:bottom w:val="none" w:sz="0" w:space="0" w:color="auto"/>
        <w:right w:val="none" w:sz="0" w:space="0" w:color="auto"/>
      </w:divBdr>
    </w:div>
    <w:div w:id="2093040710">
      <w:bodyDiv w:val="1"/>
      <w:marLeft w:val="0"/>
      <w:marRight w:val="0"/>
      <w:marTop w:val="0"/>
      <w:marBottom w:val="0"/>
      <w:divBdr>
        <w:top w:val="none" w:sz="0" w:space="0" w:color="auto"/>
        <w:left w:val="none" w:sz="0" w:space="0" w:color="auto"/>
        <w:bottom w:val="none" w:sz="0" w:space="0" w:color="auto"/>
        <w:right w:val="none" w:sz="0" w:space="0" w:color="auto"/>
      </w:divBdr>
    </w:div>
    <w:div w:id="2106687022">
      <w:bodyDiv w:val="1"/>
      <w:marLeft w:val="0"/>
      <w:marRight w:val="0"/>
      <w:marTop w:val="0"/>
      <w:marBottom w:val="0"/>
      <w:divBdr>
        <w:top w:val="none" w:sz="0" w:space="0" w:color="auto"/>
        <w:left w:val="none" w:sz="0" w:space="0" w:color="auto"/>
        <w:bottom w:val="none" w:sz="0" w:space="0" w:color="auto"/>
        <w:right w:val="none" w:sz="0" w:space="0" w:color="auto"/>
      </w:divBdr>
    </w:div>
    <w:div w:id="213706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image" Target="media/image7.png"/><Relationship Id="rId21" Type="http://schemas.openxmlformats.org/officeDocument/2006/relationships/chart" Target="charts/chart7.xm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javascript:OpenDocumentView(370792,%20703353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hyperlink" Target="https://sites.google.com/csm.csm1909.ro/sipoca761/rezultate" TargetMode="External"/><Relationship Id="rId37" Type="http://schemas.openxmlformats.org/officeDocument/2006/relationships/image" Target="media/image5.png"/><Relationship Id="rId40" Type="http://schemas.openxmlformats.org/officeDocument/2006/relationships/hyperlink" Target="https://www.researchgate.net/publication/375426470_Profilul_psihoprofesional_al_functiei_publice_-consilier_juridic_din_cadrul_Consiliului_Superior_al_Magistraturii"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chart" Target="charts/chart9.xml"/><Relationship Id="rId28" Type="http://schemas.openxmlformats.org/officeDocument/2006/relationships/hyperlink" Target="javascript:OpenDocumentView(370792,%207033538);" TargetMode="External"/><Relationship Id="rId36"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hyperlink" Target="javascript:OpenDocumentView(370792,%207033538);" TargetMode="External"/><Relationship Id="rId4" Type="http://schemas.openxmlformats.org/officeDocument/2006/relationships/settings" Target="settings.xml"/><Relationship Id="rId9" Type="http://schemas.openxmlformats.org/officeDocument/2006/relationships/hyperlink" Target="https://www.csm1909.ro/" TargetMode="Externa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yperlink" Target="javascript:OpenDocumentView(370792,%207033538);" TargetMode="External"/><Relationship Id="rId35" Type="http://schemas.openxmlformats.org/officeDocument/2006/relationships/image" Target="media/image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s://registratura.rejust.ro/" TargetMode="External"/><Relationship Id="rId38"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tx1"/>
                </a:solidFill>
              </a:defRPr>
            </a:pPr>
            <a:r>
              <a:rPr lang="en-US" sz="1300" b="1">
                <a:solidFill>
                  <a:schemeClr val="tx1"/>
                </a:solidFill>
                <a:latin typeface="Calibri" panose="020F0502020204030204" pitchFamily="34" charset="0"/>
                <a:cs typeface="Calibri" panose="020F0502020204030204" pitchFamily="34" charset="0"/>
              </a:rPr>
              <a:t>Situaţia posturilor din cadrul aparatului propriu al Consiliului Superior al Magistraturii</a:t>
            </a:r>
            <a:r>
              <a:rPr lang="ro-RO" sz="1300" b="1">
                <a:solidFill>
                  <a:schemeClr val="tx1"/>
                </a:solidFill>
                <a:latin typeface="Calibri" panose="020F0502020204030204" pitchFamily="34" charset="0"/>
                <a:cs typeface="Calibri" panose="020F0502020204030204" pitchFamily="34" charset="0"/>
              </a:rPr>
              <a:t> la 31 decembrie 2023</a:t>
            </a:r>
            <a:endParaRPr lang="en-US" sz="1300" b="1">
              <a:solidFill>
                <a:schemeClr val="tx1"/>
              </a:solidFill>
              <a:latin typeface="Calibri" panose="020F0502020204030204" pitchFamily="34" charset="0"/>
              <a:cs typeface="Calibri" panose="020F0502020204030204" pitchFamily="34" charset="0"/>
            </a:endParaRPr>
          </a:p>
        </c:rich>
      </c:tx>
      <c:layout>
        <c:manualLayout>
          <c:xMode val="edge"/>
          <c:yMode val="edge"/>
          <c:x val="0.11175326090207253"/>
          <c:y val="4.7893148870409893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806057205884922"/>
          <c:y val="0.35743881373898595"/>
          <c:w val="0.42802220594055002"/>
          <c:h val="0.3679517200254267"/>
        </c:manualLayout>
      </c:layout>
      <c:pie3D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B922-4085-B6FA-AB24B2B1EAEB}"/>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B922-4085-B6FA-AB24B2B1EAEB}"/>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B922-4085-B6FA-AB24B2B1EAEB}"/>
              </c:ext>
            </c:extLst>
          </c:dPt>
          <c:dLbls>
            <c:dLbl>
              <c:idx val="0"/>
              <c:layout>
                <c:manualLayout>
                  <c:x val="-8.5275633275086415E-2"/>
                  <c:y val="2.8234969460593128E-2"/>
                </c:manualLayout>
              </c:layout>
              <c:tx>
                <c:rich>
                  <a:bodyPr/>
                  <a:lstStyle/>
                  <a:p>
                    <a:r>
                      <a:rPr lang="en-US"/>
                      <a:t>37%</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B922-4085-B6FA-AB24B2B1EAEB}"/>
                </c:ext>
              </c:extLst>
            </c:dLbl>
            <c:dLbl>
              <c:idx val="1"/>
              <c:tx>
                <c:rich>
                  <a:bodyPr/>
                  <a:lstStyle/>
                  <a:p>
                    <a:r>
                      <a:rPr lang="en-US"/>
                      <a:t>23%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B922-4085-B6FA-AB24B2B1EAEB}"/>
                </c:ext>
              </c:extLst>
            </c:dLbl>
            <c:dLbl>
              <c:idx val="2"/>
              <c:tx>
                <c:rich>
                  <a:bodyPr/>
                  <a:lstStyle/>
                  <a:p>
                    <a:r>
                      <a:rPr lang="en-US"/>
                      <a:t>40%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B922-4085-B6FA-AB24B2B1EAEB}"/>
                </c:ext>
              </c:extLst>
            </c:dLbl>
            <c:numFmt formatCode="0%" sourceLinked="0"/>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'[Chart in Microsoft Word]Foaie1'!$A$1:$C$1</c:f>
              <c:strCache>
                <c:ptCount val="3"/>
                <c:pt idx="0">
                  <c:v>Personal asimilat</c:v>
                </c:pt>
                <c:pt idx="1">
                  <c:v>Funcţii publice</c:v>
                </c:pt>
                <c:pt idx="2">
                  <c:v>Personal contractual</c:v>
                </c:pt>
              </c:strCache>
            </c:strRef>
          </c:cat>
          <c:val>
            <c:numRef>
              <c:f>'[Chart in Microsoft Word]Foaie1'!$A$2:$C$2</c:f>
              <c:numCache>
                <c:formatCode>General</c:formatCode>
                <c:ptCount val="3"/>
                <c:pt idx="0">
                  <c:v>83</c:v>
                </c:pt>
                <c:pt idx="1">
                  <c:v>55</c:v>
                </c:pt>
                <c:pt idx="2">
                  <c:v>132</c:v>
                </c:pt>
              </c:numCache>
            </c:numRef>
          </c:val>
          <c:extLst>
            <c:ext xmlns:c16="http://schemas.microsoft.com/office/drawing/2014/chart" uri="{C3380CC4-5D6E-409C-BE32-E72D297353CC}">
              <c16:uniqueId val="{00000005-B922-4085-B6FA-AB24B2B1EAEB}"/>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20831502858259224"/>
          <c:y val="0.89009256405226922"/>
          <c:w val="0.5826309575380747"/>
          <c:h val="8.4103081420872194E-2"/>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6350">
      <a:noFill/>
    </a:ln>
  </c:spPr>
  <c:txPr>
    <a:bodyPr/>
    <a:lstStyle/>
    <a:p>
      <a:pPr algn="just">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b="1">
                <a:solidFill>
                  <a:schemeClr val="tx1"/>
                </a:solidFill>
              </a:rPr>
              <a:t>CHELTUIELI DE PERSONAL </a:t>
            </a:r>
          </a:p>
        </c:rich>
      </c:tx>
      <c:layout>
        <c:manualLayout>
          <c:xMode val="edge"/>
          <c:yMode val="edge"/>
          <c:x val="0.32333337850840932"/>
          <c:y val="0"/>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pers'!$C$76</c:f>
              <c:strCache>
                <c:ptCount val="1"/>
                <c:pt idx="0">
                  <c:v>2022</c:v>
                </c:pt>
              </c:strCache>
            </c:strRef>
          </c:tx>
          <c:spPr>
            <a:solidFill>
              <a:schemeClr val="accent1"/>
            </a:solidFill>
            <a:ln>
              <a:noFill/>
            </a:ln>
            <a:effectLst/>
            <a:sp3d/>
          </c:spPr>
          <c:invertIfNegative val="0"/>
          <c:cat>
            <c:multiLvlStrRef>
              <c:f>'Sit finantarii_Ch pers'!$A$77:$B$80</c:f>
              <c:multiLvlStrCache>
                <c:ptCount val="4"/>
                <c:lvl>
                  <c:pt idx="0">
                    <c:v>CA</c:v>
                  </c:pt>
                  <c:pt idx="1">
                    <c:v>CB</c:v>
                  </c:pt>
                  <c:pt idx="2">
                    <c:v>CA</c:v>
                  </c:pt>
                  <c:pt idx="3">
                    <c:v>CB</c:v>
                  </c:pt>
                </c:lvl>
                <c:lvl>
                  <c:pt idx="0">
                    <c:v>Total</c:v>
                  </c:pt>
                  <c:pt idx="2">
                    <c:v>Cheltuieli de personal</c:v>
                  </c:pt>
                </c:lvl>
              </c:multiLvlStrCache>
            </c:multiLvlStrRef>
          </c:cat>
          <c:val>
            <c:numRef>
              <c:f>'Sit finantarii_Ch pers'!$C$77:$C$80</c:f>
              <c:numCache>
                <c:formatCode>#,##0</c:formatCode>
                <c:ptCount val="4"/>
                <c:pt idx="0">
                  <c:v>209671</c:v>
                </c:pt>
                <c:pt idx="1">
                  <c:v>182774</c:v>
                </c:pt>
                <c:pt idx="2">
                  <c:v>105560</c:v>
                </c:pt>
                <c:pt idx="3">
                  <c:v>105560</c:v>
                </c:pt>
              </c:numCache>
            </c:numRef>
          </c:val>
          <c:extLst>
            <c:ext xmlns:c16="http://schemas.microsoft.com/office/drawing/2014/chart" uri="{C3380CC4-5D6E-409C-BE32-E72D297353CC}">
              <c16:uniqueId val="{00000000-A0D8-494E-9E43-1F2127DAE972}"/>
            </c:ext>
          </c:extLst>
        </c:ser>
        <c:ser>
          <c:idx val="1"/>
          <c:order val="1"/>
          <c:tx>
            <c:strRef>
              <c:f>'Sit finantarii_Ch pers'!$D$76</c:f>
              <c:strCache>
                <c:ptCount val="1"/>
                <c:pt idx="0">
                  <c:v>2023</c:v>
                </c:pt>
              </c:strCache>
            </c:strRef>
          </c:tx>
          <c:spPr>
            <a:solidFill>
              <a:schemeClr val="accent2"/>
            </a:solidFill>
            <a:ln>
              <a:noFill/>
            </a:ln>
            <a:effectLst/>
            <a:sp3d/>
          </c:spPr>
          <c:invertIfNegative val="0"/>
          <c:cat>
            <c:multiLvlStrRef>
              <c:f>'Sit finantarii_Ch pers'!$A$77:$B$80</c:f>
              <c:multiLvlStrCache>
                <c:ptCount val="4"/>
                <c:lvl>
                  <c:pt idx="0">
                    <c:v>CA</c:v>
                  </c:pt>
                  <c:pt idx="1">
                    <c:v>CB</c:v>
                  </c:pt>
                  <c:pt idx="2">
                    <c:v>CA</c:v>
                  </c:pt>
                  <c:pt idx="3">
                    <c:v>CB</c:v>
                  </c:pt>
                </c:lvl>
                <c:lvl>
                  <c:pt idx="0">
                    <c:v>Total</c:v>
                  </c:pt>
                  <c:pt idx="2">
                    <c:v>Cheltuieli de personal</c:v>
                  </c:pt>
                </c:lvl>
              </c:multiLvlStrCache>
            </c:multiLvlStrRef>
          </c:cat>
          <c:val>
            <c:numRef>
              <c:f>'Sit finantarii_Ch pers'!$D$77:$D$80</c:f>
              <c:numCache>
                <c:formatCode>#,##0</c:formatCode>
                <c:ptCount val="4"/>
                <c:pt idx="0">
                  <c:v>277425</c:v>
                </c:pt>
                <c:pt idx="1">
                  <c:v>299070</c:v>
                </c:pt>
                <c:pt idx="2">
                  <c:v>174732</c:v>
                </c:pt>
                <c:pt idx="3">
                  <c:v>174732</c:v>
                </c:pt>
              </c:numCache>
            </c:numRef>
          </c:val>
          <c:extLst>
            <c:ext xmlns:c16="http://schemas.microsoft.com/office/drawing/2014/chart" uri="{C3380CC4-5D6E-409C-BE32-E72D297353CC}">
              <c16:uniqueId val="{00000001-A0D8-494E-9E43-1F2127DAE972}"/>
            </c:ext>
          </c:extLst>
        </c:ser>
        <c:ser>
          <c:idx val="2"/>
          <c:order val="2"/>
          <c:tx>
            <c:strRef>
              <c:f>'Sit finantarii_Ch pers'!$E$76</c:f>
              <c:strCache>
                <c:ptCount val="1"/>
                <c:pt idx="0">
                  <c:v>2024</c:v>
                </c:pt>
              </c:strCache>
            </c:strRef>
          </c:tx>
          <c:spPr>
            <a:solidFill>
              <a:schemeClr val="accent3"/>
            </a:solidFill>
            <a:ln>
              <a:noFill/>
            </a:ln>
            <a:effectLst/>
            <a:sp3d/>
          </c:spPr>
          <c:invertIfNegative val="0"/>
          <c:cat>
            <c:multiLvlStrRef>
              <c:f>'Sit finantarii_Ch pers'!$A$77:$B$80</c:f>
              <c:multiLvlStrCache>
                <c:ptCount val="4"/>
                <c:lvl>
                  <c:pt idx="0">
                    <c:v>CA</c:v>
                  </c:pt>
                  <c:pt idx="1">
                    <c:v>CB</c:v>
                  </c:pt>
                  <c:pt idx="2">
                    <c:v>CA</c:v>
                  </c:pt>
                  <c:pt idx="3">
                    <c:v>CB</c:v>
                  </c:pt>
                </c:lvl>
                <c:lvl>
                  <c:pt idx="0">
                    <c:v>Total</c:v>
                  </c:pt>
                  <c:pt idx="2">
                    <c:v>Cheltuieli de personal</c:v>
                  </c:pt>
                </c:lvl>
              </c:multiLvlStrCache>
            </c:multiLvlStrRef>
          </c:cat>
          <c:val>
            <c:numRef>
              <c:f>'Sit finantarii_Ch pers'!$E$77:$E$80</c:f>
              <c:numCache>
                <c:formatCode>#,##0</c:formatCode>
                <c:ptCount val="4"/>
                <c:pt idx="0">
                  <c:v>244331</c:v>
                </c:pt>
                <c:pt idx="1">
                  <c:v>243390</c:v>
                </c:pt>
                <c:pt idx="2">
                  <c:v>170200</c:v>
                </c:pt>
                <c:pt idx="3">
                  <c:v>170200</c:v>
                </c:pt>
              </c:numCache>
            </c:numRef>
          </c:val>
          <c:extLst>
            <c:ext xmlns:c16="http://schemas.microsoft.com/office/drawing/2014/chart" uri="{C3380CC4-5D6E-409C-BE32-E72D297353CC}">
              <c16:uniqueId val="{00000002-A0D8-494E-9E43-1F2127DAE972}"/>
            </c:ext>
          </c:extLst>
        </c:ser>
        <c:dLbls>
          <c:showLegendKey val="0"/>
          <c:showVal val="0"/>
          <c:showCatName val="0"/>
          <c:showSerName val="0"/>
          <c:showPercent val="0"/>
          <c:showBubbleSize val="0"/>
        </c:dLbls>
        <c:gapWidth val="150"/>
        <c:shape val="box"/>
        <c:axId val="568946640"/>
        <c:axId val="568952080"/>
        <c:axId val="553179120"/>
      </c:bar3DChart>
      <c:catAx>
        <c:axId val="568946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2080"/>
        <c:crosses val="autoZero"/>
        <c:auto val="1"/>
        <c:lblAlgn val="ctr"/>
        <c:lblOffset val="100"/>
        <c:noMultiLvlLbl val="0"/>
      </c:catAx>
      <c:valAx>
        <c:axId val="568952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6640"/>
        <c:crosses val="autoZero"/>
        <c:crossBetween val="between"/>
      </c:valAx>
      <c:serAx>
        <c:axId val="55317912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208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BUNURI</a:t>
            </a:r>
            <a:r>
              <a:rPr lang="en-US" b="1" baseline="0">
                <a:solidFill>
                  <a:schemeClr val="tx1"/>
                </a:solidFill>
              </a:rPr>
              <a:t> SI SERVICII</a:t>
            </a:r>
            <a:r>
              <a:rPr lang="en-US" baseline="0">
                <a:solidFill>
                  <a:schemeClr val="tx1"/>
                </a:solidFill>
              </a:rPr>
              <a:t>	</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pers'!$C$84</c:f>
              <c:strCache>
                <c:ptCount val="1"/>
                <c:pt idx="0">
                  <c:v>2022</c:v>
                </c:pt>
              </c:strCache>
            </c:strRef>
          </c:tx>
          <c:spPr>
            <a:solidFill>
              <a:schemeClr val="accent1"/>
            </a:solidFill>
            <a:ln>
              <a:noFill/>
            </a:ln>
            <a:effectLst/>
            <a:sp3d/>
          </c:spPr>
          <c:invertIfNegative val="0"/>
          <c:cat>
            <c:multiLvlStrRef>
              <c:f>'Sit finantarii_Ch pers'!$A$85:$B$88</c:f>
              <c:multiLvlStrCache>
                <c:ptCount val="4"/>
                <c:lvl>
                  <c:pt idx="0">
                    <c:v>CA</c:v>
                  </c:pt>
                  <c:pt idx="1">
                    <c:v>CB</c:v>
                  </c:pt>
                  <c:pt idx="2">
                    <c:v>CA</c:v>
                  </c:pt>
                  <c:pt idx="3">
                    <c:v>CB</c:v>
                  </c:pt>
                </c:lvl>
                <c:lvl>
                  <c:pt idx="0">
                    <c:v>Total</c:v>
                  </c:pt>
                  <c:pt idx="2">
                    <c:v>Bunuri și servicii</c:v>
                  </c:pt>
                </c:lvl>
              </c:multiLvlStrCache>
            </c:multiLvlStrRef>
          </c:cat>
          <c:val>
            <c:numRef>
              <c:f>'Sit finantarii_Ch pers'!$C$85:$C$88</c:f>
              <c:numCache>
                <c:formatCode>#,##0</c:formatCode>
                <c:ptCount val="4"/>
                <c:pt idx="0">
                  <c:v>218178</c:v>
                </c:pt>
                <c:pt idx="1">
                  <c:v>182774</c:v>
                </c:pt>
                <c:pt idx="2">
                  <c:v>10647</c:v>
                </c:pt>
                <c:pt idx="3">
                  <c:v>10647</c:v>
                </c:pt>
              </c:numCache>
            </c:numRef>
          </c:val>
          <c:extLst>
            <c:ext xmlns:c16="http://schemas.microsoft.com/office/drawing/2014/chart" uri="{C3380CC4-5D6E-409C-BE32-E72D297353CC}">
              <c16:uniqueId val="{00000000-0492-44D9-9A6E-54B843E8E44F}"/>
            </c:ext>
          </c:extLst>
        </c:ser>
        <c:ser>
          <c:idx val="1"/>
          <c:order val="1"/>
          <c:tx>
            <c:strRef>
              <c:f>'Sit finantarii_Ch pers'!$D$84</c:f>
              <c:strCache>
                <c:ptCount val="1"/>
                <c:pt idx="0">
                  <c:v>2023</c:v>
                </c:pt>
              </c:strCache>
            </c:strRef>
          </c:tx>
          <c:spPr>
            <a:solidFill>
              <a:schemeClr val="accent2"/>
            </a:solidFill>
            <a:ln>
              <a:noFill/>
            </a:ln>
            <a:effectLst/>
            <a:sp3d/>
          </c:spPr>
          <c:invertIfNegative val="0"/>
          <c:cat>
            <c:multiLvlStrRef>
              <c:f>'Sit finantarii_Ch pers'!$A$85:$B$88</c:f>
              <c:multiLvlStrCache>
                <c:ptCount val="4"/>
                <c:lvl>
                  <c:pt idx="0">
                    <c:v>CA</c:v>
                  </c:pt>
                  <c:pt idx="1">
                    <c:v>CB</c:v>
                  </c:pt>
                  <c:pt idx="2">
                    <c:v>CA</c:v>
                  </c:pt>
                  <c:pt idx="3">
                    <c:v>CB</c:v>
                  </c:pt>
                </c:lvl>
                <c:lvl>
                  <c:pt idx="0">
                    <c:v>Total</c:v>
                  </c:pt>
                  <c:pt idx="2">
                    <c:v>Bunuri și servicii</c:v>
                  </c:pt>
                </c:lvl>
              </c:multiLvlStrCache>
            </c:multiLvlStrRef>
          </c:cat>
          <c:val>
            <c:numRef>
              <c:f>'Sit finantarii_Ch pers'!$D$85:$D$88</c:f>
              <c:numCache>
                <c:formatCode>#,##0</c:formatCode>
                <c:ptCount val="4"/>
                <c:pt idx="0">
                  <c:v>277425</c:v>
                </c:pt>
                <c:pt idx="1">
                  <c:v>299070</c:v>
                </c:pt>
                <c:pt idx="2">
                  <c:v>13324</c:v>
                </c:pt>
                <c:pt idx="3">
                  <c:v>13324</c:v>
                </c:pt>
              </c:numCache>
            </c:numRef>
          </c:val>
          <c:extLst>
            <c:ext xmlns:c16="http://schemas.microsoft.com/office/drawing/2014/chart" uri="{C3380CC4-5D6E-409C-BE32-E72D297353CC}">
              <c16:uniqueId val="{00000001-0492-44D9-9A6E-54B843E8E44F}"/>
            </c:ext>
          </c:extLst>
        </c:ser>
        <c:ser>
          <c:idx val="2"/>
          <c:order val="2"/>
          <c:tx>
            <c:strRef>
              <c:f>'Sit finantarii_Ch pers'!$E$84</c:f>
              <c:strCache>
                <c:ptCount val="1"/>
                <c:pt idx="0">
                  <c:v>2024</c:v>
                </c:pt>
              </c:strCache>
            </c:strRef>
          </c:tx>
          <c:spPr>
            <a:solidFill>
              <a:schemeClr val="accent3"/>
            </a:solidFill>
            <a:ln>
              <a:noFill/>
            </a:ln>
            <a:effectLst/>
            <a:sp3d/>
          </c:spPr>
          <c:invertIfNegative val="0"/>
          <c:cat>
            <c:multiLvlStrRef>
              <c:f>'Sit finantarii_Ch pers'!$A$85:$B$88</c:f>
              <c:multiLvlStrCache>
                <c:ptCount val="4"/>
                <c:lvl>
                  <c:pt idx="0">
                    <c:v>CA</c:v>
                  </c:pt>
                  <c:pt idx="1">
                    <c:v>CB</c:v>
                  </c:pt>
                  <c:pt idx="2">
                    <c:v>CA</c:v>
                  </c:pt>
                  <c:pt idx="3">
                    <c:v>CB</c:v>
                  </c:pt>
                </c:lvl>
                <c:lvl>
                  <c:pt idx="0">
                    <c:v>Total</c:v>
                  </c:pt>
                  <c:pt idx="2">
                    <c:v>Bunuri și servicii</c:v>
                  </c:pt>
                </c:lvl>
              </c:multiLvlStrCache>
            </c:multiLvlStrRef>
          </c:cat>
          <c:val>
            <c:numRef>
              <c:f>'Sit finantarii_Ch pers'!$E$85:$E$88</c:f>
              <c:numCache>
                <c:formatCode>#,##0</c:formatCode>
                <c:ptCount val="4"/>
                <c:pt idx="0">
                  <c:v>244331</c:v>
                </c:pt>
                <c:pt idx="1">
                  <c:v>243390</c:v>
                </c:pt>
                <c:pt idx="2">
                  <c:v>29000</c:v>
                </c:pt>
                <c:pt idx="3">
                  <c:v>29000</c:v>
                </c:pt>
              </c:numCache>
            </c:numRef>
          </c:val>
          <c:extLst>
            <c:ext xmlns:c16="http://schemas.microsoft.com/office/drawing/2014/chart" uri="{C3380CC4-5D6E-409C-BE32-E72D297353CC}">
              <c16:uniqueId val="{00000002-0492-44D9-9A6E-54B843E8E44F}"/>
            </c:ext>
          </c:extLst>
        </c:ser>
        <c:dLbls>
          <c:showLegendKey val="0"/>
          <c:showVal val="0"/>
          <c:showCatName val="0"/>
          <c:showSerName val="0"/>
          <c:showPercent val="0"/>
          <c:showBubbleSize val="0"/>
        </c:dLbls>
        <c:gapWidth val="150"/>
        <c:shape val="box"/>
        <c:axId val="568951536"/>
        <c:axId val="568960784"/>
        <c:axId val="553173504"/>
      </c:bar3DChart>
      <c:catAx>
        <c:axId val="568951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60784"/>
        <c:crosses val="autoZero"/>
        <c:auto val="1"/>
        <c:lblAlgn val="ctr"/>
        <c:lblOffset val="100"/>
        <c:noMultiLvlLbl val="0"/>
      </c:catAx>
      <c:valAx>
        <c:axId val="568960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1536"/>
        <c:crosses val="autoZero"/>
        <c:crossBetween val="between"/>
      </c:valAx>
      <c:serAx>
        <c:axId val="5531735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607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o-RO">
                <a:solidFill>
                  <a:schemeClr val="tx1"/>
                </a:solidFill>
              </a:rPr>
              <a:t>Proiecte cu finanțare din FEN aferente cadrului financiar 2014-2020</a:t>
            </a:r>
            <a:endParaRPr lang="en-US">
              <a:solidFill>
                <a:schemeClr val="tx1"/>
              </a:solidFill>
            </a:endParaRPr>
          </a:p>
        </c:rich>
      </c:tx>
      <c:layout>
        <c:manualLayout>
          <c:xMode val="edge"/>
          <c:yMode val="edge"/>
          <c:x val="0.12481734565787972"/>
          <c:y val="3.613369467028003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pers'!$C$92</c:f>
              <c:strCache>
                <c:ptCount val="1"/>
                <c:pt idx="0">
                  <c:v>2022</c:v>
                </c:pt>
              </c:strCache>
            </c:strRef>
          </c:tx>
          <c:spPr>
            <a:solidFill>
              <a:schemeClr val="accent1"/>
            </a:solidFill>
            <a:ln>
              <a:noFill/>
            </a:ln>
            <a:effectLst/>
            <a:sp3d/>
          </c:spPr>
          <c:invertIfNegative val="0"/>
          <c:cat>
            <c:multiLvlStrRef>
              <c:f>'Sit finantarii_Ch pers'!$A$93:$B$96</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pers'!$C$93:$C$96</c:f>
              <c:numCache>
                <c:formatCode>#,##0</c:formatCode>
                <c:ptCount val="4"/>
                <c:pt idx="0">
                  <c:v>218178</c:v>
                </c:pt>
                <c:pt idx="1">
                  <c:v>182774</c:v>
                </c:pt>
                <c:pt idx="2">
                  <c:v>83334</c:v>
                </c:pt>
                <c:pt idx="3">
                  <c:v>48016</c:v>
                </c:pt>
              </c:numCache>
            </c:numRef>
          </c:val>
          <c:extLst>
            <c:ext xmlns:c16="http://schemas.microsoft.com/office/drawing/2014/chart" uri="{C3380CC4-5D6E-409C-BE32-E72D297353CC}">
              <c16:uniqueId val="{00000000-81C1-465A-B183-1B87D364CA97}"/>
            </c:ext>
          </c:extLst>
        </c:ser>
        <c:ser>
          <c:idx val="1"/>
          <c:order val="1"/>
          <c:tx>
            <c:strRef>
              <c:f>'Sit finantarii_Ch pers'!$D$92</c:f>
              <c:strCache>
                <c:ptCount val="1"/>
                <c:pt idx="0">
                  <c:v>2023</c:v>
                </c:pt>
              </c:strCache>
            </c:strRef>
          </c:tx>
          <c:spPr>
            <a:solidFill>
              <a:schemeClr val="accent2"/>
            </a:solidFill>
            <a:ln>
              <a:noFill/>
            </a:ln>
            <a:effectLst/>
            <a:sp3d/>
          </c:spPr>
          <c:invertIfNegative val="0"/>
          <c:cat>
            <c:multiLvlStrRef>
              <c:f>'Sit finantarii_Ch pers'!$A$93:$B$96</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pers'!$D$93:$D$96</c:f>
              <c:numCache>
                <c:formatCode>#,##0</c:formatCode>
                <c:ptCount val="4"/>
                <c:pt idx="0">
                  <c:v>277425</c:v>
                </c:pt>
                <c:pt idx="1">
                  <c:v>299070</c:v>
                </c:pt>
                <c:pt idx="2">
                  <c:v>43260</c:v>
                </c:pt>
                <c:pt idx="3">
                  <c:v>66883</c:v>
                </c:pt>
              </c:numCache>
            </c:numRef>
          </c:val>
          <c:extLst>
            <c:ext xmlns:c16="http://schemas.microsoft.com/office/drawing/2014/chart" uri="{C3380CC4-5D6E-409C-BE32-E72D297353CC}">
              <c16:uniqueId val="{00000001-81C1-465A-B183-1B87D364CA97}"/>
            </c:ext>
          </c:extLst>
        </c:ser>
        <c:ser>
          <c:idx val="2"/>
          <c:order val="2"/>
          <c:tx>
            <c:strRef>
              <c:f>'Sit finantarii_Ch pers'!$E$92</c:f>
              <c:strCache>
                <c:ptCount val="1"/>
                <c:pt idx="0">
                  <c:v>2024</c:v>
                </c:pt>
              </c:strCache>
            </c:strRef>
          </c:tx>
          <c:spPr>
            <a:solidFill>
              <a:schemeClr val="accent3"/>
            </a:solidFill>
            <a:ln>
              <a:noFill/>
            </a:ln>
            <a:effectLst/>
            <a:sp3d/>
          </c:spPr>
          <c:invertIfNegative val="0"/>
          <c:cat>
            <c:multiLvlStrRef>
              <c:f>'Sit finantarii_Ch pers'!$A$93:$B$96</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pers'!$E$93:$E$96</c:f>
              <c:numCache>
                <c:formatCode>#,##0</c:formatCode>
                <c:ptCount val="4"/>
                <c:pt idx="0">
                  <c:v>244331</c:v>
                </c:pt>
                <c:pt idx="1">
                  <c:v>243390</c:v>
                </c:pt>
                <c:pt idx="2">
                  <c:v>941</c:v>
                </c:pt>
                <c:pt idx="3">
                  <c:v>0</c:v>
                </c:pt>
              </c:numCache>
            </c:numRef>
          </c:val>
          <c:extLst>
            <c:ext xmlns:c16="http://schemas.microsoft.com/office/drawing/2014/chart" uri="{C3380CC4-5D6E-409C-BE32-E72D297353CC}">
              <c16:uniqueId val="{00000002-81C1-465A-B183-1B87D364CA97}"/>
            </c:ext>
          </c:extLst>
        </c:ser>
        <c:dLbls>
          <c:showLegendKey val="0"/>
          <c:showVal val="0"/>
          <c:showCatName val="0"/>
          <c:showSerName val="0"/>
          <c:showPercent val="0"/>
          <c:showBubbleSize val="0"/>
        </c:dLbls>
        <c:gapWidth val="150"/>
        <c:shape val="box"/>
        <c:axId val="568961328"/>
        <c:axId val="568947184"/>
        <c:axId val="553174752"/>
      </c:bar3DChart>
      <c:catAx>
        <c:axId val="568961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7184"/>
        <c:crosses val="autoZero"/>
        <c:auto val="1"/>
        <c:lblAlgn val="ctr"/>
        <c:lblOffset val="100"/>
        <c:noMultiLvlLbl val="0"/>
      </c:catAx>
      <c:valAx>
        <c:axId val="568947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61328"/>
        <c:crosses val="autoZero"/>
        <c:crossBetween val="between"/>
      </c:valAx>
      <c:serAx>
        <c:axId val="5531747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471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'%Bug INM_SNG in CSM'!$D$1:$D$2</c:f>
              <c:strCache>
                <c:ptCount val="2"/>
                <c:pt idx="0">
                  <c:v>2022</c:v>
                </c:pt>
              </c:strCache>
            </c:strRef>
          </c:tx>
          <c:spPr>
            <a:solidFill>
              <a:schemeClr val="accent1"/>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CSM'!$D$3:$D$6,'%Bug INM_SNG in CSM'!$D$9:$D$14,'%Bug INM_SNG in CSM'!$D$17:$D$18)</c:f>
              <c:numCache>
                <c:formatCode>#,##0</c:formatCode>
                <c:ptCount val="12"/>
                <c:pt idx="0">
                  <c:v>218178</c:v>
                </c:pt>
                <c:pt idx="1">
                  <c:v>182774</c:v>
                </c:pt>
                <c:pt idx="2">
                  <c:v>159474</c:v>
                </c:pt>
                <c:pt idx="3">
                  <c:v>124171</c:v>
                </c:pt>
                <c:pt idx="6" formatCode="0.00%">
                  <c:v>0</c:v>
                </c:pt>
                <c:pt idx="7" formatCode="0.00%">
                  <c:v>0</c:v>
                </c:pt>
                <c:pt idx="8">
                  <c:v>40147</c:v>
                </c:pt>
                <c:pt idx="9">
                  <c:v>41810</c:v>
                </c:pt>
                <c:pt idx="10">
                  <c:v>18557</c:v>
                </c:pt>
                <c:pt idx="11">
                  <c:v>16793</c:v>
                </c:pt>
              </c:numCache>
              <c:extLst/>
            </c:numRef>
          </c:val>
          <c:extLst>
            <c:ext xmlns:c16="http://schemas.microsoft.com/office/drawing/2014/chart" uri="{C3380CC4-5D6E-409C-BE32-E72D297353CC}">
              <c16:uniqueId val="{00000000-BEC9-47B8-9AAB-A0C41487D5E0}"/>
            </c:ext>
          </c:extLst>
        </c:ser>
        <c:ser>
          <c:idx val="1"/>
          <c:order val="1"/>
          <c:tx>
            <c:strRef>
              <c:f>'%Bug INM_SNG in CSM'!$E$1:$E$2</c:f>
              <c:strCache>
                <c:ptCount val="2"/>
                <c:pt idx="0">
                  <c:v>2022</c:v>
                </c:pt>
              </c:strCache>
            </c:strRef>
          </c:tx>
          <c:spPr>
            <a:solidFill>
              <a:schemeClr val="accent2"/>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CSM'!$E$3:$E$6,'%Bug INM_SNG in CSM'!$E$9:$E$14,'%Bug INM_SNG in CSM'!$E$17:$E$18)</c:f>
              <c:numCache>
                <c:formatCode>#,##0</c:formatCode>
                <c:ptCount val="12"/>
                <c:pt idx="0">
                  <c:v>44076.36363636364</c:v>
                </c:pt>
                <c:pt idx="1">
                  <c:v>36924.040404040403</c:v>
                </c:pt>
                <c:pt idx="2">
                  <c:v>32216.969696969696</c:v>
                </c:pt>
                <c:pt idx="3">
                  <c:v>25085.050505050505</c:v>
                </c:pt>
                <c:pt idx="8">
                  <c:v>8110.5050505050503</c:v>
                </c:pt>
                <c:pt idx="9">
                  <c:v>8446.4646464646466</c:v>
                </c:pt>
                <c:pt idx="10">
                  <c:v>3748.8888888888887</c:v>
                </c:pt>
                <c:pt idx="11">
                  <c:v>3392.5252525252522</c:v>
                </c:pt>
              </c:numCache>
              <c:extLst/>
            </c:numRef>
          </c:val>
          <c:extLst>
            <c:ext xmlns:c16="http://schemas.microsoft.com/office/drawing/2014/chart" uri="{C3380CC4-5D6E-409C-BE32-E72D297353CC}">
              <c16:uniqueId val="{00000001-BEC9-47B8-9AAB-A0C41487D5E0}"/>
            </c:ext>
          </c:extLst>
        </c:ser>
        <c:ser>
          <c:idx val="2"/>
          <c:order val="2"/>
          <c:tx>
            <c:strRef>
              <c:f>'%Bug INM_SNG in CSM'!$F$1:$F$2</c:f>
              <c:strCache>
                <c:ptCount val="2"/>
                <c:pt idx="0">
                  <c:v>2023</c:v>
                </c:pt>
              </c:strCache>
            </c:strRef>
          </c:tx>
          <c:spPr>
            <a:solidFill>
              <a:schemeClr val="accent3"/>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CSM'!$F$3:$F$6,'%Bug INM_SNG in CSM'!$F$9:$F$14,'%Bug INM_SNG in CSM'!$F$17:$F$18)</c:f>
              <c:numCache>
                <c:formatCode>#,##0</c:formatCode>
                <c:ptCount val="12"/>
                <c:pt idx="0">
                  <c:v>277425</c:v>
                </c:pt>
                <c:pt idx="1">
                  <c:v>299070</c:v>
                </c:pt>
                <c:pt idx="2">
                  <c:v>155392</c:v>
                </c:pt>
                <c:pt idx="3">
                  <c:v>173305</c:v>
                </c:pt>
                <c:pt idx="4">
                  <c:v>36645</c:v>
                </c:pt>
                <c:pt idx="5">
                  <c:v>36645</c:v>
                </c:pt>
                <c:pt idx="6" formatCode="0.00%">
                  <c:v>0.1320897539875642</c:v>
                </c:pt>
                <c:pt idx="7" formatCode="0.00%">
                  <c:v>0.12252984251178654</c:v>
                </c:pt>
                <c:pt idx="8">
                  <c:v>72088</c:v>
                </c:pt>
                <c:pt idx="9">
                  <c:v>74127</c:v>
                </c:pt>
                <c:pt idx="10">
                  <c:v>13300</c:v>
                </c:pt>
                <c:pt idx="11">
                  <c:v>14993</c:v>
                </c:pt>
              </c:numCache>
              <c:extLst/>
            </c:numRef>
          </c:val>
          <c:extLst>
            <c:ext xmlns:c16="http://schemas.microsoft.com/office/drawing/2014/chart" uri="{C3380CC4-5D6E-409C-BE32-E72D297353CC}">
              <c16:uniqueId val="{00000002-BEC9-47B8-9AAB-A0C41487D5E0}"/>
            </c:ext>
          </c:extLst>
        </c:ser>
        <c:ser>
          <c:idx val="3"/>
          <c:order val="3"/>
          <c:tx>
            <c:strRef>
              <c:f>'%Bug INM_SNG in CSM'!$G$1:$G$2</c:f>
              <c:strCache>
                <c:ptCount val="2"/>
                <c:pt idx="0">
                  <c:v>2023</c:v>
                </c:pt>
              </c:strCache>
            </c:strRef>
          </c:tx>
          <c:spPr>
            <a:solidFill>
              <a:schemeClr val="accent4"/>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CSM'!$G$3:$G$6,'%Bug INM_SNG in CSM'!$G$9:$G$14,'%Bug INM_SNG in CSM'!$G$17:$G$18)</c:f>
              <c:numCache>
                <c:formatCode>#,##0</c:formatCode>
                <c:ptCount val="12"/>
                <c:pt idx="0">
                  <c:v>48156</c:v>
                </c:pt>
                <c:pt idx="1">
                  <c:v>52485</c:v>
                </c:pt>
                <c:pt idx="2">
                  <c:v>31078.400000000001</c:v>
                </c:pt>
                <c:pt idx="3">
                  <c:v>34661</c:v>
                </c:pt>
                <c:pt idx="4">
                  <c:v>7329</c:v>
                </c:pt>
                <c:pt idx="5">
                  <c:v>7329</c:v>
                </c:pt>
                <c:pt idx="8">
                  <c:v>14417.6</c:v>
                </c:pt>
                <c:pt idx="9">
                  <c:v>14825.4</c:v>
                </c:pt>
                <c:pt idx="10">
                  <c:v>2660</c:v>
                </c:pt>
                <c:pt idx="11">
                  <c:v>2998.6</c:v>
                </c:pt>
              </c:numCache>
              <c:extLst/>
            </c:numRef>
          </c:val>
          <c:extLst>
            <c:ext xmlns:c16="http://schemas.microsoft.com/office/drawing/2014/chart" uri="{C3380CC4-5D6E-409C-BE32-E72D297353CC}">
              <c16:uniqueId val="{00000003-BEC9-47B8-9AAB-A0C41487D5E0}"/>
            </c:ext>
          </c:extLst>
        </c:ser>
        <c:ser>
          <c:idx val="4"/>
          <c:order val="4"/>
          <c:tx>
            <c:strRef>
              <c:f>'%Bug INM_SNG in CSM'!$H$1:$H$2</c:f>
              <c:strCache>
                <c:ptCount val="2"/>
                <c:pt idx="0">
                  <c:v>2024</c:v>
                </c:pt>
              </c:strCache>
            </c:strRef>
          </c:tx>
          <c:spPr>
            <a:solidFill>
              <a:schemeClr val="accent5"/>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CSM'!$H$3:$H$6,'%Bug INM_SNG in CSM'!$H$9:$H$14,'%Bug INM_SNG in CSM'!$H$17:$H$18)</c:f>
              <c:numCache>
                <c:formatCode>#,##0</c:formatCode>
                <c:ptCount val="12"/>
                <c:pt idx="0">
                  <c:v>244331</c:v>
                </c:pt>
                <c:pt idx="1">
                  <c:v>243390</c:v>
                </c:pt>
                <c:pt idx="2">
                  <c:v>122935</c:v>
                </c:pt>
                <c:pt idx="3">
                  <c:v>122210</c:v>
                </c:pt>
                <c:pt idx="4">
                  <c:v>35502</c:v>
                </c:pt>
                <c:pt idx="5">
                  <c:v>35502</c:v>
                </c:pt>
                <c:pt idx="6" formatCode="0.00%">
                  <c:v>0.1453028882949769</c:v>
                </c:pt>
                <c:pt idx="7" formatCode="0.00%">
                  <c:v>0.14586466165413534</c:v>
                </c:pt>
                <c:pt idx="8">
                  <c:v>70588</c:v>
                </c:pt>
                <c:pt idx="9">
                  <c:v>70372</c:v>
                </c:pt>
                <c:pt idx="10">
                  <c:v>15306</c:v>
                </c:pt>
                <c:pt idx="11">
                  <c:v>15306</c:v>
                </c:pt>
              </c:numCache>
              <c:extLst/>
            </c:numRef>
          </c:val>
          <c:extLst>
            <c:ext xmlns:c16="http://schemas.microsoft.com/office/drawing/2014/chart" uri="{C3380CC4-5D6E-409C-BE32-E72D297353CC}">
              <c16:uniqueId val="{00000004-BEC9-47B8-9AAB-A0C41487D5E0}"/>
            </c:ext>
          </c:extLst>
        </c:ser>
        <c:ser>
          <c:idx val="5"/>
          <c:order val="5"/>
          <c:tx>
            <c:strRef>
              <c:f>'%Bug INM_SNG in CSM'!$I$1:$I$2</c:f>
              <c:strCache>
                <c:ptCount val="2"/>
                <c:pt idx="0">
                  <c:v>2024</c:v>
                </c:pt>
              </c:strCache>
            </c:strRef>
          </c:tx>
          <c:spPr>
            <a:solidFill>
              <a:schemeClr val="accent6"/>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c:multiLvlStrRef>
          </c:cat>
          <c:val>
            <c:numRef>
              <c:f>('%Bug INM_SNG in CSM'!$I$3:$I$6,'%Bug INM_SNG in CSM'!$I$9:$I$14,'%Bug INM_SNG in CSM'!$I$17:$I$18)</c:f>
              <c:numCache>
                <c:formatCode>#,##0</c:formatCode>
                <c:ptCount val="12"/>
                <c:pt idx="0">
                  <c:v>41765.799999999996</c:v>
                </c:pt>
                <c:pt idx="1">
                  <c:v>41577.599999999999</c:v>
                </c:pt>
                <c:pt idx="2">
                  <c:v>24587</c:v>
                </c:pt>
                <c:pt idx="3">
                  <c:v>24442</c:v>
                </c:pt>
                <c:pt idx="4">
                  <c:v>7100.4</c:v>
                </c:pt>
                <c:pt idx="5">
                  <c:v>7100.4</c:v>
                </c:pt>
                <c:pt idx="8">
                  <c:v>14117.6</c:v>
                </c:pt>
                <c:pt idx="9">
                  <c:v>14074.4</c:v>
                </c:pt>
                <c:pt idx="10">
                  <c:v>3061.2</c:v>
                </c:pt>
                <c:pt idx="11">
                  <c:v>3061.2</c:v>
                </c:pt>
              </c:numCache>
              <c:extLst/>
            </c:numRef>
          </c:val>
          <c:extLst>
            <c:ext xmlns:c16="http://schemas.microsoft.com/office/drawing/2014/chart" uri="{C3380CC4-5D6E-409C-BE32-E72D297353CC}">
              <c16:uniqueId val="{00000005-BEC9-47B8-9AAB-A0C41487D5E0}"/>
            </c:ext>
          </c:extLst>
        </c:ser>
        <c:dLbls>
          <c:showLegendKey val="0"/>
          <c:showVal val="0"/>
          <c:showCatName val="0"/>
          <c:showSerName val="0"/>
          <c:showPercent val="0"/>
          <c:showBubbleSize val="0"/>
        </c:dLbls>
        <c:gapWidth val="150"/>
        <c:shape val="box"/>
        <c:axId val="568950992"/>
        <c:axId val="568955344"/>
        <c:axId val="553177872"/>
      </c:bar3DChart>
      <c:catAx>
        <c:axId val="568950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5344"/>
        <c:crosses val="autoZero"/>
        <c:auto val="1"/>
        <c:lblAlgn val="ctr"/>
        <c:lblOffset val="100"/>
        <c:noMultiLvlLbl val="0"/>
      </c:catAx>
      <c:valAx>
        <c:axId val="568955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0992"/>
        <c:crosses val="autoZero"/>
        <c:crossBetween val="between"/>
      </c:valAx>
      <c:serAx>
        <c:axId val="55317787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689553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latin typeface="+mn-lt"/>
              </a:defRPr>
            </a:pPr>
            <a:r>
              <a:rPr lang="ro-RO" sz="1300">
                <a:solidFill>
                  <a:sysClr val="windowText" lastClr="000000"/>
                </a:solidFill>
                <a:latin typeface="+mn-lt"/>
              </a:rPr>
              <a:t>Gradul de ocupare a</a:t>
            </a:r>
            <a:r>
              <a:rPr lang="en-US" sz="1300">
                <a:solidFill>
                  <a:sysClr val="windowText" lastClr="000000"/>
                </a:solidFill>
                <a:latin typeface="+mn-lt"/>
              </a:rPr>
              <a:t> posturilor de </a:t>
            </a:r>
            <a:r>
              <a:rPr lang="ro-RO" sz="1300">
                <a:solidFill>
                  <a:sysClr val="windowText" lastClr="000000"/>
                </a:solidFill>
                <a:latin typeface="+mn-lt"/>
              </a:rPr>
              <a:t>procur</a:t>
            </a:r>
            <a:r>
              <a:rPr lang="en-US" sz="1300">
                <a:solidFill>
                  <a:sysClr val="windowText" lastClr="000000"/>
                </a:solidFill>
                <a:latin typeface="+mn-lt"/>
              </a:rPr>
              <a:t>or </a:t>
            </a:r>
            <a:endParaRPr lang="ro-RO" sz="1300">
              <a:solidFill>
                <a:sysClr val="windowText" lastClr="000000"/>
              </a:solidFill>
              <a:latin typeface="+mn-lt"/>
            </a:endParaRPr>
          </a:p>
          <a:p>
            <a:pPr>
              <a:defRPr sz="1300">
                <a:latin typeface="+mn-lt"/>
              </a:defRPr>
            </a:pPr>
            <a:r>
              <a:rPr lang="ro-RO" sz="1300">
                <a:solidFill>
                  <a:sysClr val="windowText" lastClr="000000"/>
                </a:solidFill>
                <a:latin typeface="+mn-lt"/>
              </a:rPr>
              <a:t>ianuarie 2023</a:t>
            </a:r>
            <a:endParaRPr lang="en-US" sz="1300">
              <a:solidFill>
                <a:sysClr val="windowText" lastClr="000000"/>
              </a:solidFill>
              <a:latin typeface="+mn-lt"/>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25-4CFE-A4EE-E2774CDADBE6}"/>
                </c:ext>
              </c:extLst>
            </c:dLbl>
            <c:spPr>
              <a:noFill/>
              <a:ln w="25349">
                <a:noFill/>
              </a:ln>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0.69179999999999997</c:v>
                </c:pt>
              </c:numCache>
            </c:numRef>
          </c:val>
          <c:extLst>
            <c:ext xmlns:c16="http://schemas.microsoft.com/office/drawing/2014/chart" uri="{C3380CC4-5D6E-409C-BE32-E72D297353CC}">
              <c16:uniqueId val="{00000001-9E25-4CFE-A4EE-E2774CDADBE6}"/>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25-4CFE-A4EE-E2774CDADBE6}"/>
                </c:ext>
              </c:extLst>
            </c:dLbl>
            <c:spPr>
              <a:noFill/>
              <a:ln w="25349">
                <a:noFill/>
              </a:ln>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Sheet1!$B$1:$B$1</c:f>
              <c:numCache>
                <c:formatCode>General</c:formatCode>
                <c:ptCount val="1"/>
              </c:numCache>
            </c:numRef>
          </c:cat>
          <c:val>
            <c:numRef>
              <c:f>Sheet1!$B$3:$B$3</c:f>
              <c:numCache>
                <c:formatCode>0.00%</c:formatCode>
                <c:ptCount val="1"/>
                <c:pt idx="0">
                  <c:v>0.75380000000000003</c:v>
                </c:pt>
              </c:numCache>
            </c:numRef>
          </c:val>
          <c:extLst>
            <c:ext xmlns:c16="http://schemas.microsoft.com/office/drawing/2014/chart" uri="{C3380CC4-5D6E-409C-BE32-E72D297353CC}">
              <c16:uniqueId val="{00000003-9E25-4CFE-A4EE-E2774CDADBE6}"/>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056207844122E-3"/>
                  <c:y val="-1.384083044982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25-4CFE-A4EE-E2774CDADBE6}"/>
                </c:ext>
              </c:extLst>
            </c:dLbl>
            <c:spPr>
              <a:noFill/>
              <a:ln w="25349">
                <a:noFill/>
              </a:ln>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0.64839999999999998</c:v>
                </c:pt>
              </c:numCache>
            </c:numRef>
          </c:val>
          <c:extLst>
            <c:ext xmlns:c16="http://schemas.microsoft.com/office/drawing/2014/chart" uri="{C3380CC4-5D6E-409C-BE32-E72D297353CC}">
              <c16:uniqueId val="{00000005-9E25-4CFE-A4EE-E2774CDADBE6}"/>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E25-4CFE-A4EE-E2774CDADBE6}"/>
                </c:ext>
              </c:extLst>
            </c:dLbl>
            <c:spPr>
              <a:noFill/>
              <a:ln w="25349">
                <a:noFill/>
              </a:ln>
            </c:spPr>
            <c:txPr>
              <a:bodyPr wrap="square" lIns="38100" tIns="19050" rIns="38100" bIns="19050" anchor="ctr">
                <a:spAutoFit/>
              </a:bodyPr>
              <a:lstStyle/>
              <a:p>
                <a:pPr>
                  <a:defRPr>
                    <a:solidFill>
                      <a:sysClr val="windowText" lastClr="000000"/>
                    </a:solidFill>
                    <a:latin typeface="+mn-lt"/>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0.77400000000000002</c:v>
                </c:pt>
              </c:numCache>
            </c:numRef>
          </c:val>
          <c:extLst>
            <c:ext xmlns:c16="http://schemas.microsoft.com/office/drawing/2014/chart" uri="{C3380CC4-5D6E-409C-BE32-E72D297353CC}">
              <c16:uniqueId val="{00000007-9E25-4CFE-A4EE-E2774CDADBE6}"/>
            </c:ext>
          </c:extLst>
        </c:ser>
        <c:dLbls>
          <c:showLegendKey val="0"/>
          <c:showVal val="1"/>
          <c:showCatName val="0"/>
          <c:showSerName val="0"/>
          <c:showPercent val="0"/>
          <c:showBubbleSize val="0"/>
        </c:dLbls>
        <c:gapWidth val="150"/>
        <c:shape val="box"/>
        <c:axId val="-1110397648"/>
        <c:axId val="-1110394928"/>
        <c:axId val="0"/>
      </c:bar3DChart>
      <c:catAx>
        <c:axId val="-111039764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110394928"/>
        <c:crosses val="autoZero"/>
        <c:auto val="1"/>
        <c:lblAlgn val="ctr"/>
        <c:lblOffset val="100"/>
        <c:noMultiLvlLbl val="0"/>
      </c:catAx>
      <c:valAx>
        <c:axId val="-111039492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latin typeface="+mn-lt"/>
              </a:defRPr>
            </a:pPr>
            <a:endParaRPr lang="en-US"/>
          </a:p>
        </c:txPr>
        <c:crossAx val="-1110397648"/>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chemeClr val="accent6"/>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tx1"/>
                </a:solidFill>
              </a:defRPr>
            </a:pPr>
            <a:r>
              <a:rPr lang="ro-RO" sz="1300">
                <a:solidFill>
                  <a:schemeClr val="tx1"/>
                </a:solidFill>
                <a:latin typeface="+mn-lt"/>
              </a:rPr>
              <a:t>Gradul de ocupare a</a:t>
            </a:r>
            <a:r>
              <a:rPr lang="en-US" sz="1300">
                <a:solidFill>
                  <a:schemeClr val="tx1"/>
                </a:solidFill>
                <a:latin typeface="+mn-lt"/>
              </a:rPr>
              <a:t> posturilor de </a:t>
            </a:r>
            <a:r>
              <a:rPr lang="ro-RO" sz="1300">
                <a:solidFill>
                  <a:schemeClr val="tx1"/>
                </a:solidFill>
                <a:latin typeface="+mn-lt"/>
              </a:rPr>
              <a:t>procur</a:t>
            </a:r>
            <a:r>
              <a:rPr lang="en-US" sz="1300">
                <a:solidFill>
                  <a:schemeClr val="tx1"/>
                </a:solidFill>
                <a:latin typeface="+mn-lt"/>
              </a:rPr>
              <a:t>or </a:t>
            </a:r>
            <a:endParaRPr lang="ro-RO" sz="1300">
              <a:solidFill>
                <a:schemeClr val="tx1"/>
              </a:solidFill>
              <a:latin typeface="+mn-lt"/>
            </a:endParaRPr>
          </a:p>
          <a:p>
            <a:pPr>
              <a:defRPr>
                <a:solidFill>
                  <a:schemeClr val="tx1"/>
                </a:solidFill>
              </a:defRPr>
            </a:pPr>
            <a:r>
              <a:rPr lang="ro-RO" sz="1300">
                <a:solidFill>
                  <a:schemeClr val="tx1"/>
                </a:solidFill>
                <a:latin typeface="+mn-lt"/>
              </a:rPr>
              <a:t>la data de 31.12.2023</a:t>
            </a:r>
            <a:endParaRPr lang="en-US" sz="1300">
              <a:solidFill>
                <a:schemeClr val="tx1"/>
              </a:solidFill>
              <a:latin typeface="+mn-lt"/>
            </a:endParaRPr>
          </a:p>
        </c:rich>
      </c:tx>
      <c:layout>
        <c:manualLayout>
          <c:xMode val="edge"/>
          <c:yMode val="edge"/>
          <c:x val="0.19654401372905309"/>
          <c:y val="6.7399227088228222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136752136752137E-3"/>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F4-406F-9793-4494CAAD4EA8}"/>
                </c:ext>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Sheet1!$B$2:$B$2</c:f>
              <c:numCache>
                <c:formatCode>0.00%</c:formatCode>
                <c:ptCount val="1"/>
                <c:pt idx="0">
                  <c:v>0.72270000000000001</c:v>
                </c:pt>
              </c:numCache>
            </c:numRef>
          </c:val>
          <c:extLst>
            <c:ext xmlns:c16="http://schemas.microsoft.com/office/drawing/2014/chart" uri="{C3380CC4-5D6E-409C-BE32-E72D297353CC}">
              <c16:uniqueId val="{00000001-52F4-406F-9793-4494CAAD4EA8}"/>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Sheet1!$B$3:$B$3</c:f>
              <c:numCache>
                <c:formatCode>0.00%</c:formatCode>
                <c:ptCount val="1"/>
                <c:pt idx="0">
                  <c:v>0.77359999999999995</c:v>
                </c:pt>
              </c:numCache>
            </c:numRef>
          </c:val>
          <c:extLst>
            <c:ext xmlns:c16="http://schemas.microsoft.com/office/drawing/2014/chart" uri="{C3380CC4-5D6E-409C-BE32-E72D297353CC}">
              <c16:uniqueId val="{00000002-52F4-406F-9793-4494CAAD4EA8}"/>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4.2735042735042739E-3"/>
                  <c:y val="9.31749359422306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F4-406F-9793-4494CAAD4EA8}"/>
                </c:ext>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Sheet1!$B$4:$B$4</c:f>
              <c:numCache>
                <c:formatCode>0.00%</c:formatCode>
                <c:ptCount val="1"/>
                <c:pt idx="0">
                  <c:v>0.64829999999999999</c:v>
                </c:pt>
              </c:numCache>
            </c:numRef>
          </c:val>
          <c:extLst>
            <c:ext xmlns:c16="http://schemas.microsoft.com/office/drawing/2014/chart" uri="{C3380CC4-5D6E-409C-BE32-E72D297353CC}">
              <c16:uniqueId val="{00000004-52F4-406F-9793-4494CAAD4EA8}"/>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Sheet1!$B$1:$B$1</c:f>
              <c:numCache>
                <c:formatCode>General</c:formatCode>
                <c:ptCount val="1"/>
              </c:numCache>
            </c:numRef>
          </c:cat>
          <c:val>
            <c:numRef>
              <c:f>Sheet1!$B$5:$B$5</c:f>
              <c:numCache>
                <c:formatCode>0.00%</c:formatCode>
                <c:ptCount val="1"/>
                <c:pt idx="0">
                  <c:v>0.65659999999999996</c:v>
                </c:pt>
              </c:numCache>
            </c:numRef>
          </c:val>
          <c:extLst>
            <c:ext xmlns:c16="http://schemas.microsoft.com/office/drawing/2014/chart" uri="{C3380CC4-5D6E-409C-BE32-E72D297353CC}">
              <c16:uniqueId val="{00000005-52F4-406F-9793-4494CAAD4EA8}"/>
            </c:ext>
          </c:extLst>
        </c:ser>
        <c:dLbls>
          <c:showLegendKey val="0"/>
          <c:showVal val="1"/>
          <c:showCatName val="0"/>
          <c:showSerName val="0"/>
          <c:showPercent val="0"/>
          <c:showBubbleSize val="0"/>
        </c:dLbls>
        <c:gapWidth val="150"/>
        <c:shape val="box"/>
        <c:axId val="-2102905632"/>
        <c:axId val="-2102905088"/>
        <c:axId val="0"/>
      </c:bar3DChart>
      <c:catAx>
        <c:axId val="-210290563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2102905088"/>
        <c:crosses val="autoZero"/>
        <c:auto val="1"/>
        <c:lblAlgn val="ctr"/>
        <c:lblOffset val="100"/>
        <c:noMultiLvlLbl val="0"/>
      </c:catAx>
      <c:valAx>
        <c:axId val="-2102905088"/>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defRPr>
            </a:pPr>
            <a:endParaRPr lang="en-US"/>
          </a:p>
        </c:txPr>
        <c:crossAx val="-2102905632"/>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solidFill>
                <a:sysClr val="windowText" lastClr="000000"/>
              </a:solidFil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FF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Buget  C.S.M.</a:t>
            </a:r>
          </a:p>
        </c:rich>
      </c:tx>
      <c:layout>
        <c:manualLayout>
          <c:xMode val="edge"/>
          <c:yMode val="edge"/>
          <c:x val="0.4788867904427076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7689901308462"/>
          <c:y val="7.8209257728874493E-2"/>
          <c:w val="0.86823095234741454"/>
          <c:h val="0.61124411153807479"/>
        </c:manualLayout>
      </c:layout>
      <c:barChart>
        <c:barDir val="col"/>
        <c:grouping val="clustered"/>
        <c:varyColors val="0"/>
        <c:ser>
          <c:idx val="0"/>
          <c:order val="0"/>
          <c:tx>
            <c:strRef>
              <c:f>'Dinamica Buget'!$B$5:$C$5</c:f>
              <c:strCache>
                <c:ptCount val="2"/>
                <c:pt idx="0">
                  <c:v>BUGET C.S.M. total </c:v>
                </c:pt>
                <c:pt idx="1">
                  <c:v>CA</c:v>
                </c:pt>
              </c:strCache>
            </c:strRef>
          </c:tx>
          <c:spPr>
            <a:solidFill>
              <a:schemeClr val="accent1"/>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2022</c:v>
                  </c:pt>
                  <c:pt idx="2">
                    <c:v>2023</c:v>
                  </c:pt>
                  <c:pt idx="4">
                    <c:v>2024</c:v>
                  </c:pt>
                </c:lvl>
              </c:multiLvlStrCache>
            </c:multiLvlStrRef>
          </c:cat>
          <c:val>
            <c:numRef>
              <c:f>'Dinamica Buget'!$D$5:$I$5</c:f>
              <c:numCache>
                <c:formatCode>#,##0</c:formatCode>
                <c:ptCount val="6"/>
                <c:pt idx="0">
                  <c:v>218178</c:v>
                </c:pt>
                <c:pt idx="1">
                  <c:v>44076</c:v>
                </c:pt>
                <c:pt idx="2">
                  <c:v>277425</c:v>
                </c:pt>
                <c:pt idx="3">
                  <c:v>55485</c:v>
                </c:pt>
                <c:pt idx="4">
                  <c:v>244331</c:v>
                </c:pt>
                <c:pt idx="5">
                  <c:v>48866</c:v>
                </c:pt>
              </c:numCache>
            </c:numRef>
          </c:val>
          <c:extLst>
            <c:ext xmlns:c16="http://schemas.microsoft.com/office/drawing/2014/chart" uri="{C3380CC4-5D6E-409C-BE32-E72D297353CC}">
              <c16:uniqueId val="{00000000-234A-42A7-A516-88B664C40F0E}"/>
            </c:ext>
          </c:extLst>
        </c:ser>
        <c:ser>
          <c:idx val="1"/>
          <c:order val="1"/>
          <c:tx>
            <c:strRef>
              <c:f>'Dinamica Buget'!$B$6:$C$6</c:f>
              <c:strCache>
                <c:ptCount val="2"/>
                <c:pt idx="0">
                  <c:v>BUGET C.S.M. total </c:v>
                </c:pt>
                <c:pt idx="1">
                  <c:v>CB</c:v>
                </c:pt>
              </c:strCache>
            </c:strRef>
          </c:tx>
          <c:spPr>
            <a:solidFill>
              <a:schemeClr val="accent2"/>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2022</c:v>
                  </c:pt>
                  <c:pt idx="2">
                    <c:v>2023</c:v>
                  </c:pt>
                  <c:pt idx="4">
                    <c:v>2024</c:v>
                  </c:pt>
                </c:lvl>
              </c:multiLvlStrCache>
            </c:multiLvlStrRef>
          </c:cat>
          <c:val>
            <c:numRef>
              <c:f>'Dinamica Buget'!$D$6:$I$6</c:f>
              <c:numCache>
                <c:formatCode>#,##0</c:formatCode>
                <c:ptCount val="6"/>
                <c:pt idx="0">
                  <c:v>182774</c:v>
                </c:pt>
                <c:pt idx="1">
                  <c:v>36924</c:v>
                </c:pt>
                <c:pt idx="2">
                  <c:v>299070</c:v>
                </c:pt>
                <c:pt idx="3">
                  <c:v>59814</c:v>
                </c:pt>
                <c:pt idx="4">
                  <c:v>243390</c:v>
                </c:pt>
                <c:pt idx="5">
                  <c:v>48678</c:v>
                </c:pt>
              </c:numCache>
            </c:numRef>
          </c:val>
          <c:extLst>
            <c:ext xmlns:c16="http://schemas.microsoft.com/office/drawing/2014/chart" uri="{C3380CC4-5D6E-409C-BE32-E72D297353CC}">
              <c16:uniqueId val="{00000001-234A-42A7-A516-88B664C40F0E}"/>
            </c:ext>
          </c:extLst>
        </c:ser>
        <c:dLbls>
          <c:showLegendKey val="0"/>
          <c:showVal val="0"/>
          <c:showCatName val="0"/>
          <c:showSerName val="0"/>
          <c:showPercent val="0"/>
          <c:showBubbleSize val="0"/>
        </c:dLbls>
        <c:gapWidth val="169"/>
        <c:overlap val="-17"/>
        <c:axId val="342603136"/>
        <c:axId val="568961872"/>
      </c:barChart>
      <c:catAx>
        <c:axId val="34260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61872"/>
        <c:crosses val="autoZero"/>
        <c:auto val="1"/>
        <c:lblAlgn val="ctr"/>
        <c:lblOffset val="100"/>
        <c:noMultiLvlLbl val="0"/>
      </c:catAx>
      <c:valAx>
        <c:axId val="568961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60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Ch_an'!$AJ$4:$AK$4</c:f>
              <c:strCache>
                <c:ptCount val="2"/>
                <c:pt idx="0">
                  <c:v>2022</c:v>
                </c:pt>
                <c:pt idx="1">
                  <c:v>CA</c:v>
                </c:pt>
              </c:strCache>
            </c:strRef>
          </c:tx>
          <c:spPr>
            <a:solidFill>
              <a:schemeClr val="accent1"/>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Ch_an'!$AL$4:$AU$4</c:f>
              <c:numCache>
                <c:formatCode>#,##0</c:formatCode>
                <c:ptCount val="10"/>
                <c:pt idx="0">
                  <c:v>159474</c:v>
                </c:pt>
                <c:pt idx="1">
                  <c:v>74803</c:v>
                </c:pt>
                <c:pt idx="2">
                  <c:v>8033</c:v>
                </c:pt>
                <c:pt idx="3">
                  <c:v>0</c:v>
                </c:pt>
                <c:pt idx="4">
                  <c:v>25</c:v>
                </c:pt>
                <c:pt idx="5">
                  <c:v>0</c:v>
                </c:pt>
                <c:pt idx="6">
                  <c:v>75491</c:v>
                </c:pt>
                <c:pt idx="7">
                  <c:v>777</c:v>
                </c:pt>
                <c:pt idx="9">
                  <c:v>345</c:v>
                </c:pt>
              </c:numCache>
            </c:numRef>
          </c:val>
          <c:extLst>
            <c:ext xmlns:c16="http://schemas.microsoft.com/office/drawing/2014/chart" uri="{C3380CC4-5D6E-409C-BE32-E72D297353CC}">
              <c16:uniqueId val="{00000000-6C60-4AFC-8D70-A8B659828239}"/>
            </c:ext>
          </c:extLst>
        </c:ser>
        <c:ser>
          <c:idx val="1"/>
          <c:order val="1"/>
          <c:tx>
            <c:strRef>
              <c:f>'Structura Ch_an'!$AJ$5:$AK$5</c:f>
              <c:strCache>
                <c:ptCount val="2"/>
                <c:pt idx="0">
                  <c:v>2022</c:v>
                </c:pt>
                <c:pt idx="1">
                  <c:v>CB</c:v>
                </c:pt>
              </c:strCache>
            </c:strRef>
          </c:tx>
          <c:spPr>
            <a:solidFill>
              <a:schemeClr val="accent2"/>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Ch_an'!$AL$5:$AU$5</c:f>
              <c:numCache>
                <c:formatCode>#,##0</c:formatCode>
                <c:ptCount val="10"/>
                <c:pt idx="0">
                  <c:v>124171</c:v>
                </c:pt>
                <c:pt idx="1">
                  <c:v>74803</c:v>
                </c:pt>
                <c:pt idx="2">
                  <c:v>8033</c:v>
                </c:pt>
                <c:pt idx="3">
                  <c:v>0</c:v>
                </c:pt>
                <c:pt idx="4">
                  <c:v>25</c:v>
                </c:pt>
                <c:pt idx="5">
                  <c:v>0</c:v>
                </c:pt>
                <c:pt idx="6">
                  <c:v>40188</c:v>
                </c:pt>
                <c:pt idx="7">
                  <c:v>777</c:v>
                </c:pt>
                <c:pt idx="9">
                  <c:v>345</c:v>
                </c:pt>
              </c:numCache>
            </c:numRef>
          </c:val>
          <c:extLst>
            <c:ext xmlns:c16="http://schemas.microsoft.com/office/drawing/2014/chart" uri="{C3380CC4-5D6E-409C-BE32-E72D297353CC}">
              <c16:uniqueId val="{00000001-6C60-4AFC-8D70-A8B659828239}"/>
            </c:ext>
          </c:extLst>
        </c:ser>
        <c:ser>
          <c:idx val="2"/>
          <c:order val="2"/>
          <c:tx>
            <c:strRef>
              <c:f>'Structura Ch_an'!$AJ$6:$AK$6</c:f>
              <c:strCache>
                <c:ptCount val="2"/>
                <c:pt idx="0">
                  <c:v>2023</c:v>
                </c:pt>
                <c:pt idx="1">
                  <c:v>CA</c:v>
                </c:pt>
              </c:strCache>
            </c:strRef>
          </c:tx>
          <c:spPr>
            <a:solidFill>
              <a:schemeClr val="accent3"/>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Ch_an'!$AL$6:$AU$6</c:f>
              <c:numCache>
                <c:formatCode>#,##0</c:formatCode>
                <c:ptCount val="10"/>
                <c:pt idx="0">
                  <c:v>155392</c:v>
                </c:pt>
                <c:pt idx="1">
                  <c:v>101092</c:v>
                </c:pt>
                <c:pt idx="2">
                  <c:v>8038</c:v>
                </c:pt>
                <c:pt idx="3">
                  <c:v>0</c:v>
                </c:pt>
                <c:pt idx="4">
                  <c:v>26</c:v>
                </c:pt>
                <c:pt idx="5">
                  <c:v>0</c:v>
                </c:pt>
                <c:pt idx="6">
                  <c:v>40276</c:v>
                </c:pt>
                <c:pt idx="7">
                  <c:v>1903</c:v>
                </c:pt>
                <c:pt idx="8">
                  <c:v>3927</c:v>
                </c:pt>
                <c:pt idx="9">
                  <c:v>130</c:v>
                </c:pt>
              </c:numCache>
            </c:numRef>
          </c:val>
          <c:extLst>
            <c:ext xmlns:c16="http://schemas.microsoft.com/office/drawing/2014/chart" uri="{C3380CC4-5D6E-409C-BE32-E72D297353CC}">
              <c16:uniqueId val="{00000002-6C60-4AFC-8D70-A8B659828239}"/>
            </c:ext>
          </c:extLst>
        </c:ser>
        <c:ser>
          <c:idx val="3"/>
          <c:order val="3"/>
          <c:tx>
            <c:strRef>
              <c:f>'Structura Ch_an'!$AJ$7:$AK$7</c:f>
              <c:strCache>
                <c:ptCount val="2"/>
                <c:pt idx="0">
                  <c:v>2023</c:v>
                </c:pt>
                <c:pt idx="1">
                  <c:v>CB</c:v>
                </c:pt>
              </c:strCache>
            </c:strRef>
          </c:tx>
          <c:spPr>
            <a:solidFill>
              <a:schemeClr val="accent4"/>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Ch_an'!$AL$7:$AU$7</c:f>
              <c:numCache>
                <c:formatCode>#,##0</c:formatCode>
                <c:ptCount val="10"/>
                <c:pt idx="0">
                  <c:v>173305</c:v>
                </c:pt>
                <c:pt idx="1">
                  <c:v>101092</c:v>
                </c:pt>
                <c:pt idx="2">
                  <c:v>8038</c:v>
                </c:pt>
                <c:pt idx="3">
                  <c:v>0</c:v>
                </c:pt>
                <c:pt idx="4">
                  <c:v>26</c:v>
                </c:pt>
                <c:pt idx="5">
                  <c:v>0</c:v>
                </c:pt>
                <c:pt idx="6">
                  <c:v>60167</c:v>
                </c:pt>
                <c:pt idx="7">
                  <c:v>1903</c:v>
                </c:pt>
                <c:pt idx="8">
                  <c:v>1949</c:v>
                </c:pt>
                <c:pt idx="9">
                  <c:v>130</c:v>
                </c:pt>
              </c:numCache>
            </c:numRef>
          </c:val>
          <c:extLst>
            <c:ext xmlns:c16="http://schemas.microsoft.com/office/drawing/2014/chart" uri="{C3380CC4-5D6E-409C-BE32-E72D297353CC}">
              <c16:uniqueId val="{00000003-6C60-4AFC-8D70-A8B659828239}"/>
            </c:ext>
          </c:extLst>
        </c:ser>
        <c:ser>
          <c:idx val="4"/>
          <c:order val="4"/>
          <c:tx>
            <c:strRef>
              <c:f>'Structura Ch_an'!$AJ$8:$AK$8</c:f>
              <c:strCache>
                <c:ptCount val="2"/>
                <c:pt idx="0">
                  <c:v>2024</c:v>
                </c:pt>
                <c:pt idx="1">
                  <c:v>CA</c:v>
                </c:pt>
              </c:strCache>
            </c:strRef>
          </c:tx>
          <c:spPr>
            <a:solidFill>
              <a:schemeClr val="accent5"/>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Ch_an'!$AL$8:$AU$8</c:f>
              <c:numCache>
                <c:formatCode>#,##0</c:formatCode>
                <c:ptCount val="10"/>
                <c:pt idx="0">
                  <c:v>122935</c:v>
                </c:pt>
                <c:pt idx="1">
                  <c:v>102572</c:v>
                </c:pt>
                <c:pt idx="2">
                  <c:v>13976</c:v>
                </c:pt>
                <c:pt idx="3">
                  <c:v>0</c:v>
                </c:pt>
                <c:pt idx="4">
                  <c:v>32</c:v>
                </c:pt>
                <c:pt idx="5">
                  <c:v>500</c:v>
                </c:pt>
                <c:pt idx="6">
                  <c:v>725</c:v>
                </c:pt>
                <c:pt idx="7">
                  <c:v>1760</c:v>
                </c:pt>
                <c:pt idx="8">
                  <c:v>2000</c:v>
                </c:pt>
                <c:pt idx="9">
                  <c:v>1370</c:v>
                </c:pt>
              </c:numCache>
            </c:numRef>
          </c:val>
          <c:extLst>
            <c:ext xmlns:c16="http://schemas.microsoft.com/office/drawing/2014/chart" uri="{C3380CC4-5D6E-409C-BE32-E72D297353CC}">
              <c16:uniqueId val="{00000004-6C60-4AFC-8D70-A8B659828239}"/>
            </c:ext>
          </c:extLst>
        </c:ser>
        <c:ser>
          <c:idx val="5"/>
          <c:order val="5"/>
          <c:tx>
            <c:strRef>
              <c:f>'Structura Ch_an'!$AJ$9:$AK$9</c:f>
              <c:strCache>
                <c:ptCount val="2"/>
                <c:pt idx="0">
                  <c:v>2024</c:v>
                </c:pt>
                <c:pt idx="1">
                  <c:v>CB</c:v>
                </c:pt>
              </c:strCache>
            </c:strRef>
          </c:tx>
          <c:spPr>
            <a:solidFill>
              <a:schemeClr val="accent6"/>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Ch_an'!$AL$9:$AU$9</c:f>
              <c:numCache>
                <c:formatCode>#,##0</c:formatCode>
                <c:ptCount val="10"/>
                <c:pt idx="0">
                  <c:v>122210</c:v>
                </c:pt>
                <c:pt idx="1">
                  <c:v>102572</c:v>
                </c:pt>
                <c:pt idx="2">
                  <c:v>13976</c:v>
                </c:pt>
                <c:pt idx="3">
                  <c:v>0</c:v>
                </c:pt>
                <c:pt idx="4">
                  <c:v>32</c:v>
                </c:pt>
                <c:pt idx="5">
                  <c:v>500</c:v>
                </c:pt>
                <c:pt idx="6">
                  <c:v>0</c:v>
                </c:pt>
                <c:pt idx="7">
                  <c:v>1760</c:v>
                </c:pt>
                <c:pt idx="8">
                  <c:v>2000</c:v>
                </c:pt>
                <c:pt idx="9">
                  <c:v>1370</c:v>
                </c:pt>
              </c:numCache>
            </c:numRef>
          </c:val>
          <c:extLst>
            <c:ext xmlns:c16="http://schemas.microsoft.com/office/drawing/2014/chart" uri="{C3380CC4-5D6E-409C-BE32-E72D297353CC}">
              <c16:uniqueId val="{00000005-6C60-4AFC-8D70-A8B659828239}"/>
            </c:ext>
          </c:extLst>
        </c:ser>
        <c:dLbls>
          <c:showLegendKey val="0"/>
          <c:showVal val="0"/>
          <c:showCatName val="0"/>
          <c:showSerName val="0"/>
          <c:showPercent val="0"/>
          <c:showBubbleSize val="0"/>
        </c:dLbls>
        <c:gapWidth val="150"/>
        <c:shape val="box"/>
        <c:axId val="568957520"/>
        <c:axId val="568948816"/>
        <c:axId val="553175376"/>
      </c:bar3DChart>
      <c:catAx>
        <c:axId val="568957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8816"/>
        <c:crosses val="autoZero"/>
        <c:auto val="1"/>
        <c:lblAlgn val="ctr"/>
        <c:lblOffset val="100"/>
        <c:noMultiLvlLbl val="0"/>
      </c:catAx>
      <c:valAx>
        <c:axId val="568948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7520"/>
        <c:crosses val="autoZero"/>
        <c:crossBetween val="between"/>
      </c:valAx>
      <c:serAx>
        <c:axId val="55317537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881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01159230096238"/>
          <c:y val="0.12637175561388159"/>
          <c:w val="0.75966185476815395"/>
          <c:h val="0.45581000291630214"/>
        </c:manualLayout>
      </c:layout>
      <c:bar3DChart>
        <c:barDir val="col"/>
        <c:grouping val="standard"/>
        <c:varyColors val="0"/>
        <c:ser>
          <c:idx val="0"/>
          <c:order val="0"/>
          <c:tx>
            <c:strRef>
              <c:f>'Structura Ch_an'!$O$71:$P$71</c:f>
              <c:strCache>
                <c:ptCount val="2"/>
                <c:pt idx="0">
                  <c:v>2023</c:v>
                </c:pt>
                <c:pt idx="1">
                  <c:v>CA</c:v>
                </c:pt>
              </c:strCache>
            </c:strRef>
          </c:tx>
          <c:spPr>
            <a:solidFill>
              <a:schemeClr val="accent1"/>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Ch_an'!$Q$71:$X$71</c:f>
              <c:numCache>
                <c:formatCode>#,##0</c:formatCode>
                <c:ptCount val="8"/>
                <c:pt idx="0">
                  <c:v>36645</c:v>
                </c:pt>
                <c:pt idx="1">
                  <c:v>33675</c:v>
                </c:pt>
                <c:pt idx="2">
                  <c:v>2309</c:v>
                </c:pt>
                <c:pt idx="3">
                  <c:v>0</c:v>
                </c:pt>
                <c:pt idx="4">
                  <c:v>0</c:v>
                </c:pt>
                <c:pt idx="5">
                  <c:v>196</c:v>
                </c:pt>
                <c:pt idx="6">
                  <c:v>130</c:v>
                </c:pt>
                <c:pt idx="7">
                  <c:v>335</c:v>
                </c:pt>
              </c:numCache>
            </c:numRef>
          </c:val>
          <c:extLst>
            <c:ext xmlns:c16="http://schemas.microsoft.com/office/drawing/2014/chart" uri="{C3380CC4-5D6E-409C-BE32-E72D297353CC}">
              <c16:uniqueId val="{00000000-EC4B-4C88-BA97-671D95C08448}"/>
            </c:ext>
          </c:extLst>
        </c:ser>
        <c:ser>
          <c:idx val="1"/>
          <c:order val="1"/>
          <c:tx>
            <c:strRef>
              <c:f>'Structura Ch_an'!$O$72:$P$72</c:f>
              <c:strCache>
                <c:ptCount val="2"/>
                <c:pt idx="0">
                  <c:v>2023</c:v>
                </c:pt>
                <c:pt idx="1">
                  <c:v>CB</c:v>
                </c:pt>
              </c:strCache>
            </c:strRef>
          </c:tx>
          <c:spPr>
            <a:solidFill>
              <a:schemeClr val="accent2"/>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Ch_an'!$Q$72:$X$72</c:f>
              <c:numCache>
                <c:formatCode>#,##0</c:formatCode>
                <c:ptCount val="8"/>
                <c:pt idx="0">
                  <c:v>36645</c:v>
                </c:pt>
                <c:pt idx="1">
                  <c:v>33675</c:v>
                </c:pt>
                <c:pt idx="2">
                  <c:v>2309</c:v>
                </c:pt>
                <c:pt idx="3">
                  <c:v>0</c:v>
                </c:pt>
                <c:pt idx="4">
                  <c:v>0</c:v>
                </c:pt>
                <c:pt idx="5">
                  <c:v>196</c:v>
                </c:pt>
                <c:pt idx="6">
                  <c:v>130</c:v>
                </c:pt>
                <c:pt idx="7">
                  <c:v>335</c:v>
                </c:pt>
              </c:numCache>
            </c:numRef>
          </c:val>
          <c:extLst>
            <c:ext xmlns:c16="http://schemas.microsoft.com/office/drawing/2014/chart" uri="{C3380CC4-5D6E-409C-BE32-E72D297353CC}">
              <c16:uniqueId val="{00000001-EC4B-4C88-BA97-671D95C08448}"/>
            </c:ext>
          </c:extLst>
        </c:ser>
        <c:ser>
          <c:idx val="2"/>
          <c:order val="2"/>
          <c:tx>
            <c:strRef>
              <c:f>'Structura Ch_an'!$O$73:$P$73</c:f>
              <c:strCache>
                <c:ptCount val="2"/>
                <c:pt idx="0">
                  <c:v>2024</c:v>
                </c:pt>
                <c:pt idx="1">
                  <c:v>CA</c:v>
                </c:pt>
              </c:strCache>
            </c:strRef>
          </c:tx>
          <c:spPr>
            <a:solidFill>
              <a:schemeClr val="accent3"/>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Ch_an'!$Q$73:$X$73</c:f>
              <c:numCache>
                <c:formatCode>#,##0</c:formatCode>
                <c:ptCount val="8"/>
                <c:pt idx="0">
                  <c:v>35382</c:v>
                </c:pt>
                <c:pt idx="1">
                  <c:v>31800</c:v>
                </c:pt>
                <c:pt idx="2">
                  <c:v>3412</c:v>
                </c:pt>
                <c:pt idx="3">
                  <c:v>0</c:v>
                </c:pt>
                <c:pt idx="4">
                  <c:v>0</c:v>
                </c:pt>
                <c:pt idx="5">
                  <c:v>0</c:v>
                </c:pt>
                <c:pt idx="6">
                  <c:v>140</c:v>
                </c:pt>
                <c:pt idx="7">
                  <c:v>30</c:v>
                </c:pt>
              </c:numCache>
            </c:numRef>
          </c:val>
          <c:extLst>
            <c:ext xmlns:c16="http://schemas.microsoft.com/office/drawing/2014/chart" uri="{C3380CC4-5D6E-409C-BE32-E72D297353CC}">
              <c16:uniqueId val="{00000002-EC4B-4C88-BA97-671D95C08448}"/>
            </c:ext>
          </c:extLst>
        </c:ser>
        <c:ser>
          <c:idx val="3"/>
          <c:order val="3"/>
          <c:tx>
            <c:strRef>
              <c:f>'Structura Ch_an'!$O$74:$P$74</c:f>
              <c:strCache>
                <c:ptCount val="2"/>
                <c:pt idx="0">
                  <c:v>2024</c:v>
                </c:pt>
                <c:pt idx="1">
                  <c:v>CB</c:v>
                </c:pt>
              </c:strCache>
            </c:strRef>
          </c:tx>
          <c:spPr>
            <a:solidFill>
              <a:schemeClr val="accent4"/>
            </a:solidFill>
            <a:ln>
              <a:noFill/>
            </a:ln>
            <a:effectLst/>
            <a:sp3d/>
          </c:spPr>
          <c:invertIfNegative val="0"/>
          <c:cat>
            <c:strRef>
              <c:f>'Structura Ch_an'!$Q$70:$X$70</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Ch_an'!$Q$74:$X$74</c:f>
              <c:numCache>
                <c:formatCode>#,##0</c:formatCode>
                <c:ptCount val="8"/>
                <c:pt idx="0">
                  <c:v>35382</c:v>
                </c:pt>
                <c:pt idx="1">
                  <c:v>31800</c:v>
                </c:pt>
                <c:pt idx="2">
                  <c:v>3412</c:v>
                </c:pt>
                <c:pt idx="3">
                  <c:v>0</c:v>
                </c:pt>
                <c:pt idx="4">
                  <c:v>0</c:v>
                </c:pt>
                <c:pt idx="5">
                  <c:v>0</c:v>
                </c:pt>
                <c:pt idx="6">
                  <c:v>140</c:v>
                </c:pt>
                <c:pt idx="7">
                  <c:v>30</c:v>
                </c:pt>
              </c:numCache>
            </c:numRef>
          </c:val>
          <c:extLst>
            <c:ext xmlns:c16="http://schemas.microsoft.com/office/drawing/2014/chart" uri="{C3380CC4-5D6E-409C-BE32-E72D297353CC}">
              <c16:uniqueId val="{00000003-EC4B-4C88-BA97-671D95C08448}"/>
            </c:ext>
          </c:extLst>
        </c:ser>
        <c:dLbls>
          <c:showLegendKey val="0"/>
          <c:showVal val="0"/>
          <c:showCatName val="0"/>
          <c:showSerName val="0"/>
          <c:showPercent val="0"/>
          <c:showBubbleSize val="0"/>
        </c:dLbls>
        <c:gapWidth val="150"/>
        <c:shape val="box"/>
        <c:axId val="772557263"/>
        <c:axId val="937841007"/>
        <c:axId val="318158303"/>
      </c:bar3DChart>
      <c:catAx>
        <c:axId val="7725572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841007"/>
        <c:crosses val="autoZero"/>
        <c:auto val="1"/>
        <c:lblAlgn val="ctr"/>
        <c:lblOffset val="100"/>
        <c:noMultiLvlLbl val="0"/>
      </c:catAx>
      <c:valAx>
        <c:axId val="9378410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557263"/>
        <c:crosses val="autoZero"/>
        <c:crossBetween val="between"/>
      </c:valAx>
      <c:serAx>
        <c:axId val="318158303"/>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841007"/>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Ch_an'!$O$25:$P$25</c:f>
              <c:strCache>
                <c:ptCount val="2"/>
                <c:pt idx="0">
                  <c:v>2022</c:v>
                </c:pt>
                <c:pt idx="1">
                  <c:v>CA</c:v>
                </c:pt>
              </c:strCache>
            </c:strRef>
          </c:tx>
          <c:spPr>
            <a:solidFill>
              <a:schemeClr val="accent1"/>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Ch_an'!$Q$25:$X$25</c:f>
              <c:numCache>
                <c:formatCode>#,##0</c:formatCode>
                <c:ptCount val="8"/>
                <c:pt idx="0">
                  <c:v>40147</c:v>
                </c:pt>
                <c:pt idx="1">
                  <c:v>20680</c:v>
                </c:pt>
                <c:pt idx="2">
                  <c:v>2175</c:v>
                </c:pt>
                <c:pt idx="3">
                  <c:v>6</c:v>
                </c:pt>
                <c:pt idx="4">
                  <c:v>26</c:v>
                </c:pt>
                <c:pt idx="5">
                  <c:v>3056</c:v>
                </c:pt>
                <c:pt idx="6">
                  <c:v>14036</c:v>
                </c:pt>
                <c:pt idx="7">
                  <c:v>168</c:v>
                </c:pt>
              </c:numCache>
            </c:numRef>
          </c:val>
          <c:extLst>
            <c:ext xmlns:c16="http://schemas.microsoft.com/office/drawing/2014/chart" uri="{C3380CC4-5D6E-409C-BE32-E72D297353CC}">
              <c16:uniqueId val="{00000000-5AC4-4764-A72B-DDF62EB3CBD4}"/>
            </c:ext>
          </c:extLst>
        </c:ser>
        <c:ser>
          <c:idx val="1"/>
          <c:order val="1"/>
          <c:tx>
            <c:strRef>
              <c:f>'Structura Ch_an'!$O$26:$P$26</c:f>
              <c:strCache>
                <c:ptCount val="2"/>
                <c:pt idx="0">
                  <c:v>2022</c:v>
                </c:pt>
                <c:pt idx="1">
                  <c:v>CB</c:v>
                </c:pt>
              </c:strCache>
            </c:strRef>
          </c:tx>
          <c:spPr>
            <a:solidFill>
              <a:schemeClr val="accent2"/>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Ch_an'!$Q$26:$X$26</c:f>
              <c:numCache>
                <c:formatCode>#,##0</c:formatCode>
                <c:ptCount val="8"/>
                <c:pt idx="0">
                  <c:v>41810</c:v>
                </c:pt>
                <c:pt idx="1">
                  <c:v>20680</c:v>
                </c:pt>
                <c:pt idx="2">
                  <c:v>2175</c:v>
                </c:pt>
                <c:pt idx="3">
                  <c:v>6</c:v>
                </c:pt>
                <c:pt idx="4">
                  <c:v>26</c:v>
                </c:pt>
                <c:pt idx="5">
                  <c:v>4805</c:v>
                </c:pt>
                <c:pt idx="6">
                  <c:v>13950</c:v>
                </c:pt>
                <c:pt idx="7">
                  <c:v>168</c:v>
                </c:pt>
              </c:numCache>
            </c:numRef>
          </c:val>
          <c:extLst>
            <c:ext xmlns:c16="http://schemas.microsoft.com/office/drawing/2014/chart" uri="{C3380CC4-5D6E-409C-BE32-E72D297353CC}">
              <c16:uniqueId val="{00000001-5AC4-4764-A72B-DDF62EB3CBD4}"/>
            </c:ext>
          </c:extLst>
        </c:ser>
        <c:ser>
          <c:idx val="2"/>
          <c:order val="2"/>
          <c:tx>
            <c:strRef>
              <c:f>'Structura Ch_an'!$O$27:$P$27</c:f>
              <c:strCache>
                <c:ptCount val="2"/>
                <c:pt idx="0">
                  <c:v>2023</c:v>
                </c:pt>
                <c:pt idx="1">
                  <c:v>CA</c:v>
                </c:pt>
              </c:strCache>
            </c:strRef>
          </c:tx>
          <c:spPr>
            <a:solidFill>
              <a:schemeClr val="accent3"/>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Ch_an'!$Q$27:$X$27</c:f>
              <c:numCache>
                <c:formatCode>#,##0</c:formatCode>
                <c:ptCount val="8"/>
                <c:pt idx="0">
                  <c:v>72088</c:v>
                </c:pt>
                <c:pt idx="1">
                  <c:v>29230</c:v>
                </c:pt>
                <c:pt idx="2">
                  <c:v>2523</c:v>
                </c:pt>
                <c:pt idx="3">
                  <c:v>8</c:v>
                </c:pt>
                <c:pt idx="4">
                  <c:v>26</c:v>
                </c:pt>
                <c:pt idx="5">
                  <c:v>1997</c:v>
                </c:pt>
                <c:pt idx="6">
                  <c:v>38285</c:v>
                </c:pt>
                <c:pt idx="7">
                  <c:v>19</c:v>
                </c:pt>
              </c:numCache>
            </c:numRef>
          </c:val>
          <c:extLst>
            <c:ext xmlns:c16="http://schemas.microsoft.com/office/drawing/2014/chart" uri="{C3380CC4-5D6E-409C-BE32-E72D297353CC}">
              <c16:uniqueId val="{00000002-5AC4-4764-A72B-DDF62EB3CBD4}"/>
            </c:ext>
          </c:extLst>
        </c:ser>
        <c:ser>
          <c:idx val="3"/>
          <c:order val="3"/>
          <c:tx>
            <c:strRef>
              <c:f>'Structura Ch_an'!$O$28:$P$28</c:f>
              <c:strCache>
                <c:ptCount val="2"/>
                <c:pt idx="0">
                  <c:v>2023</c:v>
                </c:pt>
                <c:pt idx="1">
                  <c:v>CB</c:v>
                </c:pt>
              </c:strCache>
            </c:strRef>
          </c:tx>
          <c:spPr>
            <a:solidFill>
              <a:schemeClr val="accent4"/>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Ch_an'!$Q$28:$X$28</c:f>
              <c:numCache>
                <c:formatCode>#,##0</c:formatCode>
                <c:ptCount val="8"/>
                <c:pt idx="0">
                  <c:v>74127</c:v>
                </c:pt>
                <c:pt idx="1">
                  <c:v>29230</c:v>
                </c:pt>
                <c:pt idx="2">
                  <c:v>2523</c:v>
                </c:pt>
                <c:pt idx="3">
                  <c:v>8</c:v>
                </c:pt>
                <c:pt idx="4">
                  <c:v>26</c:v>
                </c:pt>
                <c:pt idx="5">
                  <c:v>4036</c:v>
                </c:pt>
                <c:pt idx="6">
                  <c:v>38285</c:v>
                </c:pt>
                <c:pt idx="7">
                  <c:v>19</c:v>
                </c:pt>
              </c:numCache>
            </c:numRef>
          </c:val>
          <c:extLst>
            <c:ext xmlns:c16="http://schemas.microsoft.com/office/drawing/2014/chart" uri="{C3380CC4-5D6E-409C-BE32-E72D297353CC}">
              <c16:uniqueId val="{00000003-5AC4-4764-A72B-DDF62EB3CBD4}"/>
            </c:ext>
          </c:extLst>
        </c:ser>
        <c:ser>
          <c:idx val="4"/>
          <c:order val="4"/>
          <c:tx>
            <c:strRef>
              <c:f>'Structura Ch_an'!$O$29:$P$29</c:f>
              <c:strCache>
                <c:ptCount val="2"/>
                <c:pt idx="0">
                  <c:v>2024</c:v>
                </c:pt>
                <c:pt idx="1">
                  <c:v>CA</c:v>
                </c:pt>
              </c:strCache>
            </c:strRef>
          </c:tx>
          <c:spPr>
            <a:solidFill>
              <a:schemeClr val="accent5"/>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Ch_an'!$Q$29:$X$29</c:f>
              <c:numCache>
                <c:formatCode>#,##0</c:formatCode>
                <c:ptCount val="8"/>
                <c:pt idx="0">
                  <c:v>70588</c:v>
                </c:pt>
                <c:pt idx="1">
                  <c:v>25540</c:v>
                </c:pt>
                <c:pt idx="2">
                  <c:v>7744</c:v>
                </c:pt>
                <c:pt idx="3">
                  <c:v>30</c:v>
                </c:pt>
                <c:pt idx="4">
                  <c:v>28</c:v>
                </c:pt>
                <c:pt idx="5">
                  <c:v>216</c:v>
                </c:pt>
                <c:pt idx="6">
                  <c:v>37000</c:v>
                </c:pt>
                <c:pt idx="7">
                  <c:v>30</c:v>
                </c:pt>
              </c:numCache>
            </c:numRef>
          </c:val>
          <c:extLst>
            <c:ext xmlns:c16="http://schemas.microsoft.com/office/drawing/2014/chart" uri="{C3380CC4-5D6E-409C-BE32-E72D297353CC}">
              <c16:uniqueId val="{00000004-5AC4-4764-A72B-DDF62EB3CBD4}"/>
            </c:ext>
          </c:extLst>
        </c:ser>
        <c:ser>
          <c:idx val="5"/>
          <c:order val="5"/>
          <c:tx>
            <c:strRef>
              <c:f>'Structura Ch_an'!$O$30:$P$30</c:f>
              <c:strCache>
                <c:ptCount val="2"/>
                <c:pt idx="0">
                  <c:v>2024</c:v>
                </c:pt>
                <c:pt idx="1">
                  <c:v>CB</c:v>
                </c:pt>
              </c:strCache>
            </c:strRef>
          </c:tx>
          <c:spPr>
            <a:solidFill>
              <a:schemeClr val="accent6"/>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Ch_an'!$Q$30:$X$30</c:f>
              <c:numCache>
                <c:formatCode>#,##0</c:formatCode>
                <c:ptCount val="8"/>
                <c:pt idx="0">
                  <c:v>70372</c:v>
                </c:pt>
                <c:pt idx="1">
                  <c:v>25540</c:v>
                </c:pt>
                <c:pt idx="2">
                  <c:v>7744</c:v>
                </c:pt>
                <c:pt idx="3">
                  <c:v>30</c:v>
                </c:pt>
                <c:pt idx="4">
                  <c:v>28</c:v>
                </c:pt>
                <c:pt idx="5">
                  <c:v>0</c:v>
                </c:pt>
                <c:pt idx="6">
                  <c:v>37000</c:v>
                </c:pt>
                <c:pt idx="7">
                  <c:v>30</c:v>
                </c:pt>
              </c:numCache>
            </c:numRef>
          </c:val>
          <c:extLst>
            <c:ext xmlns:c16="http://schemas.microsoft.com/office/drawing/2014/chart" uri="{C3380CC4-5D6E-409C-BE32-E72D297353CC}">
              <c16:uniqueId val="{00000005-5AC4-4764-A72B-DDF62EB3CBD4}"/>
            </c:ext>
          </c:extLst>
        </c:ser>
        <c:dLbls>
          <c:showLegendKey val="0"/>
          <c:showVal val="0"/>
          <c:showCatName val="0"/>
          <c:showSerName val="0"/>
          <c:showPercent val="0"/>
          <c:showBubbleSize val="0"/>
        </c:dLbls>
        <c:gapWidth val="150"/>
        <c:shape val="box"/>
        <c:axId val="568954256"/>
        <c:axId val="568949360"/>
        <c:axId val="553176000"/>
      </c:bar3DChart>
      <c:catAx>
        <c:axId val="568954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9360"/>
        <c:crosses val="autoZero"/>
        <c:auto val="1"/>
        <c:lblAlgn val="ctr"/>
        <c:lblOffset val="100"/>
        <c:noMultiLvlLbl val="0"/>
      </c:catAx>
      <c:valAx>
        <c:axId val="568949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4256"/>
        <c:crosses val="autoZero"/>
        <c:crossBetween val="between"/>
      </c:valAx>
      <c:serAx>
        <c:axId val="5531760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493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Ch_an'!$O$46:$P$46</c:f>
              <c:strCache>
                <c:ptCount val="2"/>
                <c:pt idx="0">
                  <c:v>2022</c:v>
                </c:pt>
                <c:pt idx="1">
                  <c:v>CA</c:v>
                </c:pt>
              </c:strCache>
            </c:strRef>
          </c:tx>
          <c:spPr>
            <a:solidFill>
              <a:schemeClr val="accent1"/>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Ch_an'!$Q$46:$X$46</c:f>
              <c:numCache>
                <c:formatCode>#,##0</c:formatCode>
                <c:ptCount val="8"/>
                <c:pt idx="0">
                  <c:v>18557</c:v>
                </c:pt>
                <c:pt idx="1">
                  <c:v>10077</c:v>
                </c:pt>
                <c:pt idx="2">
                  <c:v>439</c:v>
                </c:pt>
                <c:pt idx="3">
                  <c:v>0</c:v>
                </c:pt>
                <c:pt idx="4">
                  <c:v>0</c:v>
                </c:pt>
                <c:pt idx="5">
                  <c:v>4787</c:v>
                </c:pt>
                <c:pt idx="6">
                  <c:v>3097</c:v>
                </c:pt>
                <c:pt idx="7">
                  <c:v>157</c:v>
                </c:pt>
              </c:numCache>
            </c:numRef>
          </c:val>
          <c:extLst>
            <c:ext xmlns:c16="http://schemas.microsoft.com/office/drawing/2014/chart" uri="{C3380CC4-5D6E-409C-BE32-E72D297353CC}">
              <c16:uniqueId val="{00000000-4AE5-4AA5-A787-29E8BD188486}"/>
            </c:ext>
          </c:extLst>
        </c:ser>
        <c:ser>
          <c:idx val="1"/>
          <c:order val="1"/>
          <c:tx>
            <c:strRef>
              <c:f>'Structura Ch_an'!$O$47:$P$47</c:f>
              <c:strCache>
                <c:ptCount val="2"/>
                <c:pt idx="0">
                  <c:v>2022</c:v>
                </c:pt>
                <c:pt idx="1">
                  <c:v>CB</c:v>
                </c:pt>
              </c:strCache>
            </c:strRef>
          </c:tx>
          <c:spPr>
            <a:solidFill>
              <a:schemeClr val="accent2"/>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Ch_an'!$Q$47:$X$47</c:f>
              <c:numCache>
                <c:formatCode>#,##0</c:formatCode>
                <c:ptCount val="8"/>
                <c:pt idx="0">
                  <c:v>16793</c:v>
                </c:pt>
                <c:pt idx="1">
                  <c:v>10077</c:v>
                </c:pt>
                <c:pt idx="2">
                  <c:v>439</c:v>
                </c:pt>
                <c:pt idx="3">
                  <c:v>0</c:v>
                </c:pt>
                <c:pt idx="4">
                  <c:v>0</c:v>
                </c:pt>
                <c:pt idx="5">
                  <c:v>3023</c:v>
                </c:pt>
                <c:pt idx="6">
                  <c:v>3097</c:v>
                </c:pt>
                <c:pt idx="7">
                  <c:v>157</c:v>
                </c:pt>
              </c:numCache>
            </c:numRef>
          </c:val>
          <c:extLst>
            <c:ext xmlns:c16="http://schemas.microsoft.com/office/drawing/2014/chart" uri="{C3380CC4-5D6E-409C-BE32-E72D297353CC}">
              <c16:uniqueId val="{00000001-4AE5-4AA5-A787-29E8BD188486}"/>
            </c:ext>
          </c:extLst>
        </c:ser>
        <c:ser>
          <c:idx val="2"/>
          <c:order val="2"/>
          <c:tx>
            <c:strRef>
              <c:f>'Structura Ch_an'!$O$48:$P$48</c:f>
              <c:strCache>
                <c:ptCount val="2"/>
                <c:pt idx="0">
                  <c:v>2023</c:v>
                </c:pt>
                <c:pt idx="1">
                  <c:v>CA</c:v>
                </c:pt>
              </c:strCache>
            </c:strRef>
          </c:tx>
          <c:spPr>
            <a:solidFill>
              <a:schemeClr val="accent3"/>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Ch_an'!$Q$48:$X$48</c:f>
              <c:numCache>
                <c:formatCode>#,##0</c:formatCode>
                <c:ptCount val="8"/>
                <c:pt idx="0">
                  <c:v>13300</c:v>
                </c:pt>
                <c:pt idx="1">
                  <c:v>10735</c:v>
                </c:pt>
                <c:pt idx="2">
                  <c:v>454</c:v>
                </c:pt>
                <c:pt idx="3">
                  <c:v>0</c:v>
                </c:pt>
                <c:pt idx="4">
                  <c:v>0</c:v>
                </c:pt>
                <c:pt idx="5">
                  <c:v>791</c:v>
                </c:pt>
                <c:pt idx="6">
                  <c:v>1275</c:v>
                </c:pt>
                <c:pt idx="7">
                  <c:v>45</c:v>
                </c:pt>
              </c:numCache>
            </c:numRef>
          </c:val>
          <c:extLst>
            <c:ext xmlns:c16="http://schemas.microsoft.com/office/drawing/2014/chart" uri="{C3380CC4-5D6E-409C-BE32-E72D297353CC}">
              <c16:uniqueId val="{00000002-4AE5-4AA5-A787-29E8BD188486}"/>
            </c:ext>
          </c:extLst>
        </c:ser>
        <c:ser>
          <c:idx val="3"/>
          <c:order val="3"/>
          <c:tx>
            <c:strRef>
              <c:f>'Structura Ch_an'!$O$49:$P$49</c:f>
              <c:strCache>
                <c:ptCount val="2"/>
                <c:pt idx="0">
                  <c:v>2023</c:v>
                </c:pt>
                <c:pt idx="1">
                  <c:v>CB</c:v>
                </c:pt>
              </c:strCache>
            </c:strRef>
          </c:tx>
          <c:spPr>
            <a:solidFill>
              <a:schemeClr val="accent4"/>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Ch_an'!$Q$49:$X$49</c:f>
              <c:numCache>
                <c:formatCode>#,##0</c:formatCode>
                <c:ptCount val="8"/>
                <c:pt idx="0">
                  <c:v>14993</c:v>
                </c:pt>
                <c:pt idx="1">
                  <c:v>10735</c:v>
                </c:pt>
                <c:pt idx="2">
                  <c:v>454</c:v>
                </c:pt>
                <c:pt idx="3">
                  <c:v>0</c:v>
                </c:pt>
                <c:pt idx="4">
                  <c:v>0</c:v>
                </c:pt>
                <c:pt idx="5">
                  <c:v>2484</c:v>
                </c:pt>
                <c:pt idx="6">
                  <c:v>1275</c:v>
                </c:pt>
                <c:pt idx="7">
                  <c:v>45</c:v>
                </c:pt>
              </c:numCache>
            </c:numRef>
          </c:val>
          <c:extLst>
            <c:ext xmlns:c16="http://schemas.microsoft.com/office/drawing/2014/chart" uri="{C3380CC4-5D6E-409C-BE32-E72D297353CC}">
              <c16:uniqueId val="{00000003-4AE5-4AA5-A787-29E8BD188486}"/>
            </c:ext>
          </c:extLst>
        </c:ser>
        <c:ser>
          <c:idx val="4"/>
          <c:order val="4"/>
          <c:tx>
            <c:strRef>
              <c:f>'Structura Ch_an'!$O$50:$P$50</c:f>
              <c:strCache>
                <c:ptCount val="2"/>
                <c:pt idx="0">
                  <c:v>2024</c:v>
                </c:pt>
                <c:pt idx="1">
                  <c:v>CA</c:v>
                </c:pt>
              </c:strCache>
            </c:strRef>
          </c:tx>
          <c:spPr>
            <a:solidFill>
              <a:schemeClr val="accent5"/>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Ch_an'!$Q$50:$X$50</c:f>
              <c:numCache>
                <c:formatCode>#,##0</c:formatCode>
                <c:ptCount val="8"/>
                <c:pt idx="0">
                  <c:v>15306</c:v>
                </c:pt>
                <c:pt idx="1">
                  <c:v>10288</c:v>
                </c:pt>
                <c:pt idx="2">
                  <c:v>3868</c:v>
                </c:pt>
                <c:pt idx="3">
                  <c:v>0</c:v>
                </c:pt>
                <c:pt idx="4">
                  <c:v>0</c:v>
                </c:pt>
                <c:pt idx="5">
                  <c:v>0</c:v>
                </c:pt>
                <c:pt idx="6">
                  <c:v>1100</c:v>
                </c:pt>
                <c:pt idx="7">
                  <c:v>50</c:v>
                </c:pt>
              </c:numCache>
            </c:numRef>
          </c:val>
          <c:extLst>
            <c:ext xmlns:c16="http://schemas.microsoft.com/office/drawing/2014/chart" uri="{C3380CC4-5D6E-409C-BE32-E72D297353CC}">
              <c16:uniqueId val="{00000004-4AE5-4AA5-A787-29E8BD188486}"/>
            </c:ext>
          </c:extLst>
        </c:ser>
        <c:ser>
          <c:idx val="5"/>
          <c:order val="5"/>
          <c:tx>
            <c:strRef>
              <c:f>'Structura Ch_an'!$O$51:$P$51</c:f>
              <c:strCache>
                <c:ptCount val="2"/>
                <c:pt idx="0">
                  <c:v>2024</c:v>
                </c:pt>
                <c:pt idx="1">
                  <c:v>CB</c:v>
                </c:pt>
              </c:strCache>
            </c:strRef>
          </c:tx>
          <c:spPr>
            <a:solidFill>
              <a:schemeClr val="accent6"/>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Ch_an'!$Q$51:$X$51</c:f>
              <c:numCache>
                <c:formatCode>#,##0</c:formatCode>
                <c:ptCount val="8"/>
                <c:pt idx="0">
                  <c:v>15306</c:v>
                </c:pt>
                <c:pt idx="1">
                  <c:v>10288</c:v>
                </c:pt>
                <c:pt idx="2">
                  <c:v>3868</c:v>
                </c:pt>
                <c:pt idx="3">
                  <c:v>0</c:v>
                </c:pt>
                <c:pt idx="4">
                  <c:v>0</c:v>
                </c:pt>
                <c:pt idx="5">
                  <c:v>0</c:v>
                </c:pt>
                <c:pt idx="6">
                  <c:v>1100</c:v>
                </c:pt>
                <c:pt idx="7">
                  <c:v>50</c:v>
                </c:pt>
              </c:numCache>
            </c:numRef>
          </c:val>
          <c:extLst>
            <c:ext xmlns:c16="http://schemas.microsoft.com/office/drawing/2014/chart" uri="{C3380CC4-5D6E-409C-BE32-E72D297353CC}">
              <c16:uniqueId val="{00000005-4AE5-4AA5-A787-29E8BD188486}"/>
            </c:ext>
          </c:extLst>
        </c:ser>
        <c:dLbls>
          <c:showLegendKey val="0"/>
          <c:showVal val="0"/>
          <c:showCatName val="0"/>
          <c:showSerName val="0"/>
          <c:showPercent val="0"/>
          <c:showBubbleSize val="0"/>
        </c:dLbls>
        <c:gapWidth val="150"/>
        <c:shape val="box"/>
        <c:axId val="568953168"/>
        <c:axId val="568954800"/>
        <c:axId val="553176624"/>
      </c:bar3DChart>
      <c:catAx>
        <c:axId val="568953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4800"/>
        <c:crosses val="autoZero"/>
        <c:auto val="1"/>
        <c:lblAlgn val="ctr"/>
        <c:lblOffset val="100"/>
        <c:noMultiLvlLbl val="0"/>
      </c:catAx>
      <c:valAx>
        <c:axId val="568954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3168"/>
        <c:crosses val="autoZero"/>
        <c:crossBetween val="between"/>
      </c:valAx>
      <c:serAx>
        <c:axId val="5531766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9548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STRUCTURA BUGETULUI  C.S.M - CREDITE</a:t>
            </a:r>
            <a:r>
              <a:rPr lang="en-US" baseline="0"/>
              <a:t> DE ANGAJAMENT </a:t>
            </a:r>
            <a:r>
              <a:rPr lang="en-US"/>
              <a:t>PE ANUL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Struct.buget!$B$1:$B$3</c:f>
              <c:strCache>
                <c:ptCount val="3"/>
                <c:pt idx="0">
                  <c:v>STRUCTURA BUGETULUI PE ANUL 2023</c:v>
                </c:pt>
                <c:pt idx="2">
                  <c:v>Credite de
angajament CA</c:v>
                </c:pt>
              </c:strCache>
            </c:strRef>
          </c:tx>
          <c:dPt>
            <c:idx val="0"/>
            <c:bubble3D val="0"/>
            <c:explosion val="1"/>
            <c:spPr>
              <a:solidFill>
                <a:schemeClr val="accent1"/>
              </a:solidFill>
              <a:ln w="19050">
                <a:solidFill>
                  <a:schemeClr val="lt1"/>
                </a:solidFill>
              </a:ln>
              <a:effectLst/>
            </c:spPr>
            <c:extLst>
              <c:ext xmlns:c16="http://schemas.microsoft.com/office/drawing/2014/chart" uri="{C3380CC4-5D6E-409C-BE32-E72D297353CC}">
                <c16:uniqueId val="{00000001-DF03-424C-9D67-9DCEBE3B55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03-424C-9D67-9DCEBE3B55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03-424C-9D67-9DCEBE3B55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F03-424C-9D67-9DCEBE3B55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F03-424C-9D67-9DCEBE3B55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F03-424C-9D67-9DCEBE3B55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F03-424C-9D67-9DCEBE3B55C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F03-424C-9D67-9DCEBE3B55C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F03-424C-9D67-9DCEBE3B55C0}"/>
              </c:ext>
            </c:extLst>
          </c:dPt>
          <c:dLbls>
            <c:dLbl>
              <c:idx val="1"/>
              <c:layout>
                <c:manualLayout>
                  <c:x val="0.24015146106736657"/>
                  <c:y val="0.176933434622356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F03-424C-9D67-9DCEBE3B55C0}"/>
                </c:ext>
              </c:extLst>
            </c:dLbl>
            <c:dLbl>
              <c:idx val="2"/>
              <c:layout>
                <c:manualLayout>
                  <c:x val="0.13120405949256336"/>
                  <c:y val="0.1722242989151624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F03-424C-9D67-9DCEBE3B55C0}"/>
                </c:ext>
              </c:extLst>
            </c:dLbl>
            <c:dLbl>
              <c:idx val="3"/>
              <c:layout>
                <c:manualLayout>
                  <c:x val="1.7410463692038494E-2"/>
                  <c:y val="9.2785890278263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F03-424C-9D67-9DCEBE3B55C0}"/>
                </c:ext>
              </c:extLst>
            </c:dLbl>
            <c:dLbl>
              <c:idx val="4"/>
              <c:layout>
                <c:manualLayout>
                  <c:x val="-8.2562239720034999E-2"/>
                  <c:y val="-1.57933703922538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F03-424C-9D67-9DCEBE3B55C0}"/>
                </c:ext>
              </c:extLst>
            </c:dLbl>
            <c:dLbl>
              <c:idx val="6"/>
              <c:layout>
                <c:manualLayout>
                  <c:x val="-4.6936114732724937E-2"/>
                  <c:y val="4.569339730408955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F03-424C-9D67-9DCEBE3B55C0}"/>
                </c:ext>
              </c:extLst>
            </c:dLbl>
            <c:dLbl>
              <c:idx val="7"/>
              <c:layout>
                <c:manualLayout>
                  <c:x val="0.31644444444444442"/>
                  <c:y val="4.69627360898417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F03-424C-9D67-9DCEBE3B55C0}"/>
                </c:ext>
              </c:extLst>
            </c:dLbl>
            <c:dLbl>
              <c:idx val="8"/>
              <c:layout>
                <c:manualLayout>
                  <c:x val="0.34335678040244971"/>
                  <c:y val="0.11064652140534502"/>
                </c:manualLayout>
              </c:layout>
              <c:tx>
                <c:rich>
                  <a:bodyPr/>
                  <a:lstStyle/>
                  <a:p>
                    <a:fld id="{874E9A7B-14A3-4226-B96F-82280FD79C98}" type="CATEGORYNAME">
                      <a:rPr lang="en-US"/>
                      <a:pPr/>
                      <a:t>[CATEGORY NAME]</a:t>
                    </a:fld>
                    <a:r>
                      <a:rPr lang="en-US" baseline="0"/>
                      <a:t>
0.20%</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DF03-424C-9D67-9DCEBE3B55C0}"/>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Struct.buget!$B$4:$B$12</c:f>
              <c:numCache>
                <c:formatCode>#,##0</c:formatCode>
                <c:ptCount val="9"/>
                <c:pt idx="0">
                  <c:v>174732</c:v>
                </c:pt>
                <c:pt idx="1">
                  <c:v>13324</c:v>
                </c:pt>
                <c:pt idx="2">
                  <c:v>8</c:v>
                </c:pt>
                <c:pt idx="3">
                  <c:v>52</c:v>
                </c:pt>
                <c:pt idx="4">
                  <c:v>0</c:v>
                </c:pt>
                <c:pt idx="5">
                  <c:v>43260</c:v>
                </c:pt>
                <c:pt idx="6">
                  <c:v>41593</c:v>
                </c:pt>
                <c:pt idx="7">
                  <c:v>3927</c:v>
                </c:pt>
                <c:pt idx="8">
                  <c:v>529</c:v>
                </c:pt>
              </c:numCache>
            </c:numRef>
          </c:val>
          <c:extLst>
            <c:ext xmlns:c16="http://schemas.microsoft.com/office/drawing/2014/chart" uri="{C3380CC4-5D6E-409C-BE32-E72D297353CC}">
              <c16:uniqueId val="{00000012-DF03-424C-9D67-9DCEBE3B55C0}"/>
            </c:ext>
          </c:extLst>
        </c:ser>
        <c:ser>
          <c:idx val="1"/>
          <c:order val="1"/>
          <c:tx>
            <c:strRef>
              <c:f>Struct.buget!$C$1:$C$3</c:f>
              <c:strCache>
                <c:ptCount val="3"/>
                <c:pt idx="0">
                  <c:v>STRUCTURA BUGETULUI PE ANUL 2023</c:v>
                </c:pt>
                <c:pt idx="2">
                  <c:v>% CA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14-DF03-424C-9D67-9DCEBE3B55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6-DF03-424C-9D67-9DCEBE3B55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8-DF03-424C-9D67-9DCEBE3B55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A-DF03-424C-9D67-9DCEBE3B55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C-DF03-424C-9D67-9DCEBE3B55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1E-DF03-424C-9D67-9DCEBE3B55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0-DF03-424C-9D67-9DCEBE3B55C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22-DF03-424C-9D67-9DCEBE3B55C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24-DF03-424C-9D67-9DCEBE3B55C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Struct.buget!$C$4:$C$12</c:f>
              <c:numCache>
                <c:formatCode>#,##0.00</c:formatCode>
                <c:ptCount val="9"/>
                <c:pt idx="0">
                  <c:v>62.983509056501752</c:v>
                </c:pt>
                <c:pt idx="1">
                  <c:v>4.8027394791385056</c:v>
                </c:pt>
                <c:pt idx="2">
                  <c:v>2.8836622510588447E-3</c:v>
                </c:pt>
                <c:pt idx="3">
                  <c:v>1.8743804631882494E-2</c:v>
                </c:pt>
                <c:pt idx="4">
                  <c:v>0</c:v>
                </c:pt>
                <c:pt idx="5">
                  <c:v>15.593403622600702</c:v>
                </c:pt>
                <c:pt idx="6">
                  <c:v>14.992520501036315</c:v>
                </c:pt>
                <c:pt idx="7">
                  <c:v>1.4155177074885106</c:v>
                </c:pt>
                <c:pt idx="8">
                  <c:v>0.19068216635126611</c:v>
                </c:pt>
              </c:numCache>
            </c:numRef>
          </c:val>
          <c:extLst>
            <c:ext xmlns:c16="http://schemas.microsoft.com/office/drawing/2014/chart" uri="{C3380CC4-5D6E-409C-BE32-E72D297353CC}">
              <c16:uniqueId val="{00000025-DF03-424C-9D67-9DCEBE3B55C0}"/>
            </c:ext>
          </c:extLst>
        </c:ser>
        <c:ser>
          <c:idx val="2"/>
          <c:order val="2"/>
          <c:tx>
            <c:strRef>
              <c:f>Struct.buget!$D$1:$D$3</c:f>
              <c:strCache>
                <c:ptCount val="3"/>
                <c:pt idx="0">
                  <c:v>STRUCTURA BUGETULUI PE ANUL 2023</c:v>
                </c:pt>
                <c:pt idx="2">
                  <c:v>Credite
 Bugetare CB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27-DF03-424C-9D67-9DCEBE3B55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9-DF03-424C-9D67-9DCEBE3B55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B-DF03-424C-9D67-9DCEBE3B55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D-DF03-424C-9D67-9DCEBE3B55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F-DF03-424C-9D67-9DCEBE3B55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31-DF03-424C-9D67-9DCEBE3B55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33-DF03-424C-9D67-9DCEBE3B55C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35-DF03-424C-9D67-9DCEBE3B55C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37-DF03-424C-9D67-9DCEBE3B55C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Struct.buget!$D$4:$D$12</c:f>
              <c:numCache>
                <c:formatCode>#,##0</c:formatCode>
                <c:ptCount val="9"/>
                <c:pt idx="0">
                  <c:v>174732</c:v>
                </c:pt>
                <c:pt idx="1">
                  <c:v>13324</c:v>
                </c:pt>
                <c:pt idx="2">
                  <c:v>8</c:v>
                </c:pt>
                <c:pt idx="3">
                  <c:v>52</c:v>
                </c:pt>
                <c:pt idx="4">
                  <c:v>0</c:v>
                </c:pt>
                <c:pt idx="5">
                  <c:v>66883</c:v>
                </c:pt>
                <c:pt idx="6">
                  <c:v>41593</c:v>
                </c:pt>
                <c:pt idx="7">
                  <c:v>1949</c:v>
                </c:pt>
                <c:pt idx="8">
                  <c:v>529</c:v>
                </c:pt>
              </c:numCache>
            </c:numRef>
          </c:val>
          <c:extLst>
            <c:ext xmlns:c16="http://schemas.microsoft.com/office/drawing/2014/chart" uri="{C3380CC4-5D6E-409C-BE32-E72D297353CC}">
              <c16:uniqueId val="{00000038-DF03-424C-9D67-9DCEBE3B55C0}"/>
            </c:ext>
          </c:extLst>
        </c:ser>
        <c:ser>
          <c:idx val="3"/>
          <c:order val="3"/>
          <c:tx>
            <c:strRef>
              <c:f>Struct.buget!$E$1:$E$3</c:f>
              <c:strCache>
                <c:ptCount val="3"/>
                <c:pt idx="0">
                  <c:v>STRUCTURA BUGETULUI PE ANUL 2023</c:v>
                </c:pt>
                <c:pt idx="2">
                  <c:v>% CB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3A-DF03-424C-9D67-9DCEBE3B55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3C-DF03-424C-9D67-9DCEBE3B55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3E-DF03-424C-9D67-9DCEBE3B55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40-DF03-424C-9D67-9DCEBE3B55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42-DF03-424C-9D67-9DCEBE3B55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44-DF03-424C-9D67-9DCEBE3B55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46-DF03-424C-9D67-9DCEBE3B55C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48-DF03-424C-9D67-9DCEBE3B55C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4A-DF03-424C-9D67-9DCEBE3B55C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Struct.buget!$A$4:$A$12</c:f>
              <c:strCache>
                <c:ptCount val="9"/>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Proiecte cu finanțate din sumele reprezentând asistență financiară PNRR</c:v>
                </c:pt>
                <c:pt idx="8">
                  <c:v>Cheltuieli de capital</c:v>
                </c:pt>
              </c:strCache>
            </c:strRef>
          </c:cat>
          <c:val>
            <c:numRef>
              <c:f>Struct.buget!$E$4:$E$12</c:f>
              <c:numCache>
                <c:formatCode>0.00</c:formatCode>
                <c:ptCount val="9"/>
                <c:pt idx="0">
                  <c:v>58.425117865382681</c:v>
                </c:pt>
                <c:pt idx="1">
                  <c:v>4.4551442806032027</c:v>
                </c:pt>
                <c:pt idx="2">
                  <c:v>2.6749590396897048E-3</c:v>
                </c:pt>
                <c:pt idx="3">
                  <c:v>1.7387233757983081E-2</c:v>
                </c:pt>
                <c:pt idx="4">
                  <c:v>0</c:v>
                </c:pt>
                <c:pt idx="5">
                  <c:v>22.363660681445815</c:v>
                </c:pt>
                <c:pt idx="6">
                  <c:v>13.907446417226737</c:v>
                </c:pt>
                <c:pt idx="7">
                  <c:v>0.65168689604440433</c:v>
                </c:pt>
                <c:pt idx="8">
                  <c:v>0.17688166649948173</c:v>
                </c:pt>
              </c:numCache>
            </c:numRef>
          </c:val>
          <c:extLst>
            <c:ext xmlns:c16="http://schemas.microsoft.com/office/drawing/2014/chart" uri="{C3380CC4-5D6E-409C-BE32-E72D297353CC}">
              <c16:uniqueId val="{0000004B-DF03-424C-9D67-9DCEBE3B55C0}"/>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9.061193350831144E-2"/>
          <c:y val="0.76441459365818165"/>
          <c:w val="0.47922057742782154"/>
          <c:h val="0.22147486201661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59CA3-3B5A-4188-983A-807456F3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141</Pages>
  <Words>73460</Words>
  <Characters>418726</Characters>
  <DocSecurity>0</DocSecurity>
  <Lines>3489</Lines>
  <Paragraphs>982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491204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2024-01-04T11:01:00Z</cp:lastPrinted>
  <dcterms:created xsi:type="dcterms:W3CDTF">2024-03-29T08:36:00Z</dcterms:created>
  <dcterms:modified xsi:type="dcterms:W3CDTF">2024-03-29T08:36:00Z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9531a764f5aef5b79bbf34e06f9b6f7ea4befd9adda7f6c6acea613c7e45455b</vt:lpwstr>
  </property>
</Properties>
</file>