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7B65" w:rsidRPr="00A5269A" w:rsidRDefault="004F7B65" w:rsidP="00A5269A">
      <w:pPr>
        <w:pStyle w:val="DecHCase"/>
        <w:keepNext w:val="0"/>
        <w:keepLines w:val="0"/>
        <w:widowControl w:val="0"/>
        <w:jc w:val="right"/>
        <w:rPr>
          <w:i/>
        </w:rPr>
      </w:pPr>
      <w:r w:rsidRPr="00A5269A">
        <w:rPr>
          <w:i/>
        </w:rPr>
        <w:t>Tradus și reviz</w:t>
      </w:r>
      <w:r w:rsidRPr="00A5269A">
        <w:rPr>
          <w:i/>
        </w:rPr>
        <w:t>uit de IER (</w:t>
      </w:r>
      <w:hyperlink r:id="rId9" w:history="1">
        <w:r w:rsidRPr="00A5269A">
          <w:rPr>
            <w:rStyle w:val="Hyperlink"/>
            <w:i/>
          </w:rPr>
          <w:t>http://ier.gov.ro/</w:t>
        </w:r>
      </w:hyperlink>
      <w:r w:rsidRPr="00A5269A">
        <w:rPr>
          <w:i/>
        </w:rPr>
        <w:t>)</w:t>
      </w:r>
    </w:p>
    <w:p w:rsidR="00AC02B7" w:rsidRDefault="00AC02B7" w:rsidP="00A5269A">
      <w:pPr>
        <w:pStyle w:val="DecHCase"/>
        <w:keepNext w:val="0"/>
        <w:keepLines w:val="0"/>
        <w:widowControl w:val="0"/>
      </w:pPr>
      <w:r>
        <w:t>CURTEA EUROPEANĂ A DREPTURILOR OMULUI</w:t>
      </w:r>
    </w:p>
    <w:p w:rsidR="00DC4033" w:rsidRPr="005201F6" w:rsidRDefault="00AC02B7" w:rsidP="00A5269A">
      <w:pPr>
        <w:pStyle w:val="DecHCase"/>
        <w:keepNext w:val="0"/>
        <w:keepLines w:val="0"/>
        <w:widowControl w:val="0"/>
      </w:pPr>
      <w:r>
        <w:br/>
        <w:t>COLEGIUL MARII CAMERE</w:t>
      </w:r>
    </w:p>
    <w:p w:rsidR="00B727F1" w:rsidRPr="005201F6" w:rsidRDefault="00AC02B7" w:rsidP="005201F6">
      <w:pPr>
        <w:pStyle w:val="JuTitle"/>
      </w:pPr>
      <w:r>
        <w:t>DECIZIE</w:t>
      </w:r>
    </w:p>
    <w:p w:rsidR="00B727F1" w:rsidRPr="005201F6" w:rsidRDefault="00AC02B7" w:rsidP="005201F6">
      <w:pPr>
        <w:pStyle w:val="DecHCase"/>
        <w:rPr>
          <w:i/>
          <w:iCs/>
        </w:rPr>
      </w:pPr>
      <w:r>
        <w:rPr>
          <w:i/>
        </w:rPr>
        <w:t xml:space="preserve">privind o cerere de aviz consultativ, formulată în temeiul Protocolului nr. 16, referitor la interpretarea sau aplicarea art. 6 din Convenție și a art. 1 din Protocolul nr. 1 la Convenție </w:t>
      </w:r>
    </w:p>
    <w:p w:rsidR="00964E92" w:rsidRPr="005201F6" w:rsidRDefault="00AC02B7" w:rsidP="005201F6">
      <w:pPr>
        <w:pStyle w:val="DecHCase"/>
        <w:rPr>
          <w:b/>
          <w:bCs/>
        </w:rPr>
      </w:pPr>
      <w:r>
        <w:rPr>
          <w:b/>
        </w:rPr>
        <w:t xml:space="preserve">Cerere formulată de </w:t>
      </w:r>
      <w:r>
        <w:rPr>
          <w:b/>
        </w:rPr>
        <w:br/>
        <w:t>Înalta Curte de Casație și Justiție a României</w:t>
      </w:r>
    </w:p>
    <w:p w:rsidR="00DC4033" w:rsidRPr="005201F6" w:rsidRDefault="00AC02B7" w:rsidP="005201F6">
      <w:pPr>
        <w:pStyle w:val="ECHRCoverTitle4"/>
      </w:pPr>
      <w:r>
        <w:t>(Cererea nr. P16-2024-001)</w:t>
      </w:r>
    </w:p>
    <w:p w:rsidR="00C96288" w:rsidRPr="005201F6" w:rsidRDefault="00C96288" w:rsidP="005201F6">
      <w:pPr>
        <w:pStyle w:val="DecHCase"/>
      </w:pPr>
    </w:p>
    <w:p w:rsidR="00C96288" w:rsidRPr="005201F6" w:rsidRDefault="00C96288" w:rsidP="005201F6">
      <w:pPr>
        <w:pStyle w:val="DecHCase"/>
      </w:pPr>
    </w:p>
    <w:p w:rsidR="00C96288" w:rsidRPr="005201F6" w:rsidRDefault="00C96288" w:rsidP="005201F6">
      <w:pPr>
        <w:pStyle w:val="DecHCase"/>
      </w:pPr>
    </w:p>
    <w:p w:rsidR="00C96288" w:rsidRPr="005201F6" w:rsidRDefault="00C96288" w:rsidP="005201F6">
      <w:pPr>
        <w:pStyle w:val="DecHCase"/>
      </w:pPr>
    </w:p>
    <w:p w:rsidR="00C96288" w:rsidRPr="005201F6" w:rsidRDefault="00C96288" w:rsidP="005201F6">
      <w:pPr>
        <w:pStyle w:val="DecHCase"/>
      </w:pPr>
    </w:p>
    <w:p w:rsidR="00DC4033" w:rsidRPr="005201F6" w:rsidRDefault="00AC02B7" w:rsidP="005201F6">
      <w:pPr>
        <w:pStyle w:val="DecHCase"/>
      </w:pPr>
      <w:r>
        <w:t>STRASBOURG</w:t>
      </w:r>
    </w:p>
    <w:p w:rsidR="00DC4033" w:rsidRPr="005201F6" w:rsidRDefault="00AC02B7" w:rsidP="005201F6">
      <w:pPr>
        <w:pStyle w:val="DecHCase"/>
      </w:pPr>
      <w:r>
        <w:t>28 iunie 2024</w:t>
      </w:r>
    </w:p>
    <w:p w:rsidR="00DC4033" w:rsidRPr="005201F6" w:rsidRDefault="00DC4033" w:rsidP="005201F6">
      <w:pPr>
        <w:jc w:val="center"/>
        <w:rPr>
          <w:rFonts w:ascii="Times New Roman" w:hAnsi="Times New Roman" w:cs="Times New Roman"/>
        </w:rPr>
      </w:pPr>
    </w:p>
    <w:p w:rsidR="00C96288" w:rsidRPr="005201F6" w:rsidRDefault="00C96288" w:rsidP="005201F6">
      <w:pPr>
        <w:jc w:val="center"/>
        <w:rPr>
          <w:rFonts w:ascii="Times New Roman" w:hAnsi="Times New Roman" w:cs="Times New Roman"/>
        </w:rPr>
      </w:pPr>
    </w:p>
    <w:p w:rsidR="00DC4033" w:rsidRPr="005201F6" w:rsidRDefault="00AC02B7" w:rsidP="005201F6">
      <w:pPr>
        <w:jc w:val="center"/>
        <w:rPr>
          <w:rFonts w:ascii="Times New Roman" w:hAnsi="Times New Roman" w:cs="Times New Roman"/>
        </w:rPr>
      </w:pPr>
      <w:r>
        <w:rPr>
          <w:i/>
        </w:rPr>
        <w:t>Această decizie este definitivă. Poate suferi modificări de formă.</w:t>
      </w:r>
    </w:p>
    <w:p w:rsidR="00DC4033" w:rsidRPr="005201F6" w:rsidRDefault="00DC4033" w:rsidP="005201F6">
      <w:pPr>
        <w:rPr>
          <w:rFonts w:ascii="Times New Roman" w:hAnsi="Times New Roman" w:cs="Times New Roman"/>
          <w:sz w:val="22"/>
        </w:rPr>
        <w:sectPr w:rsidR="00DC4033" w:rsidRPr="005201F6" w:rsidSect="001F1CD9">
          <w:headerReference w:type="default" r:id="rId10"/>
          <w:footerReference w:type="default" r:id="rId11"/>
          <w:footnotePr>
            <w:numRestart w:val="eachSect"/>
          </w:footnotePr>
          <w:pgSz w:w="11906" w:h="16838" w:code="9"/>
          <w:pgMar w:top="2274" w:right="2274" w:bottom="2274" w:left="2274" w:header="1701" w:footer="720" w:gutter="0"/>
          <w:pgNumType w:start="1"/>
          <w:cols w:space="720"/>
          <w:noEndnote/>
        </w:sectPr>
      </w:pPr>
      <w:bookmarkStart w:id="0" w:name="_GoBack"/>
      <w:bookmarkEnd w:id="0"/>
    </w:p>
    <w:p w:rsidR="00416DDD" w:rsidRPr="005201F6" w:rsidRDefault="00AC02B7" w:rsidP="005201F6">
      <w:pPr>
        <w:pStyle w:val="JuPara"/>
      </w:pPr>
      <w:r>
        <w:lastRenderedPageBreak/>
        <w:t>Curtea Europeană a Drepturilor Omului, reunită într-un colegiu al Marii Camere compus din:</w:t>
      </w:r>
    </w:p>
    <w:p w:rsidR="00416DDD" w:rsidRPr="005201F6" w:rsidRDefault="00AC02B7" w:rsidP="005201F6">
      <w:pPr>
        <w:pStyle w:val="JuJudges"/>
      </w:pPr>
      <w:r>
        <w:tab/>
      </w:r>
      <w:proofErr w:type="spellStart"/>
      <w:r>
        <w:t>Síofra</w:t>
      </w:r>
      <w:proofErr w:type="spellEnd"/>
      <w:r>
        <w:t xml:space="preserve"> </w:t>
      </w:r>
      <w:proofErr w:type="spellStart"/>
      <w:r>
        <w:t>O’Leary</w:t>
      </w:r>
      <w:proofErr w:type="spellEnd"/>
      <w:r>
        <w:t xml:space="preserve">, </w:t>
      </w:r>
      <w:r>
        <w:rPr>
          <w:i/>
        </w:rPr>
        <w:t>președinte</w:t>
      </w:r>
      <w:r>
        <w:t>,</w:t>
      </w:r>
      <w:r>
        <w:br/>
      </w:r>
      <w:r>
        <w:tab/>
        <w:t xml:space="preserve">Gabriele </w:t>
      </w:r>
      <w:proofErr w:type="spellStart"/>
      <w:r>
        <w:t>Kucsko-Stadlmayer</w:t>
      </w:r>
      <w:proofErr w:type="spellEnd"/>
      <w:r>
        <w:t>,</w:t>
      </w:r>
      <w:r>
        <w:br/>
      </w:r>
      <w:r>
        <w:tab/>
      </w:r>
      <w:proofErr w:type="spellStart"/>
      <w:r>
        <w:t>Mattias</w:t>
      </w:r>
      <w:proofErr w:type="spellEnd"/>
      <w:r>
        <w:t xml:space="preserve"> </w:t>
      </w:r>
      <w:proofErr w:type="spellStart"/>
      <w:r>
        <w:t>Guyomar</w:t>
      </w:r>
      <w:proofErr w:type="spellEnd"/>
      <w:r>
        <w:t>,</w:t>
      </w:r>
      <w:r>
        <w:br/>
      </w:r>
      <w:r>
        <w:tab/>
        <w:t xml:space="preserve">Frédéric </w:t>
      </w:r>
      <w:proofErr w:type="spellStart"/>
      <w:r>
        <w:t>Krenc</w:t>
      </w:r>
      <w:proofErr w:type="spellEnd"/>
      <w:r>
        <w:t>,</w:t>
      </w:r>
      <w:r>
        <w:br/>
      </w:r>
      <w:r>
        <w:tab/>
        <w:t xml:space="preserve">Sebastian </w:t>
      </w:r>
      <w:proofErr w:type="spellStart"/>
      <w:r>
        <w:t>Răduletu</w:t>
      </w:r>
      <w:proofErr w:type="spellEnd"/>
      <w:r>
        <w:rPr>
          <w:rStyle w:val="JuNames0"/>
        </w:rPr>
        <w:t xml:space="preserve">, </w:t>
      </w:r>
      <w:r>
        <w:rPr>
          <w:i/>
        </w:rPr>
        <w:t>judecători</w:t>
      </w:r>
      <w:r>
        <w:t>,</w:t>
      </w:r>
      <w:r>
        <w:br/>
        <w:t xml:space="preserve">și Johan </w:t>
      </w:r>
      <w:proofErr w:type="spellStart"/>
      <w:r>
        <w:t>Callewaert</w:t>
      </w:r>
      <w:proofErr w:type="spellEnd"/>
      <w:r>
        <w:t xml:space="preserve">, </w:t>
      </w:r>
      <w:r>
        <w:rPr>
          <w:i/>
        </w:rPr>
        <w:t>grefier adjunct al Marii Camere</w:t>
      </w:r>
      <w:r>
        <w:t>,</w:t>
      </w:r>
    </w:p>
    <w:p w:rsidR="001B471A" w:rsidRPr="005201F6" w:rsidRDefault="00AC02B7" w:rsidP="005201F6">
      <w:pPr>
        <w:pStyle w:val="JuPara"/>
      </w:pPr>
      <w:r>
        <w:t>După ce a deliberat în camera de consiliu, la 29 iunie și la 18 iunie 2024,</w:t>
      </w:r>
    </w:p>
    <w:p w:rsidR="00416DDD" w:rsidRPr="005201F6" w:rsidRDefault="00AC02B7" w:rsidP="005201F6">
      <w:pPr>
        <w:pStyle w:val="JuPara"/>
      </w:pPr>
      <w:r>
        <w:t>Pronunță următoarea decizie:</w:t>
      </w:r>
    </w:p>
    <w:p w:rsidR="00CE02F9" w:rsidRPr="005201F6" w:rsidRDefault="00AC02B7" w:rsidP="005201F6">
      <w:pPr>
        <w:pStyle w:val="JuHHead"/>
        <w:rPr>
          <w:rFonts w:ascii="Times New Roman" w:hAnsi="Times New Roman" w:cs="Times New Roman"/>
        </w:rPr>
      </w:pPr>
      <w:r>
        <w:rPr>
          <w:rFonts w:ascii="Times New Roman" w:hAnsi="Times New Roman"/>
        </w:rPr>
        <w:t>PROCEDURA</w:t>
      </w:r>
    </w:p>
    <w:p w:rsidR="005B790A"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1</w:t>
      </w:r>
      <w:r w:rsidRPr="005201F6">
        <w:fldChar w:fldCharType="end"/>
      </w:r>
      <w:r>
        <w:t>.  Prin scrisoarea din 6 februarie 2024, primită de Curtea Europeană a Drepturilor Omului („Curtea”) la 27 februarie 2024, Înalta Curte de Casație și Justiție a României („Înalta Curte”; „instanța solicitantă”) a adresat Curții, în temeiul art. 1 din Protocolul nr. 16 la Convenția pentru apărarea drepturilor omului și a libertăților fundamentale („Protocolul nr. 16”), o cerere pentru emiterea unui aviz consultativ cu privire la întrebările formulate la pct. 2 de mai jos.</w:t>
      </w:r>
    </w:p>
    <w:p w:rsidR="00EB447C" w:rsidRPr="005201F6" w:rsidRDefault="00AC02B7" w:rsidP="005201F6">
      <w:pPr>
        <w:pStyle w:val="JuHHead"/>
        <w:rPr>
          <w:rFonts w:ascii="Times New Roman" w:hAnsi="Times New Roman" w:cs="Times New Roman"/>
        </w:rPr>
      </w:pPr>
      <w:r>
        <w:rPr>
          <w:rFonts w:ascii="Times New Roman" w:hAnsi="Times New Roman"/>
        </w:rPr>
        <w:t>ÎNTREBĂRILE ADRESATE</w:t>
      </w:r>
    </w:p>
    <w:bookmarkStart w:id="1" w:name="para2"/>
    <w:p w:rsidR="00416DDD"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2</w:t>
      </w:r>
      <w:r w:rsidRPr="005201F6">
        <w:fldChar w:fldCharType="end"/>
      </w:r>
      <w:bookmarkEnd w:id="1"/>
      <w:r>
        <w:t>.  Întrebările adresate în cererea de aviz consultativ erau formulate astfel:</w:t>
      </w:r>
    </w:p>
    <w:p w:rsidR="009F11BE" w:rsidRPr="005201F6" w:rsidRDefault="00AC02B7" w:rsidP="005201F6">
      <w:pPr>
        <w:pStyle w:val="JuQuot"/>
      </w:pPr>
      <w:r>
        <w:t>„1. Având în vedere criteriile elaborate prin jurisprudența Curții Europene a Drepturilor Omului, în special cel al gravității pedepsei, procedura de evaluare a averii prevăzută de Legea nr. 176/2010, care este o procedură civilă în temeiul dreptului intern, poate fi calificată drept o procedură penală căreia i se aplică garanțiile prevăzute la art. 6 din Convenție?</w:t>
      </w:r>
    </w:p>
    <w:p w:rsidR="009F11BE" w:rsidRPr="005201F6" w:rsidRDefault="00AC02B7" w:rsidP="005201F6">
      <w:pPr>
        <w:pStyle w:val="JuQuot"/>
      </w:pPr>
      <w:r>
        <w:t>2.  Poate constitui o încălcare a art. 1 din Protocolul nr. 1 la Convenție o procedură precum cea în speță, fără legătură cu săvârșirea unei infracțiuni, în cadrul căreia, dacă se constată că achiziționarea anumitor bunuri determinate sau a unei părți dintr-un bun nu este justificată, instanța dispune confiscarea acestora fără a fi obligată să examineze proporționalitatea acestei măsuri? ”</w:t>
      </w:r>
    </w:p>
    <w:p w:rsidR="00416DDD" w:rsidRPr="005201F6" w:rsidRDefault="00AC02B7" w:rsidP="005201F6">
      <w:pPr>
        <w:pStyle w:val="JuHHead"/>
        <w:rPr>
          <w:rFonts w:ascii="Times New Roman" w:hAnsi="Times New Roman" w:cs="Times New Roman"/>
        </w:rPr>
      </w:pPr>
      <w:r>
        <w:rPr>
          <w:rFonts w:ascii="Times New Roman" w:hAnsi="Times New Roman"/>
        </w:rPr>
        <w:t>CONTEXTUL ȘI PROCEDURA INTERNĂ LA ORIGINEA CERERII</w:t>
      </w:r>
    </w:p>
    <w:p w:rsidR="000D0607" w:rsidRPr="005201F6" w:rsidRDefault="00AC02B7" w:rsidP="005201F6">
      <w:pPr>
        <w:pStyle w:val="JuHIRoman"/>
      </w:pPr>
      <w:r>
        <w:t>Sistemul instituit în România</w:t>
      </w:r>
    </w:p>
    <w:p w:rsidR="001D636E" w:rsidRPr="005201F6" w:rsidRDefault="005201F6" w:rsidP="005201F6">
      <w:pPr>
        <w:ind w:firstLine="369"/>
        <w:jc w:val="both"/>
      </w:pPr>
      <w:r w:rsidRPr="005201F6">
        <w:fldChar w:fldCharType="begin"/>
      </w:r>
      <w:r w:rsidR="00AC02B7">
        <w:instrText xml:space="preserve"> SEQ level0 \*arabic \* MERGEFORMAT </w:instrText>
      </w:r>
      <w:r w:rsidRPr="005201F6">
        <w:fldChar w:fldCharType="separate"/>
      </w:r>
      <w:r w:rsidR="00A5269A">
        <w:rPr>
          <w:noProof/>
        </w:rPr>
        <w:t>3</w:t>
      </w:r>
      <w:r w:rsidRPr="005201F6">
        <w:fldChar w:fldCharType="end"/>
      </w:r>
      <w:r>
        <w:t>.  În România, un sistem de evaluare și monitorizare a averii unor funcționari publici a fost introdus în 2007, odată cu aderarea României la Uniunea Europeană la 1 ianuarie 2007.</w:t>
      </w:r>
    </w:p>
    <w:bookmarkStart w:id="2" w:name="para4"/>
    <w:p w:rsidR="005201F6" w:rsidRPr="005201F6" w:rsidRDefault="00AC02B7" w:rsidP="005201F6">
      <w:pPr>
        <w:ind w:firstLine="369"/>
        <w:jc w:val="both"/>
        <w:rPr>
          <w:b/>
          <w:bCs/>
        </w:rPr>
      </w:pPr>
      <w:r w:rsidRPr="005201F6">
        <w:fldChar w:fldCharType="begin"/>
      </w:r>
      <w:r w:rsidRPr="005201F6">
        <w:instrText xml:space="preserve"> SEQ level0 \*arabic \* MERGEFORMAT </w:instrText>
      </w:r>
      <w:r w:rsidRPr="005201F6">
        <w:fldChar w:fldCharType="separate"/>
      </w:r>
      <w:r w:rsidR="00A5269A">
        <w:rPr>
          <w:noProof/>
        </w:rPr>
        <w:t>4</w:t>
      </w:r>
      <w:r w:rsidRPr="005201F6">
        <w:fldChar w:fldCharType="end"/>
      </w:r>
      <w:bookmarkEnd w:id="2"/>
      <w:r>
        <w:t xml:space="preserve">.  În esență, acesta a fost un răspuns la cerințele stabilite în 2006 de Comisia Europeană în decizia 2006/928/CE din 13 decembrie 2006 de stabilire a unui mecanism de cooperare și de verificare (MCV) a progresului </w:t>
      </w:r>
      <w:r>
        <w:lastRenderedPageBreak/>
        <w:t>realizat de România în vederea atingerii anumitor obiective de referință specifice în domeniul reformei sistemului judiciar și al luptei împotriva corupției (JO L 354, p. 56)</w:t>
      </w:r>
      <w:r>
        <w:rPr>
          <w:vertAlign w:val="superscript"/>
        </w:rPr>
        <w:footnoteReference w:id="1"/>
      </w:r>
      <w:r>
        <w:t>.</w:t>
      </w:r>
    </w:p>
    <w:p w:rsidR="001D636E" w:rsidRPr="005201F6" w:rsidRDefault="005201F6" w:rsidP="005201F6">
      <w:pPr>
        <w:ind w:firstLine="369"/>
        <w:jc w:val="both"/>
      </w:pPr>
      <w:r w:rsidRPr="005201F6">
        <w:fldChar w:fldCharType="begin"/>
      </w:r>
      <w:r w:rsidR="00AC02B7">
        <w:instrText xml:space="preserve"> SEQ level0 \*arabic \* MERGEFORMAT </w:instrText>
      </w:r>
      <w:r w:rsidRPr="005201F6">
        <w:fldChar w:fldCharType="separate"/>
      </w:r>
      <w:r w:rsidR="00A5269A">
        <w:rPr>
          <w:noProof/>
        </w:rPr>
        <w:t>5</w:t>
      </w:r>
      <w:r w:rsidRPr="005201F6">
        <w:fldChar w:fldCharType="end"/>
      </w:r>
      <w:r>
        <w:t>.  În această decizie, Comisia Europeană a stabilit patru obiective de referință care trebuiau atinse de România. Cel de-al doilea se referea la crearea unei agenții de integritate cu responsabilități în ceea ce privește verificarea averilor și cu capacitatea de a adopta decizii obligatorii care să poată duce la sancțiuni disuasive. Cel de-al patrulea obiectiv privea adoptarea de măsuri suplimentare pentru prevenirea și combaterea corupției, în special în cadrul administrației locale.</w:t>
      </w:r>
    </w:p>
    <w:p w:rsidR="001543AF" w:rsidRPr="005201F6" w:rsidRDefault="00A5269A" w:rsidP="005201F6">
      <w:pPr>
        <w:ind w:firstLine="369"/>
        <w:jc w:val="both"/>
      </w:pPr>
      <w:r>
        <w:fldChar w:fldCharType="begin"/>
      </w:r>
      <w:r>
        <w:instrText xml:space="preserve"> SEQ level0 \*arabic \* MERGEFORMAT </w:instrText>
      </w:r>
      <w:r>
        <w:fldChar w:fldCharType="separate"/>
      </w:r>
      <w:r>
        <w:rPr>
          <w:noProof/>
        </w:rPr>
        <w:t>6</w:t>
      </w:r>
      <w:r>
        <w:fldChar w:fldCharType="end"/>
      </w:r>
      <w:r w:rsidR="00AC02B7">
        <w:t xml:space="preserve">.  Legea nr. 144/2007 din 28 mai 2007 înființa Agenția Națională de Integritate („A.N.I), autoritate administrativă autonomă cu personalitate juridică al cărei rol este de a asigura integritatea în exercitarea funcțiilor publice și de a preveni corupția instituțională, prin exercitarea unui control asupra evaluării declarațiilor de avere, a datelor, a informațiilor și a modificărilor patrimoniale intervenite, a incompatibilităților și a potențialelor conflicte de interese în exercitarea funcțiilor și demnităților publice [a se vedea, pentru mai multe detalii, prezentarea din hotărârea Curții de Justiție a Uniunii Europene (CJUE) </w:t>
      </w:r>
      <w:r w:rsidR="00AC02B7">
        <w:rPr>
          <w:i/>
        </w:rPr>
        <w:t>T.A.C. împotriva A.N.I.</w:t>
      </w:r>
      <w:r w:rsidR="00AC02B7">
        <w:t>, C-40/21, EU: C: 2023: 367].</w:t>
      </w:r>
    </w:p>
    <w:p w:rsidR="005201F6" w:rsidRPr="005201F6" w:rsidRDefault="00AC02B7" w:rsidP="005201F6">
      <w:pPr>
        <w:ind w:firstLine="369"/>
        <w:jc w:val="both"/>
      </w:pPr>
      <w:r w:rsidRPr="005201F6">
        <w:fldChar w:fldCharType="begin"/>
      </w:r>
      <w:r>
        <w:instrText xml:space="preserve"> SEQ level0 \*arabic \* MERGEFORMAT </w:instrText>
      </w:r>
      <w:r w:rsidRPr="005201F6">
        <w:fldChar w:fldCharType="separate"/>
      </w:r>
      <w:r w:rsidR="00A5269A">
        <w:rPr>
          <w:noProof/>
        </w:rPr>
        <w:t>7</w:t>
      </w:r>
      <w:r w:rsidRPr="005201F6">
        <w:fldChar w:fldCharType="end"/>
      </w:r>
      <w:r>
        <w:t>.  Legea 176/2010 din 5 septembrie 2010 privind integritatea în exercitarea funcțiilor și demnităților publice a introdus obligația pentru 39 de categorii de funcționari publici de a-și declara averile și interesele la numirea lor, anual și la sfârșitul mandatului (art. 1 din Legea 176/2010).</w:t>
      </w:r>
    </w:p>
    <w:p w:rsidR="005201F6" w:rsidRPr="005201F6" w:rsidRDefault="00AC02B7" w:rsidP="005201F6">
      <w:pPr>
        <w:ind w:firstLine="369"/>
        <w:jc w:val="both"/>
      </w:pPr>
      <w:r w:rsidRPr="005201F6">
        <w:fldChar w:fldCharType="begin"/>
      </w:r>
      <w:r>
        <w:instrText xml:space="preserve"> SEQ level0 \*arabic \* MERGEFORMAT </w:instrText>
      </w:r>
      <w:r w:rsidRPr="005201F6">
        <w:fldChar w:fldCharType="separate"/>
      </w:r>
      <w:r w:rsidR="00A5269A">
        <w:rPr>
          <w:noProof/>
        </w:rPr>
        <w:t>8</w:t>
      </w:r>
      <w:r w:rsidRPr="005201F6">
        <w:fldChar w:fldCharType="end"/>
      </w:r>
      <w:r>
        <w:t>. Aceste declarații sunt evaluate de A.N.I. În cazul în care se identifică o diferență semnificativă (mai mare de 10 000 EUR) între veniturile realizate și valoarea averii deținute, A.N.I. sesizează comisia de cercetare a averilor („comisia de cercetare”) care funcționează pe lângă curtea de apel (art. 8, 13-17 din Legea nr. 176/2010). În cazul în care comisia confirmă diferența semnificativă, aceasta poate sesiza curtea de apel pentru soluționare și, dacă este cazul, pentru a dispune confiscarea bunurilor în cauză (art. 10-10</w:t>
      </w:r>
      <w:r>
        <w:rPr>
          <w:vertAlign w:val="superscript"/>
        </w:rPr>
        <w:t>4</w:t>
      </w:r>
      <w:r>
        <w:t xml:space="preserve"> din Legea nr. 115/2006). Curtea de apel poate dispune confiscarea în cazul în care constată că dobândirea acestora nu este justificată. Decizia poate fi atacată la Înalta Curte, care va efectua un control de legalitate (art. 16</w:t>
      </w:r>
      <w:r>
        <w:noBreakHyphen/>
        <w:t>18 din Legea nr. 115/1996).</w:t>
      </w:r>
    </w:p>
    <w:p w:rsidR="00556064" w:rsidRPr="005201F6" w:rsidRDefault="005201F6" w:rsidP="005201F6">
      <w:pPr>
        <w:ind w:firstLine="369"/>
        <w:jc w:val="both"/>
      </w:pPr>
      <w:r w:rsidRPr="005201F6">
        <w:fldChar w:fldCharType="begin"/>
      </w:r>
      <w:r w:rsidR="00AC02B7">
        <w:instrText xml:space="preserve"> SEQ level0 \*arabic \* MERGEFORMAT </w:instrText>
      </w:r>
      <w:r w:rsidRPr="005201F6">
        <w:fldChar w:fldCharType="separate"/>
      </w:r>
      <w:r w:rsidR="00A5269A">
        <w:rPr>
          <w:noProof/>
        </w:rPr>
        <w:t>9</w:t>
      </w:r>
      <w:r w:rsidRPr="005201F6">
        <w:fldChar w:fldCharType="end"/>
      </w:r>
      <w:r>
        <w:t>.  MCV-</w:t>
      </w:r>
      <w:proofErr w:type="spellStart"/>
      <w:r>
        <w:t>ul</w:t>
      </w:r>
      <w:proofErr w:type="spellEnd"/>
      <w:r>
        <w:t xml:space="preserve"> instituit în 2006 (supra, pct. </w:t>
      </w:r>
      <w:r w:rsidR="00AC02B7" w:rsidRPr="005201F6">
        <w:fldChar w:fldCharType="begin"/>
      </w:r>
      <w:r w:rsidR="00AC02B7" w:rsidRPr="005201F6">
        <w:instrText xml:space="preserve"> REF para4 \h </w:instrText>
      </w:r>
      <w:r w:rsidR="00AC02B7" w:rsidRPr="005201F6">
        <w:fldChar w:fldCharType="separate"/>
      </w:r>
      <w:r w:rsidR="00A5269A">
        <w:rPr>
          <w:noProof/>
        </w:rPr>
        <w:t>4</w:t>
      </w:r>
      <w:r w:rsidR="00AC02B7" w:rsidRPr="005201F6">
        <w:fldChar w:fldCharType="end"/>
      </w:r>
      <w:r>
        <w:t>) a fost închis oficial la 15 septembrie 2023 de către Comisia Europeană, în urma abrogării Deciziei 2006/928/CE.</w:t>
      </w:r>
    </w:p>
    <w:p w:rsidR="00574DA1" w:rsidRPr="005201F6" w:rsidRDefault="00AC02B7" w:rsidP="005201F6">
      <w:pPr>
        <w:pStyle w:val="JuHIRoman"/>
      </w:pPr>
      <w:r>
        <w:lastRenderedPageBreak/>
        <w:t>Faptele care au stat la baza cererii de aviz consultativ</w:t>
      </w:r>
    </w:p>
    <w:p w:rsidR="005201F6" w:rsidRPr="005201F6" w:rsidRDefault="00AC02B7" w:rsidP="005201F6">
      <w:pPr>
        <w:pStyle w:val="JuPara"/>
      </w:pPr>
      <w:r w:rsidRPr="005201F6">
        <w:fldChar w:fldCharType="begin"/>
      </w:r>
      <w:r>
        <w:instrText xml:space="preserve"> SEQ level0 \*arabic \* MERGEFORMAT </w:instrText>
      </w:r>
      <w:r w:rsidRPr="005201F6">
        <w:fldChar w:fldCharType="separate"/>
      </w:r>
      <w:r w:rsidR="00A5269A">
        <w:rPr>
          <w:noProof/>
        </w:rPr>
        <w:t>10</w:t>
      </w:r>
      <w:r w:rsidRPr="005201F6">
        <w:fldChar w:fldCharType="end"/>
      </w:r>
      <w:r>
        <w:t>.  În octombrie 2016, A.N.I. a fost sesizată de o persoană juridică, a cărei identitate nu a fost dezvăluită, cu privire la conținutul declarației de avere depuse de E.N.P., inspector la Primăria Cluj Napoca. Existau suspiciuni cu privire la realitatea informațiilor declarate de persoana în cauză.</w:t>
      </w:r>
    </w:p>
    <w:p w:rsidR="00B479E7"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11</w:t>
      </w:r>
      <w:r w:rsidRPr="005201F6">
        <w:fldChar w:fldCharType="end"/>
      </w:r>
      <w:r>
        <w:t>.  În urma evaluării averii lui E.N.P., la data de 15 februarie 2021, A.N.I. a întocmit un raport prin care a constatat că există o diferență semnificativă de venituri și a sesizat comisia de cercetare a Curții de Apel Cluj.</w:t>
      </w:r>
    </w:p>
    <w:p w:rsidR="00231180"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12</w:t>
      </w:r>
      <w:r w:rsidRPr="005201F6">
        <w:fldChar w:fldCharType="end"/>
      </w:r>
      <w:r>
        <w:t>.  Prin ordonanța din 1 iulie 2021, comisia de anchetă a constatat că E.N.P. nu a reușit să justifice originea sumelor în valoare totală de 286 494 EUR și 382 145,91 RON (aproximativ 78 000 EUR). Aceasta a sesizat Curtea de Apel Cluj în vederea confiscării sumelor menționate.</w:t>
      </w:r>
    </w:p>
    <w:p w:rsidR="005201F6" w:rsidRPr="005201F6" w:rsidRDefault="00AC02B7" w:rsidP="005201F6">
      <w:pPr>
        <w:pStyle w:val="JuPara"/>
      </w:pPr>
      <w:r w:rsidRPr="005201F6">
        <w:fldChar w:fldCharType="begin"/>
      </w:r>
      <w:r>
        <w:instrText xml:space="preserve"> SEQ level0 \*arabic \* MERGEFORMAT </w:instrText>
      </w:r>
      <w:r w:rsidRPr="005201F6">
        <w:fldChar w:fldCharType="separate"/>
      </w:r>
      <w:r w:rsidR="00A5269A">
        <w:rPr>
          <w:noProof/>
        </w:rPr>
        <w:t>13</w:t>
      </w:r>
      <w:r w:rsidRPr="005201F6">
        <w:fldChar w:fldCharType="end"/>
      </w:r>
      <w:r>
        <w:t>.  Prin hotărârea din 4 noiembrie 2021, curtea de apel a hotărât că proveniența sumelor menționate nu a fost justificată și a dispus confiscarea acestora.</w:t>
      </w:r>
    </w:p>
    <w:p w:rsidR="00231180"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14</w:t>
      </w:r>
      <w:r w:rsidRPr="005201F6">
        <w:fldChar w:fldCharType="end"/>
      </w:r>
      <w:r>
        <w:t>.  La 18 iunie, E.N.P. a declarat recurs la Înalta Curte.</w:t>
      </w:r>
    </w:p>
    <w:p w:rsidR="00231180"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15</w:t>
      </w:r>
      <w:r w:rsidRPr="005201F6">
        <w:fldChar w:fldCharType="end"/>
      </w:r>
      <w:r>
        <w:t>.  La 20 iunie 2023, E.N.P. a solicitat Înaltei Curți să sesizeze Curtea cu o cerere de aviz consultativ.</w:t>
      </w:r>
    </w:p>
    <w:p w:rsidR="005201F6" w:rsidRPr="005201F6" w:rsidRDefault="00AC02B7" w:rsidP="005201F6">
      <w:pPr>
        <w:pStyle w:val="JuPara"/>
      </w:pPr>
      <w:r w:rsidRPr="005201F6">
        <w:fldChar w:fldCharType="begin"/>
      </w:r>
      <w:r>
        <w:instrText xml:space="preserve"> SEQ level0 \*arabic \* MERGEFORMAT </w:instrText>
      </w:r>
      <w:r w:rsidRPr="005201F6">
        <w:fldChar w:fldCharType="separate"/>
      </w:r>
      <w:r w:rsidR="00A5269A">
        <w:rPr>
          <w:noProof/>
        </w:rPr>
        <w:t>16</w:t>
      </w:r>
      <w:r w:rsidRPr="005201F6">
        <w:fldChar w:fldCharType="end"/>
      </w:r>
      <w:r>
        <w:t xml:space="preserve">. Prin încheierea din 6 noiembrie 2023, Înalta Curte a decis să admită cererea de aviz consultativ formulată de reclamantă în acțiunea principală și să adreseze Curții cele două întrebări citate anterior (supra, pct. </w:t>
      </w:r>
      <w:r w:rsidR="00E36B8C" w:rsidRPr="005201F6">
        <w:fldChar w:fldCharType="begin"/>
      </w:r>
      <w:r w:rsidR="00E36B8C" w:rsidRPr="005201F6">
        <w:instrText xml:space="preserve"> REF para2 \h </w:instrText>
      </w:r>
      <w:r w:rsidR="00E36B8C" w:rsidRPr="005201F6">
        <w:fldChar w:fldCharType="separate"/>
      </w:r>
      <w:r w:rsidR="00A5269A">
        <w:rPr>
          <w:noProof/>
        </w:rPr>
        <w:t>2</w:t>
      </w:r>
      <w:r w:rsidR="00E36B8C" w:rsidRPr="005201F6">
        <w:fldChar w:fldCharType="end"/>
      </w:r>
      <w:r>
        <w:t>).</w:t>
      </w:r>
    </w:p>
    <w:bookmarkStart w:id="3" w:name="para18"/>
    <w:p w:rsidR="00231180"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17</w:t>
      </w:r>
      <w:r w:rsidRPr="005201F6">
        <w:fldChar w:fldCharType="end"/>
      </w:r>
      <w:bookmarkEnd w:id="3"/>
      <w:r>
        <w:t xml:space="preserve">.  În ceea ce privește prima întrebare, Înalta Curte a abordat potențialul caracter penal al procedurii pe baza „criteriilor </w:t>
      </w:r>
      <w:proofErr w:type="spellStart"/>
      <w:r>
        <w:t>Engel</w:t>
      </w:r>
      <w:proofErr w:type="spellEnd"/>
      <w:r>
        <w:t>” (</w:t>
      </w:r>
      <w:proofErr w:type="spellStart"/>
      <w:r>
        <w:rPr>
          <w:i/>
          <w:iCs/>
        </w:rPr>
        <w:t>Engel</w:t>
      </w:r>
      <w:proofErr w:type="spellEnd"/>
      <w:r>
        <w:rPr>
          <w:i/>
          <w:iCs/>
        </w:rPr>
        <w:t xml:space="preserve"> și alții împotriva Țărilor de Jos</w:t>
      </w:r>
      <w:r>
        <w:t>, 8 iunie 1976, pct. 82, Seria A nr. 22). În ceea ce privește primul criteriu „</w:t>
      </w:r>
      <w:proofErr w:type="spellStart"/>
      <w:r>
        <w:t>Engel</w:t>
      </w:r>
      <w:proofErr w:type="spellEnd"/>
      <w:r>
        <w:t xml:space="preserve">”, referitor la calificarea măsurii, Înalta Curte a confirmat că dreptul intern califica litigiul drept unul administrativ și a constatat că nu se efectua nicio urmărire penală. Totuși, aceasta a precizat că, potrivit jurisprudenței Curții, acest aspect nu are decât o pondere relativă și nu servește decât ca punct de plecare. În ceea ce privește cel de al doilea criteriu, și anume natura însăși a încălcării, Înalta Curte a considerat că ar fi dificil de susținut că indisponibilizarea bunurilor, urmată de confiscarea diferențelor nejustificate și de sancțiunea disciplinară a interdicției temporare de a exercita o funcție electorală, nu era de natură punitivă. În această privință, face o paralelă cu jurisprudența Curții citată în hotărârea din 4 mai 2023 a Curții de Justiție a Uniunii Europene („CJUE”), pronunțată în cauza </w:t>
      </w:r>
      <w:r>
        <w:rPr>
          <w:i/>
          <w:iCs/>
        </w:rPr>
        <w:t>T.A.C. împotriva Agenției Naționale de Integritate (ANI)</w:t>
      </w:r>
      <w:r>
        <w:t xml:space="preserve"> (cauza C-40/21) (infra, pct. </w:t>
      </w:r>
      <w:r w:rsidR="001D16D0" w:rsidRPr="005201F6">
        <w:fldChar w:fldCharType="begin"/>
      </w:r>
      <w:r w:rsidR="001D16D0" w:rsidRPr="005201F6">
        <w:instrText xml:space="preserve"> REF para21 \h </w:instrText>
      </w:r>
      <w:r w:rsidR="001D16D0" w:rsidRPr="005201F6">
        <w:fldChar w:fldCharType="separate"/>
      </w:r>
      <w:r w:rsidR="00A5269A">
        <w:rPr>
          <w:noProof/>
        </w:rPr>
        <w:t>21</w:t>
      </w:r>
      <w:r w:rsidR="001D16D0" w:rsidRPr="005201F6">
        <w:fldChar w:fldCharType="end"/>
      </w:r>
      <w:r>
        <w:t>-</w:t>
      </w:r>
      <w:r w:rsidR="002A7808" w:rsidRPr="005201F6">
        <w:fldChar w:fldCharType="begin"/>
      </w:r>
      <w:r w:rsidR="002A7808" w:rsidRPr="005201F6">
        <w:instrText xml:space="preserve"> REF para24 \h </w:instrText>
      </w:r>
      <w:r w:rsidR="002A7808" w:rsidRPr="005201F6">
        <w:fldChar w:fldCharType="separate"/>
      </w:r>
      <w:r w:rsidR="00A5269A">
        <w:rPr>
          <w:noProof/>
        </w:rPr>
        <w:t>24</w:t>
      </w:r>
      <w:r w:rsidR="002A7808" w:rsidRPr="005201F6">
        <w:fldChar w:fldCharType="end"/>
      </w:r>
      <w:r>
        <w:t xml:space="preserve">) în contextul unei măsuri care îi interzicea să ocupe o funcție publică eligibilă ca urmare a unui conflict de interese [art. 25 alin. (2) din Legea nr. 176/2010]. Înalta Curte a subliniat că, deși procedura de evaluare a averii viza 39 de categorii de funcționari, privea totuși o categorie destul de largă de persoane.  În sfârșit, în ceea ce privește cel de al treilea criteriu, și anume severitatea pedepsei la care ar putea fi supusă persoana în cauză, Înalta Curte a subliniat că, în speță, confiscarea (care nu avea nicio legătură cu </w:t>
      </w:r>
      <w:r>
        <w:lastRenderedPageBreak/>
        <w:t>comiterea unei infracțiuni) privea sume într-un cuantum foarte ridicat; aceasta a făcut trimitere la cauza</w:t>
      </w:r>
      <w:r>
        <w:rPr>
          <w:i/>
          <w:iCs/>
        </w:rPr>
        <w:t xml:space="preserve"> </w:t>
      </w:r>
      <w:bookmarkStart w:id="4" w:name="_cl1999"/>
      <w:proofErr w:type="spellStart"/>
      <w:r>
        <w:rPr>
          <w:i/>
          <w:iCs/>
        </w:rPr>
        <w:t>Bendenoun</w:t>
      </w:r>
      <w:proofErr w:type="spellEnd"/>
      <w:r>
        <w:rPr>
          <w:i/>
          <w:iCs/>
        </w:rPr>
        <w:t xml:space="preserve"> împotriva Franței</w:t>
      </w:r>
      <w:bookmarkEnd w:id="4"/>
      <w:r>
        <w:rPr>
          <w:i/>
          <w:iCs/>
        </w:rPr>
        <w:t xml:space="preserve"> </w:t>
      </w:r>
      <w:r>
        <w:t>(24 februarie 1994, pct. 46-47, seria A nr. 284) pentru a sublinia faptul că cuantumul foarte ridicat al penalităților fiscale a fost considerat un criteriu esențial pentru în definirea aspectului penal al sancțiunii, recunoscând în același timp că E.N.P. nu risca sancțiunea închisorii în cazul neexecutării deciziei prin care se dispunea confiscarea sumei în cauză.</w:t>
      </w:r>
    </w:p>
    <w:bookmarkStart w:id="5" w:name="para35"/>
    <w:p w:rsidR="005201F6"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18</w:t>
      </w:r>
      <w:r w:rsidRPr="005201F6">
        <w:fldChar w:fldCharType="end"/>
      </w:r>
      <w:bookmarkEnd w:id="5"/>
      <w:r>
        <w:t>.  Potrivit Înaltei Curți, întrebarea dacă măsura poate fi calificată drept „penală” în sensul art. 6 din Convenție era importantă deoarece, dacă litigiul intra în sfera penală, se aplicau garanțiile specifice procedurii penale, în special în ceea ce privește sarcina probei la evaluarea averii.</w:t>
      </w:r>
    </w:p>
    <w:bookmarkStart w:id="6" w:name="para36"/>
    <w:p w:rsidR="00231180"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19</w:t>
      </w:r>
      <w:r w:rsidRPr="005201F6">
        <w:fldChar w:fldCharType="end"/>
      </w:r>
      <w:bookmarkEnd w:id="6"/>
      <w:r>
        <w:t xml:space="preserve">.  În ceea ce privește cea de-a doua întrebare, Înalta Curte și-a exprimat îndoiala cu privire la faptul că procedura care a condus la confiscarea bunurilor lui E.N.P., în absența comiterii unei infracțiuni, ar fi conformă cu art. 1 din Protocolul nr. 1 la Convenție. Aceasta a făcut trimitere la jurisprudența Curții în ceea ce privește cauzele în care ingerința era legată de săvârșirea unei infracțiuni și în care se aplica o prezumție de origine ilicită a bunurilor confiscate </w:t>
      </w:r>
      <w:bookmarkStart w:id="7" w:name="_cl40885"/>
      <w:r>
        <w:t xml:space="preserve"> (</w:t>
      </w:r>
      <w:proofErr w:type="spellStart"/>
      <w:r>
        <w:rPr>
          <w:i/>
        </w:rPr>
        <w:t>Todorov</w:t>
      </w:r>
      <w:proofErr w:type="spellEnd"/>
      <w:r>
        <w:rPr>
          <w:i/>
        </w:rPr>
        <w:t xml:space="preserve"> și alții împotriva Bulgariei</w:t>
      </w:r>
      <w:bookmarkEnd w:id="7"/>
      <w:r>
        <w:t>, nr. 50705/11 și alte 6, 13 iulie 2021).</w:t>
      </w:r>
    </w:p>
    <w:bookmarkStart w:id="8" w:name="para37"/>
    <w:bookmarkStart w:id="9" w:name="para20"/>
    <w:p w:rsidR="00416DDD"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20</w:t>
      </w:r>
      <w:r w:rsidRPr="005201F6">
        <w:fldChar w:fldCharType="end"/>
      </w:r>
      <w:bookmarkEnd w:id="8"/>
      <w:bookmarkEnd w:id="9"/>
      <w:r>
        <w:t>.  În opinia Înaltei Curți, cauza în speță se deosebea în mod esențial de jurisprudența citată, deoarece, în dreptul român, procedura de verificare a averii era independentă de săvârșirea unei infracțiuni, iar caracterul licit al averii era în plus prezumat în temeiul art. 44 alin.(8) din Constituție. Aceasta a subliniat că instanțele naționale nu aveau posibilitatea de a cenzura o astfel de măsură. Curtea s-a întrebat dacă, în aceste condiții, sancțiunea confiscării respectă cerința de proporționalitate inerentă art. 1 din Protocolul nr. 1.</w:t>
      </w:r>
    </w:p>
    <w:p w:rsidR="005201F6" w:rsidRPr="005201F6" w:rsidRDefault="00AC02B7" w:rsidP="005201F6">
      <w:pPr>
        <w:pStyle w:val="JuHIRoman"/>
      </w:pPr>
      <w:r>
        <w:t>Hotărârea CJUE din 4 mai 2023</w:t>
      </w:r>
    </w:p>
    <w:bookmarkStart w:id="10" w:name="para21"/>
    <w:p w:rsidR="005201F6"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21</w:t>
      </w:r>
      <w:r w:rsidRPr="005201F6">
        <w:fldChar w:fldCharType="end"/>
      </w:r>
      <w:bookmarkEnd w:id="10"/>
      <w:r>
        <w:t xml:space="preserve">.  La 4 mai 2023, CJUE a pronunțat o hotărâre în cauza </w:t>
      </w:r>
      <w:r>
        <w:rPr>
          <w:i/>
          <w:iCs/>
        </w:rPr>
        <w:t>T.A.C. împotriva ANI</w:t>
      </w:r>
      <w:r>
        <w:t>, citată anterior, ca răspuns la o cerere de decizie preliminară formulată de Curtea de Apel Timișoara cu privire la interdicția de a ocupa o funcție publică aleasă pe o perioadă de trei ani, prevăzută la art. 25 alin. (2) din Legea nr. 176/2010.</w:t>
      </w:r>
    </w:p>
    <w:bookmarkStart w:id="11" w:name="para22"/>
    <w:p w:rsidR="005201F6"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22</w:t>
      </w:r>
      <w:r w:rsidRPr="005201F6">
        <w:fldChar w:fldCharType="end"/>
      </w:r>
      <w:bookmarkEnd w:id="11"/>
      <w:r>
        <w:t>.  Cu titlu preliminar, CJUE a considerat că Legea nr. 176/2010 constituie o măsură de punere în aplicare a dreptului Uniunii în sensul art. 51 alineatul (1) din Carta drepturilor fundamentale a Uniunii Europene („Carta”) (pct. 27 din hotărâre).</w:t>
      </w:r>
    </w:p>
    <w:bookmarkStart w:id="12" w:name="para23"/>
    <w:p w:rsidR="005201F6" w:rsidRPr="005201F6" w:rsidRDefault="00AC02B7" w:rsidP="005201F6">
      <w:pPr>
        <w:pStyle w:val="JuPara"/>
      </w:pPr>
      <w:r w:rsidRPr="005201F6">
        <w:fldChar w:fldCharType="begin"/>
      </w:r>
      <w:r w:rsidRPr="005201F6">
        <w:instrText xml:space="preserve"> SEQ level0 \*arabic \* MERGEFORMAT </w:instrText>
      </w:r>
      <w:r w:rsidRPr="005201F6">
        <w:fldChar w:fldCharType="separate"/>
      </w:r>
      <w:r w:rsidR="00A5269A">
        <w:rPr>
          <w:noProof/>
        </w:rPr>
        <w:t>23</w:t>
      </w:r>
      <w:r w:rsidRPr="005201F6">
        <w:fldChar w:fldCharType="end"/>
      </w:r>
      <w:bookmarkEnd w:id="12"/>
      <w:r>
        <w:t>.  Răspunzând apoi la prima întrebare care i-a fost adresată și întemeindu-se pe jurisprudența Curții cu privire la caracterul penal al unei sancțiuni în sensul art. 6 din Convenție, CJUE a considerat că interdicția de a exercita o funcție publică aleasă timp de trei ani nu pare să fie de natură penală în sensul art. 49 alin.(3) din Cartă, deși revenea instanței de trimitere să verifice acest lucru (pct. 32-46 din hotărâre).</w:t>
      </w:r>
    </w:p>
    <w:bookmarkStart w:id="13" w:name="para24"/>
    <w:p w:rsidR="00E8108E" w:rsidRPr="005201F6" w:rsidRDefault="00AC02B7" w:rsidP="005201F6">
      <w:pPr>
        <w:pStyle w:val="JuPara"/>
      </w:pPr>
      <w:r w:rsidRPr="005201F6">
        <w:lastRenderedPageBreak/>
        <w:fldChar w:fldCharType="begin"/>
      </w:r>
      <w:r w:rsidRPr="005201F6">
        <w:instrText xml:space="preserve"> SEQ level0 \*arabic \* MERGEFORMAT </w:instrText>
      </w:r>
      <w:r w:rsidRPr="005201F6">
        <w:fldChar w:fldCharType="separate"/>
      </w:r>
      <w:r w:rsidR="00A5269A">
        <w:rPr>
          <w:noProof/>
        </w:rPr>
        <w:t>24</w:t>
      </w:r>
      <w:r w:rsidRPr="005201F6">
        <w:fldChar w:fldCharType="end"/>
      </w:r>
      <w:bookmarkEnd w:id="13"/>
      <w:r>
        <w:t>.  De asemenea, CJUE a precizat că, indiferent de lipsa naturii penale a măsurii în temeiul art. 49 alin. (3) din Cartă, principiul proporționalității este unul dintre principiile generale ale dreptului Uniunii, astfel încât legislația națională care pune în aplicare dreptul Uniunii trebuie să respecte acest principiu. Având în vedere gravitatea atingerii aduse interesului public care rezultă din actele de corupție și din conflictele de interese, chiar și cele mai puțin semnificative, ale aleșilor într-un context național cu risc ridicat de corupție, CJUE a considerat că interdicția de exercitare a unei funcții publice alese pentru o durată prestabilită de trei ani, prevăzută de această legislație națională, nu este, în principiu, disproporționată în raport cu încălcarea pe care urmărește să o sancționeze. Cu toate acestea, instanța comunitară a susținut că faptul că durata interdicției în cauză nu este supusă niciunei posibilități de individualizare nu permite să se excludă posibilitatea ca, în anumite cazuri excepționale, această sancțiune să se dovedească disproporționată în raport cu încălcarea pe care o sancționează. Această situație s-ar putea regăsi atunci când, în mod excepțional, comportamentul ilicit constatat nu prezintă niciun element de gravitate, în timp ce impactul sancțiunii menționate asupra situației personale, profesionale și economice a persoanei în cauză se dovedește deosebit de grav (pct. 49-72 din hotărâre).</w:t>
      </w:r>
    </w:p>
    <w:p w:rsidR="00AB4C90" w:rsidRPr="005201F6" w:rsidRDefault="00AC02B7" w:rsidP="005201F6">
      <w:pPr>
        <w:pStyle w:val="JuHHead"/>
      </w:pPr>
      <w:r>
        <w:t>Motivarea curții</w:t>
      </w:r>
    </w:p>
    <w:p w:rsidR="00164FE7"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25</w:t>
      </w:r>
      <w:r w:rsidRPr="005201F6">
        <w:fldChar w:fldCharType="end"/>
      </w:r>
      <w:r>
        <w:t>.  Curtea este chemată să examineze dacă cererea îndeplinește condițiile prevăzute la art.1 din Protocolul nr. 16 (art. 2 din Protocolul nr. 16 și art. 93 din Regulamentul Curții).</w:t>
      </w:r>
    </w:p>
    <w:p w:rsidR="00164FE7"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26</w:t>
      </w:r>
      <w:r w:rsidRPr="005201F6">
        <w:fldChar w:fldCharType="end"/>
      </w:r>
      <w:r>
        <w:t>.  Nu există nicio îndoială că prima și cea de-a treia condiție de admisibilitate prevăzute la art. 1 din Protocolul nr. 16 sunt îndeplinite. Într-adevăr, cererea:</w:t>
      </w:r>
    </w:p>
    <w:p w:rsidR="00530DB7" w:rsidRPr="005201F6" w:rsidRDefault="00AC02B7" w:rsidP="005201F6">
      <w:pPr>
        <w:pStyle w:val="JuPara"/>
      </w:pPr>
      <w:r>
        <w:t>a) provine de la un complet al Înaltei Curți, care constituie înalta instanță pe care România a desemnat-o în conformitate cu art. 10 din Protocolul nr. 16 (art. 1 § 1);</w:t>
      </w:r>
    </w:p>
    <w:p w:rsidR="00164FE7" w:rsidRPr="005201F6" w:rsidRDefault="00AC02B7" w:rsidP="005201F6">
      <w:pPr>
        <w:pStyle w:val="JuPara"/>
      </w:pPr>
      <w:r>
        <w:t>b) a fost formulată în legătură cu o cauză pendinte în fața acestei instanțe (art. 1 § 2).</w:t>
      </w:r>
    </w:p>
    <w:p w:rsidR="00164FE7"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27</w:t>
      </w:r>
      <w:r w:rsidRPr="005201F6">
        <w:fldChar w:fldCharType="end"/>
      </w:r>
      <w:r>
        <w:t>.  În temeiul celei de-a doua condiții de admisibilitate, Curtea trebuie să stabilească dacă cererea se referă la „chestiuni de principiu referitoare la interpretarea sau aplicarea drepturilor și libertăților definite în Convenție sau în Protocoalele la aceasta” (art. 1 § 1 din Protocolul nr. 16).</w:t>
      </w:r>
    </w:p>
    <w:p w:rsidR="00164FE7"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28</w:t>
      </w:r>
      <w:r w:rsidRPr="005201F6">
        <w:fldChar w:fldCharType="end"/>
      </w:r>
      <w:r>
        <w:t>.  Astfel cum a indicat deja Curtea, instanța solicitantă trebuie să considere avizul cu privire la aceste „chestiuni de principiu” ca fiind necesar pentru a soluționa cauza pendinte în fața sa [</w:t>
      </w:r>
      <w:r>
        <w:rPr>
          <w:i/>
          <w:iCs/>
        </w:rPr>
        <w:t>Decizia privind o cerere de aviz consultativ formulată de Curtea Supremă a Republicii Slovace cu privire la interpretarea art. 2, 3 și 6 din Convenție</w:t>
      </w:r>
      <w:r>
        <w:t>, nr. P16-2020-001, pct. 17, 14 decembrie 2020 (</w:t>
      </w:r>
      <w:r>
        <w:rPr>
          <w:i/>
          <w:iCs/>
        </w:rPr>
        <w:t>Decizia nr. P16-2020-001</w:t>
      </w:r>
      <w:r>
        <w:t xml:space="preserve">) și pct. 6.2 din </w:t>
      </w:r>
      <w:r>
        <w:rPr>
          <w:i/>
          <w:iCs/>
        </w:rPr>
        <w:t>Orientările privind punerea în aplicare a procedurii avizului consultativ în temeiul Protocolului nr. 16 la Convenție</w:t>
      </w:r>
      <w:r>
        <w:t>].</w:t>
      </w:r>
    </w:p>
    <w:p w:rsidR="00164FE7" w:rsidRPr="005201F6" w:rsidRDefault="005201F6" w:rsidP="005201F6">
      <w:pPr>
        <w:pStyle w:val="JuPara"/>
      </w:pPr>
      <w:r w:rsidRPr="005201F6">
        <w:lastRenderedPageBreak/>
        <w:fldChar w:fldCharType="begin"/>
      </w:r>
      <w:r w:rsidR="00AC02B7">
        <w:instrText xml:space="preserve"> SEQ level0 \*arabic \* MERGEFORMAT </w:instrText>
      </w:r>
      <w:r w:rsidRPr="005201F6">
        <w:fldChar w:fldCharType="separate"/>
      </w:r>
      <w:r w:rsidR="00A5269A">
        <w:rPr>
          <w:noProof/>
        </w:rPr>
        <w:t>29</w:t>
      </w:r>
      <w:r w:rsidRPr="005201F6">
        <w:fldChar w:fldCharType="end"/>
      </w:r>
      <w:r>
        <w:t>.  În plus, „chestiunile de principiu” în sensul art. 1 § 1 din Protocolul nr. 16 sunt cele care, datorită naturii lor, a gradului de noutate și/sau complexitate sau din alte motive se referă la o chestiune cu privire la care instanța solicitantă ar avea nevoie de îndrumarea Curții prin intermediul unui aviz consultativ, astfel încât să îi permită să asigure respectarea drepturilor garantate de Convenție atunci când soluționează cauza pendinte [</w:t>
      </w:r>
      <w:r>
        <w:rPr>
          <w:i/>
          <w:iCs/>
        </w:rPr>
        <w:t>Decizie privind o cerere de aviz consultativ în temeiul Protocolului nr. 16 cu privire la interpretarea art. 4 din Protocolul nr. 7 la Convenție</w:t>
      </w:r>
      <w:r>
        <w:t>, nr. P16-2023-002, Curtea Supremă a Estoniei, pct. 20, 19 februarie 2024 (Decizia nr. P16-2023-002) și pct. 7 din Orientări].</w:t>
      </w:r>
    </w:p>
    <w:p w:rsidR="00E316A1"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30</w:t>
      </w:r>
      <w:r w:rsidRPr="005201F6">
        <w:fldChar w:fldCharType="end"/>
      </w:r>
      <w:r>
        <w:t xml:space="preserve">.  În ceea ce privește prezenta cerere de aviz, trebuie remarcat faptul că întrebările adresate fac parte din jurisprudența extinsă a Curții, din care mai multe aspecte sunt citate în mod adecvat de instanța reclamantă în decizia sa de sesizare a Curții (supra, pct. </w:t>
      </w:r>
      <w:r w:rsidR="00AC02B7" w:rsidRPr="005201F6">
        <w:fldChar w:fldCharType="begin"/>
      </w:r>
      <w:r w:rsidR="00AC02B7" w:rsidRPr="005201F6">
        <w:instrText xml:space="preserve"> REF para18 \h </w:instrText>
      </w:r>
      <w:r w:rsidR="00AC02B7" w:rsidRPr="005201F6">
        <w:fldChar w:fldCharType="separate"/>
      </w:r>
      <w:r w:rsidR="00A5269A">
        <w:rPr>
          <w:noProof/>
        </w:rPr>
        <w:t>17</w:t>
      </w:r>
      <w:r w:rsidR="00AC02B7" w:rsidRPr="005201F6">
        <w:fldChar w:fldCharType="end"/>
      </w:r>
      <w:r>
        <w:t>-</w:t>
      </w:r>
      <w:r w:rsidR="00C061E0" w:rsidRPr="005201F6">
        <w:fldChar w:fldCharType="begin"/>
      </w:r>
      <w:r w:rsidR="00C061E0" w:rsidRPr="005201F6">
        <w:instrText xml:space="preserve"> REF para20 \h </w:instrText>
      </w:r>
      <w:r w:rsidR="00C061E0" w:rsidRPr="005201F6">
        <w:fldChar w:fldCharType="separate"/>
      </w:r>
      <w:r w:rsidR="00A5269A">
        <w:rPr>
          <w:noProof/>
        </w:rPr>
        <w:t>20</w:t>
      </w:r>
      <w:r w:rsidR="00C061E0" w:rsidRPr="005201F6">
        <w:fldChar w:fldCharType="end"/>
      </w:r>
      <w:r>
        <w:t>).</w:t>
      </w:r>
    </w:p>
    <w:p w:rsidR="001F7F6F"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31</w:t>
      </w:r>
      <w:r w:rsidRPr="005201F6">
        <w:fldChar w:fldCharType="end"/>
      </w:r>
      <w:r>
        <w:t xml:space="preserve">.  Astfel, prima întrebare adresată de Înalta Curte se referă la faptul dacă procedura de evaluare a averii instituită prin Legea nr. 176/2010 poate fi calificată drept o procedură „penală” în sensul art. 6 din Convenție. Curtea observă, în această privință, că instanța solicitantă se referă în mod corect la „criteriile </w:t>
      </w:r>
      <w:proofErr w:type="spellStart"/>
      <w:r>
        <w:t>Engel</w:t>
      </w:r>
      <w:proofErr w:type="spellEnd"/>
      <w:r>
        <w:t xml:space="preserve">” </w:t>
      </w:r>
      <w:bookmarkStart w:id="14" w:name="File14"/>
      <w:r>
        <w:t>(</w:t>
      </w:r>
      <w:proofErr w:type="spellStart"/>
      <w:r>
        <w:rPr>
          <w:i/>
          <w:iCs/>
        </w:rPr>
        <w:t>Engel</w:t>
      </w:r>
      <w:bookmarkEnd w:id="14"/>
      <w:proofErr w:type="spellEnd"/>
      <w:r>
        <w:rPr>
          <w:i/>
          <w:iCs/>
        </w:rPr>
        <w:t> și alții împotriva Țărilor de Jos</w:t>
      </w:r>
      <w:r>
        <w:t xml:space="preserve">, 8 iunie 1976, pct. 82, Seria A nr. 22) care circumscriu, potrivit unei jurisprudențe consacrate, aplicabilitatea aspectului „penal” al acestei dispoziții [a se vedea, mai recent, </w:t>
      </w:r>
      <w:proofErr w:type="spellStart"/>
      <w:r>
        <w:rPr>
          <w:i/>
          <w:iCs/>
        </w:rPr>
        <w:t>Gestur</w:t>
      </w:r>
      <w:proofErr w:type="spellEnd"/>
      <w:r>
        <w:rPr>
          <w:i/>
          <w:iCs/>
        </w:rPr>
        <w:t xml:space="preserve"> </w:t>
      </w:r>
      <w:proofErr w:type="spellStart"/>
      <w:r>
        <w:rPr>
          <w:i/>
          <w:iCs/>
        </w:rPr>
        <w:t>Jónsson</w:t>
      </w:r>
      <w:proofErr w:type="spellEnd"/>
      <w:r>
        <w:rPr>
          <w:i/>
          <w:iCs/>
        </w:rPr>
        <w:t xml:space="preserve"> și </w:t>
      </w:r>
      <w:proofErr w:type="spellStart"/>
      <w:r>
        <w:rPr>
          <w:i/>
          <w:iCs/>
        </w:rPr>
        <w:t>Ragnar</w:t>
      </w:r>
      <w:proofErr w:type="spellEnd"/>
      <w:r>
        <w:rPr>
          <w:i/>
          <w:iCs/>
        </w:rPr>
        <w:t xml:space="preserve"> </w:t>
      </w:r>
      <w:proofErr w:type="spellStart"/>
      <w:r>
        <w:rPr>
          <w:i/>
          <w:iCs/>
        </w:rPr>
        <w:t>Halldór</w:t>
      </w:r>
      <w:proofErr w:type="spellEnd"/>
      <w:r>
        <w:rPr>
          <w:i/>
          <w:iCs/>
        </w:rPr>
        <w:t xml:space="preserve"> </w:t>
      </w:r>
      <w:proofErr w:type="spellStart"/>
      <w:r>
        <w:rPr>
          <w:i/>
          <w:iCs/>
        </w:rPr>
        <w:t>Hall</w:t>
      </w:r>
      <w:proofErr w:type="spellEnd"/>
      <w:r>
        <w:rPr>
          <w:i/>
          <w:iCs/>
        </w:rPr>
        <w:t xml:space="preserve"> împotriva Islandei </w:t>
      </w:r>
      <w:r>
        <w:t xml:space="preserve">(MC), nr. 68273/14 și 68271/14, pct. 75, 22 decembrie 2020 și </w:t>
      </w:r>
      <w:bookmarkStart w:id="15" w:name="_cl42103"/>
      <w:proofErr w:type="spellStart"/>
      <w:r>
        <w:rPr>
          <w:i/>
          <w:iCs/>
        </w:rPr>
        <w:t>Vegotex</w:t>
      </w:r>
      <w:proofErr w:type="spellEnd"/>
      <w:r>
        <w:rPr>
          <w:i/>
          <w:iCs/>
        </w:rPr>
        <w:t xml:space="preserve"> International S.A. împotriva Belgiei</w:t>
      </w:r>
      <w:bookmarkEnd w:id="15"/>
      <w:r>
        <w:t xml:space="preserve"> (MC), nr. 49812/09, pct. 67, 3 noiembrie 2022].</w:t>
      </w:r>
    </w:p>
    <w:p w:rsidR="001952F4"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32</w:t>
      </w:r>
      <w:r w:rsidRPr="005201F6">
        <w:fldChar w:fldCharType="end"/>
      </w:r>
      <w:r>
        <w:t>.  Trebuie reamintit că primul dintre aceste criterii este calificarea juridică a infracțiunii în dreptul intern, cel de-al doilea criteriu se referă la natura însăși a infracțiunii, iar al treilea se referă la gravitatea pedepsei pe care persoana în cauză riscă să o primească. Cel de-al doilea și cel de-al treilea criteriu sunt alternative, și nu neapărat cumulative. Acest lucru nu împiedică adoptarea unei abordări cumulative dacă analiza separată a fiecărui criteriu nu permite să se ajungă la o concluzie clară cu privire la existența unei acuzații în materie penală</w:t>
      </w:r>
      <w:r>
        <w:rPr>
          <w:i/>
        </w:rPr>
        <w:t xml:space="preserve"> (</w:t>
      </w:r>
      <w:r>
        <w:t xml:space="preserve">a se vedea, cel mai recent, </w:t>
      </w:r>
      <w:proofErr w:type="spellStart"/>
      <w:r>
        <w:rPr>
          <w:i/>
        </w:rPr>
        <w:t>Vegotex</w:t>
      </w:r>
      <w:proofErr w:type="spellEnd"/>
      <w:r>
        <w:rPr>
          <w:i/>
        </w:rPr>
        <w:t xml:space="preserve"> International</w:t>
      </w:r>
      <w:r>
        <w:t>, citată anterior, pct. 67).</w:t>
      </w:r>
    </w:p>
    <w:p w:rsidR="005201F6" w:rsidRPr="005201F6" w:rsidRDefault="00AC02B7" w:rsidP="005201F6">
      <w:pPr>
        <w:pStyle w:val="JuPara"/>
      </w:pPr>
      <w:r w:rsidRPr="005201F6">
        <w:fldChar w:fldCharType="begin"/>
      </w:r>
      <w:r>
        <w:instrText xml:space="preserve"> SEQ level0 \*arabic \* MERGEFORMAT </w:instrText>
      </w:r>
      <w:r w:rsidRPr="005201F6">
        <w:fldChar w:fldCharType="separate"/>
      </w:r>
      <w:r w:rsidR="00A5269A">
        <w:rPr>
          <w:noProof/>
        </w:rPr>
        <w:t>33</w:t>
      </w:r>
      <w:r w:rsidRPr="005201F6">
        <w:fldChar w:fldCharType="end"/>
      </w:r>
      <w:r>
        <w:t>.  Primul criteriu are o pondere relativă și servește doar ca punct de plecare (</w:t>
      </w:r>
      <w:proofErr w:type="spellStart"/>
      <w:r>
        <w:rPr>
          <w:i/>
        </w:rPr>
        <w:t>Gestur</w:t>
      </w:r>
      <w:proofErr w:type="spellEnd"/>
      <w:r>
        <w:rPr>
          <w:i/>
        </w:rPr>
        <w:t xml:space="preserve"> </w:t>
      </w:r>
      <w:proofErr w:type="spellStart"/>
      <w:r>
        <w:rPr>
          <w:i/>
        </w:rPr>
        <w:t>Jónsson</w:t>
      </w:r>
      <w:proofErr w:type="spellEnd"/>
      <w:r>
        <w:rPr>
          <w:i/>
        </w:rPr>
        <w:t xml:space="preserve"> și </w:t>
      </w:r>
      <w:proofErr w:type="spellStart"/>
      <w:r>
        <w:rPr>
          <w:i/>
        </w:rPr>
        <w:t>Ragnar</w:t>
      </w:r>
      <w:proofErr w:type="spellEnd"/>
      <w:r>
        <w:rPr>
          <w:i/>
        </w:rPr>
        <w:t xml:space="preserve"> </w:t>
      </w:r>
      <w:proofErr w:type="spellStart"/>
      <w:r>
        <w:rPr>
          <w:i/>
        </w:rPr>
        <w:t>Halldór</w:t>
      </w:r>
      <w:proofErr w:type="spellEnd"/>
      <w:r>
        <w:rPr>
          <w:i/>
        </w:rPr>
        <w:t xml:space="preserve"> </w:t>
      </w:r>
      <w:proofErr w:type="spellStart"/>
      <w:r>
        <w:rPr>
          <w:i/>
        </w:rPr>
        <w:t>Hall</w:t>
      </w:r>
      <w:proofErr w:type="spellEnd"/>
      <w:r>
        <w:rPr>
          <w:i/>
        </w:rPr>
        <w:t xml:space="preserve">, </w:t>
      </w:r>
      <w:r>
        <w:t>citată anterior, pct. 85)</w:t>
      </w:r>
    </w:p>
    <w:p w:rsidR="00E31DF9"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34</w:t>
      </w:r>
      <w:r w:rsidRPr="005201F6">
        <w:fldChar w:fldCharType="end"/>
      </w:r>
      <w:r>
        <w:t>.  Cel de-al doilea criteriu reprezintă un factor mai important (</w:t>
      </w:r>
      <w:proofErr w:type="spellStart"/>
      <w:r>
        <w:rPr>
          <w:i/>
          <w:iCs/>
        </w:rPr>
        <w:t>Engel</w:t>
      </w:r>
      <w:proofErr w:type="spellEnd"/>
      <w:r>
        <w:rPr>
          <w:i/>
          <w:iCs/>
        </w:rPr>
        <w:t xml:space="preserve"> și alții</w:t>
      </w:r>
      <w:r>
        <w:t>, citată anterior, pct. 82). Acesta implică, pe de o parte, examinarea faptului dacă măsura în cauză vizează un grup specific de persoane [</w:t>
      </w:r>
      <w:r>
        <w:rPr>
          <w:i/>
          <w:iCs/>
        </w:rPr>
        <w:t xml:space="preserve">Ramos </w:t>
      </w:r>
      <w:proofErr w:type="spellStart"/>
      <w:r>
        <w:rPr>
          <w:i/>
          <w:iCs/>
        </w:rPr>
        <w:t>Nunes</w:t>
      </w:r>
      <w:proofErr w:type="spellEnd"/>
      <w:r>
        <w:rPr>
          <w:i/>
          <w:iCs/>
        </w:rPr>
        <w:t xml:space="preserve"> de Carvalho e </w:t>
      </w:r>
      <w:proofErr w:type="spellStart"/>
      <w:r>
        <w:rPr>
          <w:i/>
          <w:iCs/>
        </w:rPr>
        <w:t>Sá</w:t>
      </w:r>
      <w:proofErr w:type="spellEnd"/>
      <w:r>
        <w:rPr>
          <w:i/>
          <w:iCs/>
        </w:rPr>
        <w:t xml:space="preserve"> împotriva Portugaliei</w:t>
      </w:r>
      <w:r>
        <w:t xml:space="preserve"> (MC), nr. 55391/13 și alte 2, pct. 125, 6 noiembrie 2018] sau se aplică tuturor cetățenilor (</w:t>
      </w:r>
      <w:proofErr w:type="spellStart"/>
      <w:r>
        <w:rPr>
          <w:i/>
          <w:iCs/>
        </w:rPr>
        <w:t>Bendenoun</w:t>
      </w:r>
      <w:proofErr w:type="spellEnd"/>
      <w:r>
        <w:rPr>
          <w:i/>
          <w:iCs/>
        </w:rPr>
        <w:t xml:space="preserve"> împotriva Franței</w:t>
      </w:r>
      <w:r>
        <w:t>, 24 februarie 1994, pct. 47, Seria A nr. 284) și, pe de altă parte, dacă aceasta are o funcție reparatorie (</w:t>
      </w:r>
      <w:r>
        <w:rPr>
          <w:i/>
          <w:iCs/>
        </w:rPr>
        <w:t>C.Y. împotriva Belgiei</w:t>
      </w:r>
      <w:r>
        <w:t>, nr. 19961/17, pct. 40, 14 noiembrie 2023) sau urmărește un scop represiv și disuasiv [</w:t>
      </w:r>
      <w:proofErr w:type="spellStart"/>
      <w:r>
        <w:rPr>
          <w:i/>
          <w:iCs/>
        </w:rPr>
        <w:t>Öztürk</w:t>
      </w:r>
      <w:proofErr w:type="spellEnd"/>
      <w:r>
        <w:rPr>
          <w:i/>
          <w:iCs/>
        </w:rPr>
        <w:t xml:space="preserve"> împotriva Germaniei</w:t>
      </w:r>
      <w:r>
        <w:t xml:space="preserve">, 21 februarie 1984, pct. 53, Seria A nr. 73, </w:t>
      </w:r>
      <w:proofErr w:type="spellStart"/>
      <w:r>
        <w:rPr>
          <w:i/>
          <w:iCs/>
        </w:rPr>
        <w:t>Jussila</w:t>
      </w:r>
      <w:proofErr w:type="spellEnd"/>
      <w:r>
        <w:rPr>
          <w:i/>
          <w:iCs/>
        </w:rPr>
        <w:t xml:space="preserve"> împotriva Finlandei </w:t>
      </w:r>
      <w:r>
        <w:t xml:space="preserve">(MC), nr. 73053/01, pct. 38, CEDO </w:t>
      </w:r>
      <w:r>
        <w:lastRenderedPageBreak/>
        <w:t>2006</w:t>
      </w:r>
      <w:r>
        <w:noBreakHyphen/>
        <w:t xml:space="preserve">XIV, și </w:t>
      </w:r>
      <w:r>
        <w:rPr>
          <w:i/>
          <w:iCs/>
        </w:rPr>
        <w:t xml:space="preserve">A. </w:t>
      </w:r>
      <w:proofErr w:type="spellStart"/>
      <w:r>
        <w:rPr>
          <w:i/>
          <w:iCs/>
        </w:rPr>
        <w:t>Menarini</w:t>
      </w:r>
      <w:proofErr w:type="spellEnd"/>
      <w:r>
        <w:rPr>
          <w:i/>
          <w:iCs/>
        </w:rPr>
        <w:t xml:space="preserve"> </w:t>
      </w:r>
      <w:proofErr w:type="spellStart"/>
      <w:r>
        <w:rPr>
          <w:i/>
          <w:iCs/>
        </w:rPr>
        <w:t>Diagnostics</w:t>
      </w:r>
      <w:proofErr w:type="spellEnd"/>
      <w:r>
        <w:rPr>
          <w:i/>
          <w:iCs/>
        </w:rPr>
        <w:t xml:space="preserve"> </w:t>
      </w:r>
      <w:proofErr w:type="spellStart"/>
      <w:r>
        <w:rPr>
          <w:i/>
          <w:iCs/>
        </w:rPr>
        <w:t>S.r.l.</w:t>
      </w:r>
      <w:proofErr w:type="spellEnd"/>
      <w:r>
        <w:rPr>
          <w:i/>
          <w:iCs/>
        </w:rPr>
        <w:t xml:space="preserve"> împotriva Italiei</w:t>
      </w:r>
      <w:r>
        <w:t>, nr. 43509/08, pct. 40, 27 septembrie 2011].</w:t>
      </w:r>
    </w:p>
    <w:p w:rsidR="00D0694E"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35</w:t>
      </w:r>
      <w:r w:rsidRPr="005201F6">
        <w:fldChar w:fldCharType="end"/>
      </w:r>
      <w:r>
        <w:t>.  În ceea ce privește al treilea criteriu, și anume gradul de gravitate a pedepsei, acesta este determinat prin raportare la pedeapsa maximă prevăzută de dispoziția legală aplicabilă. Faptul că o infracțiune nu este pedepsită cu închisoarea nu este în sine decisiv (</w:t>
      </w:r>
      <w:r>
        <w:rPr>
          <w:i/>
          <w:iCs/>
        </w:rPr>
        <w:t xml:space="preserve">Ramos </w:t>
      </w:r>
      <w:proofErr w:type="spellStart"/>
      <w:r>
        <w:rPr>
          <w:i/>
          <w:iCs/>
        </w:rPr>
        <w:t>Nunes</w:t>
      </w:r>
      <w:proofErr w:type="spellEnd"/>
      <w:r>
        <w:rPr>
          <w:i/>
          <w:iCs/>
        </w:rPr>
        <w:t xml:space="preserve"> de Carvalho e </w:t>
      </w:r>
      <w:proofErr w:type="spellStart"/>
      <w:r>
        <w:rPr>
          <w:i/>
          <w:iCs/>
        </w:rPr>
        <w:t>Sá</w:t>
      </w:r>
      <w:proofErr w:type="spellEnd"/>
      <w:r>
        <w:t xml:space="preserve">, citată anterior, pct. 122, și </w:t>
      </w:r>
      <w:proofErr w:type="spellStart"/>
      <w:r>
        <w:rPr>
          <w:i/>
          <w:iCs/>
        </w:rPr>
        <w:t>Gestur</w:t>
      </w:r>
      <w:proofErr w:type="spellEnd"/>
      <w:r>
        <w:rPr>
          <w:i/>
          <w:iCs/>
        </w:rPr>
        <w:t xml:space="preserve"> </w:t>
      </w:r>
      <w:proofErr w:type="spellStart"/>
      <w:r>
        <w:rPr>
          <w:i/>
          <w:iCs/>
        </w:rPr>
        <w:t>Jónsson</w:t>
      </w:r>
      <w:proofErr w:type="spellEnd"/>
      <w:r>
        <w:rPr>
          <w:i/>
          <w:iCs/>
        </w:rPr>
        <w:t xml:space="preserve"> și </w:t>
      </w:r>
      <w:proofErr w:type="spellStart"/>
      <w:r>
        <w:rPr>
          <w:i/>
          <w:iCs/>
        </w:rPr>
        <w:t>Ragnar</w:t>
      </w:r>
      <w:proofErr w:type="spellEnd"/>
      <w:r>
        <w:rPr>
          <w:i/>
          <w:iCs/>
        </w:rPr>
        <w:t xml:space="preserve"> </w:t>
      </w:r>
      <w:proofErr w:type="spellStart"/>
      <w:r>
        <w:rPr>
          <w:i/>
          <w:iCs/>
        </w:rPr>
        <w:t>Halldór</w:t>
      </w:r>
      <w:proofErr w:type="spellEnd"/>
      <w:r>
        <w:rPr>
          <w:i/>
          <w:iCs/>
        </w:rPr>
        <w:t xml:space="preserve"> </w:t>
      </w:r>
      <w:proofErr w:type="spellStart"/>
      <w:r>
        <w:rPr>
          <w:i/>
          <w:iCs/>
        </w:rPr>
        <w:t>Hall</w:t>
      </w:r>
      <w:proofErr w:type="spellEnd"/>
      <w:r>
        <w:t>, citată anterior, pct. 78).</w:t>
      </w:r>
    </w:p>
    <w:p w:rsidR="001C3266"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36</w:t>
      </w:r>
      <w:r w:rsidRPr="005201F6">
        <w:fldChar w:fldCharType="end"/>
      </w:r>
      <w:r>
        <w:t>.  În jurisprudența sa, Curtea a examinat, în cadrul laturii „penale” a art. 6 din Convenție, măsurile de confiscare care erau asociate cu – și erau consecința – săvârșirii unei infracțiuni (</w:t>
      </w:r>
      <w:r>
        <w:rPr>
          <w:i/>
        </w:rPr>
        <w:t>Phillips împotriva Regatului Unit</w:t>
      </w:r>
      <w:r>
        <w:t>, nr. 41087/98, pct. 39, CEDO 2001-VII).</w:t>
      </w:r>
    </w:p>
    <w:p w:rsidR="00B82E13"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37</w:t>
      </w:r>
      <w:r w:rsidRPr="005201F6">
        <w:fldChar w:fldCharType="end"/>
      </w:r>
      <w:r>
        <w:t>.  În plus, Marea Cameră a Curții a fost chemată să examineze, din perspectiva art. 7 din Convenție, o confiscare care a fost dispusă în absența unei condamnări penale a reclamanților, dar ca urmare a existenței unei infracțiuni. Confirmând interpretarea autonomă a noțiunii de „pedeapsă” în sensul art. 7, Curtea a statuat că absența unei condamnări penale a persoanelor vizate nu era suficientă pentru a exclude aplicabilitatea acestui articol [</w:t>
      </w:r>
      <w:r>
        <w:rPr>
          <w:i/>
        </w:rPr>
        <w:t xml:space="preserve">G.I.E.M. </w:t>
      </w:r>
      <w:proofErr w:type="spellStart"/>
      <w:r>
        <w:rPr>
          <w:i/>
        </w:rPr>
        <w:t>S.r.l.</w:t>
      </w:r>
      <w:proofErr w:type="spellEnd"/>
      <w:r>
        <w:rPr>
          <w:i/>
        </w:rPr>
        <w:t xml:space="preserve"> și alții împotriva Italiei</w:t>
      </w:r>
      <w:r>
        <w:t xml:space="preserve"> (MC), nr. 1828/06 și alte două, pct. 215-219, 28 iunie 2018].</w:t>
      </w:r>
    </w:p>
    <w:p w:rsidR="002B3F36"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38</w:t>
      </w:r>
      <w:r w:rsidRPr="005201F6">
        <w:fldChar w:fldCharType="end"/>
      </w:r>
      <w:r>
        <w:t>.  Pe de altă parte, Curtea a examinat, în cadrul laturii „civile” a art. 6 din Convenție, măsurile de confiscare care nu aveau legătură cu o infracțiune comisă de persoanele în cauză (</w:t>
      </w:r>
      <w:bookmarkStart w:id="16" w:name="_cl16474"/>
      <w:bookmarkStart w:id="17" w:name="_cl18703"/>
      <w:proofErr w:type="spellStart"/>
      <w:r>
        <w:rPr>
          <w:i/>
        </w:rPr>
        <w:t>Silickienė</w:t>
      </w:r>
      <w:proofErr w:type="spellEnd"/>
      <w:r>
        <w:rPr>
          <w:i/>
        </w:rPr>
        <w:t xml:space="preserve"> împotriva Lituaniei</w:t>
      </w:r>
      <w:bookmarkEnd w:id="16"/>
      <w:r>
        <w:t xml:space="preserve">, nr. 20496/02, pct. 45-46, 10 aprilie 2012, </w:t>
      </w:r>
      <w:proofErr w:type="spellStart"/>
      <w:r>
        <w:rPr>
          <w:i/>
        </w:rPr>
        <w:t>Veits</w:t>
      </w:r>
      <w:proofErr w:type="spellEnd"/>
      <w:r>
        <w:rPr>
          <w:i/>
        </w:rPr>
        <w:t xml:space="preserve"> împotriva Estoniei</w:t>
      </w:r>
      <w:r>
        <w:t>, nr. 12951/11, pct. 41</w:t>
      </w:r>
      <w:r>
        <w:noBreakHyphen/>
        <w:t>46, 15 ianuarie 201</w:t>
      </w:r>
      <w:bookmarkEnd w:id="17"/>
      <w:r>
        <w:t xml:space="preserve">5 și </w:t>
      </w:r>
      <w:bookmarkStart w:id="18" w:name="_cl17670"/>
      <w:proofErr w:type="spellStart"/>
      <w:r>
        <w:rPr>
          <w:i/>
        </w:rPr>
        <w:t>Telbis</w:t>
      </w:r>
      <w:proofErr w:type="spellEnd"/>
      <w:r>
        <w:rPr>
          <w:i/>
        </w:rPr>
        <w:t xml:space="preserve"> și </w:t>
      </w:r>
      <w:proofErr w:type="spellStart"/>
      <w:r>
        <w:rPr>
          <w:i/>
        </w:rPr>
        <w:t>Viziteu</w:t>
      </w:r>
      <w:proofErr w:type="spellEnd"/>
      <w:r>
        <w:rPr>
          <w:i/>
        </w:rPr>
        <w:t xml:space="preserve"> împotriva României</w:t>
      </w:r>
      <w:bookmarkEnd w:id="18"/>
      <w:r>
        <w:t>, nr. 47911/15, pct. 49-58, 26 iunie 2018).</w:t>
      </w:r>
    </w:p>
    <w:p w:rsidR="005201F6" w:rsidRPr="005201F6" w:rsidRDefault="00AC02B7" w:rsidP="005201F6">
      <w:pPr>
        <w:pStyle w:val="JuPara"/>
      </w:pPr>
      <w:r w:rsidRPr="005201F6">
        <w:fldChar w:fldCharType="begin"/>
      </w:r>
      <w:r>
        <w:instrText xml:space="preserve"> SEQ level0 \*arabic \* MERGEFORMAT </w:instrText>
      </w:r>
      <w:r w:rsidRPr="005201F6">
        <w:fldChar w:fldCharType="separate"/>
      </w:r>
      <w:r w:rsidR="00A5269A">
        <w:rPr>
          <w:noProof/>
        </w:rPr>
        <w:t>39</w:t>
      </w:r>
      <w:r w:rsidRPr="005201F6">
        <w:fldChar w:fldCharType="end"/>
      </w:r>
      <w:r>
        <w:t xml:space="preserve">.  În același timp, Curtea constată că, în cadrul unei acțiuni pentru pronunțarea unei hotărâri preliminare, CJUE s-a pronunțat cu privire la o altă măsură prevăzută de Legea nr. 176/2010, și anume interdicția de a exercita o funcție publică eligibilă pe o perioadă de trei ani pe motiv de conflict de interese, prevăzută la art. 25 alin. (2) din Legea nr. 176/2010. Deși măsura vizată de cererea de hotărâre preliminară era diferită de confiscarea în discuție în speță și a fost dispusă într-un context diferit, și anume cel al conflictelor de interese, nu este lipsit de interes să se constate că CJUE a statuat, cu această ocazie, bazându-se pe „criteriile </w:t>
      </w:r>
      <w:proofErr w:type="spellStart"/>
      <w:r>
        <w:t>Engel</w:t>
      </w:r>
      <w:proofErr w:type="spellEnd"/>
      <w:r>
        <w:t xml:space="preserve">” și pe jurisprudența Curții, că această interdicție nu apare ca fiind de natură penală în sensul art. 49 din Cartă (supra, pct. </w:t>
      </w:r>
      <w:r w:rsidR="00612A69" w:rsidRPr="005201F6">
        <w:fldChar w:fldCharType="begin"/>
      </w:r>
      <w:r w:rsidR="00612A69" w:rsidRPr="005201F6">
        <w:instrText xml:space="preserve"> REF para23 \h </w:instrText>
      </w:r>
      <w:r w:rsidR="004A201D" w:rsidRPr="005201F6">
        <w:instrText xml:space="preserve"> \* MERGEFORMAT </w:instrText>
      </w:r>
      <w:r w:rsidR="00612A69" w:rsidRPr="005201F6">
        <w:fldChar w:fldCharType="separate"/>
      </w:r>
      <w:r w:rsidR="00A5269A">
        <w:t>23</w:t>
      </w:r>
      <w:r w:rsidR="00612A69" w:rsidRPr="005201F6">
        <w:fldChar w:fldCharType="end"/>
      </w:r>
      <w:r>
        <w:t>).</w:t>
      </w:r>
    </w:p>
    <w:p w:rsidR="00267FF2" w:rsidRPr="005201F6" w:rsidRDefault="005201F6" w:rsidP="005201F6">
      <w:pPr>
        <w:pStyle w:val="JuPara"/>
        <w:rPr>
          <w:rStyle w:val="sbb9ee52a"/>
          <w:rFonts w:ascii="Times New Roman" w:hAnsi="Times New Roman" w:cs="Times New Roman"/>
          <w:color w:val="000000"/>
        </w:rPr>
      </w:pPr>
      <w:r w:rsidRPr="005201F6">
        <w:fldChar w:fldCharType="begin"/>
      </w:r>
      <w:r w:rsidR="00AC02B7">
        <w:instrText xml:space="preserve"> SEQ level0 \*arabic \* MERGEFORMAT </w:instrText>
      </w:r>
      <w:r w:rsidRPr="005201F6">
        <w:fldChar w:fldCharType="separate"/>
      </w:r>
      <w:r w:rsidR="00A5269A">
        <w:rPr>
          <w:noProof/>
        </w:rPr>
        <w:t>40</w:t>
      </w:r>
      <w:r w:rsidRPr="005201F6">
        <w:fldChar w:fldCharType="end"/>
      </w:r>
      <w:r>
        <w:t>.  </w:t>
      </w:r>
      <w:r>
        <w:rPr>
          <w:rFonts w:ascii="Times New Roman" w:hAnsi="Times New Roman"/>
        </w:rPr>
        <w:t>În acest context, e</w:t>
      </w:r>
      <w:r>
        <w:rPr>
          <w:rStyle w:val="sbb9ee52a"/>
          <w:rFonts w:ascii="Times New Roman" w:hAnsi="Times New Roman"/>
          <w:color w:val="000000"/>
        </w:rPr>
        <w:t xml:space="preserve">ste de competența instanței solicitante să stabilească, pe baza jurisprudenței existente și în raport cu dreptul intern relevant și cu faptele cauzei pendinte în fața sa, dacă procedura în cauză privește latura „civilă” sau „penală” a art. 6 din Convenție </w:t>
      </w:r>
      <w:r>
        <w:rPr>
          <w:rStyle w:val="sbb9ee52a"/>
          <w:rFonts w:ascii="Times New Roman" w:hAnsi="Times New Roman"/>
        </w:rPr>
        <w:t>[</w:t>
      </w:r>
      <w:r>
        <w:rPr>
          <w:rStyle w:val="sbb9ee52a"/>
          <w:rFonts w:ascii="Times New Roman" w:hAnsi="Times New Roman"/>
          <w:i/>
        </w:rPr>
        <w:t xml:space="preserve">Aviz consultativ </w:t>
      </w:r>
      <w:r>
        <w:rPr>
          <w:rFonts w:ascii="Times New Roman" w:hAnsi="Times New Roman"/>
          <w:i/>
        </w:rPr>
        <w:t xml:space="preserve">cu privire la statutul și drepturile procedurale ale unui părinte biologic în procedura de adopție a unui adult (MC), cererea nr. P16-2022-001, Curtea supremă a Finlandei, pct. 44, 13 aprilie 2023, </w:t>
      </w:r>
      <w:r>
        <w:rPr>
          <w:rFonts w:ascii="Times New Roman" w:hAnsi="Times New Roman"/>
        </w:rPr>
        <w:t xml:space="preserve">și </w:t>
      </w:r>
      <w:r>
        <w:rPr>
          <w:rFonts w:ascii="Times New Roman" w:hAnsi="Times New Roman"/>
          <w:i/>
        </w:rPr>
        <w:t>Decizia nr. P16</w:t>
      </w:r>
      <w:r>
        <w:rPr>
          <w:rFonts w:ascii="Times New Roman" w:hAnsi="Times New Roman"/>
          <w:i/>
        </w:rPr>
        <w:noBreakHyphen/>
        <w:t>2023-002</w:t>
      </w:r>
      <w:r>
        <w:rPr>
          <w:rFonts w:ascii="Times New Roman" w:hAnsi="Times New Roman"/>
        </w:rPr>
        <w:t>, citată anterior, pct. 30].</w:t>
      </w:r>
    </w:p>
    <w:p w:rsidR="003F31F4" w:rsidRPr="005201F6" w:rsidRDefault="005201F6" w:rsidP="005201F6">
      <w:pPr>
        <w:pStyle w:val="JuPara"/>
      </w:pPr>
      <w:r w:rsidRPr="005201F6">
        <w:lastRenderedPageBreak/>
        <w:fldChar w:fldCharType="begin"/>
      </w:r>
      <w:r w:rsidR="00AC02B7">
        <w:instrText xml:space="preserve"> SEQ level0 \*arabic \* MERGEFORMAT </w:instrText>
      </w:r>
      <w:r w:rsidRPr="005201F6">
        <w:fldChar w:fldCharType="separate"/>
      </w:r>
      <w:r w:rsidR="00A5269A">
        <w:rPr>
          <w:noProof/>
        </w:rPr>
        <w:t>41</w:t>
      </w:r>
      <w:r w:rsidRPr="005201F6">
        <w:fldChar w:fldCharType="end"/>
      </w:r>
      <w:r>
        <w:t>.  În ceea ce privește cea de-a doua întrebare a instanței reclamante, Curtea amintește că, potrivit unei jurisprudențe consacrate, art. 1 din Protocolul nr. 1 impune ca pentru orice ingerință în dreptul persoanei de a se bucura în mod pașnic de bunurile sale trebuie să existe un raport rezonabil de proporționalitate între mijloacele folosite și scopul urmărit [</w:t>
      </w:r>
      <w:bookmarkStart w:id="19" w:name="_cl8234"/>
      <w:proofErr w:type="spellStart"/>
      <w:r>
        <w:rPr>
          <w:i/>
        </w:rPr>
        <w:t>Jahn</w:t>
      </w:r>
      <w:proofErr w:type="spellEnd"/>
      <w:r>
        <w:rPr>
          <w:i/>
        </w:rPr>
        <w:t xml:space="preserve"> și alții împotriva Germaniei</w:t>
      </w:r>
      <w:bookmarkEnd w:id="19"/>
      <w:r>
        <w:t xml:space="preserve"> (MC), nr. 46720/99 și alte două, pct. 83</w:t>
      </w:r>
      <w:r>
        <w:noBreakHyphen/>
        <w:t>95, CEDO 2005-VI]. Acest just echilibru este afectat în cazul în care persoana în cauză trebuie să suporte o sarcină excesivă și exorbitantă (</w:t>
      </w:r>
      <w:bookmarkStart w:id="20" w:name="_cl16917"/>
      <w:proofErr w:type="spellStart"/>
      <w:r>
        <w:rPr>
          <w:i/>
        </w:rPr>
        <w:t>Sporrong</w:t>
      </w:r>
      <w:proofErr w:type="spellEnd"/>
      <w:r>
        <w:rPr>
          <w:i/>
        </w:rPr>
        <w:t xml:space="preserve"> și </w:t>
      </w:r>
      <w:proofErr w:type="spellStart"/>
      <w:r>
        <w:rPr>
          <w:i/>
        </w:rPr>
        <w:t>Lönnroth</w:t>
      </w:r>
      <w:proofErr w:type="spellEnd"/>
      <w:r>
        <w:rPr>
          <w:i/>
        </w:rPr>
        <w:t xml:space="preserve"> împotriva Suediei</w:t>
      </w:r>
      <w:bookmarkEnd w:id="20"/>
      <w:r>
        <w:t>, 23 septembrie 1982, pct. 69-74, seria A nr. 52, și </w:t>
      </w:r>
      <w:bookmarkStart w:id="21" w:name="_cl10924"/>
      <w:proofErr w:type="spellStart"/>
      <w:r>
        <w:rPr>
          <w:i/>
        </w:rPr>
        <w:t>Maggio</w:t>
      </w:r>
      <w:proofErr w:type="spellEnd"/>
      <w:r>
        <w:rPr>
          <w:i/>
        </w:rPr>
        <w:t xml:space="preserve"> și alții împotriva Italiei</w:t>
      </w:r>
      <w:bookmarkEnd w:id="21"/>
      <w:r>
        <w:t>, nr. 46286/09 și alte 4, pct. 57, 31 mai 2011).</w:t>
      </w:r>
    </w:p>
    <w:p w:rsidR="00065222"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42</w:t>
      </w:r>
      <w:r w:rsidRPr="005201F6">
        <w:fldChar w:fldCharType="end"/>
      </w:r>
      <w:r>
        <w:t xml:space="preserve">.  Curtea amintește, în această privință, că CJUE a precizat, de asemenea, că, independent de absența naturii „penale” în sensul art. 49 din Cartă, principiul proporționalității face parte din principiile generale ale dreptului Uniunii și că acesta nu se opune aplicării interdicției de a exercita orice funcție publică eligibilă pe o perioadă prestabilită de trei ani, prevăzută la art. 25 alin. (2) din Legea nr. 176/2010, cu excepția cazului în care, în mod excepțional, comportamentul ilicit constatat nu prezintă niciun element de gravitate, în timp ce impactul acestei măsuri asupra situației personale, profesionale și economice a acestei persoane este deosebit de grav (supra, pct. </w:t>
      </w:r>
      <w:r w:rsidR="00CC6458" w:rsidRPr="005201F6">
        <w:fldChar w:fldCharType="begin"/>
      </w:r>
      <w:r w:rsidR="00CC6458" w:rsidRPr="005201F6">
        <w:instrText xml:space="preserve"> REF para24 \h </w:instrText>
      </w:r>
      <w:r w:rsidR="006B34D8" w:rsidRPr="005201F6">
        <w:instrText xml:space="preserve"> \* MERGEFORMAT </w:instrText>
      </w:r>
      <w:r w:rsidR="00CC6458" w:rsidRPr="005201F6">
        <w:fldChar w:fldCharType="separate"/>
      </w:r>
      <w:r w:rsidR="00A5269A">
        <w:t>24</w:t>
      </w:r>
      <w:r w:rsidR="00CC6458" w:rsidRPr="005201F6">
        <w:fldChar w:fldCharType="end"/>
      </w:r>
      <w:r>
        <w:t>).</w:t>
      </w:r>
    </w:p>
    <w:p w:rsidR="005201F6" w:rsidRPr="005201F6" w:rsidRDefault="00A5269A" w:rsidP="005201F6">
      <w:pPr>
        <w:pStyle w:val="JuPara"/>
      </w:pPr>
      <w:r>
        <w:fldChar w:fldCharType="begin"/>
      </w:r>
      <w:r>
        <w:instrText xml:space="preserve"> SEQ level0 \*arabic \* MERGEFORMAT </w:instrText>
      </w:r>
      <w:r>
        <w:fldChar w:fldCharType="separate"/>
      </w:r>
      <w:r>
        <w:rPr>
          <w:noProof/>
        </w:rPr>
        <w:t>43</w:t>
      </w:r>
      <w:r>
        <w:fldChar w:fldCharType="end"/>
      </w:r>
      <w:r w:rsidR="00AC02B7">
        <w:t>.  Curtea amintește, de asemenea, că „echilibrul just” impus de art. 1 din Protocolul nr. 1 presupune echitatea procesului. Într-adevăr, în pofida absenței unei cerințe procedurale exprese în temeiul acestei dispoziții, procedurile care aduc atingere drepturilor prevăzute la art. 1 din Protocolul nr. 1 trebuie să ofere persoanei în cauză o posibilitate adecvată de a-și prezenta cauza autorităților competente pentru a contesta în mod efectiv măsurile care aduc atingere drepturilor garantate de această dispoziție. Astfel, o asemenea ingerință nu poate să aibă legitimitate în absența unei dezbateri desfășurate în contradictoriu și cu respectarea principiul egalității armelor, care permite discutarea aspectelor ce prezintă importanță pentru soluționarea cauzei (</w:t>
      </w:r>
      <w:r w:rsidR="00AC02B7">
        <w:rPr>
          <w:i/>
        </w:rPr>
        <w:t>G.I.E.M</w:t>
      </w:r>
      <w:r w:rsidR="00AC02B7">
        <w:t>.</w:t>
      </w:r>
      <w:r w:rsidR="00AC02B7">
        <w:rPr>
          <w:i/>
        </w:rPr>
        <w:t xml:space="preserve"> S.r.l. și alții</w:t>
      </w:r>
      <w:r w:rsidR="00AC02B7">
        <w:t xml:space="preserve">, citată anterior, pct. 302, </w:t>
      </w:r>
      <w:r w:rsidR="00AC02B7">
        <w:rPr>
          <w:i/>
        </w:rPr>
        <w:t>Veits</w:t>
      </w:r>
      <w:r w:rsidR="00AC02B7">
        <w:t>, citată anterior, pct. 72). În plus, deciziile pronunțate de instanțele interne trebuie să fie suficient de motivate în raport cu situația personală a persoanei în cauză (</w:t>
      </w:r>
      <w:r w:rsidR="00AC02B7">
        <w:rPr>
          <w:i/>
        </w:rPr>
        <w:t>Todorov și alții împotriva Bulgariei</w:t>
      </w:r>
      <w:r w:rsidR="00AC02B7">
        <w:t>, n</w:t>
      </w:r>
      <w:r w:rsidR="00AC02B7">
        <w:rPr>
          <w:vertAlign w:val="superscript"/>
        </w:rPr>
        <w:t>r.</w:t>
      </w:r>
      <w:r w:rsidR="00AC02B7">
        <w:t xml:space="preserve"> 50705/11 și alte 6, pct. 256, 13 iulie 2021).</w:t>
      </w:r>
    </w:p>
    <w:p w:rsidR="00401381"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44</w:t>
      </w:r>
      <w:r w:rsidRPr="005201F6">
        <w:fldChar w:fldCharType="end"/>
      </w:r>
      <w:r>
        <w:t xml:space="preserve">.  De asemenea, Curtea consideră util să menționeze cauza </w:t>
      </w:r>
      <w:r>
        <w:rPr>
          <w:i/>
          <w:iCs/>
        </w:rPr>
        <w:t>Telbis și Viziteu</w:t>
      </w:r>
      <w:r>
        <w:t>, citată anterior, care privea confiscarea unor bunuri în cadrul unei anchete penale privind o rudă apropiată care fusese acuzată și ulterior condamnată pentru corupție. Confiscarea bunurilor acestor terțe persoane în cadrul procesului penal în cauză a fost justificată de instanțele interne prin faptul că reclamanții nu au fost în măsură să dovedească originea lor licită. În această cauză, Curtea a constatat că nu a fost încălcat art. 1 din Protocolul nr. 1, subliniind marja largă de apreciere de care beneficiază statele în lupta de combatere a corupției instituționale și garanțiile procedurale de care au beneficiat reclamanții (pct. 72-82).</w:t>
      </w:r>
    </w:p>
    <w:p w:rsidR="00B67FF9" w:rsidRPr="005201F6" w:rsidRDefault="005201F6" w:rsidP="005201F6">
      <w:pPr>
        <w:pStyle w:val="JuPara"/>
      </w:pPr>
      <w:r w:rsidRPr="005201F6">
        <w:lastRenderedPageBreak/>
        <w:fldChar w:fldCharType="begin"/>
      </w:r>
      <w:r w:rsidR="00AC02B7">
        <w:instrText xml:space="preserve"> SEQ level0 \*arabic \* MERGEFORMAT </w:instrText>
      </w:r>
      <w:r w:rsidRPr="005201F6">
        <w:fldChar w:fldCharType="separate"/>
      </w:r>
      <w:r w:rsidR="00A5269A">
        <w:rPr>
          <w:noProof/>
        </w:rPr>
        <w:t>45</w:t>
      </w:r>
      <w:r w:rsidRPr="005201F6">
        <w:fldChar w:fldCharType="end"/>
      </w:r>
      <w:r>
        <w:t>.  Având în vedere cele de mai sus, Curtea constată că, în ceea ce privește cele două întrebări care îi sunt adresate, jurisprudența sa actuală conține o serie de elemente utile care permit instanței solicitante să soluționeze în mod corespunzător litigiul în temeiul art. 6 din Convenție și a art. 1 din Protocolul nr. 1, în conformitate cu principiul subsidiarității. Potrivit acestui principiu, responsabilitatea pentru protecția drepturilor și libertăților consacrate de Convenție și de Protocoalele sale este partajată între statele părți și Curte, și le revine în primul rând instanțelor naționale sarcina de a le da efect deplin în lumina jurisprudenței Curții [</w:t>
      </w:r>
      <w:r>
        <w:rPr>
          <w:i/>
        </w:rPr>
        <w:t>Grzęda împotriva Poloniei</w:t>
      </w:r>
      <w:r>
        <w:t xml:space="preserve"> (MC), nr. 43572/18, pct. 324, 15 martie 2022, </w:t>
      </w:r>
      <w:bookmarkStart w:id="22" w:name="_cl3807"/>
      <w:r>
        <w:t xml:space="preserve">și </w:t>
      </w:r>
      <w:r>
        <w:rPr>
          <w:i/>
        </w:rPr>
        <w:t>Correia de Matos împotriva Portugaliei</w:t>
      </w:r>
      <w:bookmarkEnd w:id="22"/>
      <w:r>
        <w:t xml:space="preserve"> (MC), nr. 56402/12, pct. 116, 4 aprilie 2018).</w:t>
      </w:r>
    </w:p>
    <w:p w:rsidR="005201F6" w:rsidRPr="005201F6" w:rsidRDefault="00AC02B7" w:rsidP="005201F6">
      <w:pPr>
        <w:pStyle w:val="JuPara"/>
      </w:pPr>
      <w:r w:rsidRPr="005201F6">
        <w:fldChar w:fldCharType="begin"/>
      </w:r>
      <w:r>
        <w:instrText xml:space="preserve"> SEQ level0 \*arabic \* MERGEFORMAT </w:instrText>
      </w:r>
      <w:r w:rsidRPr="005201F6">
        <w:fldChar w:fldCharType="separate"/>
      </w:r>
      <w:r w:rsidR="00A5269A">
        <w:rPr>
          <w:noProof/>
        </w:rPr>
        <w:t>46</w:t>
      </w:r>
      <w:r w:rsidRPr="005201F6">
        <w:fldChar w:fldCharType="end"/>
      </w:r>
      <w:r>
        <w:t>.  Curtea reamintește în această privință că scopul procedurii prevăzute de Protocolul nr. 16 nu este de a transfera litigiul în fața Curții, care nu are competența nici să analizeze faptele, nici să aprecieze temeinicia opiniilor părților cu privire la interpretarea dreptului intern în lumina dreptului Convenției, și nici de a se pronunța cu privire la rezultatul procedurii [</w:t>
      </w:r>
      <w:r>
        <w:rPr>
          <w:i/>
          <w:iCs/>
        </w:rPr>
        <w:t>Aviz consultativ privind posibilitatea ca unei persoane să i se refuze autorizația de a lucra ca agent de securitate sau de pază din cauza apropierii sau apartenenței sale la o mișcare religioasă</w:t>
      </w:r>
      <w:r>
        <w:t>, (MC), cererea nr. P16-2023-001, Consiliul de Stat al Belgiei, pct. 61, 14 decembrie 2023, și decizia nr. P16-2023-002, citată anterior, pct. 19]. Având în vedere cele de mai sus, această competență revine instanței solicitante în speță.</w:t>
      </w:r>
    </w:p>
    <w:p w:rsidR="00D448D6"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47</w:t>
      </w:r>
      <w:r w:rsidRPr="005201F6">
        <w:fldChar w:fldCharType="end"/>
      </w:r>
      <w:r>
        <w:t xml:space="preserve">.  În plus, Curtea subliniază că este sesizată în prezent cu cauza </w:t>
      </w:r>
      <w:r>
        <w:rPr>
          <w:i/>
          <w:iCs/>
        </w:rPr>
        <w:t>Păcurar împotriva României</w:t>
      </w:r>
      <w:r>
        <w:t xml:space="preserve"> (nr. 17985/18), în care a adresat recent întrebări suplimentare părților. Această cauză ridică întrebări similare cu cele formulate de Înalta Curte în prezenta cerere de aviz consultativ și asupra cărora Curtea va fi chemată să răspundă în viitorul apropiat. În această privință, Curtea reamintește că hotărârile sale pronunțate în cadrul funcției sale contencioase în temeiul art. 34 din Convenție au ca scop nu numai soluționarea cauzelor concrete cu care este sesizată, ci și, în sens mai larg, clarificarea, garantarea și dezvoltarea normelor Convenției în domeniul respectiv, dincolo de cauza în speță [</w:t>
      </w:r>
      <w:r>
        <w:rPr>
          <w:i/>
        </w:rPr>
        <w:t>Jeronovičs împotriva Letoniei</w:t>
      </w:r>
      <w:r>
        <w:t xml:space="preserve"> (MC), nr. 44898/10, pct. 109, 5 iulie 2016 și </w:t>
      </w:r>
      <w:r>
        <w:rPr>
          <w:i/>
        </w:rPr>
        <w:t>Nagmetov împotriva Rusiei</w:t>
      </w:r>
      <w:r>
        <w:t xml:space="preserve"> (MC), nr. 35589/08, pct. 64, 30 martie 2017].</w:t>
      </w:r>
    </w:p>
    <w:p w:rsidR="005201F6" w:rsidRPr="005201F6" w:rsidRDefault="00A5269A" w:rsidP="005201F6">
      <w:pPr>
        <w:pStyle w:val="JuPara"/>
      </w:pPr>
      <w:r>
        <w:fldChar w:fldCharType="begin"/>
      </w:r>
      <w:r>
        <w:instrText xml:space="preserve"> SEQ level0 \*arabic \* MERGEFORMAT </w:instrText>
      </w:r>
      <w:r>
        <w:fldChar w:fldCharType="separate"/>
      </w:r>
      <w:r>
        <w:rPr>
          <w:noProof/>
        </w:rPr>
        <w:t>48</w:t>
      </w:r>
      <w:r>
        <w:fldChar w:fldCharType="end"/>
      </w:r>
      <w:r w:rsidR="00AC02B7">
        <w:t>.  În măsura în care cea de-a doua condiție de admisibilitate a cererii de aviz consultativ nu este îndeplinită, Curtea nu trebuie să decidă dacă cea de-a patra condiție este îndeplinită, și anume dacă instanța solicitantă și-a motivat cererea de aviz și a prezentat elementele relevante din contextul juridic și factual al cauzei pendinte (art. 1 § 3).</w:t>
      </w:r>
    </w:p>
    <w:p w:rsidR="00891E3D" w:rsidRPr="005201F6" w:rsidRDefault="00A5269A" w:rsidP="005201F6">
      <w:pPr>
        <w:pStyle w:val="JuPara"/>
      </w:pPr>
      <w:r>
        <w:fldChar w:fldCharType="begin"/>
      </w:r>
      <w:r>
        <w:instrText xml:space="preserve"> SEQ level0 \*arabic \* MERGEFORMAT </w:instrText>
      </w:r>
      <w:r>
        <w:fldChar w:fldCharType="separate"/>
      </w:r>
      <w:r>
        <w:rPr>
          <w:noProof/>
        </w:rPr>
        <w:t>49</w:t>
      </w:r>
      <w:r>
        <w:fldChar w:fldCharType="end"/>
      </w:r>
      <w:r w:rsidR="00AC02B7">
        <w:t xml:space="preserve">.  De altfel, Curtea constată că instanța solicitantă nu a furnizat în contextul juridic nicio explicație cu privire la motivul pentru care, în timp ce Curtea de Apel Timișoara a ales să adreseze CJUE o întrebare preliminară privind, în esență, caracterul penal al unei sancțiuni în sensul art. 6 din Convenție într-o cauză referitoare la interdicția de a ocupa o funcție publică eligibilă în temeiul Legii nr. 176/2010, aceasta a optat să solicite Curții un </w:t>
      </w:r>
      <w:r w:rsidR="00AC02B7">
        <w:lastRenderedPageBreak/>
        <w:t>aviz consultativ cu privire la procedura de verificare a averii prevăzută de aceeași lege.</w:t>
      </w:r>
    </w:p>
    <w:p w:rsidR="0079074F" w:rsidRPr="005201F6" w:rsidRDefault="00AC02B7" w:rsidP="005201F6">
      <w:pPr>
        <w:pStyle w:val="JuHHead"/>
      </w:pPr>
      <w:r>
        <w:t>CONCLUZIE</w:t>
      </w:r>
    </w:p>
    <w:p w:rsidR="0079074F"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50</w:t>
      </w:r>
      <w:r w:rsidRPr="005201F6">
        <w:fldChar w:fldCharType="end"/>
      </w:r>
      <w:r>
        <w:t>.  Având în vedere cele de mai sus, Curtea concluzionează că prezenta cerere de aviz consultativ nu privește o chestiune de principiu în sensul art. 1 § 1 din Protocolul nr. 16 care să justifice o examinare de către Marea Cameră a Curții.</w:t>
      </w:r>
    </w:p>
    <w:p w:rsidR="0079074F" w:rsidRPr="005201F6" w:rsidRDefault="005201F6" w:rsidP="005201F6">
      <w:pPr>
        <w:pStyle w:val="JuPara"/>
      </w:pPr>
      <w:r w:rsidRPr="005201F6">
        <w:fldChar w:fldCharType="begin"/>
      </w:r>
      <w:r w:rsidR="00AC02B7">
        <w:instrText xml:space="preserve"> SEQ level0 \*arabic \* MERGEFORMAT </w:instrText>
      </w:r>
      <w:r w:rsidRPr="005201F6">
        <w:fldChar w:fldCharType="separate"/>
      </w:r>
      <w:r w:rsidR="00A5269A">
        <w:rPr>
          <w:noProof/>
        </w:rPr>
        <w:t>51</w:t>
      </w:r>
      <w:r w:rsidRPr="005201F6">
        <w:fldChar w:fldCharType="end"/>
      </w:r>
      <w:r>
        <w:t>.  Prin urmare, aceasta decide să nu accepte cererea.</w:t>
      </w:r>
    </w:p>
    <w:p w:rsidR="00416DDD" w:rsidRPr="005201F6" w:rsidRDefault="00AC02B7" w:rsidP="005201F6">
      <w:pPr>
        <w:pStyle w:val="JuParaLast"/>
      </w:pPr>
      <w:r>
        <w:t>Pentru aceste motive, cu majoritate, Curtea</w:t>
      </w:r>
    </w:p>
    <w:p w:rsidR="00416DDD" w:rsidRPr="005201F6" w:rsidRDefault="00AC02B7" w:rsidP="005201F6">
      <w:pPr>
        <w:pStyle w:val="DecList"/>
      </w:pPr>
      <w:r>
        <w:rPr>
          <w:i/>
        </w:rPr>
        <w:t>Decide</w:t>
      </w:r>
      <w:r>
        <w:t xml:space="preserve"> să nu accepte cererea.</w:t>
      </w:r>
    </w:p>
    <w:p w:rsidR="00416DDD" w:rsidRPr="005201F6" w:rsidRDefault="00AC02B7" w:rsidP="005201F6">
      <w:pPr>
        <w:pStyle w:val="JuParaLast"/>
      </w:pPr>
      <w:r>
        <w:t>Redactată în limba franceză, apoi tradusă în limba engleză și comunicată în scris la 28 iunie 2024.</w:t>
      </w:r>
    </w:p>
    <w:p w:rsidR="007E61FA" w:rsidRPr="005201F6" w:rsidRDefault="007E61FA" w:rsidP="005201F6">
      <w:pPr>
        <w:pStyle w:val="JuSigned"/>
      </w:pPr>
    </w:p>
    <w:p w:rsidR="00416DDD" w:rsidRPr="005201F6" w:rsidRDefault="00AC02B7" w:rsidP="005201F6">
      <w:pPr>
        <w:pStyle w:val="JuSigned"/>
      </w:pPr>
      <w:r>
        <w:t xml:space="preserve">  Johan Callewaert</w:t>
      </w:r>
      <w:r>
        <w:tab/>
        <w:t>Síofra O’Leary</w:t>
      </w:r>
      <w:r>
        <w:br/>
        <w:t>Grefier adjunct</w:t>
      </w:r>
      <w:r>
        <w:tab/>
        <w:t>Președinte</w:t>
      </w:r>
    </w:p>
    <w:sectPr w:rsidR="00416DDD" w:rsidRPr="005201F6" w:rsidSect="007E61FA">
      <w:headerReference w:type="even" r:id="rId12"/>
      <w:headerReference w:type="default" r:id="rId13"/>
      <w:footerReference w:type="default" r:id="rId14"/>
      <w:footnotePr>
        <w:numRestart w:val="eachSect"/>
      </w:footnotePr>
      <w:pgSz w:w="11906" w:h="16838" w:code="9"/>
      <w:pgMar w:top="2274" w:right="2274" w:bottom="1985" w:left="2274" w:header="1701"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682" w:rsidRDefault="00FF3682">
      <w:r>
        <w:separator/>
      </w:r>
    </w:p>
  </w:endnote>
  <w:endnote w:type="continuationSeparator" w:id="0">
    <w:p w:rsidR="00FF3682" w:rsidRDefault="00FF36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130" w:rsidRPr="00150BFA" w:rsidRDefault="00AC02B7" w:rsidP="0020718E">
    <w:pPr>
      <w:jc w:val="center"/>
    </w:pPr>
    <w:r>
      <w:rPr>
        <w:noProof/>
        <w:lang w:val="en-US"/>
      </w:rPr>
      <w:drawing>
        <wp:inline distT="0" distB="0" distL="0" distR="0">
          <wp:extent cx="771525" cy="619125"/>
          <wp:effectExtent l="0" t="0" r="9525" b="9525"/>
          <wp:docPr id="2" name="Picture 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620A10" w:rsidRPr="00DB5104" w:rsidRDefault="00620A10" w:rsidP="00A737D1">
    <w:pPr>
      <w:pStyle w:val="Footer0"/>
      <w:jc w:val="center"/>
      <w:rPr>
        <w:sz w:val="4"/>
        <w:szCs w:val="4"/>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A10" w:rsidRPr="00F6348B" w:rsidRDefault="00AC02B7" w:rsidP="001F5CE1">
    <w:pPr>
      <w:pStyle w:val="JuHeader"/>
    </w:pPr>
    <w:r>
      <w:fldChar w:fldCharType="begin"/>
    </w:r>
    <w:r>
      <w:instrText xml:space="preserve"> PAGE  \* MERGEFORMAT </w:instrText>
    </w:r>
    <w:r>
      <w:fldChar w:fldCharType="separate"/>
    </w:r>
    <w:r w:rsidR="00A5269A">
      <w:rPr>
        <w:noProof/>
      </w:rPr>
      <w:t>10</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682" w:rsidRPr="00DB5104" w:rsidRDefault="00FF3682" w:rsidP="00DC4033">
      <w:r w:rsidRPr="00DB5104">
        <w:separator/>
      </w:r>
    </w:p>
  </w:footnote>
  <w:footnote w:type="continuationSeparator" w:id="0">
    <w:p w:rsidR="00FF3682" w:rsidRPr="00DB5104" w:rsidRDefault="00FF3682" w:rsidP="00DC4033">
      <w:r w:rsidRPr="00DB5104">
        <w:continuationSeparator/>
      </w:r>
    </w:p>
  </w:footnote>
  <w:footnote w:id="1">
    <w:p w:rsidR="001D636E" w:rsidRDefault="00AC02B7" w:rsidP="001D636E">
      <w:pPr>
        <w:pStyle w:val="FootnoteText"/>
      </w:pPr>
      <w:r>
        <w:rPr>
          <w:rStyle w:val="FootnoteReference"/>
        </w:rPr>
        <w:footnoteRef/>
      </w:r>
      <w:r>
        <w:t xml:space="preserve"> </w:t>
      </w:r>
      <w:hyperlink r:id="rId1" w:history="1">
        <w:proofErr w:type="spellStart"/>
        <w:r>
          <w:rPr>
            <w:rStyle w:val="Hyperlink"/>
          </w:rPr>
          <w:t>Décision</w:t>
        </w:r>
        <w:proofErr w:type="spellEnd"/>
        <w:r>
          <w:rPr>
            <w:rStyle w:val="Hyperlink"/>
          </w:rPr>
          <w:t xml:space="preserve"> - 2006/928 - EN - EUR-</w:t>
        </w:r>
        <w:proofErr w:type="spellStart"/>
        <w:r>
          <w:rPr>
            <w:rStyle w:val="Hyperlink"/>
          </w:rPr>
          <w:t>Lex</w:t>
        </w:r>
        <w:proofErr w:type="spellEnd"/>
        <w:r>
          <w:rPr>
            <w:rStyle w:val="Hyperlink"/>
          </w:rPr>
          <w:t xml:space="preserve"> (europa.eu)</w:t>
        </w:r>
      </w:hyperlink>
      <w: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6130" w:rsidRPr="00A45145" w:rsidRDefault="00AC02B7" w:rsidP="00A45145">
    <w:pPr>
      <w:jc w:val="center"/>
    </w:pPr>
    <w:r>
      <w:rPr>
        <w:noProof/>
        <w:lang w:val="en-US"/>
      </w:rPr>
      <w:drawing>
        <wp:inline distT="0" distB="0" distL="0" distR="0">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620A10" w:rsidRPr="00DB5104" w:rsidRDefault="00620A10" w:rsidP="000C7EB0">
    <w:pP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A10" w:rsidRPr="001B471A" w:rsidRDefault="00AC02B7" w:rsidP="006A1F8B">
    <w:pPr>
      <w:pStyle w:val="JuHeader"/>
    </w:pPr>
    <w:r>
      <w:fldChar w:fldCharType="begin"/>
    </w:r>
    <w:r>
      <w:instrText xml:space="preserve"> PAGE  \* MERGEFORMAT </w:instrText>
    </w:r>
    <w:r>
      <w:fldChar w:fldCharType="separate"/>
    </w:r>
    <w:r>
      <w:t>1</w:t>
    </w:r>
    <w:r>
      <w:fldChar w:fldCharType="end"/>
    </w:r>
    <w:r>
      <w:tab/>
      <w:t>DECIZIA P16-2018-001</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0A10" w:rsidRPr="00F5788B" w:rsidRDefault="00AC02B7" w:rsidP="00DC4033">
    <w:pPr>
      <w:pStyle w:val="JuHeader"/>
    </w:pPr>
    <w:r>
      <w:t>DECIZIA P16-2024-001</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D0225042">
      <w:start w:val="1"/>
      <w:numFmt w:val="bullet"/>
      <w:pStyle w:val="ListBullet"/>
      <w:lvlText w:val=""/>
      <w:lvlJc w:val="left"/>
      <w:pPr>
        <w:tabs>
          <w:tab w:val="num" w:pos="851"/>
        </w:tabs>
        <w:ind w:left="568" w:firstLine="0"/>
      </w:pPr>
      <w:rPr>
        <w:rFonts w:ascii="Wingdings" w:hAnsi="Wingdings" w:hint="default"/>
        <w:color w:val="808080"/>
        <w:sz w:val="16"/>
      </w:rPr>
    </w:lvl>
    <w:lvl w:ilvl="1" w:tplc="516857E6" w:tentative="1">
      <w:start w:val="1"/>
      <w:numFmt w:val="bullet"/>
      <w:lvlText w:val="o"/>
      <w:lvlJc w:val="left"/>
      <w:pPr>
        <w:tabs>
          <w:tab w:val="num" w:pos="1724"/>
        </w:tabs>
        <w:ind w:left="1724" w:hanging="360"/>
      </w:pPr>
      <w:rPr>
        <w:rFonts w:ascii="Courier New" w:hAnsi="Courier New" w:cs="Courier New" w:hint="default"/>
      </w:rPr>
    </w:lvl>
    <w:lvl w:ilvl="2" w:tplc="9F506652" w:tentative="1">
      <w:start w:val="1"/>
      <w:numFmt w:val="bullet"/>
      <w:lvlText w:val=""/>
      <w:lvlJc w:val="left"/>
      <w:pPr>
        <w:tabs>
          <w:tab w:val="num" w:pos="2444"/>
        </w:tabs>
        <w:ind w:left="2444" w:hanging="360"/>
      </w:pPr>
      <w:rPr>
        <w:rFonts w:ascii="Wingdings" w:hAnsi="Wingdings" w:hint="default"/>
      </w:rPr>
    </w:lvl>
    <w:lvl w:ilvl="3" w:tplc="D8AA8AF8" w:tentative="1">
      <w:start w:val="1"/>
      <w:numFmt w:val="bullet"/>
      <w:lvlText w:val=""/>
      <w:lvlJc w:val="left"/>
      <w:pPr>
        <w:tabs>
          <w:tab w:val="num" w:pos="3164"/>
        </w:tabs>
        <w:ind w:left="3164" w:hanging="360"/>
      </w:pPr>
      <w:rPr>
        <w:rFonts w:ascii="Symbol" w:hAnsi="Symbol" w:hint="default"/>
      </w:rPr>
    </w:lvl>
    <w:lvl w:ilvl="4" w:tplc="E2A2E124" w:tentative="1">
      <w:start w:val="1"/>
      <w:numFmt w:val="bullet"/>
      <w:lvlText w:val="o"/>
      <w:lvlJc w:val="left"/>
      <w:pPr>
        <w:tabs>
          <w:tab w:val="num" w:pos="3884"/>
        </w:tabs>
        <w:ind w:left="3884" w:hanging="360"/>
      </w:pPr>
      <w:rPr>
        <w:rFonts w:ascii="Courier New" w:hAnsi="Courier New" w:cs="Courier New" w:hint="default"/>
      </w:rPr>
    </w:lvl>
    <w:lvl w:ilvl="5" w:tplc="B8AAD5D4" w:tentative="1">
      <w:start w:val="1"/>
      <w:numFmt w:val="bullet"/>
      <w:lvlText w:val=""/>
      <w:lvlJc w:val="left"/>
      <w:pPr>
        <w:tabs>
          <w:tab w:val="num" w:pos="4604"/>
        </w:tabs>
        <w:ind w:left="4604" w:hanging="360"/>
      </w:pPr>
      <w:rPr>
        <w:rFonts w:ascii="Wingdings" w:hAnsi="Wingdings" w:hint="default"/>
      </w:rPr>
    </w:lvl>
    <w:lvl w:ilvl="6" w:tplc="C1264A78" w:tentative="1">
      <w:start w:val="1"/>
      <w:numFmt w:val="bullet"/>
      <w:lvlText w:val=""/>
      <w:lvlJc w:val="left"/>
      <w:pPr>
        <w:tabs>
          <w:tab w:val="num" w:pos="5324"/>
        </w:tabs>
        <w:ind w:left="5324" w:hanging="360"/>
      </w:pPr>
      <w:rPr>
        <w:rFonts w:ascii="Symbol" w:hAnsi="Symbol" w:hint="default"/>
      </w:rPr>
    </w:lvl>
    <w:lvl w:ilvl="7" w:tplc="683E9164" w:tentative="1">
      <w:start w:val="1"/>
      <w:numFmt w:val="bullet"/>
      <w:lvlText w:val="o"/>
      <w:lvlJc w:val="left"/>
      <w:pPr>
        <w:tabs>
          <w:tab w:val="num" w:pos="6044"/>
        </w:tabs>
        <w:ind w:left="6044" w:hanging="360"/>
      </w:pPr>
      <w:rPr>
        <w:rFonts w:ascii="Courier New" w:hAnsi="Courier New" w:cs="Courier New" w:hint="default"/>
      </w:rPr>
    </w:lvl>
    <w:lvl w:ilvl="8" w:tplc="494416E4" w:tentative="1">
      <w:start w:val="1"/>
      <w:numFmt w:val="bullet"/>
      <w:lvlText w:val=""/>
      <w:lvlJc w:val="left"/>
      <w:pPr>
        <w:tabs>
          <w:tab w:val="num" w:pos="6764"/>
        </w:tabs>
        <w:ind w:left="6764" w:hanging="360"/>
      </w:pPr>
      <w:rPr>
        <w:rFonts w:ascii="Wingdings" w:hAnsi="Wingdings" w:hint="default"/>
      </w:rPr>
    </w:lvl>
  </w:abstractNum>
  <w:num w:numId="1">
    <w:abstractNumId w:val="9"/>
  </w:num>
  <w:num w:numId="2">
    <w:abstractNumId w:val="13"/>
  </w:num>
  <w:num w:numId="3">
    <w:abstractNumId w:val="11"/>
  </w:num>
  <w:num w:numId="4">
    <w:abstractNumId w:val="10"/>
  </w:num>
  <w:num w:numId="5">
    <w:abstractNumId w:val="14"/>
  </w:num>
  <w:num w:numId="6">
    <w:abstractNumId w:val="12"/>
  </w:num>
  <w:num w:numId="7">
    <w:abstractNumId w:val="15"/>
  </w:num>
  <w:num w:numId="8">
    <w:abstractNumId w:val="16"/>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doNotDisplayPageBoundaries/>
  <w:proofState w:spelling="clean" w:grammar="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tCode" w:val="P16-DF01 "/>
  </w:docVars>
  <w:rsids>
    <w:rsidRoot w:val="00356130"/>
    <w:rsid w:val="00002F3A"/>
    <w:rsid w:val="000041F8"/>
    <w:rsid w:val="000042A8"/>
    <w:rsid w:val="00004308"/>
    <w:rsid w:val="00004712"/>
    <w:rsid w:val="00005BF0"/>
    <w:rsid w:val="00006038"/>
    <w:rsid w:val="00007154"/>
    <w:rsid w:val="00007384"/>
    <w:rsid w:val="00007A11"/>
    <w:rsid w:val="000103AE"/>
    <w:rsid w:val="00011D69"/>
    <w:rsid w:val="00012AD3"/>
    <w:rsid w:val="00013448"/>
    <w:rsid w:val="00014622"/>
    <w:rsid w:val="00015C2D"/>
    <w:rsid w:val="00015F00"/>
    <w:rsid w:val="00022C1D"/>
    <w:rsid w:val="00022E3B"/>
    <w:rsid w:val="0003300B"/>
    <w:rsid w:val="00034987"/>
    <w:rsid w:val="000477C3"/>
    <w:rsid w:val="000534E9"/>
    <w:rsid w:val="000602DF"/>
    <w:rsid w:val="00060B87"/>
    <w:rsid w:val="00061B05"/>
    <w:rsid w:val="000632D5"/>
    <w:rsid w:val="000644EE"/>
    <w:rsid w:val="00065222"/>
    <w:rsid w:val="00065F6F"/>
    <w:rsid w:val="00071701"/>
    <w:rsid w:val="00076A89"/>
    <w:rsid w:val="00076B0D"/>
    <w:rsid w:val="00082DC7"/>
    <w:rsid w:val="00085703"/>
    <w:rsid w:val="00085A7E"/>
    <w:rsid w:val="000925AD"/>
    <w:rsid w:val="00092D47"/>
    <w:rsid w:val="00094BA9"/>
    <w:rsid w:val="000A1C82"/>
    <w:rsid w:val="000A219A"/>
    <w:rsid w:val="000A24EB"/>
    <w:rsid w:val="000A31B4"/>
    <w:rsid w:val="000B02A4"/>
    <w:rsid w:val="000B48CC"/>
    <w:rsid w:val="000B6923"/>
    <w:rsid w:val="000B7350"/>
    <w:rsid w:val="000C5F3C"/>
    <w:rsid w:val="000C6DCC"/>
    <w:rsid w:val="000C7EB0"/>
    <w:rsid w:val="000D0607"/>
    <w:rsid w:val="000D41CA"/>
    <w:rsid w:val="000D47AA"/>
    <w:rsid w:val="000D721F"/>
    <w:rsid w:val="000E069B"/>
    <w:rsid w:val="000E0E82"/>
    <w:rsid w:val="000E1DC5"/>
    <w:rsid w:val="000E223F"/>
    <w:rsid w:val="000E6E86"/>
    <w:rsid w:val="000E7729"/>
    <w:rsid w:val="000E7D45"/>
    <w:rsid w:val="000F0120"/>
    <w:rsid w:val="000F1963"/>
    <w:rsid w:val="000F312D"/>
    <w:rsid w:val="000F3892"/>
    <w:rsid w:val="000F4B75"/>
    <w:rsid w:val="000F5507"/>
    <w:rsid w:val="000F72FD"/>
    <w:rsid w:val="000F7851"/>
    <w:rsid w:val="00100DC7"/>
    <w:rsid w:val="00104E23"/>
    <w:rsid w:val="001054DF"/>
    <w:rsid w:val="001100D8"/>
    <w:rsid w:val="0011181E"/>
    <w:rsid w:val="00111B0C"/>
    <w:rsid w:val="00112466"/>
    <w:rsid w:val="00120D6C"/>
    <w:rsid w:val="001257EC"/>
    <w:rsid w:val="00131A20"/>
    <w:rsid w:val="00133D33"/>
    <w:rsid w:val="00134D64"/>
    <w:rsid w:val="00135A30"/>
    <w:rsid w:val="0013612C"/>
    <w:rsid w:val="00137FF6"/>
    <w:rsid w:val="00141650"/>
    <w:rsid w:val="00144989"/>
    <w:rsid w:val="00144E81"/>
    <w:rsid w:val="00145D47"/>
    <w:rsid w:val="00150BFA"/>
    <w:rsid w:val="001543AF"/>
    <w:rsid w:val="00155C34"/>
    <w:rsid w:val="00160C70"/>
    <w:rsid w:val="00162013"/>
    <w:rsid w:val="0016225A"/>
    <w:rsid w:val="00162A12"/>
    <w:rsid w:val="00164FE7"/>
    <w:rsid w:val="00166530"/>
    <w:rsid w:val="00170A17"/>
    <w:rsid w:val="00171E7F"/>
    <w:rsid w:val="00172D45"/>
    <w:rsid w:val="0017313A"/>
    <w:rsid w:val="00174423"/>
    <w:rsid w:val="00174DDC"/>
    <w:rsid w:val="00181335"/>
    <w:rsid w:val="001832BD"/>
    <w:rsid w:val="00184D7B"/>
    <w:rsid w:val="00192C2F"/>
    <w:rsid w:val="001943B5"/>
    <w:rsid w:val="00195134"/>
    <w:rsid w:val="00195290"/>
    <w:rsid w:val="001952F4"/>
    <w:rsid w:val="00197A5D"/>
    <w:rsid w:val="001A0B5F"/>
    <w:rsid w:val="001A12DB"/>
    <w:rsid w:val="001A145B"/>
    <w:rsid w:val="001A3C98"/>
    <w:rsid w:val="001A674C"/>
    <w:rsid w:val="001B2A96"/>
    <w:rsid w:val="001B30C9"/>
    <w:rsid w:val="001B3B24"/>
    <w:rsid w:val="001B471A"/>
    <w:rsid w:val="001B61D5"/>
    <w:rsid w:val="001C0F98"/>
    <w:rsid w:val="001C2A42"/>
    <w:rsid w:val="001C3266"/>
    <w:rsid w:val="001C41D1"/>
    <w:rsid w:val="001C4C94"/>
    <w:rsid w:val="001D1201"/>
    <w:rsid w:val="001D16D0"/>
    <w:rsid w:val="001D636E"/>
    <w:rsid w:val="001D63ED"/>
    <w:rsid w:val="001D7348"/>
    <w:rsid w:val="001E035B"/>
    <w:rsid w:val="001E0482"/>
    <w:rsid w:val="001E0961"/>
    <w:rsid w:val="001E1F6F"/>
    <w:rsid w:val="001E3EAE"/>
    <w:rsid w:val="001E4711"/>
    <w:rsid w:val="001E4DD3"/>
    <w:rsid w:val="001E6F32"/>
    <w:rsid w:val="001F1CD9"/>
    <w:rsid w:val="001F2145"/>
    <w:rsid w:val="001F2772"/>
    <w:rsid w:val="001F2DC6"/>
    <w:rsid w:val="001F5574"/>
    <w:rsid w:val="001F5CE1"/>
    <w:rsid w:val="001F6262"/>
    <w:rsid w:val="001F67B0"/>
    <w:rsid w:val="001F7B3D"/>
    <w:rsid w:val="001F7F16"/>
    <w:rsid w:val="001F7F6F"/>
    <w:rsid w:val="00203E67"/>
    <w:rsid w:val="0020556D"/>
    <w:rsid w:val="00205E32"/>
    <w:rsid w:val="00205F9F"/>
    <w:rsid w:val="00206FF2"/>
    <w:rsid w:val="0020718E"/>
    <w:rsid w:val="00210338"/>
    <w:rsid w:val="002109F5"/>
    <w:rsid w:val="002115FC"/>
    <w:rsid w:val="0021423C"/>
    <w:rsid w:val="00215E6E"/>
    <w:rsid w:val="00217C7C"/>
    <w:rsid w:val="00230210"/>
    <w:rsid w:val="002309B8"/>
    <w:rsid w:val="00230D00"/>
    <w:rsid w:val="00231180"/>
    <w:rsid w:val="00231DF7"/>
    <w:rsid w:val="00231FD1"/>
    <w:rsid w:val="002339E0"/>
    <w:rsid w:val="00233CF8"/>
    <w:rsid w:val="0023441C"/>
    <w:rsid w:val="0023575D"/>
    <w:rsid w:val="00237148"/>
    <w:rsid w:val="0024222D"/>
    <w:rsid w:val="00242583"/>
    <w:rsid w:val="0024425F"/>
    <w:rsid w:val="00244B0E"/>
    <w:rsid w:val="00244F6C"/>
    <w:rsid w:val="002507A6"/>
    <w:rsid w:val="00250F12"/>
    <w:rsid w:val="002532C5"/>
    <w:rsid w:val="00256FB7"/>
    <w:rsid w:val="00260C03"/>
    <w:rsid w:val="00261237"/>
    <w:rsid w:val="00263400"/>
    <w:rsid w:val="0026540E"/>
    <w:rsid w:val="00267246"/>
    <w:rsid w:val="002674B8"/>
    <w:rsid w:val="00267FF2"/>
    <w:rsid w:val="002724CB"/>
    <w:rsid w:val="002734CC"/>
    <w:rsid w:val="00275109"/>
    <w:rsid w:val="00275123"/>
    <w:rsid w:val="0027630A"/>
    <w:rsid w:val="002764AF"/>
    <w:rsid w:val="0027655B"/>
    <w:rsid w:val="00277A6D"/>
    <w:rsid w:val="00277FBE"/>
    <w:rsid w:val="00282240"/>
    <w:rsid w:val="00287BE0"/>
    <w:rsid w:val="00293EB2"/>
    <w:rsid w:val="002948AD"/>
    <w:rsid w:val="002A01CC"/>
    <w:rsid w:val="002A26C1"/>
    <w:rsid w:val="002A2A36"/>
    <w:rsid w:val="002A61B1"/>
    <w:rsid w:val="002A663C"/>
    <w:rsid w:val="002A7808"/>
    <w:rsid w:val="002B1DE0"/>
    <w:rsid w:val="002B3F36"/>
    <w:rsid w:val="002B444B"/>
    <w:rsid w:val="002B5887"/>
    <w:rsid w:val="002B76B5"/>
    <w:rsid w:val="002C0E27"/>
    <w:rsid w:val="002C3040"/>
    <w:rsid w:val="002C30D8"/>
    <w:rsid w:val="002D022D"/>
    <w:rsid w:val="002D04F5"/>
    <w:rsid w:val="002D24BB"/>
    <w:rsid w:val="002D655B"/>
    <w:rsid w:val="002E1CC9"/>
    <w:rsid w:val="002E6C2F"/>
    <w:rsid w:val="002F2AF7"/>
    <w:rsid w:val="002F2B10"/>
    <w:rsid w:val="002F3CB0"/>
    <w:rsid w:val="002F7E1C"/>
    <w:rsid w:val="003006BF"/>
    <w:rsid w:val="00301A75"/>
    <w:rsid w:val="00302F70"/>
    <w:rsid w:val="0030336F"/>
    <w:rsid w:val="0030375E"/>
    <w:rsid w:val="00312A11"/>
    <w:rsid w:val="00312A30"/>
    <w:rsid w:val="00314643"/>
    <w:rsid w:val="00316B91"/>
    <w:rsid w:val="00320F72"/>
    <w:rsid w:val="00322112"/>
    <w:rsid w:val="0032463E"/>
    <w:rsid w:val="00326224"/>
    <w:rsid w:val="00326994"/>
    <w:rsid w:val="00327A2C"/>
    <w:rsid w:val="003311CF"/>
    <w:rsid w:val="00332848"/>
    <w:rsid w:val="00336879"/>
    <w:rsid w:val="00337EE4"/>
    <w:rsid w:val="00340FFD"/>
    <w:rsid w:val="0034383F"/>
    <w:rsid w:val="003506B1"/>
    <w:rsid w:val="0035190E"/>
    <w:rsid w:val="003544E6"/>
    <w:rsid w:val="00356130"/>
    <w:rsid w:val="00356AC7"/>
    <w:rsid w:val="00356DA8"/>
    <w:rsid w:val="00357355"/>
    <w:rsid w:val="003609FA"/>
    <w:rsid w:val="003648F1"/>
    <w:rsid w:val="00364E21"/>
    <w:rsid w:val="003710C8"/>
    <w:rsid w:val="00371D96"/>
    <w:rsid w:val="00372C4F"/>
    <w:rsid w:val="003750BE"/>
    <w:rsid w:val="00375685"/>
    <w:rsid w:val="003822AB"/>
    <w:rsid w:val="003824A1"/>
    <w:rsid w:val="00383027"/>
    <w:rsid w:val="0038408F"/>
    <w:rsid w:val="00387B9D"/>
    <w:rsid w:val="0039364F"/>
    <w:rsid w:val="00396686"/>
    <w:rsid w:val="003975BD"/>
    <w:rsid w:val="0039778E"/>
    <w:rsid w:val="00397D5B"/>
    <w:rsid w:val="003A199C"/>
    <w:rsid w:val="003A61B9"/>
    <w:rsid w:val="003B008D"/>
    <w:rsid w:val="003B3B49"/>
    <w:rsid w:val="003B43FE"/>
    <w:rsid w:val="003B4941"/>
    <w:rsid w:val="003B4CBB"/>
    <w:rsid w:val="003C0067"/>
    <w:rsid w:val="003C3F8E"/>
    <w:rsid w:val="003C5714"/>
    <w:rsid w:val="003C6B9F"/>
    <w:rsid w:val="003C6E2A"/>
    <w:rsid w:val="003D0299"/>
    <w:rsid w:val="003D2462"/>
    <w:rsid w:val="003D2CEE"/>
    <w:rsid w:val="003D315E"/>
    <w:rsid w:val="003D5F20"/>
    <w:rsid w:val="003D6F6B"/>
    <w:rsid w:val="003E38F3"/>
    <w:rsid w:val="003E54F3"/>
    <w:rsid w:val="003E5E3F"/>
    <w:rsid w:val="003E6D80"/>
    <w:rsid w:val="003F05FA"/>
    <w:rsid w:val="003F244A"/>
    <w:rsid w:val="003F30B8"/>
    <w:rsid w:val="003F31F4"/>
    <w:rsid w:val="003F44E3"/>
    <w:rsid w:val="003F4C45"/>
    <w:rsid w:val="003F5F7B"/>
    <w:rsid w:val="003F7D64"/>
    <w:rsid w:val="00401381"/>
    <w:rsid w:val="0040670A"/>
    <w:rsid w:val="00407269"/>
    <w:rsid w:val="00414300"/>
    <w:rsid w:val="00416DDD"/>
    <w:rsid w:val="00422361"/>
    <w:rsid w:val="00423584"/>
    <w:rsid w:val="00423C43"/>
    <w:rsid w:val="00425C67"/>
    <w:rsid w:val="00425D58"/>
    <w:rsid w:val="00427E7A"/>
    <w:rsid w:val="0043512C"/>
    <w:rsid w:val="00436C49"/>
    <w:rsid w:val="00445366"/>
    <w:rsid w:val="00447F5B"/>
    <w:rsid w:val="004541BE"/>
    <w:rsid w:val="0045649E"/>
    <w:rsid w:val="00456EBE"/>
    <w:rsid w:val="0046195B"/>
    <w:rsid w:val="00461DB0"/>
    <w:rsid w:val="00462854"/>
    <w:rsid w:val="0046326F"/>
    <w:rsid w:val="00463926"/>
    <w:rsid w:val="00464C9A"/>
    <w:rsid w:val="0047040F"/>
    <w:rsid w:val="00470F7B"/>
    <w:rsid w:val="0047314F"/>
    <w:rsid w:val="00474F3D"/>
    <w:rsid w:val="00477E3A"/>
    <w:rsid w:val="00483367"/>
    <w:rsid w:val="00483E5F"/>
    <w:rsid w:val="00485FF9"/>
    <w:rsid w:val="00487BD2"/>
    <w:rsid w:val="004907F0"/>
    <w:rsid w:val="0049140B"/>
    <w:rsid w:val="004923A5"/>
    <w:rsid w:val="00496BFB"/>
    <w:rsid w:val="00496DF2"/>
    <w:rsid w:val="004977AE"/>
    <w:rsid w:val="004A15C7"/>
    <w:rsid w:val="004A201D"/>
    <w:rsid w:val="004A523E"/>
    <w:rsid w:val="004A7952"/>
    <w:rsid w:val="004B013B"/>
    <w:rsid w:val="004B112B"/>
    <w:rsid w:val="004B5B16"/>
    <w:rsid w:val="004B73DC"/>
    <w:rsid w:val="004C01E4"/>
    <w:rsid w:val="004C086C"/>
    <w:rsid w:val="004C1F56"/>
    <w:rsid w:val="004C27BC"/>
    <w:rsid w:val="004C73B0"/>
    <w:rsid w:val="004D15F3"/>
    <w:rsid w:val="004D3887"/>
    <w:rsid w:val="004D52EF"/>
    <w:rsid w:val="004D5311"/>
    <w:rsid w:val="004D5DCC"/>
    <w:rsid w:val="004E71A5"/>
    <w:rsid w:val="004F06EC"/>
    <w:rsid w:val="004F0702"/>
    <w:rsid w:val="004F10AF"/>
    <w:rsid w:val="004F11A4"/>
    <w:rsid w:val="004F14DD"/>
    <w:rsid w:val="004F155B"/>
    <w:rsid w:val="004F2389"/>
    <w:rsid w:val="004F304D"/>
    <w:rsid w:val="004F4103"/>
    <w:rsid w:val="004F61BE"/>
    <w:rsid w:val="004F66B1"/>
    <w:rsid w:val="004F6D4A"/>
    <w:rsid w:val="004F7B65"/>
    <w:rsid w:val="00502A21"/>
    <w:rsid w:val="00504654"/>
    <w:rsid w:val="00506628"/>
    <w:rsid w:val="00510CCB"/>
    <w:rsid w:val="00511C07"/>
    <w:rsid w:val="00515E79"/>
    <w:rsid w:val="005173A6"/>
    <w:rsid w:val="0051762A"/>
    <w:rsid w:val="005201F6"/>
    <w:rsid w:val="00520BAA"/>
    <w:rsid w:val="005225FA"/>
    <w:rsid w:val="00523489"/>
    <w:rsid w:val="00524211"/>
    <w:rsid w:val="00525208"/>
    <w:rsid w:val="005257A5"/>
    <w:rsid w:val="00526394"/>
    <w:rsid w:val="005264C0"/>
    <w:rsid w:val="00526A8A"/>
    <w:rsid w:val="005270D6"/>
    <w:rsid w:val="00530DB7"/>
    <w:rsid w:val="00531DF2"/>
    <w:rsid w:val="0053354E"/>
    <w:rsid w:val="00533C33"/>
    <w:rsid w:val="0053494A"/>
    <w:rsid w:val="00541800"/>
    <w:rsid w:val="005442EE"/>
    <w:rsid w:val="0054436D"/>
    <w:rsid w:val="00546E5E"/>
    <w:rsid w:val="005471BA"/>
    <w:rsid w:val="00547353"/>
    <w:rsid w:val="005474E7"/>
    <w:rsid w:val="005501F1"/>
    <w:rsid w:val="00550C0A"/>
    <w:rsid w:val="005512A3"/>
    <w:rsid w:val="00552081"/>
    <w:rsid w:val="00552BE6"/>
    <w:rsid w:val="005542BB"/>
    <w:rsid w:val="00554CE1"/>
    <w:rsid w:val="00556064"/>
    <w:rsid w:val="005578CE"/>
    <w:rsid w:val="00562781"/>
    <w:rsid w:val="005637DB"/>
    <w:rsid w:val="00567B64"/>
    <w:rsid w:val="0057271C"/>
    <w:rsid w:val="00572845"/>
    <w:rsid w:val="0057329F"/>
    <w:rsid w:val="00574DA1"/>
    <w:rsid w:val="00580566"/>
    <w:rsid w:val="005841FF"/>
    <w:rsid w:val="00590BB7"/>
    <w:rsid w:val="00592772"/>
    <w:rsid w:val="00594C38"/>
    <w:rsid w:val="0059574A"/>
    <w:rsid w:val="005A0FAD"/>
    <w:rsid w:val="005A1B9B"/>
    <w:rsid w:val="005A4EC7"/>
    <w:rsid w:val="005A532E"/>
    <w:rsid w:val="005A6751"/>
    <w:rsid w:val="005A769F"/>
    <w:rsid w:val="005B092E"/>
    <w:rsid w:val="005B152C"/>
    <w:rsid w:val="005B19B1"/>
    <w:rsid w:val="005B1EE0"/>
    <w:rsid w:val="005B2B24"/>
    <w:rsid w:val="005B4425"/>
    <w:rsid w:val="005B4B94"/>
    <w:rsid w:val="005B6F49"/>
    <w:rsid w:val="005B75F6"/>
    <w:rsid w:val="005B790A"/>
    <w:rsid w:val="005C3EE8"/>
    <w:rsid w:val="005D0433"/>
    <w:rsid w:val="005D1CCB"/>
    <w:rsid w:val="005D34F9"/>
    <w:rsid w:val="005D4190"/>
    <w:rsid w:val="005D53F9"/>
    <w:rsid w:val="005D67A3"/>
    <w:rsid w:val="005E2988"/>
    <w:rsid w:val="005E3085"/>
    <w:rsid w:val="005F51E1"/>
    <w:rsid w:val="005F7376"/>
    <w:rsid w:val="00600331"/>
    <w:rsid w:val="00600527"/>
    <w:rsid w:val="00604841"/>
    <w:rsid w:val="00611C80"/>
    <w:rsid w:val="00612A69"/>
    <w:rsid w:val="00613157"/>
    <w:rsid w:val="00613E6E"/>
    <w:rsid w:val="0061655D"/>
    <w:rsid w:val="00620692"/>
    <w:rsid w:val="00620A10"/>
    <w:rsid w:val="006242CA"/>
    <w:rsid w:val="00627507"/>
    <w:rsid w:val="00633528"/>
    <w:rsid w:val="00633717"/>
    <w:rsid w:val="006344E1"/>
    <w:rsid w:val="00636610"/>
    <w:rsid w:val="00637EAD"/>
    <w:rsid w:val="0064273E"/>
    <w:rsid w:val="00642E34"/>
    <w:rsid w:val="00653B4F"/>
    <w:rsid w:val="006545C4"/>
    <w:rsid w:val="006558C4"/>
    <w:rsid w:val="00656F53"/>
    <w:rsid w:val="00660F49"/>
    <w:rsid w:val="00661971"/>
    <w:rsid w:val="00661CE8"/>
    <w:rsid w:val="006623D9"/>
    <w:rsid w:val="0066550C"/>
    <w:rsid w:val="006716F2"/>
    <w:rsid w:val="00676BD8"/>
    <w:rsid w:val="00681C42"/>
    <w:rsid w:val="00682BF2"/>
    <w:rsid w:val="00682DB2"/>
    <w:rsid w:val="00683761"/>
    <w:rsid w:val="006859CE"/>
    <w:rsid w:val="00691270"/>
    <w:rsid w:val="00691B5D"/>
    <w:rsid w:val="00693799"/>
    <w:rsid w:val="00694BA8"/>
    <w:rsid w:val="00697C19"/>
    <w:rsid w:val="006A037C"/>
    <w:rsid w:val="006A1F8B"/>
    <w:rsid w:val="006A36F4"/>
    <w:rsid w:val="006A406F"/>
    <w:rsid w:val="006A439F"/>
    <w:rsid w:val="006A5D3A"/>
    <w:rsid w:val="006B0F25"/>
    <w:rsid w:val="006B20D4"/>
    <w:rsid w:val="006B2998"/>
    <w:rsid w:val="006B3344"/>
    <w:rsid w:val="006B34D8"/>
    <w:rsid w:val="006B568E"/>
    <w:rsid w:val="006B6ECB"/>
    <w:rsid w:val="006C23D4"/>
    <w:rsid w:val="006C78F8"/>
    <w:rsid w:val="006C7B79"/>
    <w:rsid w:val="006C7BB0"/>
    <w:rsid w:val="006D104F"/>
    <w:rsid w:val="006D3237"/>
    <w:rsid w:val="006E08FB"/>
    <w:rsid w:val="006E2016"/>
    <w:rsid w:val="006E2E37"/>
    <w:rsid w:val="006E36AC"/>
    <w:rsid w:val="006E3CF1"/>
    <w:rsid w:val="006E5A10"/>
    <w:rsid w:val="006E621A"/>
    <w:rsid w:val="006E646D"/>
    <w:rsid w:val="006E7537"/>
    <w:rsid w:val="006E7E80"/>
    <w:rsid w:val="006F48CA"/>
    <w:rsid w:val="006F535D"/>
    <w:rsid w:val="006F5987"/>
    <w:rsid w:val="006F64DD"/>
    <w:rsid w:val="007058D5"/>
    <w:rsid w:val="007070FD"/>
    <w:rsid w:val="00710863"/>
    <w:rsid w:val="007134E9"/>
    <w:rsid w:val="00715127"/>
    <w:rsid w:val="00715E8E"/>
    <w:rsid w:val="00720FAA"/>
    <w:rsid w:val="0072151D"/>
    <w:rsid w:val="00722240"/>
    <w:rsid w:val="0072345E"/>
    <w:rsid w:val="00723580"/>
    <w:rsid w:val="00723755"/>
    <w:rsid w:val="007248DA"/>
    <w:rsid w:val="0073136C"/>
    <w:rsid w:val="00731F0F"/>
    <w:rsid w:val="007321C4"/>
    <w:rsid w:val="00733250"/>
    <w:rsid w:val="007376F3"/>
    <w:rsid w:val="00741404"/>
    <w:rsid w:val="007449E5"/>
    <w:rsid w:val="00747FF0"/>
    <w:rsid w:val="00750613"/>
    <w:rsid w:val="00751DC5"/>
    <w:rsid w:val="007528F3"/>
    <w:rsid w:val="0075382F"/>
    <w:rsid w:val="00760578"/>
    <w:rsid w:val="00761290"/>
    <w:rsid w:val="00764D4E"/>
    <w:rsid w:val="00765A1F"/>
    <w:rsid w:val="00765F1D"/>
    <w:rsid w:val="00767AD3"/>
    <w:rsid w:val="0077491B"/>
    <w:rsid w:val="00775B6D"/>
    <w:rsid w:val="00776D68"/>
    <w:rsid w:val="00781F37"/>
    <w:rsid w:val="0078228E"/>
    <w:rsid w:val="007832BC"/>
    <w:rsid w:val="007850EE"/>
    <w:rsid w:val="0078530D"/>
    <w:rsid w:val="00785B95"/>
    <w:rsid w:val="00787727"/>
    <w:rsid w:val="00787F3D"/>
    <w:rsid w:val="0079074F"/>
    <w:rsid w:val="00790E96"/>
    <w:rsid w:val="00793366"/>
    <w:rsid w:val="00796172"/>
    <w:rsid w:val="007961F2"/>
    <w:rsid w:val="00796242"/>
    <w:rsid w:val="007A0A91"/>
    <w:rsid w:val="007A3128"/>
    <w:rsid w:val="007A6004"/>
    <w:rsid w:val="007A70AB"/>
    <w:rsid w:val="007A716F"/>
    <w:rsid w:val="007B03C2"/>
    <w:rsid w:val="007B270A"/>
    <w:rsid w:val="007C0695"/>
    <w:rsid w:val="007C069E"/>
    <w:rsid w:val="007C162F"/>
    <w:rsid w:val="007C2E30"/>
    <w:rsid w:val="007C419A"/>
    <w:rsid w:val="007C4589"/>
    <w:rsid w:val="007C4CC8"/>
    <w:rsid w:val="007C514D"/>
    <w:rsid w:val="007C5426"/>
    <w:rsid w:val="007C5798"/>
    <w:rsid w:val="007D0607"/>
    <w:rsid w:val="007D1667"/>
    <w:rsid w:val="007D4832"/>
    <w:rsid w:val="007D620A"/>
    <w:rsid w:val="007D6FC5"/>
    <w:rsid w:val="007E0CCB"/>
    <w:rsid w:val="007E0FEA"/>
    <w:rsid w:val="007E21B2"/>
    <w:rsid w:val="007E2922"/>
    <w:rsid w:val="007E2C4E"/>
    <w:rsid w:val="007E4F81"/>
    <w:rsid w:val="007E61FA"/>
    <w:rsid w:val="007F1905"/>
    <w:rsid w:val="007F4E8F"/>
    <w:rsid w:val="007F58D1"/>
    <w:rsid w:val="00802C64"/>
    <w:rsid w:val="00805E52"/>
    <w:rsid w:val="008061D0"/>
    <w:rsid w:val="00810B38"/>
    <w:rsid w:val="008138F4"/>
    <w:rsid w:val="008204C7"/>
    <w:rsid w:val="00820992"/>
    <w:rsid w:val="00823602"/>
    <w:rsid w:val="008236DF"/>
    <w:rsid w:val="008255F5"/>
    <w:rsid w:val="0082637F"/>
    <w:rsid w:val="0083014E"/>
    <w:rsid w:val="00830D7A"/>
    <w:rsid w:val="0083214A"/>
    <w:rsid w:val="00834220"/>
    <w:rsid w:val="00835F04"/>
    <w:rsid w:val="0083670E"/>
    <w:rsid w:val="00845723"/>
    <w:rsid w:val="00851A3D"/>
    <w:rsid w:val="00851EF9"/>
    <w:rsid w:val="008577FD"/>
    <w:rsid w:val="00860B03"/>
    <w:rsid w:val="008613CF"/>
    <w:rsid w:val="00864289"/>
    <w:rsid w:val="0086497A"/>
    <w:rsid w:val="0086523E"/>
    <w:rsid w:val="00870F39"/>
    <w:rsid w:val="008713A1"/>
    <w:rsid w:val="00873407"/>
    <w:rsid w:val="008754AB"/>
    <w:rsid w:val="00875E48"/>
    <w:rsid w:val="00877402"/>
    <w:rsid w:val="00877ED2"/>
    <w:rsid w:val="0088060C"/>
    <w:rsid w:val="00885F9B"/>
    <w:rsid w:val="00886A7A"/>
    <w:rsid w:val="00891E3D"/>
    <w:rsid w:val="00893576"/>
    <w:rsid w:val="00893CE5"/>
    <w:rsid w:val="00893E73"/>
    <w:rsid w:val="008945EE"/>
    <w:rsid w:val="00895D09"/>
    <w:rsid w:val="00897087"/>
    <w:rsid w:val="008A6DCA"/>
    <w:rsid w:val="008B02DC"/>
    <w:rsid w:val="008B0D5B"/>
    <w:rsid w:val="008B2457"/>
    <w:rsid w:val="008B3047"/>
    <w:rsid w:val="008B57CE"/>
    <w:rsid w:val="008C065D"/>
    <w:rsid w:val="008C2250"/>
    <w:rsid w:val="008C26DE"/>
    <w:rsid w:val="008C57D1"/>
    <w:rsid w:val="008C7D46"/>
    <w:rsid w:val="008D2225"/>
    <w:rsid w:val="008D4752"/>
    <w:rsid w:val="008D7387"/>
    <w:rsid w:val="008E271C"/>
    <w:rsid w:val="008E418E"/>
    <w:rsid w:val="008E5445"/>
    <w:rsid w:val="008E5BC6"/>
    <w:rsid w:val="008E6A25"/>
    <w:rsid w:val="008F01EB"/>
    <w:rsid w:val="008F5193"/>
    <w:rsid w:val="008F64B5"/>
    <w:rsid w:val="009013A7"/>
    <w:rsid w:val="009017FB"/>
    <w:rsid w:val="009017FC"/>
    <w:rsid w:val="00902954"/>
    <w:rsid w:val="0090506B"/>
    <w:rsid w:val="009050C9"/>
    <w:rsid w:val="009066FC"/>
    <w:rsid w:val="0090782F"/>
    <w:rsid w:val="00907C13"/>
    <w:rsid w:val="00911343"/>
    <w:rsid w:val="00911BFB"/>
    <w:rsid w:val="00913075"/>
    <w:rsid w:val="009140A3"/>
    <w:rsid w:val="009144A2"/>
    <w:rsid w:val="0091510C"/>
    <w:rsid w:val="00917527"/>
    <w:rsid w:val="00923E13"/>
    <w:rsid w:val="009259AC"/>
    <w:rsid w:val="00926F38"/>
    <w:rsid w:val="00927DBB"/>
    <w:rsid w:val="0093085B"/>
    <w:rsid w:val="00934301"/>
    <w:rsid w:val="00935938"/>
    <w:rsid w:val="009366CB"/>
    <w:rsid w:val="00936CD1"/>
    <w:rsid w:val="00940DF8"/>
    <w:rsid w:val="00941747"/>
    <w:rsid w:val="00941EFB"/>
    <w:rsid w:val="009477EF"/>
    <w:rsid w:val="00947AFB"/>
    <w:rsid w:val="00951D7D"/>
    <w:rsid w:val="00954FCB"/>
    <w:rsid w:val="0095613F"/>
    <w:rsid w:val="0095666E"/>
    <w:rsid w:val="00960FF6"/>
    <w:rsid w:val="00962A64"/>
    <w:rsid w:val="009630C7"/>
    <w:rsid w:val="00964E92"/>
    <w:rsid w:val="00972B55"/>
    <w:rsid w:val="009743B7"/>
    <w:rsid w:val="009761DC"/>
    <w:rsid w:val="0098228B"/>
    <w:rsid w:val="009828DA"/>
    <w:rsid w:val="009832BD"/>
    <w:rsid w:val="009853CD"/>
    <w:rsid w:val="00985BAB"/>
    <w:rsid w:val="00996DAA"/>
    <w:rsid w:val="009A344D"/>
    <w:rsid w:val="009A390C"/>
    <w:rsid w:val="009A6DB1"/>
    <w:rsid w:val="009B0452"/>
    <w:rsid w:val="009B1B5F"/>
    <w:rsid w:val="009B6673"/>
    <w:rsid w:val="009B736D"/>
    <w:rsid w:val="009C191B"/>
    <w:rsid w:val="009C2BD6"/>
    <w:rsid w:val="009C3D41"/>
    <w:rsid w:val="009C434F"/>
    <w:rsid w:val="009D3A5E"/>
    <w:rsid w:val="009D44D8"/>
    <w:rsid w:val="009E0462"/>
    <w:rsid w:val="009E1484"/>
    <w:rsid w:val="009E1F32"/>
    <w:rsid w:val="009E2993"/>
    <w:rsid w:val="009E62A5"/>
    <w:rsid w:val="009E6694"/>
    <w:rsid w:val="009E776C"/>
    <w:rsid w:val="009F11BE"/>
    <w:rsid w:val="009F3C9C"/>
    <w:rsid w:val="009F76B8"/>
    <w:rsid w:val="00A0352E"/>
    <w:rsid w:val="00A15B3F"/>
    <w:rsid w:val="00A15DD4"/>
    <w:rsid w:val="00A1726E"/>
    <w:rsid w:val="00A17D3C"/>
    <w:rsid w:val="00A204CF"/>
    <w:rsid w:val="00A23BB6"/>
    <w:rsid w:val="00A23D49"/>
    <w:rsid w:val="00A27004"/>
    <w:rsid w:val="00A30C29"/>
    <w:rsid w:val="00A30E94"/>
    <w:rsid w:val="00A34DD6"/>
    <w:rsid w:val="00A35133"/>
    <w:rsid w:val="00A36819"/>
    <w:rsid w:val="00A36989"/>
    <w:rsid w:val="00A41683"/>
    <w:rsid w:val="00A43628"/>
    <w:rsid w:val="00A45145"/>
    <w:rsid w:val="00A46A1D"/>
    <w:rsid w:val="00A5269A"/>
    <w:rsid w:val="00A52776"/>
    <w:rsid w:val="00A54192"/>
    <w:rsid w:val="00A57BC9"/>
    <w:rsid w:val="00A6035E"/>
    <w:rsid w:val="00A6144C"/>
    <w:rsid w:val="00A63B67"/>
    <w:rsid w:val="00A66089"/>
    <w:rsid w:val="00A66617"/>
    <w:rsid w:val="00A671F8"/>
    <w:rsid w:val="00A673A4"/>
    <w:rsid w:val="00A724AE"/>
    <w:rsid w:val="00A73329"/>
    <w:rsid w:val="00A7376C"/>
    <w:rsid w:val="00A737D1"/>
    <w:rsid w:val="00A82359"/>
    <w:rsid w:val="00A829CD"/>
    <w:rsid w:val="00A859A4"/>
    <w:rsid w:val="00A865D2"/>
    <w:rsid w:val="00A94C20"/>
    <w:rsid w:val="00A95539"/>
    <w:rsid w:val="00A96A2D"/>
    <w:rsid w:val="00AA227F"/>
    <w:rsid w:val="00AA3BC7"/>
    <w:rsid w:val="00AA754A"/>
    <w:rsid w:val="00AB099E"/>
    <w:rsid w:val="00AB2B25"/>
    <w:rsid w:val="00AB38BE"/>
    <w:rsid w:val="00AB4328"/>
    <w:rsid w:val="00AB4C90"/>
    <w:rsid w:val="00AB6389"/>
    <w:rsid w:val="00AC02B7"/>
    <w:rsid w:val="00AC10DF"/>
    <w:rsid w:val="00AC4605"/>
    <w:rsid w:val="00AD150F"/>
    <w:rsid w:val="00AD2306"/>
    <w:rsid w:val="00AD4957"/>
    <w:rsid w:val="00AE0A2E"/>
    <w:rsid w:val="00AE1576"/>
    <w:rsid w:val="00AE2F51"/>
    <w:rsid w:val="00AE354C"/>
    <w:rsid w:val="00AF4B07"/>
    <w:rsid w:val="00AF6186"/>
    <w:rsid w:val="00AF7A3A"/>
    <w:rsid w:val="00B04546"/>
    <w:rsid w:val="00B06543"/>
    <w:rsid w:val="00B10A44"/>
    <w:rsid w:val="00B11D0E"/>
    <w:rsid w:val="00B120D8"/>
    <w:rsid w:val="00B14204"/>
    <w:rsid w:val="00B160DB"/>
    <w:rsid w:val="00B20836"/>
    <w:rsid w:val="00B235BB"/>
    <w:rsid w:val="00B2430F"/>
    <w:rsid w:val="00B24441"/>
    <w:rsid w:val="00B266F1"/>
    <w:rsid w:val="00B27A44"/>
    <w:rsid w:val="00B30BBF"/>
    <w:rsid w:val="00B32914"/>
    <w:rsid w:val="00B33C03"/>
    <w:rsid w:val="00B353AC"/>
    <w:rsid w:val="00B36D16"/>
    <w:rsid w:val="00B42807"/>
    <w:rsid w:val="00B4437F"/>
    <w:rsid w:val="00B44E56"/>
    <w:rsid w:val="00B45727"/>
    <w:rsid w:val="00B46300"/>
    <w:rsid w:val="00B46543"/>
    <w:rsid w:val="00B479E7"/>
    <w:rsid w:val="00B47D33"/>
    <w:rsid w:val="00B52BE0"/>
    <w:rsid w:val="00B54133"/>
    <w:rsid w:val="00B63B13"/>
    <w:rsid w:val="00B6412A"/>
    <w:rsid w:val="00B66E99"/>
    <w:rsid w:val="00B67FF9"/>
    <w:rsid w:val="00B701ED"/>
    <w:rsid w:val="00B727F1"/>
    <w:rsid w:val="00B73499"/>
    <w:rsid w:val="00B73BF4"/>
    <w:rsid w:val="00B76A90"/>
    <w:rsid w:val="00B8086C"/>
    <w:rsid w:val="00B80E8C"/>
    <w:rsid w:val="00B8119D"/>
    <w:rsid w:val="00B82E13"/>
    <w:rsid w:val="00B856CA"/>
    <w:rsid w:val="00B861B4"/>
    <w:rsid w:val="00B86DFE"/>
    <w:rsid w:val="00B905A7"/>
    <w:rsid w:val="00B90990"/>
    <w:rsid w:val="00B90C7A"/>
    <w:rsid w:val="00B912B7"/>
    <w:rsid w:val="00B922FF"/>
    <w:rsid w:val="00B9281E"/>
    <w:rsid w:val="00B93925"/>
    <w:rsid w:val="00B95019"/>
    <w:rsid w:val="00B95187"/>
    <w:rsid w:val="00B97D16"/>
    <w:rsid w:val="00BA2D55"/>
    <w:rsid w:val="00BA331A"/>
    <w:rsid w:val="00BA71B1"/>
    <w:rsid w:val="00BB0585"/>
    <w:rsid w:val="00BB0637"/>
    <w:rsid w:val="00BB345F"/>
    <w:rsid w:val="00BB68EA"/>
    <w:rsid w:val="00BC1C27"/>
    <w:rsid w:val="00BC2C43"/>
    <w:rsid w:val="00BC3383"/>
    <w:rsid w:val="00BC6BBF"/>
    <w:rsid w:val="00BC6DBD"/>
    <w:rsid w:val="00BD1572"/>
    <w:rsid w:val="00BD73B9"/>
    <w:rsid w:val="00BE10AC"/>
    <w:rsid w:val="00BE14E3"/>
    <w:rsid w:val="00BE3774"/>
    <w:rsid w:val="00BE3C40"/>
    <w:rsid w:val="00BE41E5"/>
    <w:rsid w:val="00BE53C7"/>
    <w:rsid w:val="00BE7818"/>
    <w:rsid w:val="00BF4109"/>
    <w:rsid w:val="00BF4CC3"/>
    <w:rsid w:val="00C012B5"/>
    <w:rsid w:val="00C030FD"/>
    <w:rsid w:val="00C03854"/>
    <w:rsid w:val="00C054C7"/>
    <w:rsid w:val="00C057B5"/>
    <w:rsid w:val="00C061E0"/>
    <w:rsid w:val="00C12929"/>
    <w:rsid w:val="00C13136"/>
    <w:rsid w:val="00C15F1B"/>
    <w:rsid w:val="00C22687"/>
    <w:rsid w:val="00C32E4D"/>
    <w:rsid w:val="00C333A0"/>
    <w:rsid w:val="00C36A81"/>
    <w:rsid w:val="00C41974"/>
    <w:rsid w:val="00C50B96"/>
    <w:rsid w:val="00C53F4A"/>
    <w:rsid w:val="00C54125"/>
    <w:rsid w:val="00C55B54"/>
    <w:rsid w:val="00C56906"/>
    <w:rsid w:val="00C6098E"/>
    <w:rsid w:val="00C60AFD"/>
    <w:rsid w:val="00C61409"/>
    <w:rsid w:val="00C6141A"/>
    <w:rsid w:val="00C6152C"/>
    <w:rsid w:val="00C643FF"/>
    <w:rsid w:val="00C64ADE"/>
    <w:rsid w:val="00C74810"/>
    <w:rsid w:val="00C7771A"/>
    <w:rsid w:val="00C80C75"/>
    <w:rsid w:val="00C8534D"/>
    <w:rsid w:val="00C87914"/>
    <w:rsid w:val="00C90D68"/>
    <w:rsid w:val="00C91D90"/>
    <w:rsid w:val="00C9391B"/>
    <w:rsid w:val="00C939FE"/>
    <w:rsid w:val="00C96288"/>
    <w:rsid w:val="00CA0F49"/>
    <w:rsid w:val="00CA3975"/>
    <w:rsid w:val="00CA3A7B"/>
    <w:rsid w:val="00CA4BDA"/>
    <w:rsid w:val="00CA511C"/>
    <w:rsid w:val="00CA5A15"/>
    <w:rsid w:val="00CB1F66"/>
    <w:rsid w:val="00CB2951"/>
    <w:rsid w:val="00CB2EBC"/>
    <w:rsid w:val="00CB333A"/>
    <w:rsid w:val="00CB59B2"/>
    <w:rsid w:val="00CC6458"/>
    <w:rsid w:val="00CD0F3D"/>
    <w:rsid w:val="00CD22CC"/>
    <w:rsid w:val="00CD282B"/>
    <w:rsid w:val="00CD3FB6"/>
    <w:rsid w:val="00CD3FE1"/>
    <w:rsid w:val="00CD4C35"/>
    <w:rsid w:val="00CD7369"/>
    <w:rsid w:val="00CE02F9"/>
    <w:rsid w:val="00CE05B8"/>
    <w:rsid w:val="00CE0B0E"/>
    <w:rsid w:val="00CE3831"/>
    <w:rsid w:val="00CE6A35"/>
    <w:rsid w:val="00CF1067"/>
    <w:rsid w:val="00CF2C32"/>
    <w:rsid w:val="00D00ABB"/>
    <w:rsid w:val="00D02EEC"/>
    <w:rsid w:val="00D03551"/>
    <w:rsid w:val="00D04ACD"/>
    <w:rsid w:val="00D04B83"/>
    <w:rsid w:val="00D05C75"/>
    <w:rsid w:val="00D0694E"/>
    <w:rsid w:val="00D06A63"/>
    <w:rsid w:val="00D07E0E"/>
    <w:rsid w:val="00D11478"/>
    <w:rsid w:val="00D15ED0"/>
    <w:rsid w:val="00D21B3E"/>
    <w:rsid w:val="00D21FED"/>
    <w:rsid w:val="00D24251"/>
    <w:rsid w:val="00D274CF"/>
    <w:rsid w:val="00D27F9D"/>
    <w:rsid w:val="00D342E9"/>
    <w:rsid w:val="00D343E2"/>
    <w:rsid w:val="00D361A2"/>
    <w:rsid w:val="00D42254"/>
    <w:rsid w:val="00D448D6"/>
    <w:rsid w:val="00D44C2E"/>
    <w:rsid w:val="00D45414"/>
    <w:rsid w:val="00D52E4C"/>
    <w:rsid w:val="00D531C9"/>
    <w:rsid w:val="00D566BD"/>
    <w:rsid w:val="00D5725A"/>
    <w:rsid w:val="00D57A4D"/>
    <w:rsid w:val="00D60AA7"/>
    <w:rsid w:val="00D61F8A"/>
    <w:rsid w:val="00D638F5"/>
    <w:rsid w:val="00D6435F"/>
    <w:rsid w:val="00D651AB"/>
    <w:rsid w:val="00D66450"/>
    <w:rsid w:val="00D728CE"/>
    <w:rsid w:val="00D7373D"/>
    <w:rsid w:val="00D7390B"/>
    <w:rsid w:val="00D755DF"/>
    <w:rsid w:val="00D75E28"/>
    <w:rsid w:val="00D772C2"/>
    <w:rsid w:val="00D8008E"/>
    <w:rsid w:val="00D82C45"/>
    <w:rsid w:val="00D847D2"/>
    <w:rsid w:val="00D908A8"/>
    <w:rsid w:val="00D90D85"/>
    <w:rsid w:val="00D9689D"/>
    <w:rsid w:val="00D977B6"/>
    <w:rsid w:val="00DA2BA9"/>
    <w:rsid w:val="00DA4A31"/>
    <w:rsid w:val="00DA55AB"/>
    <w:rsid w:val="00DA7B04"/>
    <w:rsid w:val="00DB35BB"/>
    <w:rsid w:val="00DB36C2"/>
    <w:rsid w:val="00DB5104"/>
    <w:rsid w:val="00DB6471"/>
    <w:rsid w:val="00DB765B"/>
    <w:rsid w:val="00DC1621"/>
    <w:rsid w:val="00DC169B"/>
    <w:rsid w:val="00DC1AD2"/>
    <w:rsid w:val="00DC2AB9"/>
    <w:rsid w:val="00DC4033"/>
    <w:rsid w:val="00DC451D"/>
    <w:rsid w:val="00DC6384"/>
    <w:rsid w:val="00DC63F0"/>
    <w:rsid w:val="00DD6EE5"/>
    <w:rsid w:val="00DE2D71"/>
    <w:rsid w:val="00DE386C"/>
    <w:rsid w:val="00DE4D35"/>
    <w:rsid w:val="00DF098B"/>
    <w:rsid w:val="00DF11C4"/>
    <w:rsid w:val="00DF210C"/>
    <w:rsid w:val="00DF4B6A"/>
    <w:rsid w:val="00DF5044"/>
    <w:rsid w:val="00E024B3"/>
    <w:rsid w:val="00E02C09"/>
    <w:rsid w:val="00E02D11"/>
    <w:rsid w:val="00E04D59"/>
    <w:rsid w:val="00E07DA1"/>
    <w:rsid w:val="00E123CB"/>
    <w:rsid w:val="00E13871"/>
    <w:rsid w:val="00E14625"/>
    <w:rsid w:val="00E157A3"/>
    <w:rsid w:val="00E207B2"/>
    <w:rsid w:val="00E20E13"/>
    <w:rsid w:val="00E219B3"/>
    <w:rsid w:val="00E21DBC"/>
    <w:rsid w:val="00E275D7"/>
    <w:rsid w:val="00E27DBE"/>
    <w:rsid w:val="00E316A1"/>
    <w:rsid w:val="00E31DF9"/>
    <w:rsid w:val="00E32AB1"/>
    <w:rsid w:val="00E358FD"/>
    <w:rsid w:val="00E36B8C"/>
    <w:rsid w:val="00E36C71"/>
    <w:rsid w:val="00E36F5A"/>
    <w:rsid w:val="00E37C5E"/>
    <w:rsid w:val="00E40404"/>
    <w:rsid w:val="00E42529"/>
    <w:rsid w:val="00E43F71"/>
    <w:rsid w:val="00E459C6"/>
    <w:rsid w:val="00E45A8B"/>
    <w:rsid w:val="00E4615C"/>
    <w:rsid w:val="00E47589"/>
    <w:rsid w:val="00E53DB6"/>
    <w:rsid w:val="00E64915"/>
    <w:rsid w:val="00E661D4"/>
    <w:rsid w:val="00E70091"/>
    <w:rsid w:val="00E713DE"/>
    <w:rsid w:val="00E720F5"/>
    <w:rsid w:val="00E72194"/>
    <w:rsid w:val="00E76D47"/>
    <w:rsid w:val="00E80148"/>
    <w:rsid w:val="00E8108E"/>
    <w:rsid w:val="00E846F8"/>
    <w:rsid w:val="00E849F7"/>
    <w:rsid w:val="00E87456"/>
    <w:rsid w:val="00E90302"/>
    <w:rsid w:val="00E91AE4"/>
    <w:rsid w:val="00E92087"/>
    <w:rsid w:val="00E9259A"/>
    <w:rsid w:val="00E929CF"/>
    <w:rsid w:val="00E94A28"/>
    <w:rsid w:val="00E97396"/>
    <w:rsid w:val="00E97BBA"/>
    <w:rsid w:val="00EA185E"/>
    <w:rsid w:val="00EA5726"/>
    <w:rsid w:val="00EA592A"/>
    <w:rsid w:val="00EB14E4"/>
    <w:rsid w:val="00EB32A5"/>
    <w:rsid w:val="00EB34ED"/>
    <w:rsid w:val="00EB37E2"/>
    <w:rsid w:val="00EB447C"/>
    <w:rsid w:val="00EB7BE0"/>
    <w:rsid w:val="00EC315E"/>
    <w:rsid w:val="00EC53EE"/>
    <w:rsid w:val="00EC5AD1"/>
    <w:rsid w:val="00EC5B1E"/>
    <w:rsid w:val="00ED077C"/>
    <w:rsid w:val="00ED1190"/>
    <w:rsid w:val="00ED4C8F"/>
    <w:rsid w:val="00ED6544"/>
    <w:rsid w:val="00ED7138"/>
    <w:rsid w:val="00EE0277"/>
    <w:rsid w:val="00EE3E00"/>
    <w:rsid w:val="00EE3FF6"/>
    <w:rsid w:val="00EE5DD2"/>
    <w:rsid w:val="00EE6415"/>
    <w:rsid w:val="00EF2BB7"/>
    <w:rsid w:val="00EF696E"/>
    <w:rsid w:val="00EF7A52"/>
    <w:rsid w:val="00F00A79"/>
    <w:rsid w:val="00F00E86"/>
    <w:rsid w:val="00F07C1E"/>
    <w:rsid w:val="00F105DB"/>
    <w:rsid w:val="00F11109"/>
    <w:rsid w:val="00F111C0"/>
    <w:rsid w:val="00F132BC"/>
    <w:rsid w:val="00F13D80"/>
    <w:rsid w:val="00F16AAA"/>
    <w:rsid w:val="00F21161"/>
    <w:rsid w:val="00F218EF"/>
    <w:rsid w:val="00F21BC7"/>
    <w:rsid w:val="00F2284D"/>
    <w:rsid w:val="00F2308A"/>
    <w:rsid w:val="00F266A2"/>
    <w:rsid w:val="00F26B56"/>
    <w:rsid w:val="00F32269"/>
    <w:rsid w:val="00F34AFB"/>
    <w:rsid w:val="00F42318"/>
    <w:rsid w:val="00F45673"/>
    <w:rsid w:val="00F46172"/>
    <w:rsid w:val="00F552AA"/>
    <w:rsid w:val="00F56A2F"/>
    <w:rsid w:val="00F56A6F"/>
    <w:rsid w:val="00F5709C"/>
    <w:rsid w:val="00F5788B"/>
    <w:rsid w:val="00F6348B"/>
    <w:rsid w:val="00F64EF1"/>
    <w:rsid w:val="00F65891"/>
    <w:rsid w:val="00F72FC2"/>
    <w:rsid w:val="00F74BA0"/>
    <w:rsid w:val="00F81315"/>
    <w:rsid w:val="00F85287"/>
    <w:rsid w:val="00F8765F"/>
    <w:rsid w:val="00F90649"/>
    <w:rsid w:val="00F9073F"/>
    <w:rsid w:val="00F90767"/>
    <w:rsid w:val="00F915BB"/>
    <w:rsid w:val="00F9217E"/>
    <w:rsid w:val="00F94BCB"/>
    <w:rsid w:val="00F96297"/>
    <w:rsid w:val="00F97437"/>
    <w:rsid w:val="00FA48B9"/>
    <w:rsid w:val="00FA685B"/>
    <w:rsid w:val="00FB0C01"/>
    <w:rsid w:val="00FB1904"/>
    <w:rsid w:val="00FB4B7C"/>
    <w:rsid w:val="00FC18F2"/>
    <w:rsid w:val="00FC39E5"/>
    <w:rsid w:val="00FC3A78"/>
    <w:rsid w:val="00FC509A"/>
    <w:rsid w:val="00FC53BB"/>
    <w:rsid w:val="00FC63BC"/>
    <w:rsid w:val="00FD1005"/>
    <w:rsid w:val="00FD10FC"/>
    <w:rsid w:val="00FD3AEA"/>
    <w:rsid w:val="00FD4D5E"/>
    <w:rsid w:val="00FD6892"/>
    <w:rsid w:val="00FD6C75"/>
    <w:rsid w:val="00FD7B0A"/>
    <w:rsid w:val="00FE016C"/>
    <w:rsid w:val="00FE393C"/>
    <w:rsid w:val="00FE6495"/>
    <w:rsid w:val="00FE71B3"/>
    <w:rsid w:val="00FF0CD2"/>
    <w:rsid w:val="00FF3682"/>
    <w:rsid w:val="00FF42C5"/>
    <w:rsid w:val="00FF57A0"/>
    <w:rsid w:val="00FF6284"/>
    <w:rsid w:val="00FF7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85F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8E5445"/>
    <w:rPr>
      <w:sz w:val="24"/>
      <w:szCs w:val="24"/>
    </w:rPr>
  </w:style>
  <w:style w:type="paragraph" w:styleId="Heading1">
    <w:name w:val="heading 1"/>
    <w:basedOn w:val="Normal"/>
    <w:next w:val="Normal"/>
    <w:link w:val="Heading1Char"/>
    <w:uiPriority w:val="98"/>
    <w:semiHidden/>
    <w:rsid w:val="008E5445"/>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8E5445"/>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8E5445"/>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8E5445"/>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8E5445"/>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8E5445"/>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8E5445"/>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8E5445"/>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8E5445"/>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8E5445"/>
    <w:rPr>
      <w:rFonts w:ascii="Tahoma" w:hAnsi="Tahoma" w:cs="Tahoma"/>
      <w:sz w:val="16"/>
      <w:szCs w:val="16"/>
    </w:rPr>
  </w:style>
  <w:style w:type="character" w:customStyle="1" w:styleId="BalloonTextChar">
    <w:name w:val="Balloon Text Char"/>
    <w:basedOn w:val="DefaultParagraphFont"/>
    <w:link w:val="BalloonText"/>
    <w:uiPriority w:val="98"/>
    <w:semiHidden/>
    <w:rsid w:val="008E5445"/>
    <w:rPr>
      <w:rFonts w:ascii="Tahoma" w:hAnsi="Tahoma" w:cs="Tahoma"/>
      <w:sz w:val="16"/>
      <w:szCs w:val="16"/>
      <w:lang w:val="ro-RO"/>
    </w:rPr>
  </w:style>
  <w:style w:type="character" w:styleId="BookTitle">
    <w:name w:val="Book Title"/>
    <w:uiPriority w:val="98"/>
    <w:semiHidden/>
    <w:qFormat/>
    <w:rsid w:val="008E5445"/>
    <w:rPr>
      <w:i/>
      <w:iCs/>
      <w:smallCaps/>
      <w:spacing w:val="5"/>
    </w:rPr>
  </w:style>
  <w:style w:type="paragraph" w:customStyle="1" w:styleId="JuHeader">
    <w:name w:val="Ju_Header"/>
    <w:aliases w:val="_Header"/>
    <w:basedOn w:val="Header"/>
    <w:uiPriority w:val="29"/>
    <w:qFormat/>
    <w:rsid w:val="008E5445"/>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8E5445"/>
    <w:pPr>
      <w:numPr>
        <w:numId w:val="5"/>
      </w:numPr>
      <w:tabs>
        <w:tab w:val="clear" w:pos="851"/>
        <w:tab w:val="num" w:pos="360"/>
      </w:tabs>
      <w:spacing w:before="60" w:after="60"/>
      <w:ind w:left="0" w:firstLine="0"/>
    </w:pPr>
  </w:style>
  <w:style w:type="character" w:styleId="Strong">
    <w:name w:val="Strong"/>
    <w:uiPriority w:val="98"/>
    <w:semiHidden/>
    <w:qFormat/>
    <w:rsid w:val="008E5445"/>
    <w:rPr>
      <w:b/>
      <w:bCs/>
    </w:rPr>
  </w:style>
  <w:style w:type="paragraph" w:styleId="NoSpacing">
    <w:name w:val="No Spacing"/>
    <w:basedOn w:val="Normal"/>
    <w:link w:val="NoSpacingChar"/>
    <w:uiPriority w:val="98"/>
    <w:semiHidden/>
    <w:qFormat/>
    <w:rsid w:val="008E5445"/>
  </w:style>
  <w:style w:type="character" w:customStyle="1" w:styleId="NoSpacingChar">
    <w:name w:val="No Spacing Char"/>
    <w:basedOn w:val="DefaultParagraphFont"/>
    <w:link w:val="NoSpacing"/>
    <w:uiPriority w:val="98"/>
    <w:semiHidden/>
    <w:rsid w:val="008E5445"/>
    <w:rPr>
      <w:sz w:val="24"/>
      <w:szCs w:val="24"/>
      <w:lang w:val="ro-RO"/>
    </w:rPr>
  </w:style>
  <w:style w:type="paragraph" w:customStyle="1" w:styleId="JuQuot">
    <w:name w:val="Ju_Quot"/>
    <w:aliases w:val="ECHR_Para_Quote,_Quote"/>
    <w:basedOn w:val="NormalJustified"/>
    <w:uiPriority w:val="20"/>
    <w:qFormat/>
    <w:rsid w:val="008E5445"/>
    <w:pPr>
      <w:spacing w:before="120" w:after="120"/>
      <w:ind w:left="425" w:firstLine="142"/>
    </w:pPr>
    <w:rPr>
      <w:sz w:val="20"/>
    </w:rPr>
  </w:style>
  <w:style w:type="paragraph" w:customStyle="1" w:styleId="JuList">
    <w:name w:val="Ju_List"/>
    <w:aliases w:val="_List_1"/>
    <w:basedOn w:val="NormalJustified"/>
    <w:uiPriority w:val="23"/>
    <w:qFormat/>
    <w:rsid w:val="008E5445"/>
    <w:pPr>
      <w:numPr>
        <w:numId w:val="6"/>
      </w:numPr>
      <w:spacing w:before="280" w:after="60"/>
    </w:pPr>
  </w:style>
  <w:style w:type="paragraph" w:customStyle="1" w:styleId="JuListi">
    <w:name w:val="Ju_List_i"/>
    <w:aliases w:val="_List_3"/>
    <w:basedOn w:val="NormalJustified"/>
    <w:uiPriority w:val="23"/>
    <w:rsid w:val="008E5445"/>
    <w:pPr>
      <w:numPr>
        <w:ilvl w:val="2"/>
        <w:numId w:val="6"/>
      </w:numPr>
    </w:pPr>
  </w:style>
  <w:style w:type="paragraph" w:customStyle="1" w:styleId="DecHTitle">
    <w:name w:val="Dec_H_Title"/>
    <w:aliases w:val="_Title_1"/>
    <w:basedOn w:val="Normal"/>
    <w:next w:val="Normal"/>
    <w:uiPriority w:val="38"/>
    <w:qFormat/>
    <w:rsid w:val="008E5445"/>
    <w:pPr>
      <w:keepNext/>
      <w:keepLines/>
      <w:spacing w:after="240"/>
      <w:jc w:val="center"/>
      <w:outlineLvl w:val="0"/>
    </w:pPr>
    <w:rPr>
      <w:rFonts w:asciiTheme="majorHAnsi" w:hAnsiTheme="majorHAnsi"/>
      <w:sz w:val="28"/>
    </w:rPr>
  </w:style>
  <w:style w:type="paragraph" w:customStyle="1" w:styleId="JuTitle">
    <w:name w:val="Ju_Title"/>
    <w:aliases w:val="_Title_2"/>
    <w:basedOn w:val="Normal"/>
    <w:next w:val="Normal"/>
    <w:uiPriority w:val="38"/>
    <w:qFormat/>
    <w:rsid w:val="008E5445"/>
    <w:pPr>
      <w:keepNext/>
      <w:keepLines/>
      <w:spacing w:before="1320" w:after="280"/>
      <w:contextualSpacing/>
      <w:jc w:val="center"/>
    </w:pPr>
    <w:rPr>
      <w:b/>
    </w:rPr>
  </w:style>
  <w:style w:type="paragraph" w:customStyle="1" w:styleId="JuHArticle">
    <w:name w:val="Ju_H_Article"/>
    <w:aliases w:val="_Title_Quote"/>
    <w:basedOn w:val="Normal"/>
    <w:next w:val="JuQuot"/>
    <w:uiPriority w:val="19"/>
    <w:qFormat/>
    <w:rsid w:val="008E5445"/>
    <w:pPr>
      <w:keepNext/>
      <w:spacing w:before="100" w:beforeAutospacing="1" w:after="120"/>
      <w:contextualSpacing/>
      <w:jc w:val="center"/>
    </w:pPr>
    <w:rPr>
      <w:b/>
      <w:sz w:val="20"/>
    </w:rPr>
  </w:style>
  <w:style w:type="paragraph" w:customStyle="1" w:styleId="ECHRCoverTitle4">
    <w:name w:val="ECHR_Cover_Title_4"/>
    <w:aliases w:val="_Title_4"/>
    <w:basedOn w:val="Normal"/>
    <w:next w:val="Normal"/>
    <w:uiPriority w:val="38"/>
    <w:qFormat/>
    <w:rsid w:val="008E5445"/>
    <w:pPr>
      <w:keepNext/>
      <w:keepLines/>
      <w:tabs>
        <w:tab w:val="right" w:pos="7938"/>
      </w:tabs>
      <w:jc w:val="center"/>
    </w:pPr>
    <w:rPr>
      <w:i/>
    </w:rPr>
  </w:style>
  <w:style w:type="numbering" w:customStyle="1" w:styleId="ECHRA1StyleBulletedSquare">
    <w:name w:val="ECHR_A1_Style_Bulleted_Square"/>
    <w:basedOn w:val="NoList"/>
    <w:rsid w:val="008E5445"/>
    <w:pPr>
      <w:numPr>
        <w:numId w:val="5"/>
      </w:numPr>
    </w:pPr>
  </w:style>
  <w:style w:type="paragraph" w:customStyle="1" w:styleId="JuHHead">
    <w:name w:val="Ju_H_Head"/>
    <w:aliases w:val="_Head_1"/>
    <w:basedOn w:val="Heading1"/>
    <w:next w:val="Normal"/>
    <w:uiPriority w:val="17"/>
    <w:qFormat/>
    <w:rsid w:val="008E5445"/>
    <w:pPr>
      <w:keepNext/>
      <w:keepLines/>
      <w:numPr>
        <w:numId w:val="1"/>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8E5445"/>
    <w:pPr>
      <w:numPr>
        <w:numId w:val="6"/>
      </w:numPr>
    </w:pPr>
  </w:style>
  <w:style w:type="paragraph" w:customStyle="1" w:styleId="JuSigned">
    <w:name w:val="Ju_Signed"/>
    <w:aliases w:val="_Signature"/>
    <w:basedOn w:val="Normal"/>
    <w:next w:val="Normal"/>
    <w:uiPriority w:val="31"/>
    <w:qFormat/>
    <w:rsid w:val="008E5445"/>
    <w:pPr>
      <w:tabs>
        <w:tab w:val="center" w:pos="1418"/>
        <w:tab w:val="center" w:pos="5954"/>
      </w:tabs>
      <w:spacing w:before="720"/>
    </w:pPr>
  </w:style>
  <w:style w:type="paragraph" w:styleId="Title">
    <w:name w:val="Title"/>
    <w:basedOn w:val="Normal"/>
    <w:next w:val="Normal"/>
    <w:link w:val="TitleChar"/>
    <w:uiPriority w:val="98"/>
    <w:semiHidden/>
    <w:qFormat/>
    <w:rsid w:val="008E5445"/>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8E5445"/>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8E5445"/>
    <w:pPr>
      <w:numPr>
        <w:numId w:val="7"/>
      </w:numPr>
    </w:pPr>
  </w:style>
  <w:style w:type="table" w:customStyle="1" w:styleId="ECHRTable2019">
    <w:name w:val="ECHR_Table_2019"/>
    <w:basedOn w:val="TableNormal"/>
    <w:uiPriority w:val="99"/>
    <w:rsid w:val="008E544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964E92"/>
    <w:rPr>
      <w:sz w:val="8"/>
    </w:rPr>
  </w:style>
  <w:style w:type="paragraph" w:customStyle="1" w:styleId="JuCase">
    <w:name w:val="Ju_Case"/>
    <w:aliases w:val="_Case_Name"/>
    <w:basedOn w:val="NormalJustified"/>
    <w:next w:val="Normal"/>
    <w:uiPriority w:val="32"/>
    <w:rsid w:val="008E5445"/>
    <w:pPr>
      <w:ind w:firstLine="284"/>
    </w:pPr>
    <w:rPr>
      <w:b/>
    </w:rPr>
  </w:style>
  <w:style w:type="paragraph" w:customStyle="1" w:styleId="JuCourt">
    <w:name w:val="Ju_Court"/>
    <w:aliases w:val="_Court_Names"/>
    <w:basedOn w:val="Normal"/>
    <w:next w:val="Normal"/>
    <w:uiPriority w:val="32"/>
    <w:qFormat/>
    <w:rsid w:val="008E5445"/>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Normal"/>
    <w:uiPriority w:val="17"/>
    <w:qFormat/>
    <w:rsid w:val="008E5445"/>
    <w:pPr>
      <w:keepNext/>
      <w:keepLines/>
      <w:numPr>
        <w:ilvl w:val="1"/>
        <w:numId w:val="1"/>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Normal"/>
    <w:uiPriority w:val="17"/>
    <w:qFormat/>
    <w:rsid w:val="008E5445"/>
    <w:pPr>
      <w:keepNext/>
      <w:keepLines/>
      <w:numPr>
        <w:ilvl w:val="2"/>
        <w:numId w:val="1"/>
      </w:numPr>
      <w:spacing w:before="100" w:beforeAutospacing="1" w:after="240" w:line="240" w:lineRule="auto"/>
      <w:jc w:val="both"/>
    </w:pPr>
    <w:rPr>
      <w:color w:val="auto"/>
      <w:sz w:val="24"/>
    </w:rPr>
  </w:style>
  <w:style w:type="paragraph" w:customStyle="1" w:styleId="JuH1">
    <w:name w:val="Ju_H_1."/>
    <w:aliases w:val="_Head_4"/>
    <w:basedOn w:val="Heading4"/>
    <w:next w:val="Normal"/>
    <w:uiPriority w:val="17"/>
    <w:rsid w:val="008E5445"/>
    <w:pPr>
      <w:keepNext/>
      <w:keepLines/>
      <w:numPr>
        <w:ilvl w:val="3"/>
        <w:numId w:val="1"/>
      </w:numPr>
      <w:spacing w:before="100" w:beforeAutospacing="1" w:after="120"/>
      <w:jc w:val="both"/>
    </w:pPr>
    <w:rPr>
      <w:b w:val="0"/>
      <w:color w:val="auto"/>
      <w:sz w:val="24"/>
    </w:rPr>
  </w:style>
  <w:style w:type="paragraph" w:styleId="Header">
    <w:name w:val="header"/>
    <w:basedOn w:val="Normal"/>
    <w:link w:val="HeaderChar"/>
    <w:uiPriority w:val="98"/>
    <w:semiHidden/>
    <w:rsid w:val="008E5445"/>
    <w:pPr>
      <w:tabs>
        <w:tab w:val="center" w:pos="4536"/>
        <w:tab w:val="right" w:pos="9072"/>
      </w:tabs>
    </w:pPr>
  </w:style>
  <w:style w:type="character" w:customStyle="1" w:styleId="HeaderChar">
    <w:name w:val="Header Char"/>
    <w:basedOn w:val="DefaultParagraphFont"/>
    <w:link w:val="Header"/>
    <w:uiPriority w:val="98"/>
    <w:rsid w:val="008E5445"/>
    <w:rPr>
      <w:sz w:val="24"/>
      <w:szCs w:val="24"/>
      <w:lang w:val="ro-RO"/>
    </w:rPr>
  </w:style>
  <w:style w:type="character" w:customStyle="1" w:styleId="Heading1Char">
    <w:name w:val="Heading 1 Char"/>
    <w:basedOn w:val="DefaultParagraphFont"/>
    <w:link w:val="Heading1"/>
    <w:uiPriority w:val="98"/>
    <w:semiHidden/>
    <w:rsid w:val="008E5445"/>
    <w:rPr>
      <w:rFonts w:asciiTheme="majorHAnsi" w:eastAsiaTheme="majorEastAsia" w:hAnsiTheme="majorHAnsi" w:cstheme="majorBidi"/>
      <w:b/>
      <w:bCs/>
      <w:color w:val="333333"/>
      <w:sz w:val="28"/>
      <w:szCs w:val="28"/>
      <w:lang w:val="ro-RO"/>
    </w:rPr>
  </w:style>
  <w:style w:type="paragraph" w:customStyle="1" w:styleId="JuHa0">
    <w:name w:val="Ju_H_a"/>
    <w:aliases w:val="_Head_5"/>
    <w:basedOn w:val="Heading5"/>
    <w:next w:val="Normal"/>
    <w:uiPriority w:val="17"/>
    <w:rsid w:val="008E5445"/>
    <w:pPr>
      <w:keepNext/>
      <w:keepLines/>
      <w:numPr>
        <w:ilvl w:val="4"/>
        <w:numId w:val="1"/>
      </w:numPr>
      <w:spacing w:before="100" w:beforeAutospacing="1" w:after="120"/>
      <w:jc w:val="both"/>
    </w:pPr>
    <w:rPr>
      <w:color w:val="auto"/>
      <w:sz w:val="20"/>
    </w:rPr>
  </w:style>
  <w:style w:type="paragraph" w:customStyle="1" w:styleId="JuHi">
    <w:name w:val="Ju_H_i"/>
    <w:aliases w:val="_Head_6"/>
    <w:basedOn w:val="Heading6"/>
    <w:next w:val="Normal"/>
    <w:uiPriority w:val="17"/>
    <w:rsid w:val="008E5445"/>
    <w:pPr>
      <w:keepNext/>
      <w:keepLines/>
      <w:numPr>
        <w:ilvl w:val="5"/>
        <w:numId w:val="1"/>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8E5445"/>
    <w:rPr>
      <w:rFonts w:asciiTheme="majorHAnsi" w:eastAsiaTheme="majorEastAsia" w:hAnsiTheme="majorHAnsi" w:cstheme="majorBidi"/>
      <w:b/>
      <w:bCs/>
      <w:color w:val="4D4D4D"/>
      <w:sz w:val="26"/>
      <w:szCs w:val="26"/>
      <w:lang w:val="ro-RO"/>
    </w:rPr>
  </w:style>
  <w:style w:type="paragraph" w:customStyle="1" w:styleId="JuHalpha">
    <w:name w:val="Ju_H_alpha"/>
    <w:aliases w:val="_Head_7"/>
    <w:basedOn w:val="Heading7"/>
    <w:next w:val="Normal"/>
    <w:uiPriority w:val="17"/>
    <w:rsid w:val="008E5445"/>
    <w:pPr>
      <w:keepNext/>
      <w:keepLines/>
      <w:numPr>
        <w:ilvl w:val="6"/>
        <w:numId w:val="1"/>
      </w:numPr>
      <w:tabs>
        <w:tab w:val="left" w:pos="1361"/>
      </w:tabs>
      <w:spacing w:before="100" w:beforeAutospacing="1" w:after="120"/>
      <w:jc w:val="both"/>
    </w:pPr>
    <w:rPr>
      <w:i w:val="0"/>
      <w:sz w:val="20"/>
    </w:rPr>
  </w:style>
  <w:style w:type="paragraph" w:customStyle="1" w:styleId="JuH">
    <w:name w:val="Ju_H_–"/>
    <w:aliases w:val="_Head_8"/>
    <w:basedOn w:val="Heading8"/>
    <w:next w:val="Normal"/>
    <w:uiPriority w:val="17"/>
    <w:rsid w:val="008E5445"/>
    <w:pPr>
      <w:keepNext/>
      <w:keepLines/>
      <w:numPr>
        <w:ilvl w:val="7"/>
        <w:numId w:val="1"/>
      </w:numPr>
      <w:spacing w:before="100" w:beforeAutospacing="1" w:after="120"/>
      <w:jc w:val="both"/>
    </w:pPr>
    <w:rPr>
      <w:i/>
    </w:rPr>
  </w:style>
  <w:style w:type="character" w:customStyle="1" w:styleId="Heading3Char">
    <w:name w:val="Heading 3 Char"/>
    <w:basedOn w:val="DefaultParagraphFont"/>
    <w:link w:val="Heading3"/>
    <w:uiPriority w:val="98"/>
    <w:semiHidden/>
    <w:rsid w:val="008E5445"/>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8E5445"/>
    <w:pPr>
      <w:keepNext/>
      <w:keepLines/>
      <w:spacing w:before="240" w:after="240"/>
      <w:ind w:firstLine="284"/>
    </w:pPr>
  </w:style>
  <w:style w:type="paragraph" w:customStyle="1" w:styleId="JuJudges">
    <w:name w:val="Ju_Judges"/>
    <w:aliases w:val="_Judges"/>
    <w:basedOn w:val="Normal"/>
    <w:uiPriority w:val="32"/>
    <w:qFormat/>
    <w:rsid w:val="008E5445"/>
    <w:pPr>
      <w:tabs>
        <w:tab w:val="left" w:pos="567"/>
        <w:tab w:val="left" w:pos="1134"/>
      </w:tabs>
    </w:pPr>
  </w:style>
  <w:style w:type="character" w:customStyle="1" w:styleId="Heading4Char">
    <w:name w:val="Heading 4 Char"/>
    <w:basedOn w:val="DefaultParagraphFont"/>
    <w:link w:val="Heading4"/>
    <w:uiPriority w:val="98"/>
    <w:semiHidden/>
    <w:rsid w:val="008E5445"/>
    <w:rPr>
      <w:rFonts w:asciiTheme="majorHAnsi" w:eastAsiaTheme="majorEastAsia" w:hAnsiTheme="majorHAnsi" w:cstheme="majorBidi"/>
      <w:b/>
      <w:bCs/>
      <w:i/>
      <w:iCs/>
      <w:color w:val="777777"/>
      <w:lang w:val="ro-RO"/>
    </w:rPr>
  </w:style>
  <w:style w:type="paragraph" w:customStyle="1" w:styleId="JuInitialled">
    <w:name w:val="Ju_Initialled"/>
    <w:aliases w:val="_Right"/>
    <w:basedOn w:val="Normal"/>
    <w:uiPriority w:val="30"/>
    <w:qFormat/>
    <w:rsid w:val="008E5445"/>
    <w:pPr>
      <w:tabs>
        <w:tab w:val="center" w:pos="6407"/>
      </w:tabs>
      <w:spacing w:before="720"/>
      <w:jc w:val="right"/>
    </w:pPr>
  </w:style>
  <w:style w:type="character" w:customStyle="1" w:styleId="Heading5Char">
    <w:name w:val="Heading 5 Char"/>
    <w:basedOn w:val="DefaultParagraphFont"/>
    <w:link w:val="Heading5"/>
    <w:uiPriority w:val="98"/>
    <w:semiHidden/>
    <w:rsid w:val="008E5445"/>
    <w:rPr>
      <w:rFonts w:asciiTheme="majorHAnsi" w:eastAsiaTheme="majorEastAsia" w:hAnsiTheme="majorHAnsi" w:cstheme="majorBidi"/>
      <w:b/>
      <w:bCs/>
      <w:color w:val="808080"/>
      <w:lang w:val="ro-RO"/>
    </w:rPr>
  </w:style>
  <w:style w:type="paragraph" w:customStyle="1" w:styleId="JuLista">
    <w:name w:val="Ju_List_a"/>
    <w:aliases w:val="_List_2"/>
    <w:basedOn w:val="NormalJustified"/>
    <w:uiPriority w:val="23"/>
    <w:rsid w:val="008E5445"/>
    <w:pPr>
      <w:numPr>
        <w:ilvl w:val="1"/>
        <w:numId w:val="6"/>
      </w:numPr>
    </w:pPr>
  </w:style>
  <w:style w:type="character" w:customStyle="1" w:styleId="JuITMark">
    <w:name w:val="Ju_ITMark"/>
    <w:aliases w:val="_ITMark"/>
    <w:basedOn w:val="DefaultParagraphFont"/>
    <w:uiPriority w:val="54"/>
    <w:semiHidden/>
    <w:qFormat/>
    <w:rsid w:val="008E5445"/>
    <w:rPr>
      <w:vanish w:val="0"/>
      <w:color w:val="auto"/>
      <w:sz w:val="14"/>
      <w:bdr w:val="none" w:sz="0" w:space="0" w:color="auto"/>
      <w:shd w:val="clear" w:color="auto" w:fill="BEE5FF" w:themeFill="background1" w:themeFillTint="33"/>
    </w:rPr>
  </w:style>
  <w:style w:type="character" w:styleId="SubtleEmphasis">
    <w:name w:val="Subtle Emphasis"/>
    <w:uiPriority w:val="98"/>
    <w:semiHidden/>
    <w:qFormat/>
    <w:rsid w:val="008E5445"/>
    <w:rPr>
      <w:i/>
      <w:iCs/>
    </w:rPr>
  </w:style>
  <w:style w:type="character" w:customStyle="1" w:styleId="JUNAMES">
    <w:name w:val="JU_NAMES"/>
    <w:aliases w:val="_Ju_Names"/>
    <w:uiPriority w:val="33"/>
    <w:qFormat/>
    <w:rsid w:val="008E5445"/>
    <w:rPr>
      <w:caps w:val="0"/>
      <w:smallCaps/>
    </w:rPr>
  </w:style>
  <w:style w:type="table" w:customStyle="1" w:styleId="ECHRTable">
    <w:name w:val="ECHR_Table"/>
    <w:basedOn w:val="TableNormal"/>
    <w:rsid w:val="008E5445"/>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8E5445"/>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NormalJustified">
    <w:name w:val="Normal_Justified"/>
    <w:basedOn w:val="Normal"/>
    <w:semiHidden/>
    <w:rsid w:val="008E5445"/>
    <w:pPr>
      <w:jc w:val="both"/>
    </w:pPr>
  </w:style>
  <w:style w:type="character" w:styleId="Emphasis">
    <w:name w:val="Emphasis"/>
    <w:uiPriority w:val="98"/>
    <w:semiHidden/>
    <w:qFormat/>
    <w:rsid w:val="008E5445"/>
    <w:rPr>
      <w:b/>
      <w:bCs/>
      <w:i/>
      <w:iCs/>
      <w:spacing w:val="10"/>
      <w:bdr w:val="none" w:sz="0" w:space="0" w:color="auto"/>
      <w:shd w:val="clear" w:color="auto" w:fill="auto"/>
    </w:rPr>
  </w:style>
  <w:style w:type="paragraph" w:styleId="Footer0">
    <w:name w:val="footer"/>
    <w:basedOn w:val="Normal"/>
    <w:link w:val="FooterChar"/>
    <w:uiPriority w:val="98"/>
    <w:semiHidden/>
    <w:rsid w:val="008E5445"/>
    <w:pPr>
      <w:tabs>
        <w:tab w:val="center" w:pos="3686"/>
        <w:tab w:val="right" w:pos="7371"/>
      </w:tabs>
    </w:pPr>
  </w:style>
  <w:style w:type="character" w:customStyle="1" w:styleId="FooterChar">
    <w:name w:val="Footer Char"/>
    <w:basedOn w:val="DefaultParagraphFont"/>
    <w:link w:val="Footer0"/>
    <w:uiPriority w:val="98"/>
    <w:semiHidden/>
    <w:rsid w:val="008E5445"/>
    <w:rPr>
      <w:sz w:val="24"/>
      <w:szCs w:val="24"/>
      <w:lang w:val="ro-RO"/>
    </w:rPr>
  </w:style>
  <w:style w:type="character" w:styleId="FootnoteReference">
    <w:name w:val="footnote reference"/>
    <w:aliases w:val="(Footnote Reference),BVI fnr,Exposant 3 Point,FR,Footnote,Footnote Reference Number,Footnote Reference_LVL6,Footnote reference number,Footnote symbol,Odwołanie przypisu,Przypis,Ref,SUPERS,Times 10 Point,Voetnootverwijzing,fr,note TESI"/>
    <w:basedOn w:val="DefaultParagraphFont"/>
    <w:uiPriority w:val="99"/>
    <w:qFormat/>
    <w:rsid w:val="008E5445"/>
    <w:rPr>
      <w:vertAlign w:val="superscript"/>
    </w:rPr>
  </w:style>
  <w:style w:type="paragraph" w:styleId="FootnoteText">
    <w:name w:val="footnote text"/>
    <w:aliases w:val="FA,FA Char,FA Fußnotentext Char,Footnotes,Fußnote standard Char Carattere Carattere Carattere Carattere,Fußnotentext Char,Testo nota a piè di pagina Carattere,Testo nota a piè di pagina Carattere Carattere,fn,footnote text,footnotes"/>
    <w:basedOn w:val="NormalJustified"/>
    <w:link w:val="FootnoteTextChar"/>
    <w:uiPriority w:val="98"/>
    <w:qFormat/>
    <w:rsid w:val="008E5445"/>
    <w:rPr>
      <w:sz w:val="20"/>
      <w:szCs w:val="20"/>
    </w:rPr>
  </w:style>
  <w:style w:type="character" w:customStyle="1" w:styleId="FootnoteTextChar">
    <w:name w:val="Footnote Text Char"/>
    <w:aliases w:val="FA Char1,FA Char Char,FA Fußnotentext Char Char,Footnotes Char,Fußnote standard Char Carattere Carattere Carattere Carattere Char,Fußnotentext Char Char,Testo nota a piè di pagina Carattere Char,fn Char,footnote text Char"/>
    <w:basedOn w:val="DefaultParagraphFont"/>
    <w:link w:val="FootnoteText"/>
    <w:uiPriority w:val="98"/>
    <w:semiHidden/>
    <w:rsid w:val="008E5445"/>
    <w:rPr>
      <w:sz w:val="20"/>
      <w:szCs w:val="20"/>
      <w:lang w:val="ro-RO"/>
    </w:rPr>
  </w:style>
  <w:style w:type="character" w:customStyle="1" w:styleId="Heading6Char">
    <w:name w:val="Heading 6 Char"/>
    <w:basedOn w:val="DefaultParagraphFont"/>
    <w:link w:val="Heading6"/>
    <w:uiPriority w:val="98"/>
    <w:semiHidden/>
    <w:rsid w:val="008E5445"/>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8E5445"/>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8E5445"/>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8E5445"/>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8E5445"/>
    <w:rPr>
      <w:color w:val="0072BC" w:themeColor="hyperlink"/>
      <w:u w:val="single"/>
    </w:rPr>
  </w:style>
  <w:style w:type="character" w:styleId="IntenseEmphasis">
    <w:name w:val="Intense Emphasis"/>
    <w:uiPriority w:val="98"/>
    <w:semiHidden/>
    <w:qFormat/>
    <w:rsid w:val="008E5445"/>
    <w:rPr>
      <w:b/>
      <w:bCs/>
    </w:rPr>
  </w:style>
  <w:style w:type="paragraph" w:styleId="IntenseQuote">
    <w:name w:val="Intense Quote"/>
    <w:basedOn w:val="Normal"/>
    <w:next w:val="Normal"/>
    <w:link w:val="IntenseQuoteChar"/>
    <w:uiPriority w:val="98"/>
    <w:semiHidden/>
    <w:qFormat/>
    <w:rsid w:val="008E5445"/>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8E5445"/>
    <w:rPr>
      <w:b/>
      <w:bCs/>
      <w:i/>
      <w:iCs/>
      <w:sz w:val="24"/>
      <w:szCs w:val="24"/>
      <w:lang w:val="ro-RO" w:bidi="en-US"/>
    </w:rPr>
  </w:style>
  <w:style w:type="character" w:styleId="IntenseReference">
    <w:name w:val="Intense Reference"/>
    <w:uiPriority w:val="98"/>
    <w:semiHidden/>
    <w:qFormat/>
    <w:rsid w:val="008E5445"/>
    <w:rPr>
      <w:smallCaps/>
      <w:spacing w:val="5"/>
      <w:u w:val="single"/>
    </w:rPr>
  </w:style>
  <w:style w:type="paragraph" w:styleId="ListParagraph">
    <w:name w:val="List Paragraph"/>
    <w:basedOn w:val="Normal"/>
    <w:uiPriority w:val="98"/>
    <w:semiHidden/>
    <w:qFormat/>
    <w:rsid w:val="008E5445"/>
    <w:pPr>
      <w:ind w:left="720"/>
      <w:contextualSpacing/>
    </w:pPr>
  </w:style>
  <w:style w:type="table" w:customStyle="1" w:styleId="LtrTableAddress">
    <w:name w:val="Ltr_Table_Address"/>
    <w:aliases w:val="ECHR_Ltr_Table_Address"/>
    <w:basedOn w:val="TableNormal"/>
    <w:uiPriority w:val="99"/>
    <w:rsid w:val="008E5445"/>
    <w:rPr>
      <w:sz w:val="24"/>
      <w:szCs w:val="24"/>
    </w:rPr>
    <w:tblPr>
      <w:tblInd w:w="5103" w:type="dxa"/>
    </w:tblPr>
  </w:style>
  <w:style w:type="paragraph" w:styleId="Quote">
    <w:name w:val="Quote"/>
    <w:basedOn w:val="Normal"/>
    <w:next w:val="Normal"/>
    <w:link w:val="QuoteChar"/>
    <w:uiPriority w:val="98"/>
    <w:semiHidden/>
    <w:qFormat/>
    <w:rsid w:val="008E5445"/>
    <w:pPr>
      <w:spacing w:before="200"/>
      <w:ind w:left="360" w:right="360"/>
    </w:pPr>
    <w:rPr>
      <w:i/>
      <w:iCs/>
      <w:lang w:bidi="en-US"/>
    </w:rPr>
  </w:style>
  <w:style w:type="character" w:customStyle="1" w:styleId="QuoteChar">
    <w:name w:val="Quote Char"/>
    <w:basedOn w:val="DefaultParagraphFont"/>
    <w:link w:val="Quote"/>
    <w:uiPriority w:val="98"/>
    <w:semiHidden/>
    <w:rsid w:val="008E5445"/>
    <w:rPr>
      <w:i/>
      <w:iCs/>
      <w:sz w:val="24"/>
      <w:szCs w:val="24"/>
      <w:lang w:val="ro-RO" w:bidi="en-US"/>
    </w:rPr>
  </w:style>
  <w:style w:type="character" w:styleId="SubtleReference">
    <w:name w:val="Subtle Reference"/>
    <w:uiPriority w:val="98"/>
    <w:semiHidden/>
    <w:qFormat/>
    <w:rsid w:val="008E5445"/>
    <w:rPr>
      <w:smallCaps/>
    </w:rPr>
  </w:style>
  <w:style w:type="table" w:styleId="TableGrid">
    <w:name w:val="Table Grid"/>
    <w:basedOn w:val="TableNormal"/>
    <w:uiPriority w:val="59"/>
    <w:semiHidden/>
    <w:rsid w:val="008E5445"/>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8"/>
    <w:semiHidden/>
    <w:rsid w:val="008E5445"/>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8E5445"/>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8E5445"/>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8E5445"/>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8E5445"/>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98"/>
    <w:semiHidden/>
    <w:qFormat/>
    <w:rsid w:val="008E5445"/>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8E5445"/>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8E5445"/>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8E5445"/>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E5445"/>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8E5445"/>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8E5445"/>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8E5445"/>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semiHidden/>
    <w:qFormat/>
    <w:rsid w:val="008E5445"/>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8E5445"/>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8E5445"/>
    <w:pPr>
      <w:numPr>
        <w:numId w:val="2"/>
      </w:numPr>
    </w:pPr>
  </w:style>
  <w:style w:type="paragraph" w:customStyle="1" w:styleId="JuPara">
    <w:name w:val="Ju_Para"/>
    <w:aliases w:val="ECHR_Para,N_Para,Para,_Para"/>
    <w:basedOn w:val="NormalJustified"/>
    <w:link w:val="ECHRParaChar"/>
    <w:uiPriority w:val="4"/>
    <w:qFormat/>
    <w:rsid w:val="008E5445"/>
    <w:pPr>
      <w:ind w:firstLine="284"/>
    </w:pPr>
  </w:style>
  <w:style w:type="numbering" w:styleId="1ai">
    <w:name w:val="Outline List 1"/>
    <w:basedOn w:val="NoList"/>
    <w:uiPriority w:val="99"/>
    <w:semiHidden/>
    <w:unhideWhenUsed/>
    <w:rsid w:val="008E5445"/>
    <w:pPr>
      <w:numPr>
        <w:numId w:val="3"/>
      </w:numPr>
    </w:pPr>
  </w:style>
  <w:style w:type="table" w:customStyle="1" w:styleId="ECHRTableSimpleBox">
    <w:name w:val="ECHR_Table_Simple_Box"/>
    <w:basedOn w:val="TableNormal"/>
    <w:uiPriority w:val="99"/>
    <w:rsid w:val="008E5445"/>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8E5445"/>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8E5445"/>
    <w:pPr>
      <w:numPr>
        <w:numId w:val="4"/>
      </w:numPr>
    </w:pPr>
  </w:style>
  <w:style w:type="table" w:customStyle="1" w:styleId="ECHRTableForInternalUse">
    <w:name w:val="ECHR_Table_For_Internal_Use"/>
    <w:basedOn w:val="TableNormal"/>
    <w:uiPriority w:val="99"/>
    <w:rsid w:val="008E5445"/>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8E5445"/>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8E5445"/>
  </w:style>
  <w:style w:type="paragraph" w:styleId="BlockText">
    <w:name w:val="Block Text"/>
    <w:basedOn w:val="Normal"/>
    <w:uiPriority w:val="98"/>
    <w:semiHidden/>
    <w:rsid w:val="008E5445"/>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8E5445"/>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8E5445"/>
    <w:pPr>
      <w:spacing w:after="120"/>
    </w:pPr>
  </w:style>
  <w:style w:type="character" w:customStyle="1" w:styleId="BodyTextChar">
    <w:name w:val="Body Text Char"/>
    <w:basedOn w:val="DefaultParagraphFont"/>
    <w:link w:val="BodyText"/>
    <w:uiPriority w:val="98"/>
    <w:semiHidden/>
    <w:rsid w:val="008E5445"/>
    <w:rPr>
      <w:sz w:val="24"/>
      <w:szCs w:val="24"/>
      <w:lang w:val="ro-RO"/>
    </w:rPr>
  </w:style>
  <w:style w:type="table" w:customStyle="1" w:styleId="ECHRTableOddBanded">
    <w:name w:val="ECHR_Table_Odd_Banded"/>
    <w:basedOn w:val="TableNormal"/>
    <w:uiPriority w:val="99"/>
    <w:rsid w:val="008E5445"/>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8E5445"/>
    <w:pPr>
      <w:spacing w:after="120" w:line="480" w:lineRule="auto"/>
    </w:pPr>
  </w:style>
  <w:style w:type="table" w:customStyle="1" w:styleId="ECHRHeaderTableReduced">
    <w:name w:val="ECHR_Header_Table_Reduced"/>
    <w:basedOn w:val="TableNormal"/>
    <w:uiPriority w:val="99"/>
    <w:rsid w:val="008E5445"/>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styleId="PageNumber">
    <w:name w:val="page number"/>
    <w:uiPriority w:val="98"/>
    <w:semiHidden/>
    <w:rsid w:val="008E5445"/>
    <w:rPr>
      <w:sz w:val="18"/>
    </w:rPr>
  </w:style>
  <w:style w:type="paragraph" w:styleId="ListBullet">
    <w:name w:val="List Bullet"/>
    <w:basedOn w:val="Normal"/>
    <w:uiPriority w:val="98"/>
    <w:semiHidden/>
    <w:rsid w:val="008E5445"/>
    <w:pPr>
      <w:numPr>
        <w:numId w:val="8"/>
      </w:numPr>
    </w:pPr>
  </w:style>
  <w:style w:type="character" w:customStyle="1" w:styleId="BodyText2Char">
    <w:name w:val="Body Text 2 Char"/>
    <w:basedOn w:val="DefaultParagraphFont"/>
    <w:link w:val="BodyText2"/>
    <w:uiPriority w:val="98"/>
    <w:semiHidden/>
    <w:rsid w:val="008E5445"/>
    <w:rPr>
      <w:sz w:val="24"/>
      <w:szCs w:val="24"/>
      <w:lang w:val="ro-RO"/>
    </w:rPr>
  </w:style>
  <w:style w:type="paragraph" w:styleId="BodyText3">
    <w:name w:val="Body Text 3"/>
    <w:basedOn w:val="Normal"/>
    <w:link w:val="BodyText3Char"/>
    <w:uiPriority w:val="98"/>
    <w:semiHidden/>
    <w:rsid w:val="008E5445"/>
    <w:pPr>
      <w:spacing w:after="120"/>
    </w:pPr>
    <w:rPr>
      <w:sz w:val="16"/>
      <w:szCs w:val="16"/>
    </w:rPr>
  </w:style>
  <w:style w:type="character" w:customStyle="1" w:styleId="BodyText3Char">
    <w:name w:val="Body Text 3 Char"/>
    <w:basedOn w:val="DefaultParagraphFont"/>
    <w:link w:val="BodyText3"/>
    <w:uiPriority w:val="98"/>
    <w:semiHidden/>
    <w:rsid w:val="008E5445"/>
    <w:rPr>
      <w:sz w:val="16"/>
      <w:szCs w:val="16"/>
      <w:lang w:val="ro-RO"/>
    </w:rPr>
  </w:style>
  <w:style w:type="paragraph" w:styleId="BodyTextFirstIndent">
    <w:name w:val="Body Text First Indent"/>
    <w:basedOn w:val="BodyText"/>
    <w:link w:val="BodyTextFirstIndentChar"/>
    <w:uiPriority w:val="98"/>
    <w:semiHidden/>
    <w:rsid w:val="008E5445"/>
    <w:pPr>
      <w:spacing w:after="0"/>
      <w:ind w:firstLine="360"/>
    </w:pPr>
  </w:style>
  <w:style w:type="character" w:customStyle="1" w:styleId="BodyTextFirstIndentChar">
    <w:name w:val="Body Text First Indent Char"/>
    <w:basedOn w:val="BodyTextChar"/>
    <w:link w:val="BodyTextFirstIndent"/>
    <w:uiPriority w:val="98"/>
    <w:semiHidden/>
    <w:rsid w:val="008E5445"/>
    <w:rPr>
      <w:sz w:val="24"/>
      <w:szCs w:val="24"/>
      <w:lang w:val="ro-RO"/>
    </w:rPr>
  </w:style>
  <w:style w:type="paragraph" w:styleId="BodyTextIndent">
    <w:name w:val="Body Text Indent"/>
    <w:basedOn w:val="Normal"/>
    <w:link w:val="BodyTextIndentChar"/>
    <w:uiPriority w:val="98"/>
    <w:semiHidden/>
    <w:rsid w:val="008E5445"/>
    <w:pPr>
      <w:spacing w:after="120"/>
      <w:ind w:left="283"/>
    </w:pPr>
  </w:style>
  <w:style w:type="character" w:customStyle="1" w:styleId="BodyTextIndentChar">
    <w:name w:val="Body Text Indent Char"/>
    <w:basedOn w:val="DefaultParagraphFont"/>
    <w:link w:val="BodyTextIndent"/>
    <w:uiPriority w:val="98"/>
    <w:semiHidden/>
    <w:rsid w:val="008E5445"/>
    <w:rPr>
      <w:sz w:val="24"/>
      <w:szCs w:val="24"/>
      <w:lang w:val="ro-RO"/>
    </w:rPr>
  </w:style>
  <w:style w:type="paragraph" w:styleId="BodyTextFirstIndent2">
    <w:name w:val="Body Text First Indent 2"/>
    <w:basedOn w:val="BodyTextIndent"/>
    <w:link w:val="BodyTextFirstIndent2Char"/>
    <w:uiPriority w:val="98"/>
    <w:semiHidden/>
    <w:rsid w:val="008E5445"/>
    <w:pPr>
      <w:spacing w:after="0"/>
      <w:ind w:left="360" w:firstLine="360"/>
    </w:pPr>
  </w:style>
  <w:style w:type="character" w:customStyle="1" w:styleId="BodyTextFirstIndent2Char">
    <w:name w:val="Body Text First Indent 2 Char"/>
    <w:basedOn w:val="BodyTextIndentChar"/>
    <w:link w:val="BodyTextFirstIndent2"/>
    <w:uiPriority w:val="98"/>
    <w:semiHidden/>
    <w:rsid w:val="008E5445"/>
    <w:rPr>
      <w:sz w:val="24"/>
      <w:szCs w:val="24"/>
      <w:lang w:val="ro-RO"/>
    </w:rPr>
  </w:style>
  <w:style w:type="paragraph" w:styleId="BodyTextIndent2">
    <w:name w:val="Body Text Indent 2"/>
    <w:basedOn w:val="Normal"/>
    <w:link w:val="BodyTextIndent2Char"/>
    <w:uiPriority w:val="98"/>
    <w:semiHidden/>
    <w:rsid w:val="008E5445"/>
    <w:pPr>
      <w:spacing w:after="120" w:line="480" w:lineRule="auto"/>
      <w:ind w:left="283"/>
    </w:pPr>
  </w:style>
  <w:style w:type="character" w:customStyle="1" w:styleId="BodyTextIndent2Char">
    <w:name w:val="Body Text Indent 2 Char"/>
    <w:basedOn w:val="DefaultParagraphFont"/>
    <w:link w:val="BodyTextIndent2"/>
    <w:uiPriority w:val="98"/>
    <w:semiHidden/>
    <w:rsid w:val="008E5445"/>
    <w:rPr>
      <w:sz w:val="24"/>
      <w:szCs w:val="24"/>
      <w:lang w:val="ro-RO"/>
    </w:rPr>
  </w:style>
  <w:style w:type="paragraph" w:styleId="BodyTextIndent3">
    <w:name w:val="Body Text Indent 3"/>
    <w:basedOn w:val="Normal"/>
    <w:link w:val="BodyTextIndent3Char"/>
    <w:uiPriority w:val="98"/>
    <w:semiHidden/>
    <w:rsid w:val="008E5445"/>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8E5445"/>
    <w:rPr>
      <w:sz w:val="16"/>
      <w:szCs w:val="16"/>
      <w:lang w:val="ro-RO"/>
    </w:rPr>
  </w:style>
  <w:style w:type="paragraph" w:styleId="Caption">
    <w:name w:val="caption"/>
    <w:basedOn w:val="Normal"/>
    <w:next w:val="Normal"/>
    <w:uiPriority w:val="98"/>
    <w:semiHidden/>
    <w:qFormat/>
    <w:rsid w:val="008E5445"/>
    <w:pPr>
      <w:spacing w:after="200"/>
    </w:pPr>
    <w:rPr>
      <w:b/>
      <w:bCs/>
      <w:color w:val="0072BC" w:themeColor="accent1"/>
      <w:sz w:val="18"/>
      <w:szCs w:val="18"/>
    </w:rPr>
  </w:style>
  <w:style w:type="paragraph" w:styleId="Closing">
    <w:name w:val="Closing"/>
    <w:basedOn w:val="Normal"/>
    <w:link w:val="ClosingChar"/>
    <w:uiPriority w:val="98"/>
    <w:semiHidden/>
    <w:rsid w:val="008E5445"/>
    <w:pPr>
      <w:ind w:left="4252"/>
    </w:pPr>
  </w:style>
  <w:style w:type="character" w:customStyle="1" w:styleId="ClosingChar">
    <w:name w:val="Closing Char"/>
    <w:basedOn w:val="DefaultParagraphFont"/>
    <w:link w:val="Closing"/>
    <w:uiPriority w:val="98"/>
    <w:semiHidden/>
    <w:rsid w:val="008E5445"/>
    <w:rPr>
      <w:sz w:val="24"/>
      <w:szCs w:val="24"/>
      <w:lang w:val="ro-RO"/>
    </w:rPr>
  </w:style>
  <w:style w:type="table" w:styleId="ColorfulGrid">
    <w:name w:val="Colorful Grid"/>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8E5445"/>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8E5445"/>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8E5445"/>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8E5445"/>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8E5445"/>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8E5445"/>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8E5445"/>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8E5445"/>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8E5445"/>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8E5445"/>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8E5445"/>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8E5445"/>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8E5445"/>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8E5445"/>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8E5445"/>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8E5445"/>
    <w:rPr>
      <w:sz w:val="16"/>
      <w:szCs w:val="16"/>
    </w:rPr>
  </w:style>
  <w:style w:type="paragraph" w:styleId="CommentText">
    <w:name w:val="annotation text"/>
    <w:basedOn w:val="Normal"/>
    <w:link w:val="CommentTextChar"/>
    <w:uiPriority w:val="98"/>
    <w:semiHidden/>
    <w:rsid w:val="008E5445"/>
    <w:rPr>
      <w:sz w:val="20"/>
      <w:szCs w:val="20"/>
    </w:rPr>
  </w:style>
  <w:style w:type="character" w:customStyle="1" w:styleId="CommentTextChar">
    <w:name w:val="Comment Text Char"/>
    <w:basedOn w:val="DefaultParagraphFont"/>
    <w:link w:val="CommentText"/>
    <w:uiPriority w:val="98"/>
    <w:semiHidden/>
    <w:rsid w:val="008E5445"/>
    <w:rPr>
      <w:sz w:val="20"/>
      <w:szCs w:val="20"/>
      <w:lang w:val="ro-RO"/>
    </w:rPr>
  </w:style>
  <w:style w:type="paragraph" w:styleId="CommentSubject">
    <w:name w:val="annotation subject"/>
    <w:basedOn w:val="CommentText"/>
    <w:next w:val="CommentText"/>
    <w:link w:val="CommentSubjectChar"/>
    <w:uiPriority w:val="98"/>
    <w:semiHidden/>
    <w:rsid w:val="008E5445"/>
    <w:rPr>
      <w:b/>
      <w:bCs/>
    </w:rPr>
  </w:style>
  <w:style w:type="character" w:customStyle="1" w:styleId="CommentSubjectChar">
    <w:name w:val="Comment Subject Char"/>
    <w:basedOn w:val="CommentTextChar"/>
    <w:link w:val="CommentSubject"/>
    <w:uiPriority w:val="98"/>
    <w:semiHidden/>
    <w:rsid w:val="008E5445"/>
    <w:rPr>
      <w:b/>
      <w:bCs/>
      <w:sz w:val="20"/>
      <w:szCs w:val="20"/>
      <w:lang w:val="ro-RO"/>
    </w:rPr>
  </w:style>
  <w:style w:type="table" w:styleId="DarkList">
    <w:name w:val="Dark List"/>
    <w:basedOn w:val="TableNormal"/>
    <w:uiPriority w:val="70"/>
    <w:semiHidden/>
    <w:rsid w:val="008E5445"/>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8E5445"/>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8E5445"/>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8E5445"/>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8E5445"/>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8E5445"/>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8E5445"/>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8E5445"/>
  </w:style>
  <w:style w:type="character" w:customStyle="1" w:styleId="DateChar">
    <w:name w:val="Date Char"/>
    <w:basedOn w:val="DefaultParagraphFont"/>
    <w:link w:val="Date"/>
    <w:uiPriority w:val="98"/>
    <w:semiHidden/>
    <w:rsid w:val="008E5445"/>
    <w:rPr>
      <w:sz w:val="24"/>
      <w:szCs w:val="24"/>
      <w:lang w:val="ro-RO"/>
    </w:rPr>
  </w:style>
  <w:style w:type="paragraph" w:styleId="DocumentMap">
    <w:name w:val="Document Map"/>
    <w:basedOn w:val="Normal"/>
    <w:link w:val="DocumentMapChar"/>
    <w:uiPriority w:val="98"/>
    <w:semiHidden/>
    <w:rsid w:val="008E5445"/>
    <w:rPr>
      <w:rFonts w:ascii="Tahoma" w:hAnsi="Tahoma" w:cs="Tahoma"/>
      <w:sz w:val="16"/>
      <w:szCs w:val="16"/>
    </w:rPr>
  </w:style>
  <w:style w:type="character" w:customStyle="1" w:styleId="DocumentMapChar">
    <w:name w:val="Document Map Char"/>
    <w:basedOn w:val="DefaultParagraphFont"/>
    <w:link w:val="DocumentMap"/>
    <w:uiPriority w:val="98"/>
    <w:semiHidden/>
    <w:rsid w:val="008E5445"/>
    <w:rPr>
      <w:rFonts w:ascii="Tahoma" w:hAnsi="Tahoma" w:cs="Tahoma"/>
      <w:sz w:val="16"/>
      <w:szCs w:val="16"/>
      <w:lang w:val="ro-RO"/>
    </w:rPr>
  </w:style>
  <w:style w:type="paragraph" w:styleId="E-mailSignature">
    <w:name w:val="E-mail Signature"/>
    <w:basedOn w:val="Normal"/>
    <w:link w:val="E-mailSignatureChar"/>
    <w:uiPriority w:val="98"/>
    <w:semiHidden/>
    <w:rsid w:val="008E5445"/>
  </w:style>
  <w:style w:type="character" w:customStyle="1" w:styleId="E-mailSignatureChar">
    <w:name w:val="E-mail Signature Char"/>
    <w:basedOn w:val="DefaultParagraphFont"/>
    <w:link w:val="E-mailSignature"/>
    <w:uiPriority w:val="98"/>
    <w:semiHidden/>
    <w:rsid w:val="008E5445"/>
    <w:rPr>
      <w:sz w:val="24"/>
      <w:szCs w:val="24"/>
      <w:lang w:val="ro-RO"/>
    </w:rPr>
  </w:style>
  <w:style w:type="character" w:styleId="EndnoteReference">
    <w:name w:val="endnote reference"/>
    <w:basedOn w:val="DefaultParagraphFont"/>
    <w:uiPriority w:val="98"/>
    <w:semiHidden/>
    <w:rsid w:val="008E5445"/>
    <w:rPr>
      <w:vertAlign w:val="superscript"/>
    </w:rPr>
  </w:style>
  <w:style w:type="paragraph" w:styleId="EndnoteText">
    <w:name w:val="endnote text"/>
    <w:basedOn w:val="Normal"/>
    <w:link w:val="EndnoteTextChar"/>
    <w:uiPriority w:val="98"/>
    <w:semiHidden/>
    <w:rsid w:val="008E5445"/>
    <w:rPr>
      <w:sz w:val="20"/>
      <w:szCs w:val="20"/>
    </w:rPr>
  </w:style>
  <w:style w:type="character" w:customStyle="1" w:styleId="EndnoteTextChar">
    <w:name w:val="Endnote Text Char"/>
    <w:basedOn w:val="DefaultParagraphFont"/>
    <w:link w:val="EndnoteText"/>
    <w:uiPriority w:val="98"/>
    <w:semiHidden/>
    <w:rsid w:val="008E5445"/>
    <w:rPr>
      <w:sz w:val="20"/>
      <w:szCs w:val="20"/>
      <w:lang w:val="ro-RO"/>
    </w:rPr>
  </w:style>
  <w:style w:type="paragraph" w:styleId="EnvelopeAddress">
    <w:name w:val="envelope address"/>
    <w:basedOn w:val="Normal"/>
    <w:uiPriority w:val="98"/>
    <w:semiHidden/>
    <w:rsid w:val="008E5445"/>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8E5445"/>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8E5445"/>
    <w:rPr>
      <w:color w:val="7030A0" w:themeColor="followedHyperlink"/>
      <w:u w:val="single"/>
    </w:rPr>
  </w:style>
  <w:style w:type="character" w:styleId="HTMLAcronym">
    <w:name w:val="HTML Acronym"/>
    <w:basedOn w:val="DefaultParagraphFont"/>
    <w:uiPriority w:val="98"/>
    <w:semiHidden/>
    <w:rsid w:val="008E5445"/>
  </w:style>
  <w:style w:type="paragraph" w:styleId="HTMLAddress">
    <w:name w:val="HTML Address"/>
    <w:basedOn w:val="Normal"/>
    <w:link w:val="HTMLAddressChar"/>
    <w:uiPriority w:val="98"/>
    <w:semiHidden/>
    <w:rsid w:val="008E5445"/>
    <w:rPr>
      <w:i/>
      <w:iCs/>
    </w:rPr>
  </w:style>
  <w:style w:type="character" w:customStyle="1" w:styleId="HTMLAddressChar">
    <w:name w:val="HTML Address Char"/>
    <w:basedOn w:val="DefaultParagraphFont"/>
    <w:link w:val="HTMLAddress"/>
    <w:uiPriority w:val="98"/>
    <w:semiHidden/>
    <w:rsid w:val="008E5445"/>
    <w:rPr>
      <w:i/>
      <w:iCs/>
      <w:sz w:val="24"/>
      <w:szCs w:val="24"/>
      <w:lang w:val="ro-RO"/>
    </w:rPr>
  </w:style>
  <w:style w:type="character" w:styleId="HTMLCite">
    <w:name w:val="HTML Cite"/>
    <w:basedOn w:val="DefaultParagraphFont"/>
    <w:uiPriority w:val="98"/>
    <w:semiHidden/>
    <w:rsid w:val="008E5445"/>
    <w:rPr>
      <w:i/>
      <w:iCs/>
    </w:rPr>
  </w:style>
  <w:style w:type="character" w:styleId="HTMLCode">
    <w:name w:val="HTML Code"/>
    <w:basedOn w:val="DefaultParagraphFont"/>
    <w:uiPriority w:val="98"/>
    <w:semiHidden/>
    <w:rsid w:val="008E5445"/>
    <w:rPr>
      <w:rFonts w:ascii="Consolas" w:hAnsi="Consolas" w:cs="Consolas"/>
      <w:sz w:val="20"/>
      <w:szCs w:val="20"/>
    </w:rPr>
  </w:style>
  <w:style w:type="character" w:styleId="HTMLDefinition">
    <w:name w:val="HTML Definition"/>
    <w:basedOn w:val="DefaultParagraphFont"/>
    <w:uiPriority w:val="98"/>
    <w:semiHidden/>
    <w:rsid w:val="008E5445"/>
    <w:rPr>
      <w:i/>
      <w:iCs/>
    </w:rPr>
  </w:style>
  <w:style w:type="character" w:styleId="HTMLKeyboard">
    <w:name w:val="HTML Keyboard"/>
    <w:basedOn w:val="DefaultParagraphFont"/>
    <w:uiPriority w:val="98"/>
    <w:semiHidden/>
    <w:rsid w:val="008E5445"/>
    <w:rPr>
      <w:rFonts w:ascii="Consolas" w:hAnsi="Consolas" w:cs="Consolas"/>
      <w:sz w:val="20"/>
      <w:szCs w:val="20"/>
    </w:rPr>
  </w:style>
  <w:style w:type="paragraph" w:styleId="HTMLPreformatted">
    <w:name w:val="HTML Preformatted"/>
    <w:basedOn w:val="Normal"/>
    <w:link w:val="HTMLPreformattedChar"/>
    <w:uiPriority w:val="98"/>
    <w:semiHidden/>
    <w:rsid w:val="008E5445"/>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8E5445"/>
    <w:rPr>
      <w:rFonts w:ascii="Consolas" w:hAnsi="Consolas" w:cs="Consolas"/>
      <w:sz w:val="20"/>
      <w:szCs w:val="20"/>
      <w:lang w:val="ro-RO"/>
    </w:rPr>
  </w:style>
  <w:style w:type="character" w:styleId="HTMLSample">
    <w:name w:val="HTML Sample"/>
    <w:basedOn w:val="DefaultParagraphFont"/>
    <w:uiPriority w:val="98"/>
    <w:semiHidden/>
    <w:rsid w:val="008E5445"/>
    <w:rPr>
      <w:rFonts w:ascii="Consolas" w:hAnsi="Consolas" w:cs="Consolas"/>
      <w:sz w:val="24"/>
      <w:szCs w:val="24"/>
    </w:rPr>
  </w:style>
  <w:style w:type="character" w:styleId="HTMLTypewriter">
    <w:name w:val="HTML Typewriter"/>
    <w:basedOn w:val="DefaultParagraphFont"/>
    <w:uiPriority w:val="98"/>
    <w:semiHidden/>
    <w:rsid w:val="008E5445"/>
    <w:rPr>
      <w:rFonts w:ascii="Consolas" w:hAnsi="Consolas" w:cs="Consolas"/>
      <w:sz w:val="20"/>
      <w:szCs w:val="20"/>
    </w:rPr>
  </w:style>
  <w:style w:type="character" w:styleId="HTMLVariable">
    <w:name w:val="HTML Variable"/>
    <w:basedOn w:val="DefaultParagraphFont"/>
    <w:uiPriority w:val="98"/>
    <w:semiHidden/>
    <w:rsid w:val="008E5445"/>
    <w:rPr>
      <w:i/>
      <w:iCs/>
    </w:rPr>
  </w:style>
  <w:style w:type="paragraph" w:styleId="Index1">
    <w:name w:val="index 1"/>
    <w:basedOn w:val="Normal"/>
    <w:next w:val="Normal"/>
    <w:autoRedefine/>
    <w:uiPriority w:val="98"/>
    <w:semiHidden/>
    <w:rsid w:val="008E5445"/>
    <w:pPr>
      <w:ind w:left="240" w:hanging="240"/>
    </w:pPr>
  </w:style>
  <w:style w:type="paragraph" w:styleId="Index2">
    <w:name w:val="index 2"/>
    <w:basedOn w:val="Normal"/>
    <w:next w:val="Normal"/>
    <w:autoRedefine/>
    <w:uiPriority w:val="98"/>
    <w:semiHidden/>
    <w:rsid w:val="008E5445"/>
    <w:pPr>
      <w:ind w:left="480" w:hanging="240"/>
    </w:pPr>
  </w:style>
  <w:style w:type="paragraph" w:styleId="Index3">
    <w:name w:val="index 3"/>
    <w:basedOn w:val="Normal"/>
    <w:next w:val="Normal"/>
    <w:autoRedefine/>
    <w:uiPriority w:val="98"/>
    <w:semiHidden/>
    <w:rsid w:val="008E5445"/>
    <w:pPr>
      <w:ind w:left="720" w:hanging="240"/>
    </w:pPr>
  </w:style>
  <w:style w:type="paragraph" w:styleId="Index4">
    <w:name w:val="index 4"/>
    <w:basedOn w:val="Normal"/>
    <w:next w:val="Normal"/>
    <w:autoRedefine/>
    <w:uiPriority w:val="98"/>
    <w:semiHidden/>
    <w:rsid w:val="008E5445"/>
    <w:pPr>
      <w:ind w:left="960" w:hanging="240"/>
    </w:pPr>
  </w:style>
  <w:style w:type="paragraph" w:styleId="Index5">
    <w:name w:val="index 5"/>
    <w:basedOn w:val="Normal"/>
    <w:next w:val="Normal"/>
    <w:autoRedefine/>
    <w:uiPriority w:val="98"/>
    <w:semiHidden/>
    <w:rsid w:val="008E5445"/>
    <w:pPr>
      <w:ind w:left="1200" w:hanging="240"/>
    </w:pPr>
  </w:style>
  <w:style w:type="paragraph" w:styleId="Index6">
    <w:name w:val="index 6"/>
    <w:basedOn w:val="Normal"/>
    <w:next w:val="Normal"/>
    <w:autoRedefine/>
    <w:uiPriority w:val="98"/>
    <w:semiHidden/>
    <w:rsid w:val="008E5445"/>
    <w:pPr>
      <w:ind w:left="1440" w:hanging="240"/>
    </w:pPr>
  </w:style>
  <w:style w:type="paragraph" w:styleId="Index7">
    <w:name w:val="index 7"/>
    <w:basedOn w:val="Normal"/>
    <w:next w:val="Normal"/>
    <w:autoRedefine/>
    <w:uiPriority w:val="98"/>
    <w:semiHidden/>
    <w:rsid w:val="008E5445"/>
    <w:pPr>
      <w:ind w:left="1680" w:hanging="240"/>
    </w:pPr>
  </w:style>
  <w:style w:type="paragraph" w:styleId="Index8">
    <w:name w:val="index 8"/>
    <w:basedOn w:val="Normal"/>
    <w:next w:val="Normal"/>
    <w:autoRedefine/>
    <w:uiPriority w:val="98"/>
    <w:semiHidden/>
    <w:rsid w:val="008E5445"/>
    <w:pPr>
      <w:ind w:left="1920" w:hanging="240"/>
    </w:pPr>
  </w:style>
  <w:style w:type="paragraph" w:styleId="Index9">
    <w:name w:val="index 9"/>
    <w:basedOn w:val="Normal"/>
    <w:next w:val="Normal"/>
    <w:autoRedefine/>
    <w:uiPriority w:val="98"/>
    <w:semiHidden/>
    <w:rsid w:val="008E5445"/>
    <w:pPr>
      <w:ind w:left="2160" w:hanging="240"/>
    </w:pPr>
  </w:style>
  <w:style w:type="paragraph" w:styleId="IndexHeading">
    <w:name w:val="index heading"/>
    <w:basedOn w:val="Normal"/>
    <w:next w:val="Index1"/>
    <w:uiPriority w:val="98"/>
    <w:semiHidden/>
    <w:rsid w:val="008E5445"/>
    <w:rPr>
      <w:rFonts w:asciiTheme="majorHAnsi" w:eastAsiaTheme="majorEastAsia" w:hAnsiTheme="majorHAnsi" w:cstheme="majorBidi"/>
      <w:b/>
      <w:bCs/>
    </w:rPr>
  </w:style>
  <w:style w:type="table" w:styleId="LightGrid">
    <w:name w:val="Light Grid"/>
    <w:basedOn w:val="TableNormal"/>
    <w:uiPriority w:val="62"/>
    <w:semiHidden/>
    <w:rsid w:val="008E544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8E544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8E544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8E544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8E544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8E544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8E544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8E5445"/>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8E5445"/>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8E5445"/>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8E5445"/>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8E5445"/>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8E5445"/>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8E5445"/>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8E5445"/>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8E5445"/>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8E5445"/>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8E5445"/>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8E5445"/>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8E5445"/>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8E5445"/>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8E5445"/>
  </w:style>
  <w:style w:type="paragraph" w:styleId="List">
    <w:name w:val="List"/>
    <w:basedOn w:val="Normal"/>
    <w:uiPriority w:val="98"/>
    <w:semiHidden/>
    <w:rsid w:val="008E5445"/>
    <w:pPr>
      <w:ind w:left="283" w:hanging="283"/>
      <w:contextualSpacing/>
    </w:pPr>
  </w:style>
  <w:style w:type="paragraph" w:styleId="List2">
    <w:name w:val="List 2"/>
    <w:basedOn w:val="Normal"/>
    <w:uiPriority w:val="98"/>
    <w:semiHidden/>
    <w:rsid w:val="008E5445"/>
    <w:pPr>
      <w:ind w:left="566" w:hanging="283"/>
      <w:contextualSpacing/>
    </w:pPr>
  </w:style>
  <w:style w:type="paragraph" w:styleId="List3">
    <w:name w:val="List 3"/>
    <w:basedOn w:val="Normal"/>
    <w:uiPriority w:val="98"/>
    <w:semiHidden/>
    <w:rsid w:val="008E5445"/>
    <w:pPr>
      <w:ind w:left="849" w:hanging="283"/>
      <w:contextualSpacing/>
    </w:pPr>
  </w:style>
  <w:style w:type="paragraph" w:styleId="List4">
    <w:name w:val="List 4"/>
    <w:basedOn w:val="Normal"/>
    <w:uiPriority w:val="98"/>
    <w:semiHidden/>
    <w:rsid w:val="008E5445"/>
    <w:pPr>
      <w:ind w:left="1132" w:hanging="283"/>
      <w:contextualSpacing/>
    </w:pPr>
  </w:style>
  <w:style w:type="paragraph" w:styleId="List5">
    <w:name w:val="List 5"/>
    <w:basedOn w:val="Normal"/>
    <w:uiPriority w:val="98"/>
    <w:semiHidden/>
    <w:rsid w:val="008E5445"/>
    <w:pPr>
      <w:ind w:left="1415" w:hanging="283"/>
      <w:contextualSpacing/>
    </w:pPr>
  </w:style>
  <w:style w:type="paragraph" w:styleId="ListBullet2">
    <w:name w:val="List Bullet 2"/>
    <w:basedOn w:val="Normal"/>
    <w:uiPriority w:val="98"/>
    <w:semiHidden/>
    <w:rsid w:val="008E5445"/>
    <w:pPr>
      <w:numPr>
        <w:numId w:val="9"/>
      </w:numPr>
      <w:contextualSpacing/>
    </w:pPr>
  </w:style>
  <w:style w:type="paragraph" w:styleId="ListBullet3">
    <w:name w:val="List Bullet 3"/>
    <w:basedOn w:val="Normal"/>
    <w:uiPriority w:val="98"/>
    <w:semiHidden/>
    <w:rsid w:val="008E5445"/>
    <w:pPr>
      <w:numPr>
        <w:numId w:val="10"/>
      </w:numPr>
      <w:contextualSpacing/>
    </w:pPr>
  </w:style>
  <w:style w:type="paragraph" w:styleId="ListBullet4">
    <w:name w:val="List Bullet 4"/>
    <w:basedOn w:val="Normal"/>
    <w:uiPriority w:val="98"/>
    <w:semiHidden/>
    <w:rsid w:val="008E5445"/>
    <w:pPr>
      <w:numPr>
        <w:numId w:val="11"/>
      </w:numPr>
      <w:contextualSpacing/>
    </w:pPr>
  </w:style>
  <w:style w:type="paragraph" w:styleId="ListBullet5">
    <w:name w:val="List Bullet 5"/>
    <w:basedOn w:val="Normal"/>
    <w:uiPriority w:val="98"/>
    <w:semiHidden/>
    <w:rsid w:val="008E5445"/>
    <w:pPr>
      <w:numPr>
        <w:numId w:val="12"/>
      </w:numPr>
      <w:contextualSpacing/>
    </w:pPr>
  </w:style>
  <w:style w:type="paragraph" w:styleId="ListContinue">
    <w:name w:val="List Continue"/>
    <w:basedOn w:val="Normal"/>
    <w:uiPriority w:val="98"/>
    <w:semiHidden/>
    <w:rsid w:val="008E5445"/>
    <w:pPr>
      <w:spacing w:after="120"/>
      <w:ind w:left="283"/>
      <w:contextualSpacing/>
    </w:pPr>
  </w:style>
  <w:style w:type="paragraph" w:styleId="ListContinue2">
    <w:name w:val="List Continue 2"/>
    <w:basedOn w:val="Normal"/>
    <w:uiPriority w:val="98"/>
    <w:semiHidden/>
    <w:rsid w:val="008E5445"/>
    <w:pPr>
      <w:spacing w:after="120"/>
      <w:ind w:left="566"/>
      <w:contextualSpacing/>
    </w:pPr>
  </w:style>
  <w:style w:type="paragraph" w:styleId="ListContinue3">
    <w:name w:val="List Continue 3"/>
    <w:basedOn w:val="Normal"/>
    <w:uiPriority w:val="98"/>
    <w:semiHidden/>
    <w:rsid w:val="008E5445"/>
    <w:pPr>
      <w:spacing w:after="120"/>
      <w:ind w:left="849"/>
      <w:contextualSpacing/>
    </w:pPr>
  </w:style>
  <w:style w:type="paragraph" w:styleId="ListContinue4">
    <w:name w:val="List Continue 4"/>
    <w:basedOn w:val="Normal"/>
    <w:uiPriority w:val="98"/>
    <w:semiHidden/>
    <w:rsid w:val="008E5445"/>
    <w:pPr>
      <w:spacing w:after="120"/>
      <w:ind w:left="1132"/>
      <w:contextualSpacing/>
    </w:pPr>
  </w:style>
  <w:style w:type="paragraph" w:styleId="ListContinue5">
    <w:name w:val="List Continue 5"/>
    <w:basedOn w:val="Normal"/>
    <w:uiPriority w:val="98"/>
    <w:semiHidden/>
    <w:rsid w:val="008E5445"/>
    <w:pPr>
      <w:spacing w:after="120"/>
      <w:ind w:left="1415"/>
      <w:contextualSpacing/>
    </w:pPr>
  </w:style>
  <w:style w:type="paragraph" w:styleId="ListNumber">
    <w:name w:val="List Number"/>
    <w:basedOn w:val="Normal"/>
    <w:uiPriority w:val="98"/>
    <w:semiHidden/>
    <w:rsid w:val="008E5445"/>
    <w:pPr>
      <w:numPr>
        <w:numId w:val="13"/>
      </w:numPr>
      <w:contextualSpacing/>
    </w:pPr>
  </w:style>
  <w:style w:type="paragraph" w:styleId="ListNumber2">
    <w:name w:val="List Number 2"/>
    <w:basedOn w:val="Normal"/>
    <w:uiPriority w:val="98"/>
    <w:semiHidden/>
    <w:rsid w:val="008E5445"/>
    <w:pPr>
      <w:numPr>
        <w:numId w:val="14"/>
      </w:numPr>
      <w:contextualSpacing/>
    </w:pPr>
  </w:style>
  <w:style w:type="paragraph" w:styleId="ListNumber3">
    <w:name w:val="List Number 3"/>
    <w:basedOn w:val="Normal"/>
    <w:uiPriority w:val="98"/>
    <w:semiHidden/>
    <w:rsid w:val="008E5445"/>
    <w:pPr>
      <w:numPr>
        <w:numId w:val="15"/>
      </w:numPr>
      <w:contextualSpacing/>
    </w:pPr>
  </w:style>
  <w:style w:type="paragraph" w:styleId="ListNumber4">
    <w:name w:val="List Number 4"/>
    <w:basedOn w:val="Normal"/>
    <w:uiPriority w:val="98"/>
    <w:semiHidden/>
    <w:rsid w:val="008E5445"/>
    <w:pPr>
      <w:numPr>
        <w:numId w:val="16"/>
      </w:numPr>
      <w:contextualSpacing/>
    </w:pPr>
  </w:style>
  <w:style w:type="paragraph" w:styleId="ListNumber5">
    <w:name w:val="List Number 5"/>
    <w:basedOn w:val="Normal"/>
    <w:uiPriority w:val="98"/>
    <w:semiHidden/>
    <w:rsid w:val="008E5445"/>
    <w:pPr>
      <w:numPr>
        <w:numId w:val="17"/>
      </w:numPr>
      <w:contextualSpacing/>
    </w:pPr>
  </w:style>
  <w:style w:type="paragraph" w:styleId="MacroText">
    <w:name w:val="macro"/>
    <w:link w:val="MacroTextChar"/>
    <w:uiPriority w:val="98"/>
    <w:semiHidden/>
    <w:rsid w:val="008E5445"/>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8E5445"/>
    <w:rPr>
      <w:rFonts w:ascii="Consolas" w:eastAsiaTheme="minorEastAsia" w:hAnsi="Consolas" w:cs="Consolas"/>
      <w:sz w:val="20"/>
      <w:szCs w:val="20"/>
    </w:rPr>
  </w:style>
  <w:style w:type="table" w:styleId="MediumGrid1">
    <w:name w:val="Medium Grid 1"/>
    <w:basedOn w:val="TableNormal"/>
    <w:uiPriority w:val="67"/>
    <w:semiHidden/>
    <w:rsid w:val="008E544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8E544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8E544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8E544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8E544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8E544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8E544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8E5445"/>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8E5445"/>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8E5445"/>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8E5445"/>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8E5445"/>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8E5445"/>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8E5445"/>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8E5445"/>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E5445"/>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8E5445"/>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E5445"/>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E5445"/>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E5445"/>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E5445"/>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E5445"/>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E5445"/>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E5445"/>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8E544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8E5445"/>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8E5445"/>
    <w:rPr>
      <w:rFonts w:ascii="Times New Roman" w:hAnsi="Times New Roman" w:cs="Times New Roman"/>
    </w:rPr>
  </w:style>
  <w:style w:type="paragraph" w:styleId="NormalIndent">
    <w:name w:val="Normal Indent"/>
    <w:basedOn w:val="Normal"/>
    <w:uiPriority w:val="98"/>
    <w:semiHidden/>
    <w:rsid w:val="008E5445"/>
    <w:pPr>
      <w:ind w:left="720"/>
    </w:pPr>
  </w:style>
  <w:style w:type="paragraph" w:styleId="NoteHeading">
    <w:name w:val="Note Heading"/>
    <w:basedOn w:val="Normal"/>
    <w:next w:val="Normal"/>
    <w:link w:val="NoteHeadingChar"/>
    <w:uiPriority w:val="98"/>
    <w:semiHidden/>
    <w:rsid w:val="008E5445"/>
  </w:style>
  <w:style w:type="character" w:customStyle="1" w:styleId="NoteHeadingChar">
    <w:name w:val="Note Heading Char"/>
    <w:basedOn w:val="DefaultParagraphFont"/>
    <w:link w:val="NoteHeading"/>
    <w:uiPriority w:val="98"/>
    <w:semiHidden/>
    <w:rsid w:val="008E5445"/>
    <w:rPr>
      <w:sz w:val="24"/>
      <w:szCs w:val="24"/>
      <w:lang w:val="ro-RO"/>
    </w:rPr>
  </w:style>
  <w:style w:type="character" w:styleId="PlaceholderText">
    <w:name w:val="Placeholder Text"/>
    <w:basedOn w:val="DefaultParagraphFont"/>
    <w:uiPriority w:val="98"/>
    <w:semiHidden/>
    <w:rsid w:val="008E5445"/>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8E5445"/>
    <w:rPr>
      <w:rFonts w:ascii="Consolas" w:hAnsi="Consolas" w:cs="Consolas"/>
      <w:sz w:val="21"/>
      <w:szCs w:val="21"/>
    </w:rPr>
  </w:style>
  <w:style w:type="character" w:customStyle="1" w:styleId="PlainTextChar">
    <w:name w:val="Plain Text Char"/>
    <w:basedOn w:val="DefaultParagraphFont"/>
    <w:link w:val="PlainText"/>
    <w:uiPriority w:val="98"/>
    <w:semiHidden/>
    <w:rsid w:val="008E5445"/>
    <w:rPr>
      <w:rFonts w:ascii="Consolas" w:hAnsi="Consolas" w:cs="Consolas"/>
      <w:sz w:val="21"/>
      <w:szCs w:val="21"/>
      <w:lang w:val="ro-RO"/>
    </w:rPr>
  </w:style>
  <w:style w:type="paragraph" w:styleId="Salutation">
    <w:name w:val="Salutation"/>
    <w:basedOn w:val="Normal"/>
    <w:next w:val="Normal"/>
    <w:link w:val="SalutationChar"/>
    <w:uiPriority w:val="98"/>
    <w:semiHidden/>
    <w:rsid w:val="008E5445"/>
  </w:style>
  <w:style w:type="character" w:customStyle="1" w:styleId="SalutationChar">
    <w:name w:val="Salutation Char"/>
    <w:basedOn w:val="DefaultParagraphFont"/>
    <w:link w:val="Salutation"/>
    <w:uiPriority w:val="98"/>
    <w:semiHidden/>
    <w:rsid w:val="008E5445"/>
    <w:rPr>
      <w:sz w:val="24"/>
      <w:szCs w:val="24"/>
      <w:lang w:val="ro-RO"/>
    </w:rPr>
  </w:style>
  <w:style w:type="paragraph" w:styleId="Signature">
    <w:name w:val="Signature"/>
    <w:basedOn w:val="Normal"/>
    <w:link w:val="SignatureChar"/>
    <w:uiPriority w:val="98"/>
    <w:semiHidden/>
    <w:rsid w:val="008E5445"/>
    <w:pPr>
      <w:ind w:left="4252"/>
    </w:pPr>
  </w:style>
  <w:style w:type="character" w:customStyle="1" w:styleId="SignatureChar">
    <w:name w:val="Signature Char"/>
    <w:basedOn w:val="DefaultParagraphFont"/>
    <w:link w:val="Signature"/>
    <w:uiPriority w:val="98"/>
    <w:semiHidden/>
    <w:rsid w:val="008E5445"/>
    <w:rPr>
      <w:sz w:val="24"/>
      <w:szCs w:val="24"/>
      <w:lang w:val="ro-RO"/>
    </w:rPr>
  </w:style>
  <w:style w:type="table" w:styleId="Table3Deffects1">
    <w:name w:val="Table 3D effects 1"/>
    <w:basedOn w:val="TableNormal"/>
    <w:uiPriority w:val="99"/>
    <w:semiHidden/>
    <w:unhideWhenUsed/>
    <w:rsid w:val="008E5445"/>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5445"/>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5445"/>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5445"/>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5445"/>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5445"/>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5445"/>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5445"/>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5445"/>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5445"/>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5445"/>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5445"/>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5445"/>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5445"/>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5445"/>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5445"/>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5445"/>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544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5445"/>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5445"/>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5445"/>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5445"/>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5445"/>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5445"/>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5445"/>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5445"/>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544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544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5445"/>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5445"/>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8E5445"/>
    <w:pPr>
      <w:ind w:left="240" w:hanging="240"/>
    </w:pPr>
  </w:style>
  <w:style w:type="paragraph" w:styleId="TableofFigures">
    <w:name w:val="table of figures"/>
    <w:basedOn w:val="Normal"/>
    <w:next w:val="Normal"/>
    <w:uiPriority w:val="98"/>
    <w:semiHidden/>
    <w:rsid w:val="008E5445"/>
  </w:style>
  <w:style w:type="table" w:styleId="TableProfessional">
    <w:name w:val="Table Professional"/>
    <w:basedOn w:val="TableNormal"/>
    <w:uiPriority w:val="99"/>
    <w:semiHidden/>
    <w:unhideWhenUsed/>
    <w:rsid w:val="008E5445"/>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5445"/>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5445"/>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5445"/>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5445"/>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5445"/>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5445"/>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5445"/>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5445"/>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5445"/>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8E5445"/>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8E5445"/>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8E5445"/>
    <w:pPr>
      <w:spacing w:after="100"/>
      <w:ind w:left="1680"/>
    </w:pPr>
  </w:style>
  <w:style w:type="paragraph" w:styleId="TOC9">
    <w:name w:val="toc 9"/>
    <w:basedOn w:val="Normal"/>
    <w:next w:val="Normal"/>
    <w:autoRedefine/>
    <w:uiPriority w:val="98"/>
    <w:semiHidden/>
    <w:rsid w:val="008E5445"/>
    <w:pPr>
      <w:spacing w:after="100"/>
      <w:ind w:left="1920"/>
    </w:pPr>
  </w:style>
  <w:style w:type="paragraph" w:customStyle="1" w:styleId="ECHRFooter">
    <w:name w:val="ECHR_Footer"/>
    <w:aliases w:val="Footer_ECHR"/>
    <w:basedOn w:val="Footer0"/>
    <w:uiPriority w:val="57"/>
    <w:semiHidden/>
    <w:rsid w:val="0045649E"/>
    <w:rPr>
      <w:sz w:val="8"/>
    </w:rPr>
  </w:style>
  <w:style w:type="paragraph" w:customStyle="1" w:styleId="ECHRFooterLine">
    <w:name w:val="ECHR_Footer_Line"/>
    <w:aliases w:val="_Footer_Line"/>
    <w:basedOn w:val="Normal"/>
    <w:next w:val="Normal"/>
    <w:uiPriority w:val="29"/>
    <w:semiHidden/>
    <w:rsid w:val="008E5445"/>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Normal"/>
    <w:next w:val="Normal"/>
    <w:uiPriority w:val="38"/>
    <w:qFormat/>
    <w:rsid w:val="008E5445"/>
    <w:pPr>
      <w:keepNext/>
      <w:keepLines/>
      <w:spacing w:after="280"/>
      <w:jc w:val="center"/>
    </w:pPr>
    <w:rPr>
      <w:rFonts w:asciiTheme="majorHAnsi" w:hAnsiTheme="majorHAnsi"/>
    </w:rPr>
  </w:style>
  <w:style w:type="character" w:customStyle="1" w:styleId="JuNames0">
    <w:name w:val="Ju_Names"/>
    <w:basedOn w:val="DefaultParagraphFont"/>
    <w:rsid w:val="00416DDD"/>
    <w:rPr>
      <w:rFonts w:ascii="Times New Roman" w:hAnsi="Times New Roman"/>
      <w:smallCaps/>
      <w:noProof w:val="0"/>
      <w:sz w:val="24"/>
      <w:vertAlign w:val="baseline"/>
      <w:lang w:val="ro-RO"/>
    </w:rPr>
  </w:style>
  <w:style w:type="paragraph" w:customStyle="1" w:styleId="ECHRBullet2">
    <w:name w:val="ECHR_Bullet_2"/>
    <w:aliases w:val="_Bul_2"/>
    <w:basedOn w:val="ECHRBullet1"/>
    <w:uiPriority w:val="23"/>
    <w:semiHidden/>
    <w:rsid w:val="008E5445"/>
    <w:pPr>
      <w:numPr>
        <w:ilvl w:val="1"/>
      </w:numPr>
    </w:pPr>
  </w:style>
  <w:style w:type="paragraph" w:customStyle="1" w:styleId="ECHRBullet3">
    <w:name w:val="ECHR_Bullet_3"/>
    <w:aliases w:val="_Bul_3"/>
    <w:basedOn w:val="ECHRBullet2"/>
    <w:uiPriority w:val="23"/>
    <w:semiHidden/>
    <w:rsid w:val="008E5445"/>
    <w:pPr>
      <w:numPr>
        <w:ilvl w:val="2"/>
      </w:numPr>
    </w:pPr>
  </w:style>
  <w:style w:type="paragraph" w:customStyle="1" w:styleId="ECHRBullet4">
    <w:name w:val="ECHR_Bullet_4"/>
    <w:aliases w:val="_Bul_4"/>
    <w:basedOn w:val="ECHRBullet3"/>
    <w:uiPriority w:val="23"/>
    <w:semiHidden/>
    <w:rsid w:val="008E5445"/>
    <w:pPr>
      <w:numPr>
        <w:ilvl w:val="3"/>
      </w:numPr>
    </w:pPr>
  </w:style>
  <w:style w:type="paragraph" w:customStyle="1" w:styleId="ECHRConfidential">
    <w:name w:val="ECHR_Confidential"/>
    <w:aliases w:val="_Confidential"/>
    <w:basedOn w:val="Normal"/>
    <w:next w:val="Normal"/>
    <w:uiPriority w:val="42"/>
    <w:semiHidden/>
    <w:qFormat/>
    <w:rsid w:val="008E5445"/>
    <w:pPr>
      <w:jc w:val="right"/>
    </w:pPr>
    <w:rPr>
      <w:color w:val="C00000"/>
      <w:sz w:val="20"/>
    </w:rPr>
  </w:style>
  <w:style w:type="paragraph" w:customStyle="1" w:styleId="ECHRDecisionBody">
    <w:name w:val="ECHR_Decision_Body"/>
    <w:aliases w:val="_Decision_Body"/>
    <w:basedOn w:val="NormalJustified"/>
    <w:uiPriority w:val="54"/>
    <w:semiHidden/>
    <w:rsid w:val="008E5445"/>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8E5445"/>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8E5445"/>
    <w:rPr>
      <w:rFonts w:ascii="Arial" w:hAnsi="Arial"/>
      <w:i/>
      <w:color w:val="002856"/>
      <w:sz w:val="32"/>
      <w:szCs w:val="24"/>
      <w:lang w:val="ro-RO"/>
    </w:rPr>
  </w:style>
  <w:style w:type="paragraph" w:customStyle="1" w:styleId="DummyStyle">
    <w:name w:val="Dummy_Style"/>
    <w:aliases w:val="_Dummy"/>
    <w:basedOn w:val="Normal"/>
    <w:semiHidden/>
    <w:qFormat/>
    <w:rsid w:val="008E5445"/>
    <w:rPr>
      <w:color w:val="00B050"/>
      <w:sz w:val="22"/>
    </w:rPr>
  </w:style>
  <w:style w:type="paragraph" w:customStyle="1" w:styleId="ECHRFooterLineLandscape">
    <w:name w:val="ECHR_Footer_Line_Landscape"/>
    <w:aliases w:val="_Footer_Line_Landscape"/>
    <w:basedOn w:val="Normal"/>
    <w:uiPriority w:val="29"/>
    <w:semiHidden/>
    <w:rsid w:val="008E5445"/>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Justified"/>
    <w:uiPriority w:val="8"/>
    <w:semiHidden/>
    <w:qFormat/>
    <w:rsid w:val="008E5445"/>
    <w:pPr>
      <w:ind w:left="567" w:hanging="567"/>
    </w:pPr>
  </w:style>
  <w:style w:type="paragraph" w:customStyle="1" w:styleId="ECHRHeading9">
    <w:name w:val="ECHR_Heading_9"/>
    <w:aliases w:val="_Head_9"/>
    <w:basedOn w:val="Heading9"/>
    <w:uiPriority w:val="17"/>
    <w:semiHidden/>
    <w:rsid w:val="008E5445"/>
    <w:pPr>
      <w:keepNext/>
      <w:keepLines/>
      <w:numPr>
        <w:ilvl w:val="8"/>
        <w:numId w:val="1"/>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semiHidden/>
    <w:rsid w:val="008E5445"/>
    <w:pPr>
      <w:tabs>
        <w:tab w:val="center" w:pos="6146"/>
        <w:tab w:val="right" w:pos="13778"/>
      </w:tabs>
      <w:ind w:left="-1474" w:right="-1474"/>
    </w:pPr>
  </w:style>
  <w:style w:type="paragraph" w:customStyle="1" w:styleId="ECHRParaIndent">
    <w:name w:val="ECHR_Para_Indent"/>
    <w:aliases w:val="_Indent"/>
    <w:basedOn w:val="NormalJustified"/>
    <w:uiPriority w:val="7"/>
    <w:semiHidden/>
    <w:qFormat/>
    <w:rsid w:val="008E5445"/>
    <w:pPr>
      <w:spacing w:before="120" w:after="120"/>
      <w:ind w:left="567"/>
    </w:pPr>
  </w:style>
  <w:style w:type="paragraph" w:customStyle="1" w:styleId="ECHRLine">
    <w:name w:val="ECHR_Line"/>
    <w:aliases w:val="_Line"/>
    <w:basedOn w:val="NormalJustified"/>
    <w:next w:val="Normal"/>
    <w:uiPriority w:val="46"/>
    <w:semiHidden/>
    <w:rsid w:val="008E5445"/>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8E5445"/>
    <w:pPr>
      <w:numPr>
        <w:numId w:val="0"/>
      </w:numPr>
      <w:ind w:left="284"/>
    </w:pPr>
  </w:style>
  <w:style w:type="paragraph" w:customStyle="1" w:styleId="ECHRNumberedList1">
    <w:name w:val="ECHR_Numbered_List_1"/>
    <w:aliases w:val="_Num_1"/>
    <w:basedOn w:val="NormalJustified"/>
    <w:uiPriority w:val="23"/>
    <w:semiHidden/>
    <w:qFormat/>
    <w:rsid w:val="008E5445"/>
    <w:pPr>
      <w:numPr>
        <w:numId w:val="7"/>
      </w:numPr>
      <w:spacing w:before="60" w:after="60"/>
    </w:pPr>
  </w:style>
  <w:style w:type="paragraph" w:customStyle="1" w:styleId="ECHRNumberedList2">
    <w:name w:val="ECHR_Numbered_List_2"/>
    <w:aliases w:val="_Num_2"/>
    <w:basedOn w:val="ECHRNumberedList1"/>
    <w:uiPriority w:val="23"/>
    <w:semiHidden/>
    <w:rsid w:val="008E5445"/>
    <w:pPr>
      <w:numPr>
        <w:ilvl w:val="1"/>
      </w:numPr>
    </w:pPr>
  </w:style>
  <w:style w:type="paragraph" w:customStyle="1" w:styleId="ECHRNumberedList3">
    <w:name w:val="ECHR_Numbered_List_3"/>
    <w:aliases w:val="_Num_3"/>
    <w:basedOn w:val="ECHRNumberedList2"/>
    <w:uiPriority w:val="23"/>
    <w:semiHidden/>
    <w:rsid w:val="008E5445"/>
    <w:pPr>
      <w:numPr>
        <w:ilvl w:val="2"/>
      </w:numPr>
    </w:pPr>
  </w:style>
  <w:style w:type="paragraph" w:customStyle="1" w:styleId="ECHRPlaceholder">
    <w:name w:val="ECHR_Placeholder"/>
    <w:aliases w:val="_Placeholder"/>
    <w:basedOn w:val="JuSigned"/>
    <w:uiPriority w:val="31"/>
    <w:rsid w:val="008E5445"/>
    <w:rPr>
      <w:color w:val="FFFFFF"/>
    </w:rPr>
  </w:style>
  <w:style w:type="character" w:customStyle="1" w:styleId="ECHRRed">
    <w:name w:val="ECHR_Red"/>
    <w:aliases w:val="_Red"/>
    <w:basedOn w:val="DefaultParagraphFont"/>
    <w:uiPriority w:val="15"/>
    <w:semiHidden/>
    <w:qFormat/>
    <w:rsid w:val="008E5445"/>
    <w:rPr>
      <w:color w:val="C00000" w:themeColor="accent2"/>
    </w:rPr>
  </w:style>
  <w:style w:type="paragraph" w:customStyle="1" w:styleId="ECHRHeaderDate">
    <w:name w:val="ECHR_Header_Date"/>
    <w:aliases w:val="_Ref_Date"/>
    <w:basedOn w:val="Normal"/>
    <w:uiPriority w:val="44"/>
    <w:semiHidden/>
    <w:qFormat/>
    <w:rsid w:val="008E5445"/>
    <w:pPr>
      <w:jc w:val="right"/>
    </w:pPr>
    <w:rPr>
      <w:sz w:val="20"/>
    </w:rPr>
  </w:style>
  <w:style w:type="paragraph" w:customStyle="1" w:styleId="ECHRHeaderRefIt">
    <w:name w:val="ECHR_Header_Ref_It"/>
    <w:aliases w:val="_Ref_Ital"/>
    <w:basedOn w:val="Normal"/>
    <w:next w:val="ECHRHeaderDate"/>
    <w:uiPriority w:val="43"/>
    <w:semiHidden/>
    <w:qFormat/>
    <w:rsid w:val="008E5445"/>
    <w:pPr>
      <w:jc w:val="right"/>
    </w:pPr>
    <w:rPr>
      <w:i/>
      <w:sz w:val="20"/>
    </w:rPr>
  </w:style>
  <w:style w:type="paragraph" w:customStyle="1" w:styleId="ECHRSpacer">
    <w:name w:val="ECHR_Spacer"/>
    <w:aliases w:val="_Spacer"/>
    <w:basedOn w:val="Normal"/>
    <w:uiPriority w:val="45"/>
    <w:semiHidden/>
    <w:rsid w:val="008E5445"/>
    <w:rPr>
      <w:sz w:val="4"/>
    </w:rPr>
  </w:style>
  <w:style w:type="paragraph" w:customStyle="1" w:styleId="ECHRTitleCentre1">
    <w:name w:val="ECHR_Title_Centre_1"/>
    <w:aliases w:val="_Title_C_1"/>
    <w:basedOn w:val="Normal"/>
    <w:next w:val="Normal"/>
    <w:uiPriority w:val="26"/>
    <w:semiHidden/>
    <w:qFormat/>
    <w:rsid w:val="008E5445"/>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8E5445"/>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8E5445"/>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8E5445"/>
    <w:pPr>
      <w:outlineLvl w:val="0"/>
    </w:pPr>
  </w:style>
  <w:style w:type="paragraph" w:customStyle="1" w:styleId="ECHRTitle1">
    <w:name w:val="ECHR_Title_1"/>
    <w:aliases w:val="_Title_L_1"/>
    <w:basedOn w:val="Normal"/>
    <w:next w:val="Normal"/>
    <w:uiPriority w:val="28"/>
    <w:semiHidden/>
    <w:qFormat/>
    <w:rsid w:val="008E5445"/>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8E5445"/>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8E5445"/>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8E5445"/>
    <w:pPr>
      <w:outlineLvl w:val="0"/>
    </w:pPr>
  </w:style>
  <w:style w:type="table" w:customStyle="1" w:styleId="ECHRTable2">
    <w:name w:val="ECHR_Table_2"/>
    <w:basedOn w:val="TableNormal"/>
    <w:uiPriority w:val="99"/>
    <w:rsid w:val="008E5445"/>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8E5445"/>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8E5445"/>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styleId="GridTable1Light">
    <w:name w:val="Grid Table 1 Light"/>
    <w:basedOn w:val="TableNormal"/>
    <w:uiPriority w:val="46"/>
    <w:semiHidden/>
    <w:rsid w:val="008E5445"/>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8E5445"/>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8E5445"/>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8E5445"/>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8E5445"/>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8E5445"/>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8E5445"/>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8E5445"/>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8E5445"/>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8E5445"/>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8E5445"/>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8E5445"/>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8E5445"/>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8E5445"/>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8E54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8E54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8E54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8E54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8E54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8E54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8E54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8E54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8E54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8E54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8E54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8E54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8E54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8E54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8E5445"/>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8E54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8E544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8E544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8E544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8E544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8E544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8E544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8E5445"/>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8E5445"/>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8E5445"/>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8E5445"/>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8E5445"/>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8E5445"/>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8E5445"/>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8E5445"/>
    <w:rPr>
      <w:color w:val="2B579A"/>
      <w:shd w:val="clear" w:color="auto" w:fill="E1DFDD"/>
    </w:rPr>
  </w:style>
  <w:style w:type="table" w:styleId="ListTable1Light">
    <w:name w:val="List Table 1 Light"/>
    <w:basedOn w:val="TableNormal"/>
    <w:uiPriority w:val="46"/>
    <w:semiHidden/>
    <w:rsid w:val="008E5445"/>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8E5445"/>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8E5445"/>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8E5445"/>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8E5445"/>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8E5445"/>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8E5445"/>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8E5445"/>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8E5445"/>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8E5445"/>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8E5445"/>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8E5445"/>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8E5445"/>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8E5445"/>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8E5445"/>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8E5445"/>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8E5445"/>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8E5445"/>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8E5445"/>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8E5445"/>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8E5445"/>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8E5445"/>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8E5445"/>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8E5445"/>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8E5445"/>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8E5445"/>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8E5445"/>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8E5445"/>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8E5445"/>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8E5445"/>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8E5445"/>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8E5445"/>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8E5445"/>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8E5445"/>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8E5445"/>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8E544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8E5445"/>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8E5445"/>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8E5445"/>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8E5445"/>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8E5445"/>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8E5445"/>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8E5445"/>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8E5445"/>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8E5445"/>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8E5445"/>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8E5445"/>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8E5445"/>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8E5445"/>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8E5445"/>
    <w:rPr>
      <w:color w:val="2B579A"/>
      <w:shd w:val="clear" w:color="auto" w:fill="E1DFDD"/>
    </w:rPr>
  </w:style>
  <w:style w:type="table" w:styleId="PlainTable1">
    <w:name w:val="Plain Table 1"/>
    <w:basedOn w:val="TableNormal"/>
    <w:uiPriority w:val="41"/>
    <w:semiHidden/>
    <w:rsid w:val="008E5445"/>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8E544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8E544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8E544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8E544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8E5445"/>
    <w:rPr>
      <w:u w:val="dotted"/>
    </w:rPr>
  </w:style>
  <w:style w:type="character" w:customStyle="1" w:styleId="SmartLink">
    <w:name w:val="Smart Link"/>
    <w:basedOn w:val="DefaultParagraphFont"/>
    <w:uiPriority w:val="99"/>
    <w:semiHidden/>
    <w:unhideWhenUsed/>
    <w:rsid w:val="008E5445"/>
    <w:rPr>
      <w:color w:val="0000FF"/>
      <w:u w:val="single"/>
      <w:shd w:val="clear" w:color="auto" w:fill="F3F2F1"/>
    </w:rPr>
  </w:style>
  <w:style w:type="table" w:styleId="TableGridLight">
    <w:name w:val="Grid Table Light"/>
    <w:basedOn w:val="TableNormal"/>
    <w:uiPriority w:val="40"/>
    <w:semiHidden/>
    <w:rsid w:val="008E5445"/>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character" w:customStyle="1" w:styleId="UnresolvedMention">
    <w:name w:val="Unresolved Mention"/>
    <w:basedOn w:val="DefaultParagraphFont"/>
    <w:uiPriority w:val="99"/>
    <w:semiHidden/>
    <w:unhideWhenUsed/>
    <w:rsid w:val="008E5445"/>
    <w:rPr>
      <w:color w:val="605E5C"/>
      <w:shd w:val="clear" w:color="auto" w:fill="E1DFDD"/>
    </w:rPr>
  </w:style>
  <w:style w:type="paragraph" w:styleId="Revision">
    <w:name w:val="Revision"/>
    <w:hidden/>
    <w:uiPriority w:val="99"/>
    <w:semiHidden/>
    <w:rsid w:val="00AB38BE"/>
    <w:rPr>
      <w:sz w:val="24"/>
      <w:szCs w:val="24"/>
    </w:rPr>
  </w:style>
  <w:style w:type="character" w:customStyle="1" w:styleId="ECHRParaChar">
    <w:name w:val="ECHR_Para Char"/>
    <w:aliases w:val="Ju_Para Char,_Para Char"/>
    <w:link w:val="JuPara"/>
    <w:uiPriority w:val="4"/>
    <w:rsid w:val="00722240"/>
    <w:rPr>
      <w:sz w:val="24"/>
      <w:szCs w:val="24"/>
      <w:lang w:val="ro-RO"/>
    </w:rPr>
  </w:style>
  <w:style w:type="character" w:customStyle="1" w:styleId="sbb9ee52a">
    <w:name w:val="sbb9ee52a"/>
    <w:basedOn w:val="DefaultParagraphFont"/>
    <w:rsid w:val="003B3B49"/>
  </w:style>
  <w:style w:type="character" w:customStyle="1" w:styleId="s83be5c30">
    <w:name w:val="s83be5c30"/>
    <w:basedOn w:val="DefaultParagraphFont"/>
    <w:rsid w:val="003B3B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ier.gov.ro/"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FR/TXT/?uri=CELEX%3A32006D09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T e m p l a t e   x m l n s : x s i = " h t t p : / / w w w . w 3 . o r g / 2 0 0 1 / X M L S c h e m a - i n s t a n c e "   x m l n s : x s d = " h t t p : / / w w w . w 3 . o r g / 2 0 0 1 / X M L S c h e m a "   x m l n s = " h t t p : / / e c h r . c o e . i n t / t e m p l a t e / m e t a d a t a " >  
     < C o d e > P 1 6 D F 0 1 < / C o d e >  
     < T i t l e > P 1 6 D F 0 1   A v i s   c o n s u l t a t i f   D e c i s i o n < / T i t l e >  
     < L a n g u a g e s >  
         < s t r i n g > F R E < / s t r i n g >  
     < / L a n g u a g e s >  
     < T h e m e > A D V _ O P I < / T h e m e >  
     < T y p e > C O M M O N _ D O C < / T y p e >  
     < C a t e g o r y > O T H E R < / C a t e g o r y >  
     < D e s c r i p t i o n > P 1 6 D E 0 1   A d v i s o r y   o p i n i o n .   ( D r a f t )   D e c i s i o n . < / D e s c r i p t i o n >  
     < I n s t r u c t i o n s > F o l l o w   u p   l i s t :   # 5 2 6 1 3 7 2 .   M a n u a l :   # 5 9 0 9 7 3 9 < / I n s t r u c t i o n s >  
     < W a r n i n g s / >  
     < I s L e g a l T e m p l a t e > f a l s e < / I s L e g a l T e m p l a t e >  
     < I n d e x D a t e   x s i : n i l = " t r u e " / >  
     < E d i t D a t e   x s i : n i l = " t r u e " / >  
     < T a g s >  
         < s t r i n g > p r o j e t < / s t r i n g >  
         < s t r i n g > d e c i s i o n < / s t r i n g >  
         < s t r i n g > a v i s < / s t r i n g >  
         < s t r i n g > c o n s u l t a t i f < / s t r i n g >  
     < / T a g s >  
     < C r i t e r i a G r o u p s / >  
 < / T e m p l a t 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A711AB-7B8E-47BA-A9A9-4A8993E64560}">
  <ds:schemaRefs>
    <ds:schemaRef ds:uri="http://www.w3.org/2001/XMLSchema"/>
    <ds:schemaRef ds:uri="http://echr.coe.int/template/metadata"/>
  </ds:schemaRefs>
</ds:datastoreItem>
</file>

<file path=customXml/itemProps2.xml><?xml version="1.0" encoding="utf-8"?>
<ds:datastoreItem xmlns:ds="http://schemas.openxmlformats.org/officeDocument/2006/customXml" ds:itemID="{83E92D29-AC5C-4DB9-B1E5-A15204E98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4500</Words>
  <Characters>25653</Characters>
  <Application>Microsoft Office Word</Application>
  <DocSecurity>0</DocSecurity>
  <Lines>213</Lines>
  <Paragraphs>60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ECHR</vt:lpstr>
      <vt:lpstr>P16-DF01 Avis consultatif Decision</vt:lpstr>
    </vt:vector>
  </TitlesOfParts>
  <Company/>
  <LinksUpToDate>false</LinksUpToDate>
  <CharactersWithSpaces>30093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cp:lastPrinted>2024-06-25T13:55:00Z</cp:lastPrinted>
  <dcterms:created xsi:type="dcterms:W3CDTF">2024-07-04T06:05:00Z</dcterms:created>
  <dcterms:modified xsi:type="dcterms:W3CDTF">2024-07-18T13:50:00Z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1036</vt:i4>
  </property>
</Properties>
</file>