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15C0BB" w14:textId="6C0EF86B" w:rsidR="005E2254" w:rsidRDefault="005E2254" w:rsidP="00DC0D10">
      <w:pPr>
        <w:pStyle w:val="DecHTitle"/>
      </w:pPr>
      <w:r>
        <w:t>CURTEA EUROPEANĂ A DREPTURILOR OMULUI</w:t>
      </w:r>
    </w:p>
    <w:p w14:paraId="2C0D5B6E" w14:textId="424DA091" w:rsidR="006544C4" w:rsidRPr="00DC0D10" w:rsidRDefault="008B56A0" w:rsidP="00DC0D10">
      <w:pPr>
        <w:pStyle w:val="DecHTitle"/>
        <w:rPr>
          <w:sz w:val="4"/>
          <w:szCs w:val="4"/>
        </w:rPr>
      </w:pPr>
      <w:r>
        <w:t>SECȚIA A PATRA</w:t>
      </w:r>
    </w:p>
    <w:p w14:paraId="17794435" w14:textId="77777777" w:rsidR="006544C4" w:rsidRPr="00DC0D10" w:rsidRDefault="006544C4" w:rsidP="00DC0D10">
      <w:pPr>
        <w:pStyle w:val="DecHTitle"/>
        <w:rPr>
          <w:caps/>
          <w:sz w:val="32"/>
        </w:rPr>
      </w:pPr>
      <w:r>
        <w:t>DECIZIE</w:t>
      </w:r>
    </w:p>
    <w:p w14:paraId="223A7667" w14:textId="77777777" w:rsidR="006544C4" w:rsidRPr="00DC0D10" w:rsidRDefault="008B56A0" w:rsidP="00DC0D10">
      <w:pPr>
        <w:pStyle w:val="DecHCase"/>
      </w:pPr>
      <w:r>
        <w:t>Cererea nr. 52693/12</w:t>
      </w:r>
      <w:r>
        <w:br/>
        <w:t>formulată de S.L.</w:t>
      </w:r>
      <w:r>
        <w:br/>
        <w:t>împotriva României</w:t>
      </w:r>
    </w:p>
    <w:p w14:paraId="37DD1C65" w14:textId="77777777" w:rsidR="008B56A0" w:rsidRPr="00DC0D10" w:rsidRDefault="008B56A0" w:rsidP="00DC0D10">
      <w:pPr>
        <w:pStyle w:val="JuPara"/>
      </w:pPr>
      <w:r>
        <w:t>Curtea Europeană a Drepturilor Omului (Secția a patra), reunită la 29 noiembrie 2022 într-o cameră compusă din:</w:t>
      </w:r>
    </w:p>
    <w:p w14:paraId="38971367" w14:textId="77777777" w:rsidR="008B56A0" w:rsidRPr="00DC0D10" w:rsidRDefault="00F61956" w:rsidP="00DC0D10">
      <w:pPr>
        <w:pStyle w:val="JuJudges"/>
      </w:pPr>
      <w:r>
        <w:tab/>
        <w:t xml:space="preserve">Gabriele </w:t>
      </w:r>
      <w:proofErr w:type="spellStart"/>
      <w:r>
        <w:t>Kucsko-Stadlmayer</w:t>
      </w:r>
      <w:proofErr w:type="spellEnd"/>
      <w:r>
        <w:rPr>
          <w:i/>
        </w:rPr>
        <w:t>, președinte</w:t>
      </w:r>
      <w:r>
        <w:t>,</w:t>
      </w:r>
      <w:r>
        <w:br/>
      </w:r>
      <w:r>
        <w:tab/>
        <w:t xml:space="preserve">Tim </w:t>
      </w:r>
      <w:proofErr w:type="spellStart"/>
      <w:r>
        <w:t>Eicke</w:t>
      </w:r>
      <w:proofErr w:type="spellEnd"/>
      <w:r>
        <w:t>,</w:t>
      </w:r>
      <w:r>
        <w:br/>
      </w:r>
      <w:r>
        <w:tab/>
      </w:r>
      <w:proofErr w:type="spellStart"/>
      <w:r>
        <w:t>Faris</w:t>
      </w:r>
      <w:proofErr w:type="spellEnd"/>
      <w:r>
        <w:t xml:space="preserve"> </w:t>
      </w:r>
      <w:proofErr w:type="spellStart"/>
      <w:r>
        <w:t>Vehabović</w:t>
      </w:r>
      <w:proofErr w:type="spellEnd"/>
      <w:r>
        <w:t>,</w:t>
      </w:r>
      <w:r>
        <w:br/>
      </w:r>
      <w:r>
        <w:tab/>
        <w:t xml:space="preserve">Iulia </w:t>
      </w:r>
      <w:proofErr w:type="spellStart"/>
      <w:r>
        <w:t>Antoanella</w:t>
      </w:r>
      <w:proofErr w:type="spellEnd"/>
      <w:r>
        <w:t xml:space="preserve"> Motoc,</w:t>
      </w:r>
      <w:r>
        <w:br/>
      </w:r>
      <w:r>
        <w:tab/>
      </w:r>
      <w:proofErr w:type="spellStart"/>
      <w:r>
        <w:t>Branko</w:t>
      </w:r>
      <w:proofErr w:type="spellEnd"/>
      <w:r>
        <w:t xml:space="preserve"> </w:t>
      </w:r>
      <w:proofErr w:type="spellStart"/>
      <w:r>
        <w:t>Lubarda</w:t>
      </w:r>
      <w:proofErr w:type="spellEnd"/>
      <w:r>
        <w:t>,</w:t>
      </w:r>
      <w:r>
        <w:br/>
      </w:r>
      <w:r>
        <w:tab/>
      </w:r>
      <w:proofErr w:type="spellStart"/>
      <w:r>
        <w:t>Anja</w:t>
      </w:r>
      <w:proofErr w:type="spellEnd"/>
      <w:r>
        <w:t xml:space="preserve"> </w:t>
      </w:r>
      <w:proofErr w:type="spellStart"/>
      <w:r>
        <w:t>Seibert-Fohr</w:t>
      </w:r>
      <w:proofErr w:type="spellEnd"/>
      <w:r>
        <w:t>,</w:t>
      </w:r>
      <w:r>
        <w:br/>
      </w:r>
      <w:r>
        <w:tab/>
        <w:t xml:space="preserve">Ana Maria </w:t>
      </w:r>
      <w:proofErr w:type="spellStart"/>
      <w:r>
        <w:t>Guerra</w:t>
      </w:r>
      <w:proofErr w:type="spellEnd"/>
      <w:r>
        <w:t xml:space="preserve"> </w:t>
      </w:r>
      <w:proofErr w:type="spellStart"/>
      <w:r>
        <w:t>Martins</w:t>
      </w:r>
      <w:proofErr w:type="spellEnd"/>
      <w:r>
        <w:rPr>
          <w:i/>
        </w:rPr>
        <w:t>, judecători</w:t>
      </w:r>
      <w:r>
        <w:t>,</w:t>
      </w:r>
    </w:p>
    <w:p w14:paraId="16D01F8D" w14:textId="77777777" w:rsidR="008B56A0" w:rsidRPr="00DC0D10" w:rsidRDefault="008B56A0" w:rsidP="00DC0D10">
      <w:pPr>
        <w:pStyle w:val="JuPara"/>
      </w:pPr>
      <w:proofErr w:type="spellStart"/>
      <w:r>
        <w:t>şi</w:t>
      </w:r>
      <w:proofErr w:type="spellEnd"/>
      <w:r>
        <w:t xml:space="preserve"> Ilse </w:t>
      </w:r>
      <w:proofErr w:type="spellStart"/>
      <w:r>
        <w:t>Freiwirth</w:t>
      </w:r>
      <w:proofErr w:type="spellEnd"/>
      <w:r>
        <w:t xml:space="preserve">, </w:t>
      </w:r>
      <w:r>
        <w:rPr>
          <w:i/>
          <w:iCs/>
        </w:rPr>
        <w:t>grefier adjunct de secție</w:t>
      </w:r>
      <w:r>
        <w:t>,</w:t>
      </w:r>
    </w:p>
    <w:p w14:paraId="4957227D" w14:textId="77777777" w:rsidR="008B56A0" w:rsidRPr="00DC0D10" w:rsidRDefault="008B56A0" w:rsidP="00DC0D10">
      <w:pPr>
        <w:pStyle w:val="JuPara"/>
      </w:pPr>
      <w:r>
        <w:t>având în vedere cererea menționată anterior, introdusă la 8 august 2012,</w:t>
      </w:r>
    </w:p>
    <w:p w14:paraId="2ED2ED14" w14:textId="77777777" w:rsidR="008B56A0" w:rsidRPr="00DC0D10" w:rsidRDefault="008B56A0" w:rsidP="00DC0D10">
      <w:pPr>
        <w:pStyle w:val="JuPara"/>
      </w:pPr>
      <w:r>
        <w:t>având în vedere observațiile formulate de guvernul pârât și cele prezentate ca răspuns de reclamant,</w:t>
      </w:r>
    </w:p>
    <w:p w14:paraId="6CDDDFAB" w14:textId="77777777" w:rsidR="008B56A0" w:rsidRPr="00DC0D10" w:rsidRDefault="008B56A0" w:rsidP="00DC0D10">
      <w:pPr>
        <w:pStyle w:val="JuPara"/>
      </w:pPr>
      <w:r>
        <w:t>după ce a deliberat în acest sens, pronunță următoarea decizie:</w:t>
      </w:r>
    </w:p>
    <w:p w14:paraId="16DAA74C" w14:textId="77777777" w:rsidR="008B56A0" w:rsidRPr="00DC0D10" w:rsidRDefault="008B56A0" w:rsidP="00DC0D10">
      <w:pPr>
        <w:pStyle w:val="JuHHead"/>
      </w:pPr>
      <w:r>
        <w:t>ÎN FAPT</w:t>
      </w:r>
    </w:p>
    <w:p w14:paraId="5D50D1F8" w14:textId="77777777" w:rsidR="008B56A0" w:rsidRPr="00DC0D10" w:rsidRDefault="0053564F" w:rsidP="00DC0D10">
      <w:pPr>
        <w:pStyle w:val="JuPara"/>
      </w:pPr>
      <w:fldSimple w:instr=" SEQ level0 \*arabic \* MERGEFORMAT ">
        <w:r w:rsidR="00DC0D10" w:rsidRPr="00DC0D10">
          <w:t>1</w:t>
        </w:r>
      </w:fldSimple>
      <w:r>
        <w:t xml:space="preserve">.  Reclamantul, domnul S.L., este resortisant tunisian născut în 1984 și locuiește în </w:t>
      </w:r>
      <w:proofErr w:type="spellStart"/>
      <w:r>
        <w:t>Ez-Zahra</w:t>
      </w:r>
      <w:proofErr w:type="spellEnd"/>
      <w:r>
        <w:t xml:space="preserve"> (Tunisia). A formulat o cerere de nedivulgare a identității sale, care a fost aprobată de președintele Secției (art. 47 § 4 din Regulament). A fost reprezentat în fața Curții de T. </w:t>
      </w:r>
      <w:proofErr w:type="spellStart"/>
      <w:r>
        <w:t>Yalçin</w:t>
      </w:r>
      <w:proofErr w:type="spellEnd"/>
      <w:r>
        <w:t>, avocat în Heidelberg, și de G.F. Tătaru, avocat în Cluj-Napoca.</w:t>
      </w:r>
    </w:p>
    <w:p w14:paraId="0093FC40" w14:textId="77777777" w:rsidR="008B56A0" w:rsidRPr="00DC0D10" w:rsidRDefault="008B56A0" w:rsidP="00DC0D10">
      <w:pPr>
        <w:pStyle w:val="JuPara"/>
      </w:pPr>
      <w:fldSimple w:instr=" SEQ level0 \*arabic ">
        <w:r w:rsidR="00DC0D10" w:rsidRPr="00DC0D10">
          <w:t>2</w:t>
        </w:r>
      </w:fldSimple>
      <w:r>
        <w:t xml:space="preserve">.  Guvernul român („Guvernul”) a fost reprezentat de agenții guvernamentali, cel mai recent de doamna O.F. </w:t>
      </w:r>
      <w:proofErr w:type="spellStart"/>
      <w:r>
        <w:t>Ezer</w:t>
      </w:r>
      <w:proofErr w:type="spellEnd"/>
      <w:r>
        <w:t>, din cadrul Ministerului Afacerilor Externe.</w:t>
      </w:r>
    </w:p>
    <w:p w14:paraId="4840DEF8" w14:textId="77777777" w:rsidR="008B56A0" w:rsidRPr="00DC0D10" w:rsidRDefault="008B56A0" w:rsidP="00DC0D10">
      <w:pPr>
        <w:pStyle w:val="JuHA"/>
      </w:pPr>
      <w:r>
        <w:lastRenderedPageBreak/>
        <w:t>Circumstanțele cauzei</w:t>
      </w:r>
    </w:p>
    <w:p w14:paraId="7BB6A104" w14:textId="77777777" w:rsidR="008B56A0" w:rsidRPr="00DC0D10" w:rsidRDefault="008B56A0" w:rsidP="00DC0D10">
      <w:pPr>
        <w:pStyle w:val="JuPara"/>
      </w:pPr>
      <w:fldSimple w:instr=" SEQ level0 \*arabic ">
        <w:r w:rsidR="00DC0D10" w:rsidRPr="00DC0D10">
          <w:t>3</w:t>
        </w:r>
      </w:fldSimple>
      <w:r>
        <w:t>.  Faptele cauzei, astfel cum au fost expuse de către părți, pot fi rezumate după cum urmează.</w:t>
      </w:r>
    </w:p>
    <w:p w14:paraId="284C025A" w14:textId="77777777" w:rsidR="008B56A0" w:rsidRPr="00DC0D10" w:rsidRDefault="008B56A0" w:rsidP="00DC0D10">
      <w:pPr>
        <w:pStyle w:val="JuPara"/>
        <w:rPr>
          <w:rFonts w:ascii="Times New Roman" w:eastAsia="Times New Roman" w:hAnsi="Times New Roman" w:cs="Times New Roman"/>
          <w:szCs w:val="20"/>
        </w:rPr>
      </w:pPr>
      <w:r w:rsidRPr="00DC0D10">
        <w:rPr>
          <w:rFonts w:ascii="Times New Roman" w:eastAsia="Times New Roman" w:hAnsi="Times New Roman" w:cs="Times New Roman"/>
        </w:rPr>
        <w:fldChar w:fldCharType="begin"/>
      </w:r>
      <w:r w:rsidRPr="00DC0D10">
        <w:rPr>
          <w:rFonts w:ascii="Times New Roman" w:eastAsia="Times New Roman" w:hAnsi="Times New Roman" w:cs="Times New Roman"/>
        </w:rPr>
        <w:instrText xml:space="preserve"> SEQ level0 \*arabic </w:instrText>
      </w:r>
      <w:r w:rsidRPr="00DC0D10">
        <w:rPr>
          <w:rFonts w:ascii="Times New Roman" w:eastAsia="Times New Roman" w:hAnsi="Times New Roman" w:cs="Times New Roman"/>
        </w:rPr>
        <w:fldChar w:fldCharType="separate"/>
      </w:r>
      <w:bookmarkStart w:id="0" w:name="paragraph00004"/>
      <w:r w:rsidR="00DC0D10" w:rsidRPr="00DC0D10">
        <w:rPr>
          <w:rFonts w:ascii="Times New Roman" w:eastAsia="Times New Roman" w:hAnsi="Times New Roman" w:cs="Times New Roman"/>
        </w:rPr>
        <w:t>4</w:t>
      </w:r>
      <w:bookmarkEnd w:id="0"/>
      <w:r w:rsidRPr="00DC0D10">
        <w:rPr>
          <w:rFonts w:ascii="Times New Roman" w:eastAsia="Times New Roman" w:hAnsi="Times New Roman" w:cs="Times New Roman"/>
        </w:rPr>
        <w:fldChar w:fldCharType="end"/>
      </w:r>
      <w:r>
        <w:rPr>
          <w:rFonts w:ascii="Times New Roman" w:hAnsi="Times New Roman"/>
        </w:rPr>
        <w:t>.  În 2003, reclamantul s-a stabilit în România. A învățat limba română și, din 2003 până în 2009, a studiat medicina la Universitatea din Cluj-Napoca. În 2010, a trecut cu succes examenul de licență și a început studiile de specializare la Facultatea de medicină din Cluj</w:t>
      </w:r>
      <w:r>
        <w:rPr>
          <w:rFonts w:ascii="Times New Roman" w:hAnsi="Times New Roman"/>
        </w:rPr>
        <w:noBreakHyphen/>
        <w:t>Napoca.</w:t>
      </w:r>
    </w:p>
    <w:p w14:paraId="0702FFC1" w14:textId="77777777" w:rsidR="008B56A0" w:rsidRPr="00DC0D10" w:rsidRDefault="008B56A0" w:rsidP="00DC0D10">
      <w:pPr>
        <w:pStyle w:val="JuPara"/>
        <w:rPr>
          <w:rFonts w:ascii="Times New Roman" w:eastAsia="Times New Roman" w:hAnsi="Times New Roman" w:cs="Times New Roman"/>
          <w:szCs w:val="20"/>
        </w:rPr>
      </w:pPr>
      <w:r w:rsidRPr="00DC0D10">
        <w:rPr>
          <w:rFonts w:ascii="Times New Roman" w:eastAsia="Times New Roman" w:hAnsi="Times New Roman" w:cs="Times New Roman"/>
        </w:rPr>
        <w:fldChar w:fldCharType="begin"/>
      </w:r>
      <w:r w:rsidRPr="00DC0D10">
        <w:rPr>
          <w:rFonts w:ascii="Times New Roman" w:eastAsia="Times New Roman" w:hAnsi="Times New Roman" w:cs="Times New Roman"/>
        </w:rPr>
        <w:instrText xml:space="preserve"> SEQ level0 \*arabic </w:instrText>
      </w:r>
      <w:r w:rsidRPr="00DC0D10">
        <w:rPr>
          <w:rFonts w:ascii="Times New Roman" w:eastAsia="Times New Roman" w:hAnsi="Times New Roman" w:cs="Times New Roman"/>
        </w:rPr>
        <w:fldChar w:fldCharType="separate"/>
      </w:r>
      <w:bookmarkStart w:id="1" w:name="paragraph00005"/>
      <w:r w:rsidR="00DC0D10" w:rsidRPr="00DC0D10">
        <w:rPr>
          <w:rFonts w:ascii="Times New Roman" w:eastAsia="Times New Roman" w:hAnsi="Times New Roman" w:cs="Times New Roman"/>
        </w:rPr>
        <w:t>5</w:t>
      </w:r>
      <w:bookmarkEnd w:id="1"/>
      <w:r w:rsidRPr="00DC0D10">
        <w:rPr>
          <w:rFonts w:ascii="Times New Roman" w:eastAsia="Times New Roman" w:hAnsi="Times New Roman" w:cs="Times New Roman"/>
        </w:rPr>
        <w:fldChar w:fldCharType="end"/>
      </w:r>
      <w:r>
        <w:rPr>
          <w:rFonts w:ascii="Times New Roman" w:hAnsi="Times New Roman"/>
        </w:rPr>
        <w:t xml:space="preserve">.  La 7 iulie 2010, s-a căsătorit cu o </w:t>
      </w:r>
      <w:proofErr w:type="spellStart"/>
      <w:r>
        <w:rPr>
          <w:rFonts w:ascii="Times New Roman" w:hAnsi="Times New Roman"/>
        </w:rPr>
        <w:t>resortisantă</w:t>
      </w:r>
      <w:proofErr w:type="spellEnd"/>
      <w:r>
        <w:rPr>
          <w:rFonts w:ascii="Times New Roman" w:hAnsi="Times New Roman"/>
        </w:rPr>
        <w:t xml:space="preserve"> română care se convertise la Islam. În urma căsătoriei, a obținut în calitatea sa de membru de familie al unui cetățean al Uniunii Europene un permis de ședere, valabil între 29 septembrie 2010 și 29 septembrie 2015.</w:t>
      </w:r>
    </w:p>
    <w:p w14:paraId="191A466A" w14:textId="2AFDA4AE" w:rsidR="008B56A0" w:rsidRPr="00DC0D10" w:rsidRDefault="008B56A0" w:rsidP="00DC0D10">
      <w:pPr>
        <w:pStyle w:val="JuPara"/>
        <w:rPr>
          <w:rFonts w:ascii="Times New Roman" w:hAnsi="Times New Roman"/>
        </w:rPr>
      </w:pPr>
      <w:r w:rsidRPr="00DC0D10">
        <w:rPr>
          <w:rFonts w:ascii="Times New Roman" w:eastAsia="Times New Roman" w:hAnsi="Times New Roman" w:cs="Times New Roman"/>
        </w:rPr>
        <w:fldChar w:fldCharType="begin"/>
      </w:r>
      <w:r w:rsidRPr="00DC0D10">
        <w:rPr>
          <w:rFonts w:ascii="Times New Roman" w:eastAsia="Times New Roman" w:hAnsi="Times New Roman" w:cs="Times New Roman"/>
        </w:rPr>
        <w:instrText xml:space="preserve"> SEQ level0 \*arabic </w:instrText>
      </w:r>
      <w:r w:rsidRPr="00DC0D10">
        <w:rPr>
          <w:rFonts w:ascii="Times New Roman" w:eastAsia="Times New Roman" w:hAnsi="Times New Roman" w:cs="Times New Roman"/>
        </w:rPr>
        <w:fldChar w:fldCharType="separate"/>
      </w:r>
      <w:bookmarkStart w:id="2" w:name="paragraph00006"/>
      <w:r w:rsidR="00DC0D10" w:rsidRPr="00DC0D10">
        <w:rPr>
          <w:rFonts w:ascii="Times New Roman" w:eastAsia="Times New Roman" w:hAnsi="Times New Roman" w:cs="Times New Roman"/>
        </w:rPr>
        <w:t>6</w:t>
      </w:r>
      <w:bookmarkEnd w:id="2"/>
      <w:r w:rsidRPr="00DC0D10">
        <w:rPr>
          <w:rFonts w:ascii="Times New Roman" w:eastAsia="Times New Roman" w:hAnsi="Times New Roman" w:cs="Times New Roman"/>
        </w:rPr>
        <w:fldChar w:fldCharType="end"/>
      </w:r>
      <w:r>
        <w:rPr>
          <w:rFonts w:ascii="Times New Roman" w:hAnsi="Times New Roman"/>
        </w:rPr>
        <w:t xml:space="preserve">.  La 14 august 2011, în timp ce se întorcea împreună cu soția sa dintr-o călătorie în Tunisia, unde fuseseră în vizită la familia sa, reclamantului nu i s-a permis intrarea în România de către poliție la frontiera română. </w:t>
      </w:r>
      <w:r>
        <w:t>Procesul</w:t>
      </w:r>
      <w:r w:rsidR="00994159">
        <w:noBreakHyphen/>
      </w:r>
      <w:r>
        <w:t>verbal</w:t>
      </w:r>
      <w:r>
        <w:rPr>
          <w:rFonts w:ascii="Times New Roman" w:hAnsi="Times New Roman"/>
        </w:rPr>
        <w:t xml:space="preserve"> standard întocmit cu această ocazie în limbile română și engleză arată că, venind de la Roma (Italia), reclamantului nu i s-a permis intrarea în România în baza Ordonanței de urgență a Guvernului nr. 194/2002 privind regimul străinilor în România („OUG nr. 194/2002“ </w:t>
      </w:r>
      <w:r>
        <w:t>–</w:t>
      </w:r>
      <w:r>
        <w:rPr>
          <w:rFonts w:ascii="Times New Roman" w:hAnsi="Times New Roman"/>
        </w:rPr>
        <w:t xml:space="preserve"> infra, pct. </w:t>
      </w:r>
      <w:r w:rsidRPr="00DC0D10">
        <w:rPr>
          <w:rFonts w:ascii="Times New Roman" w:eastAsia="Times New Roman" w:hAnsi="Times New Roman" w:cs="Times New Roman"/>
        </w:rPr>
        <w:fldChar w:fldCharType="begin"/>
      </w:r>
      <w:r w:rsidRPr="00DC0D10">
        <w:rPr>
          <w:rFonts w:ascii="Times New Roman" w:eastAsia="Times New Roman" w:hAnsi="Times New Roman" w:cs="Times New Roman"/>
        </w:rPr>
        <w:instrText xml:space="preserve"> REF paragraph00026 \h  \* CharFormat </w:instrText>
      </w:r>
      <w:r w:rsidRPr="00DC0D10">
        <w:rPr>
          <w:rFonts w:ascii="Times New Roman" w:eastAsia="Times New Roman" w:hAnsi="Times New Roman" w:cs="Times New Roman"/>
        </w:rPr>
      </w:r>
      <w:r w:rsidRPr="00DC0D10">
        <w:rPr>
          <w:rFonts w:ascii="Times New Roman" w:eastAsia="Times New Roman" w:hAnsi="Times New Roman" w:cs="Times New Roman"/>
        </w:rPr>
        <w:fldChar w:fldCharType="separate"/>
      </w:r>
      <w:r w:rsidR="00DC0D10" w:rsidRPr="00DC0D10">
        <w:rPr>
          <w:rFonts w:ascii="Times New Roman" w:eastAsia="Times New Roman" w:hAnsi="Times New Roman" w:cs="Times New Roman"/>
        </w:rPr>
        <w:t>27</w:t>
      </w:r>
      <w:r w:rsidRPr="00DC0D10">
        <w:rPr>
          <w:rFonts w:ascii="Times New Roman" w:eastAsia="Times New Roman" w:hAnsi="Times New Roman" w:cs="Times New Roman"/>
        </w:rPr>
        <w:fldChar w:fldCharType="end"/>
      </w:r>
      <w:r>
        <w:rPr>
          <w:rFonts w:ascii="Times New Roman" w:hAnsi="Times New Roman"/>
        </w:rPr>
        <w:t>), pe motiv că numele său fusese înscris în registrul național în vederea nepermiterii intrării pe teritoriu. Documentul nu conține nicio precizare cu privire la motivele de fapt ale acestei înscrieri, nici în ceea ce privește durata măsurii. Nu indică nici articolul din OUG nr. 194/2002 pe care se întemeia măsura luată împotriva reclamantului.</w:t>
      </w:r>
    </w:p>
    <w:p w14:paraId="200C05EF" w14:textId="77777777" w:rsidR="008B56A0" w:rsidRPr="00DC0D10" w:rsidRDefault="008B56A0" w:rsidP="00DC0D10">
      <w:pPr>
        <w:pStyle w:val="JuPara"/>
        <w:rPr>
          <w:rFonts w:eastAsia="Times New Roman"/>
        </w:rPr>
      </w:pPr>
      <w:r w:rsidRPr="00DC0D10">
        <w:rPr>
          <w:rFonts w:eastAsia="Times New Roman"/>
        </w:rPr>
        <w:fldChar w:fldCharType="begin"/>
      </w:r>
      <w:r w:rsidRPr="00DC0D10">
        <w:rPr>
          <w:rFonts w:eastAsia="Times New Roman"/>
        </w:rPr>
        <w:instrText xml:space="preserve"> SEQ level0 \*arabic </w:instrText>
      </w:r>
      <w:r w:rsidRPr="00DC0D10">
        <w:rPr>
          <w:rFonts w:eastAsia="Times New Roman"/>
        </w:rPr>
        <w:fldChar w:fldCharType="separate"/>
      </w:r>
      <w:bookmarkStart w:id="3" w:name="paragraph00007"/>
      <w:r w:rsidR="00DC0D10" w:rsidRPr="00DC0D10">
        <w:rPr>
          <w:rFonts w:eastAsia="Times New Roman"/>
        </w:rPr>
        <w:t>7</w:t>
      </w:r>
      <w:bookmarkEnd w:id="3"/>
      <w:r w:rsidRPr="00DC0D10">
        <w:rPr>
          <w:rFonts w:eastAsia="Times New Roman"/>
        </w:rPr>
        <w:fldChar w:fldCharType="end"/>
      </w:r>
      <w:r>
        <w:t>.  În procesul-verbal se arată de asemenea că reclamantul dispunea de un termen de treizeci de zile pentru a contesta decizia în condițiile legii contenciosului administrativ în fața Curții de Apel București („Curtea de Apel“) în temeiul Legii nr. 554/2004 a contenciosului administrativ.</w:t>
      </w:r>
    </w:p>
    <w:p w14:paraId="084C68DC" w14:textId="7E4620F7" w:rsidR="008B56A0" w:rsidRPr="00DC0D10" w:rsidRDefault="008B56A0" w:rsidP="00DC0D10">
      <w:pPr>
        <w:pStyle w:val="JuPara"/>
        <w:rPr>
          <w:rFonts w:eastAsia="Times New Roman"/>
        </w:rPr>
      </w:pPr>
      <w:r w:rsidRPr="00DC0D10">
        <w:rPr>
          <w:rFonts w:eastAsia="Times New Roman"/>
        </w:rPr>
        <w:fldChar w:fldCharType="begin"/>
      </w:r>
      <w:r w:rsidRPr="00DC0D10">
        <w:rPr>
          <w:rFonts w:eastAsia="Times New Roman"/>
        </w:rPr>
        <w:instrText xml:space="preserve"> SEQ level0 \*arabic </w:instrText>
      </w:r>
      <w:r w:rsidRPr="00DC0D10">
        <w:rPr>
          <w:rFonts w:eastAsia="Times New Roman"/>
        </w:rPr>
        <w:fldChar w:fldCharType="separate"/>
      </w:r>
      <w:bookmarkStart w:id="4" w:name="paragraph00008"/>
      <w:r w:rsidR="00DC0D10" w:rsidRPr="00DC0D10">
        <w:rPr>
          <w:rFonts w:eastAsia="Times New Roman"/>
        </w:rPr>
        <w:t>8</w:t>
      </w:r>
      <w:bookmarkEnd w:id="4"/>
      <w:r w:rsidRPr="00DC0D10">
        <w:rPr>
          <w:rFonts w:eastAsia="Times New Roman"/>
        </w:rPr>
        <w:fldChar w:fldCharType="end"/>
      </w:r>
      <w:r>
        <w:t>.  La 15 august 2011, prin intermediul soției sale, a împuternicit un avocat care profesa în România pentru a-l reprezenta în fața instanțelor române. Avocatul nu era titular</w:t>
      </w:r>
      <w:r w:rsidR="00DB7D62">
        <w:t xml:space="preserve"> a</w:t>
      </w:r>
      <w:r>
        <w:t xml:space="preserve">l unui certificat eliberat de Oficiul Registrului Național al Informațiilor Secrete de Stat („ORNISS“ – infra, pct. </w:t>
      </w:r>
      <w:r w:rsidRPr="00DC0D10">
        <w:fldChar w:fldCharType="begin"/>
      </w:r>
      <w:r w:rsidRPr="00DC0D10">
        <w:instrText xml:space="preserve"> REF paragraph00028 \h  \* CharFormat </w:instrText>
      </w:r>
      <w:r w:rsidRPr="00DC0D10">
        <w:fldChar w:fldCharType="separate"/>
      </w:r>
      <w:r w:rsidR="00DC0D10" w:rsidRPr="00DC0D10">
        <w:t>29</w:t>
      </w:r>
      <w:r w:rsidRPr="00DC0D10">
        <w:fldChar w:fldCharType="end"/>
      </w:r>
      <w:r>
        <w:t>), necesar pentru a avea acces la documentele clasificate.</w:t>
      </w:r>
    </w:p>
    <w:p w14:paraId="765F7AE3" w14:textId="77777777" w:rsidR="008B56A0" w:rsidRPr="00DC0D10" w:rsidRDefault="008B56A0" w:rsidP="00DC0D10">
      <w:pPr>
        <w:pStyle w:val="JuPara"/>
        <w:rPr>
          <w:rFonts w:eastAsia="Times New Roman"/>
        </w:rPr>
      </w:pPr>
      <w:r w:rsidRPr="00DC0D10">
        <w:rPr>
          <w:rFonts w:eastAsia="Times New Roman"/>
        </w:rPr>
        <w:fldChar w:fldCharType="begin"/>
      </w:r>
      <w:r w:rsidRPr="00DC0D10">
        <w:rPr>
          <w:rFonts w:eastAsia="Times New Roman"/>
        </w:rPr>
        <w:instrText xml:space="preserve"> SEQ level0 \*arabic </w:instrText>
      </w:r>
      <w:r w:rsidRPr="00DC0D10">
        <w:rPr>
          <w:rFonts w:eastAsia="Times New Roman"/>
        </w:rPr>
        <w:fldChar w:fldCharType="separate"/>
      </w:r>
      <w:bookmarkStart w:id="5" w:name="paragraph00009"/>
      <w:r w:rsidR="00DC0D10" w:rsidRPr="00DC0D10">
        <w:rPr>
          <w:rFonts w:eastAsia="Times New Roman"/>
        </w:rPr>
        <w:t>9</w:t>
      </w:r>
      <w:bookmarkEnd w:id="5"/>
      <w:r w:rsidRPr="00DC0D10">
        <w:rPr>
          <w:rFonts w:eastAsia="Times New Roman"/>
        </w:rPr>
        <w:fldChar w:fldCharType="end"/>
      </w:r>
      <w:r>
        <w:t xml:space="preserve">.  La 18 august 2011, reclamantul, reprezentat de avocatul său, a sesizat Curtea de Apel cu o acțiune în contencios administrativ împotriva Inspectoratului General al Poliției de Frontieră („IGPF“) pentru a obține anularea deciziei de nepermitere a intrării în România și eliminarea numelui său de pe lista persoanelor vizate de măsura interzicerii intrării pe teritoriu (supra, pct. </w:t>
      </w:r>
      <w:r w:rsidRPr="00DC0D10">
        <w:rPr>
          <w:rFonts w:eastAsia="Times New Roman"/>
        </w:rPr>
        <w:fldChar w:fldCharType="begin"/>
      </w:r>
      <w:r w:rsidRPr="00DC0D10">
        <w:rPr>
          <w:rFonts w:eastAsia="Times New Roman"/>
        </w:rPr>
        <w:instrText xml:space="preserve"> REF paragraph00007 \h  \* CharFormat </w:instrText>
      </w:r>
      <w:r w:rsidRPr="00DC0D10">
        <w:rPr>
          <w:rFonts w:eastAsia="Times New Roman"/>
        </w:rPr>
      </w:r>
      <w:r w:rsidRPr="00DC0D10">
        <w:rPr>
          <w:rFonts w:eastAsia="Times New Roman"/>
        </w:rPr>
        <w:fldChar w:fldCharType="separate"/>
      </w:r>
      <w:r w:rsidR="00DC0D10" w:rsidRPr="00DC0D10">
        <w:rPr>
          <w:rFonts w:eastAsia="Times New Roman"/>
        </w:rPr>
        <w:t>7</w:t>
      </w:r>
      <w:r w:rsidRPr="00DC0D10">
        <w:rPr>
          <w:rFonts w:eastAsia="Times New Roman"/>
        </w:rPr>
        <w:fldChar w:fldCharType="end"/>
      </w:r>
      <w:r>
        <w:t>).</w:t>
      </w:r>
    </w:p>
    <w:p w14:paraId="47FA54CB" w14:textId="278C9F30" w:rsidR="008B56A0" w:rsidRPr="00DC0D10" w:rsidRDefault="008B56A0" w:rsidP="00DC0D10">
      <w:pPr>
        <w:pStyle w:val="JuPara"/>
        <w:rPr>
          <w:rFonts w:eastAsia="Times New Roman"/>
        </w:rPr>
      </w:pPr>
      <w:r w:rsidRPr="00DC0D10">
        <w:rPr>
          <w:rFonts w:eastAsia="Times New Roman"/>
        </w:rPr>
        <w:fldChar w:fldCharType="begin"/>
      </w:r>
      <w:r w:rsidRPr="00DC0D10">
        <w:rPr>
          <w:rFonts w:eastAsia="Times New Roman"/>
        </w:rPr>
        <w:instrText xml:space="preserve"> SEQ level0 \*arabic </w:instrText>
      </w:r>
      <w:r w:rsidRPr="00DC0D10">
        <w:rPr>
          <w:rFonts w:eastAsia="Times New Roman"/>
        </w:rPr>
        <w:fldChar w:fldCharType="separate"/>
      </w:r>
      <w:r w:rsidR="00DC0D10" w:rsidRPr="00DC0D10">
        <w:rPr>
          <w:rFonts w:eastAsia="Times New Roman"/>
        </w:rPr>
        <w:t>10</w:t>
      </w:r>
      <w:r w:rsidRPr="00DC0D10">
        <w:rPr>
          <w:rFonts w:eastAsia="Times New Roman"/>
        </w:rPr>
        <w:fldChar w:fldCharType="end"/>
      </w:r>
      <w:r>
        <w:t>.  În cadrul acțiunii sale, a susținut că măsura de nepermitere a intrării care îl viza era nelegală. A argumentat că decizia era insuficient motivată în raport cu art. 8 alin. (4) din OUG nr. 194/2002 (</w:t>
      </w:r>
      <w:r w:rsidR="00DB7D62">
        <w:t>infra</w:t>
      </w:r>
      <w:r>
        <w:t>, pct.</w:t>
      </w:r>
      <w:r>
        <w:rPr>
          <w:rFonts w:ascii="Times New Roman" w:hAnsi="Times New Roman"/>
        </w:rPr>
        <w:t> </w:t>
      </w:r>
      <w:r w:rsidRPr="00DC0D10">
        <w:rPr>
          <w:rFonts w:ascii="Times New Roman" w:eastAsia="Times New Roman" w:hAnsi="Times New Roman" w:cs="Times New Roman"/>
        </w:rPr>
        <w:fldChar w:fldCharType="begin"/>
      </w:r>
      <w:r w:rsidRPr="00DC0D10">
        <w:rPr>
          <w:rFonts w:ascii="Times New Roman" w:eastAsia="Times New Roman" w:hAnsi="Times New Roman" w:cs="Times New Roman"/>
        </w:rPr>
        <w:instrText xml:space="preserve"> REF paragraph00026 \h  \* CharFormat </w:instrText>
      </w:r>
      <w:r w:rsidRPr="00DC0D10">
        <w:rPr>
          <w:rFonts w:ascii="Times New Roman" w:eastAsia="Times New Roman" w:hAnsi="Times New Roman" w:cs="Times New Roman"/>
        </w:rPr>
      </w:r>
      <w:r w:rsidRPr="00DC0D10">
        <w:rPr>
          <w:rFonts w:ascii="Times New Roman" w:eastAsia="Times New Roman" w:hAnsi="Times New Roman" w:cs="Times New Roman"/>
        </w:rPr>
        <w:fldChar w:fldCharType="separate"/>
      </w:r>
      <w:r w:rsidR="00DC0D10" w:rsidRPr="00DC0D10">
        <w:rPr>
          <w:rFonts w:ascii="Times New Roman" w:eastAsia="Times New Roman" w:hAnsi="Times New Roman" w:cs="Times New Roman"/>
        </w:rPr>
        <w:t>27</w:t>
      </w:r>
      <w:r w:rsidRPr="00DC0D10">
        <w:rPr>
          <w:rFonts w:ascii="Times New Roman" w:eastAsia="Times New Roman" w:hAnsi="Times New Roman" w:cs="Times New Roman"/>
        </w:rPr>
        <w:fldChar w:fldCharType="end"/>
      </w:r>
      <w:r>
        <w:rPr>
          <w:rFonts w:ascii="Times New Roman" w:hAnsi="Times New Roman"/>
        </w:rPr>
        <w:t>)</w:t>
      </w:r>
      <w:r>
        <w:t xml:space="preserve"> și că nu preciza durata interdicției de intrare pe teritoriu. A</w:t>
      </w:r>
      <w:r w:rsidR="00DB7D62">
        <w:t xml:space="preserve"> a</w:t>
      </w:r>
      <w:r>
        <w:t>dăuga</w:t>
      </w:r>
      <w:r w:rsidR="00DB7D62">
        <w:t>t</w:t>
      </w:r>
      <w:r>
        <w:t xml:space="preserve"> că viața sa profesională și de familie era în România, </w:t>
      </w:r>
      <w:r w:rsidR="00DB7D62">
        <w:t xml:space="preserve">țară </w:t>
      </w:r>
      <w:r>
        <w:t xml:space="preserve">în care locuia de aproximativ opt ani, și că nu </w:t>
      </w:r>
      <w:r>
        <w:lastRenderedPageBreak/>
        <w:t xml:space="preserve">fusese niciodată urmărit penal. </w:t>
      </w:r>
      <w:r w:rsidR="00DB7D62">
        <w:t>A s</w:t>
      </w:r>
      <w:r>
        <w:t>olicita</w:t>
      </w:r>
      <w:r w:rsidR="00DB7D62">
        <w:t>t</w:t>
      </w:r>
      <w:r>
        <w:t xml:space="preserve"> Curții de Apel să dispună ca pârâtul să depună la dosar documentele pe care își întemeiase măsura contestată ca să poată lua cunoștință de acest</w:t>
      </w:r>
      <w:r w:rsidR="00DB7D62">
        <w:t>e</w:t>
      </w:r>
      <w:r>
        <w:t>a și să-și pregătească apărarea.</w:t>
      </w:r>
    </w:p>
    <w:p w14:paraId="6993D32C" w14:textId="73065EB7" w:rsidR="008B56A0" w:rsidRPr="00DC0D10" w:rsidRDefault="008B56A0" w:rsidP="00DC0D10">
      <w:pPr>
        <w:pStyle w:val="JuPara"/>
        <w:rPr>
          <w:rFonts w:eastAsia="Times New Roman"/>
        </w:rPr>
      </w:pPr>
      <w:r w:rsidRPr="00DC0D10">
        <w:rPr>
          <w:rFonts w:eastAsia="Times New Roman"/>
        </w:rPr>
        <w:fldChar w:fldCharType="begin"/>
      </w:r>
      <w:r w:rsidRPr="00DC0D10">
        <w:rPr>
          <w:rFonts w:eastAsia="Times New Roman"/>
        </w:rPr>
        <w:instrText xml:space="preserve"> SEQ level0 \*arabic \* MERGEFORMAT </w:instrText>
      </w:r>
      <w:r w:rsidRPr="00DC0D10">
        <w:rPr>
          <w:rFonts w:eastAsia="Times New Roman"/>
        </w:rPr>
        <w:fldChar w:fldCharType="separate"/>
      </w:r>
      <w:bookmarkStart w:id="6" w:name="paragraph00012"/>
      <w:r w:rsidR="00DC0D10" w:rsidRPr="00DC0D10">
        <w:rPr>
          <w:rFonts w:eastAsia="Times New Roman"/>
        </w:rPr>
        <w:t>11</w:t>
      </w:r>
      <w:bookmarkEnd w:id="6"/>
      <w:r w:rsidRPr="00DC0D10">
        <w:rPr>
          <w:rFonts w:eastAsia="Times New Roman"/>
        </w:rPr>
        <w:fldChar w:fldCharType="end"/>
      </w:r>
      <w:r>
        <w:t>.  La o dată neprecizată, Curtea de Apel l-a informat pe reclamant că făcea obiectul unei măsuri de interzicere a intrării în România („interdicție de intrare pe teritoriu”) pentru o durată de 15 ani, emisă la cererea Serviciului Român de Informații („SRI</w:t>
      </w:r>
      <w:r w:rsidR="00F3521B">
        <w:t>”</w:t>
      </w:r>
      <w:r>
        <w:t xml:space="preserve">) și întemeiată pe art. 105 și art. 106 din OUG nr. 194/2002 (infra, pct. </w:t>
      </w:r>
      <w:r w:rsidRPr="00DC0D10">
        <w:rPr>
          <w:rFonts w:ascii="Times New Roman" w:eastAsia="Times New Roman" w:hAnsi="Times New Roman" w:cs="Times New Roman"/>
        </w:rPr>
        <w:fldChar w:fldCharType="begin"/>
      </w:r>
      <w:r w:rsidRPr="00DC0D10">
        <w:rPr>
          <w:rFonts w:ascii="Times New Roman" w:eastAsia="Times New Roman" w:hAnsi="Times New Roman" w:cs="Times New Roman"/>
        </w:rPr>
        <w:instrText xml:space="preserve"> REF paragraph00026 \h  \* CharFormat </w:instrText>
      </w:r>
      <w:r w:rsidRPr="00DC0D10">
        <w:rPr>
          <w:rFonts w:ascii="Times New Roman" w:eastAsia="Times New Roman" w:hAnsi="Times New Roman" w:cs="Times New Roman"/>
        </w:rPr>
      </w:r>
      <w:r w:rsidRPr="00DC0D10">
        <w:rPr>
          <w:rFonts w:ascii="Times New Roman" w:eastAsia="Times New Roman" w:hAnsi="Times New Roman" w:cs="Times New Roman"/>
        </w:rPr>
        <w:fldChar w:fldCharType="separate"/>
      </w:r>
      <w:r w:rsidR="00DC0D10" w:rsidRPr="00DC0D10">
        <w:rPr>
          <w:rFonts w:ascii="Times New Roman" w:eastAsia="Times New Roman" w:hAnsi="Times New Roman" w:cs="Times New Roman"/>
        </w:rPr>
        <w:t>27</w:t>
      </w:r>
      <w:r w:rsidRPr="00DC0D10">
        <w:rPr>
          <w:rFonts w:ascii="Times New Roman" w:eastAsia="Times New Roman" w:hAnsi="Times New Roman" w:cs="Times New Roman"/>
        </w:rPr>
        <w:fldChar w:fldCharType="end"/>
      </w:r>
      <w:r>
        <w:rPr>
          <w:rFonts w:ascii="Times New Roman" w:hAnsi="Times New Roman"/>
        </w:rPr>
        <w:t>)</w:t>
      </w:r>
      <w:r>
        <w:t>. Aceasta nu i-a pus la dispoziție niciun document.</w:t>
      </w:r>
    </w:p>
    <w:bookmarkStart w:id="7" w:name="P12"/>
    <w:p w14:paraId="6719409C" w14:textId="77777777" w:rsidR="008B56A0" w:rsidRPr="00DC0D10" w:rsidRDefault="008B56A0" w:rsidP="00DC0D10">
      <w:pPr>
        <w:pStyle w:val="JuPara"/>
        <w:rPr>
          <w:rFonts w:eastAsia="Times New Roman"/>
        </w:rPr>
      </w:pPr>
      <w:r w:rsidRPr="00DC0D10">
        <w:rPr>
          <w:rFonts w:eastAsia="Times New Roman"/>
        </w:rPr>
        <w:fldChar w:fldCharType="begin"/>
      </w:r>
      <w:r w:rsidRPr="00DC0D10">
        <w:rPr>
          <w:rFonts w:eastAsia="Times New Roman"/>
        </w:rPr>
        <w:instrText xml:space="preserve"> SEQ level0 \*arabic \* MERGEFORMAT </w:instrText>
      </w:r>
      <w:r w:rsidRPr="00DC0D10">
        <w:rPr>
          <w:rFonts w:eastAsia="Times New Roman"/>
        </w:rPr>
        <w:fldChar w:fldCharType="separate"/>
      </w:r>
      <w:r w:rsidR="00DC0D10" w:rsidRPr="00DC0D10">
        <w:rPr>
          <w:rFonts w:eastAsia="Times New Roman"/>
        </w:rPr>
        <w:t>12</w:t>
      </w:r>
      <w:r w:rsidRPr="00DC0D10">
        <w:rPr>
          <w:rFonts w:eastAsia="Times New Roman"/>
        </w:rPr>
        <w:fldChar w:fldCharType="end"/>
      </w:r>
      <w:bookmarkEnd w:id="7"/>
      <w:r>
        <w:t>.  La 15 noiembrie 2011, la cererea avocatului reclamantului, cauza a fost amânată din motive medicale.</w:t>
      </w:r>
    </w:p>
    <w:bookmarkStart w:id="8" w:name="P13"/>
    <w:p w14:paraId="4ED083A7" w14:textId="77777777" w:rsidR="008B56A0" w:rsidRPr="00DC0D10" w:rsidRDefault="008B56A0" w:rsidP="00DC0D10">
      <w:pPr>
        <w:pStyle w:val="JuPara"/>
        <w:rPr>
          <w:rFonts w:eastAsia="Times New Roman"/>
        </w:rPr>
      </w:pPr>
      <w:r w:rsidRPr="00DC0D10">
        <w:rPr>
          <w:rFonts w:eastAsia="Times New Roman"/>
        </w:rPr>
        <w:fldChar w:fldCharType="begin"/>
      </w:r>
      <w:r w:rsidRPr="00DC0D10">
        <w:rPr>
          <w:rFonts w:eastAsia="Times New Roman"/>
        </w:rPr>
        <w:instrText xml:space="preserve"> SEQ level0 \*arabic </w:instrText>
      </w:r>
      <w:r w:rsidRPr="00DC0D10">
        <w:rPr>
          <w:rFonts w:eastAsia="Times New Roman"/>
        </w:rPr>
        <w:fldChar w:fldCharType="separate"/>
      </w:r>
      <w:r w:rsidR="00DC0D10" w:rsidRPr="00DC0D10">
        <w:rPr>
          <w:rFonts w:eastAsia="Times New Roman"/>
        </w:rPr>
        <w:t>13</w:t>
      </w:r>
      <w:r w:rsidRPr="00DC0D10">
        <w:rPr>
          <w:rFonts w:eastAsia="Times New Roman"/>
        </w:rPr>
        <w:fldChar w:fldCharType="end"/>
      </w:r>
      <w:bookmarkEnd w:id="8"/>
      <w:r>
        <w:t>.  La 15 decembrie 2011, Curtea de Apel a solicitat ca SRI să-i comunice dosarul strict secret cuprinzând documentele care justificaseră măsura interzicerii intrării pe teritoriu luată împotriva reclamantului și înscrierea numelui său în Registrul național. SRI a comunicat Curții de Apel înscrisuri clasificate.</w:t>
      </w:r>
    </w:p>
    <w:p w14:paraId="3057757C" w14:textId="78DF8D53" w:rsidR="008B56A0" w:rsidRPr="00DC0D10" w:rsidRDefault="008B56A0" w:rsidP="00DC0D10">
      <w:pPr>
        <w:pStyle w:val="JuPara"/>
        <w:rPr>
          <w:rFonts w:eastAsia="Times New Roman"/>
        </w:rPr>
      </w:pPr>
      <w:r w:rsidRPr="00DC0D10">
        <w:rPr>
          <w:rFonts w:eastAsia="Times New Roman"/>
        </w:rPr>
        <w:fldChar w:fldCharType="begin"/>
      </w:r>
      <w:r w:rsidRPr="00DC0D10">
        <w:rPr>
          <w:rFonts w:eastAsia="Times New Roman"/>
        </w:rPr>
        <w:instrText xml:space="preserve"> SEQ level0 \*arabic </w:instrText>
      </w:r>
      <w:r w:rsidRPr="00DC0D10">
        <w:rPr>
          <w:rFonts w:eastAsia="Times New Roman"/>
        </w:rPr>
        <w:fldChar w:fldCharType="separate"/>
      </w:r>
      <w:bookmarkStart w:id="9" w:name="paragraph00013"/>
      <w:r w:rsidR="00DC0D10" w:rsidRPr="00DC0D10">
        <w:rPr>
          <w:rFonts w:eastAsia="Times New Roman"/>
        </w:rPr>
        <w:t>14</w:t>
      </w:r>
      <w:bookmarkEnd w:id="9"/>
      <w:r w:rsidRPr="00DC0D10">
        <w:rPr>
          <w:rFonts w:eastAsia="Times New Roman"/>
        </w:rPr>
        <w:fldChar w:fldCharType="end"/>
      </w:r>
      <w:r>
        <w:t>.  La 24 ianuarie 2012, având în vedere confidențialitatea documentelor furnizate de SRI, completul de judecată s-a desesizat de cauză în favoarea unui alt complet, ai cărui judecători beneficiau de un certificat eliberat de ORNISS („certificat ORNISS</w:t>
      </w:r>
      <w:r w:rsidR="00AE5520">
        <w:t>”</w:t>
      </w:r>
      <w:r>
        <w:t>), care îi abilita să aibă acces la documentele clasificate. Cauza a fost amânată pentru ca judecătorii noului complet de judecată să poată examina documentele primite.</w:t>
      </w:r>
    </w:p>
    <w:p w14:paraId="2642EB64" w14:textId="77777777" w:rsidR="008B56A0" w:rsidRPr="00DC0D10" w:rsidRDefault="008B56A0" w:rsidP="00DC0D10">
      <w:pPr>
        <w:pStyle w:val="JuPara"/>
        <w:rPr>
          <w:rFonts w:eastAsia="Times New Roman"/>
        </w:rPr>
      </w:pPr>
      <w:r w:rsidRPr="00DC0D10">
        <w:rPr>
          <w:rFonts w:eastAsia="Times New Roman"/>
        </w:rPr>
        <w:fldChar w:fldCharType="begin"/>
      </w:r>
      <w:r w:rsidRPr="00DC0D10">
        <w:rPr>
          <w:rFonts w:eastAsia="Times New Roman"/>
        </w:rPr>
        <w:instrText xml:space="preserve"> SEQ level0 \*arabic </w:instrText>
      </w:r>
      <w:r w:rsidRPr="00DC0D10">
        <w:rPr>
          <w:rFonts w:eastAsia="Times New Roman"/>
        </w:rPr>
        <w:fldChar w:fldCharType="separate"/>
      </w:r>
      <w:bookmarkStart w:id="10" w:name="paragraph00016"/>
      <w:r w:rsidR="00DC0D10" w:rsidRPr="00DC0D10">
        <w:rPr>
          <w:rFonts w:eastAsia="Times New Roman"/>
        </w:rPr>
        <w:t>15</w:t>
      </w:r>
      <w:bookmarkEnd w:id="10"/>
      <w:r w:rsidRPr="00DC0D10">
        <w:rPr>
          <w:rFonts w:eastAsia="Times New Roman"/>
        </w:rPr>
        <w:fldChar w:fldCharType="end"/>
      </w:r>
      <w:r>
        <w:t xml:space="preserve">.  Dezbaterile au avut loc la 21 februarie 2012. Avocatul reclamantului nu a solicitat amânarea cauzei pentru a putea obține și el un certificat ORNISS (infra, pct. </w:t>
      </w:r>
      <w:r w:rsidRPr="00DC0D10">
        <w:rPr>
          <w:rFonts w:eastAsia="Times New Roman"/>
        </w:rPr>
        <w:fldChar w:fldCharType="begin"/>
      </w:r>
      <w:r w:rsidRPr="00DC0D10">
        <w:rPr>
          <w:rFonts w:eastAsia="Times New Roman"/>
        </w:rPr>
        <w:instrText xml:space="preserve"> REF paragraph00029 \h  \* CharFormat </w:instrText>
      </w:r>
      <w:r w:rsidRPr="00DC0D10">
        <w:rPr>
          <w:rFonts w:eastAsia="Times New Roman"/>
        </w:rPr>
      </w:r>
      <w:r w:rsidRPr="00DC0D10">
        <w:rPr>
          <w:rFonts w:eastAsia="Times New Roman"/>
        </w:rPr>
        <w:fldChar w:fldCharType="separate"/>
      </w:r>
      <w:r w:rsidR="00DC0D10" w:rsidRPr="00DC0D10">
        <w:rPr>
          <w:rFonts w:eastAsia="Times New Roman"/>
        </w:rPr>
        <w:t>30</w:t>
      </w:r>
      <w:r w:rsidRPr="00DC0D10">
        <w:rPr>
          <w:rFonts w:eastAsia="Times New Roman"/>
        </w:rPr>
        <w:fldChar w:fldCharType="end"/>
      </w:r>
      <w:r>
        <w:t>).</w:t>
      </w:r>
    </w:p>
    <w:bookmarkStart w:id="11" w:name="motifapel"/>
    <w:p w14:paraId="704D30E5" w14:textId="77777777" w:rsidR="008B56A0" w:rsidRPr="00DC0D10" w:rsidRDefault="008B56A0" w:rsidP="00DC0D10">
      <w:pPr>
        <w:pStyle w:val="JuPara"/>
        <w:rPr>
          <w:rFonts w:eastAsia="Times New Roman"/>
        </w:rPr>
      </w:pPr>
      <w:r w:rsidRPr="00DC0D10">
        <w:rPr>
          <w:rFonts w:eastAsia="Times New Roman"/>
        </w:rPr>
        <w:fldChar w:fldCharType="begin"/>
      </w:r>
      <w:r w:rsidRPr="00DC0D10">
        <w:rPr>
          <w:rFonts w:eastAsia="Times New Roman"/>
        </w:rPr>
        <w:instrText xml:space="preserve"> SEQ level0 \*arabic \* MERGEFORMAT </w:instrText>
      </w:r>
      <w:r w:rsidRPr="00DC0D10">
        <w:rPr>
          <w:rFonts w:eastAsia="Times New Roman"/>
        </w:rPr>
        <w:fldChar w:fldCharType="separate"/>
      </w:r>
      <w:r w:rsidR="00DC0D10" w:rsidRPr="00DC0D10">
        <w:rPr>
          <w:rFonts w:eastAsia="Times New Roman"/>
        </w:rPr>
        <w:t>16</w:t>
      </w:r>
      <w:r w:rsidRPr="00DC0D10">
        <w:rPr>
          <w:rFonts w:eastAsia="Times New Roman"/>
        </w:rPr>
        <w:fldChar w:fldCharType="end"/>
      </w:r>
      <w:bookmarkEnd w:id="11"/>
      <w:r>
        <w:t xml:space="preserve">.  Avocatul reclamantului a susținut că pârâtul nu apreciase oportunitatea măsurii luate împotriva clientului său și că nu făcuse decât să execute o notă emisă de SRI. A susținut că decizia de nepermitere a intrării în România nu era motivată nici în fapt, nici în drept, că făcea referire în mod general la OUG nr. 194/2002 (infra, pct. </w:t>
      </w:r>
      <w:r w:rsidRPr="00DC0D10">
        <w:rPr>
          <w:rFonts w:eastAsia="Times New Roman"/>
        </w:rPr>
        <w:fldChar w:fldCharType="begin"/>
      </w:r>
      <w:r w:rsidRPr="00DC0D10">
        <w:rPr>
          <w:rFonts w:eastAsia="Times New Roman"/>
        </w:rPr>
        <w:instrText xml:space="preserve"> REF paragraph00026 \h  \* CharFormat </w:instrText>
      </w:r>
      <w:r w:rsidRPr="00DC0D10">
        <w:rPr>
          <w:rFonts w:eastAsia="Times New Roman"/>
        </w:rPr>
      </w:r>
      <w:r w:rsidRPr="00DC0D10">
        <w:rPr>
          <w:rFonts w:eastAsia="Times New Roman"/>
        </w:rPr>
        <w:fldChar w:fldCharType="separate"/>
      </w:r>
      <w:r w:rsidR="00DC0D10" w:rsidRPr="00DC0D10">
        <w:rPr>
          <w:rFonts w:eastAsia="Times New Roman"/>
        </w:rPr>
        <w:t>27</w:t>
      </w:r>
      <w:r w:rsidRPr="00DC0D10">
        <w:rPr>
          <w:rFonts w:eastAsia="Times New Roman"/>
        </w:rPr>
        <w:fldChar w:fldCharType="end"/>
      </w:r>
      <w:r>
        <w:t xml:space="preserve">) fără a preciza articolele pe care se întemeia măsura, și că nu menționa perioada în care clientul său nu putea intra în România. Acesta a adăugat că abia în timpul procedurii desfășurate în fața Curții de Apel reclamantul fusese informat că măsura interzicerii intrării pe teritoriu fusese luată pentru o durată de 15 ani în temeiul art. 105 și art. 106 din OUG nr. 194/2002 (supra, pct. </w:t>
      </w:r>
      <w:r w:rsidRPr="00DC0D10">
        <w:fldChar w:fldCharType="begin"/>
      </w:r>
      <w:r w:rsidRPr="00DC0D10">
        <w:instrText xml:space="preserve"> REF paragraph00012 \h  \* CharFormat </w:instrText>
      </w:r>
      <w:r w:rsidRPr="00DC0D10">
        <w:fldChar w:fldCharType="separate"/>
      </w:r>
      <w:r w:rsidR="00DC0D10" w:rsidRPr="00DC0D10">
        <w:t>11</w:t>
      </w:r>
      <w:r w:rsidRPr="00DC0D10">
        <w:fldChar w:fldCharType="end"/>
      </w:r>
      <w:r>
        <w:t xml:space="preserve">), și a subliniat că aceste articole reglementau o măsură diferită de cea prevăzută la art. 8 lit. b) din aceeași ordonanță. Avocatul reclamantului a susținut că din dosar nu reieșea că o măsură a interzicerii intrării pe teritoriu ar fi fost luată împotriva clientului său. A adăugat că acesta considera că nu beneficiase de garanții suficiente împotriva arbitrarului și că actul nu prezenta garanții de legalitate. Menționa art. 8 din Convenție și preciza că clientul său nu încălcase niciodată legea română, era căsătorit cu o </w:t>
      </w:r>
      <w:proofErr w:type="spellStart"/>
      <w:r>
        <w:t>resortisantă</w:t>
      </w:r>
      <w:proofErr w:type="spellEnd"/>
      <w:r>
        <w:t xml:space="preserve"> română și își desfășura viața profesională în România.</w:t>
      </w:r>
    </w:p>
    <w:bookmarkStart w:id="12" w:name="P17"/>
    <w:p w14:paraId="5C59ABAA" w14:textId="77777777" w:rsidR="008B56A0" w:rsidRPr="00DC0D10" w:rsidRDefault="008B56A0" w:rsidP="00DC0D10">
      <w:pPr>
        <w:pStyle w:val="JuPara"/>
        <w:rPr>
          <w:rFonts w:eastAsia="Times New Roman"/>
        </w:rPr>
      </w:pPr>
      <w:r w:rsidRPr="00DC0D10">
        <w:rPr>
          <w:rFonts w:eastAsia="Times New Roman"/>
        </w:rPr>
        <w:fldChar w:fldCharType="begin"/>
      </w:r>
      <w:r w:rsidRPr="00DC0D10">
        <w:rPr>
          <w:rFonts w:eastAsia="Times New Roman"/>
        </w:rPr>
        <w:instrText xml:space="preserve"> SEQ level0 \*arabic </w:instrText>
      </w:r>
      <w:r w:rsidRPr="00DC0D10">
        <w:rPr>
          <w:rFonts w:eastAsia="Times New Roman"/>
        </w:rPr>
        <w:fldChar w:fldCharType="separate"/>
      </w:r>
      <w:r w:rsidR="00DC0D10" w:rsidRPr="00DC0D10">
        <w:rPr>
          <w:rFonts w:eastAsia="Times New Roman"/>
        </w:rPr>
        <w:t>17</w:t>
      </w:r>
      <w:r w:rsidRPr="00DC0D10">
        <w:rPr>
          <w:rFonts w:eastAsia="Times New Roman"/>
        </w:rPr>
        <w:fldChar w:fldCharType="end"/>
      </w:r>
      <w:bookmarkEnd w:id="12"/>
      <w:r>
        <w:t>.  Curtea de Apel a amânat cauza pentru a permite părților să depună la dosar concluzii scrise.</w:t>
      </w:r>
    </w:p>
    <w:p w14:paraId="771B76F1" w14:textId="7142C589" w:rsidR="008B56A0" w:rsidRPr="00DC0D10" w:rsidRDefault="008B56A0" w:rsidP="00DC0D10">
      <w:pPr>
        <w:pStyle w:val="JuPara"/>
        <w:rPr>
          <w:rFonts w:eastAsia="Times New Roman"/>
        </w:rPr>
      </w:pPr>
      <w:r w:rsidRPr="00DC0D10">
        <w:rPr>
          <w:rFonts w:eastAsia="Times New Roman"/>
        </w:rPr>
        <w:lastRenderedPageBreak/>
        <w:fldChar w:fldCharType="begin"/>
      </w:r>
      <w:r w:rsidRPr="00DC0D10">
        <w:rPr>
          <w:rFonts w:eastAsia="Times New Roman"/>
        </w:rPr>
        <w:instrText xml:space="preserve"> SEQ level0 \*arabic </w:instrText>
      </w:r>
      <w:r w:rsidRPr="00DC0D10">
        <w:rPr>
          <w:rFonts w:eastAsia="Times New Roman"/>
        </w:rPr>
        <w:fldChar w:fldCharType="separate"/>
      </w:r>
      <w:bookmarkStart w:id="13" w:name="paragraph00017"/>
      <w:r w:rsidR="00DC0D10" w:rsidRPr="00DC0D10">
        <w:rPr>
          <w:rFonts w:eastAsia="Times New Roman"/>
        </w:rPr>
        <w:t>18</w:t>
      </w:r>
      <w:bookmarkEnd w:id="13"/>
      <w:r w:rsidRPr="00DC0D10">
        <w:rPr>
          <w:rFonts w:eastAsia="Times New Roman"/>
        </w:rPr>
        <w:fldChar w:fldCharType="end"/>
      </w:r>
      <w:r>
        <w:t>.  Prin decizia definitivă din 28 februarie 2012, Cur</w:t>
      </w:r>
      <w:r w:rsidR="0048496D">
        <w:t xml:space="preserve">tea de Apel a respins acțiunea </w:t>
      </w:r>
      <w:r>
        <w:t xml:space="preserve">reclamantului. După ce a reamintit că examinase documentele depuse la dosar, inclusiv „cele care fuseseră clasificate” (supra, pct. </w:t>
      </w:r>
      <w:r w:rsidRPr="00DC0D10">
        <w:rPr>
          <w:rFonts w:eastAsia="Times New Roman"/>
        </w:rPr>
        <w:fldChar w:fldCharType="begin"/>
      </w:r>
      <w:r w:rsidRPr="00DC0D10">
        <w:rPr>
          <w:rFonts w:eastAsia="Times New Roman"/>
        </w:rPr>
        <w:instrText xml:space="preserve"> REF paragraph00013 \h  \* CharFormat </w:instrText>
      </w:r>
      <w:r w:rsidRPr="00DC0D10">
        <w:rPr>
          <w:rFonts w:eastAsia="Times New Roman"/>
        </w:rPr>
      </w:r>
      <w:r w:rsidRPr="00DC0D10">
        <w:rPr>
          <w:rFonts w:eastAsia="Times New Roman"/>
        </w:rPr>
        <w:fldChar w:fldCharType="separate"/>
      </w:r>
      <w:r w:rsidR="00DC0D10" w:rsidRPr="00DC0D10">
        <w:rPr>
          <w:rFonts w:eastAsia="Times New Roman"/>
        </w:rPr>
        <w:t>14</w:t>
      </w:r>
      <w:r w:rsidRPr="00DC0D10">
        <w:rPr>
          <w:rFonts w:eastAsia="Times New Roman"/>
        </w:rPr>
        <w:fldChar w:fldCharType="end"/>
      </w:r>
      <w:r>
        <w:t>), instanța a declarat că măsura nepermiterii intrării era conformă cu dispozițiile legale relevante și, având în vedere înscrisurile depuse la dosarul cauzei, justificată de circumstanțe obiective.</w:t>
      </w:r>
    </w:p>
    <w:p w14:paraId="73AEE1C0" w14:textId="04E7F9CF" w:rsidR="008B56A0" w:rsidRPr="00DC0D10" w:rsidRDefault="008B56A0" w:rsidP="00DC0D10">
      <w:pPr>
        <w:pStyle w:val="JuPara"/>
        <w:rPr>
          <w:rFonts w:eastAsia="Times New Roman"/>
        </w:rPr>
      </w:pPr>
      <w:r w:rsidRPr="00DC0D10">
        <w:rPr>
          <w:rFonts w:eastAsia="Times New Roman"/>
        </w:rPr>
        <w:fldChar w:fldCharType="begin"/>
      </w:r>
      <w:r w:rsidRPr="00DC0D10">
        <w:rPr>
          <w:rFonts w:eastAsia="Times New Roman"/>
        </w:rPr>
        <w:instrText xml:space="preserve"> SEQ level0 \*arabic </w:instrText>
      </w:r>
      <w:r w:rsidRPr="00DC0D10">
        <w:rPr>
          <w:rFonts w:eastAsia="Times New Roman"/>
        </w:rPr>
        <w:fldChar w:fldCharType="separate"/>
      </w:r>
      <w:r w:rsidR="00DC0D10" w:rsidRPr="00DC0D10">
        <w:rPr>
          <w:rFonts w:eastAsia="Times New Roman"/>
        </w:rPr>
        <w:t>19</w:t>
      </w:r>
      <w:r w:rsidRPr="00DC0D10">
        <w:rPr>
          <w:rFonts w:eastAsia="Times New Roman"/>
        </w:rPr>
        <w:fldChar w:fldCharType="end"/>
      </w:r>
      <w:r>
        <w:t>.  Curtea de Apel cita în continuare art. 8 alin. (1) lit. b), alin. (3) și alin (4) din OUG nr. 194/2002 (</w:t>
      </w:r>
      <w:r w:rsidR="0048496D">
        <w:t>infra</w:t>
      </w:r>
      <w:r>
        <w:t xml:space="preserve">, pct. </w:t>
      </w:r>
      <w:r w:rsidRPr="00DC0D10">
        <w:fldChar w:fldCharType="begin"/>
      </w:r>
      <w:r w:rsidRPr="00DC0D10">
        <w:instrText xml:space="preserve"> REF paragraph00026 \h  \* CharFormat </w:instrText>
      </w:r>
      <w:r w:rsidRPr="00DC0D10">
        <w:fldChar w:fldCharType="separate"/>
      </w:r>
      <w:r w:rsidR="00DC0D10" w:rsidRPr="00DC0D10">
        <w:t>27</w:t>
      </w:r>
      <w:r w:rsidRPr="00DC0D10">
        <w:fldChar w:fldCharType="end"/>
      </w:r>
      <w:r>
        <w:t>), și preciza că, în temeiul art. 105 din același act, Ofic</w:t>
      </w:r>
      <w:r w:rsidR="0048496D">
        <w:t>iul Român pentru Imigrări („ORI”</w:t>
      </w:r>
      <w:r>
        <w:t>) putea, în cazul prevăzut la art. 8 alin. (1) lit. b), să ia măsura interzicerii intrării pe teritoriu pe o durată determinată, a cărei aplicare era asigurată prin înscrierea numelui persoanei în cauză într-o bază de date care putea fi consultată de poliția de frontieră și, dacă era posibil, prin aplicarea pe documentele de trecere a frontierei de stat a unei ștampile care preciza durata măsurii.</w:t>
      </w:r>
      <w:r>
        <w:rPr>
          <w:color w:val="0070C0"/>
        </w:rPr>
        <w:t xml:space="preserve"> </w:t>
      </w:r>
      <w:r>
        <w:t>Preciza că, în temeiul art. 105 alin. (4) din OUG nr. 194/2002, organul care luase măsura interzicerii intrării în România o comunica în scris străinului vizat de decizia respectivă – împreună cu motivele de fapt și de drept pe care se întemeia – precum și căile de atac posibile.</w:t>
      </w:r>
    </w:p>
    <w:p w14:paraId="171779AA" w14:textId="77777777" w:rsidR="008B56A0" w:rsidRPr="00DC0D10" w:rsidRDefault="008B56A0" w:rsidP="00DC0D10">
      <w:pPr>
        <w:pStyle w:val="JuPara"/>
        <w:rPr>
          <w:rFonts w:eastAsia="Times New Roman"/>
        </w:rPr>
      </w:pPr>
      <w:r w:rsidRPr="00DC0D10">
        <w:rPr>
          <w:rFonts w:eastAsia="Times New Roman"/>
        </w:rPr>
        <w:fldChar w:fldCharType="begin"/>
      </w:r>
      <w:r w:rsidRPr="00DC0D10">
        <w:rPr>
          <w:rFonts w:eastAsia="Times New Roman"/>
        </w:rPr>
        <w:instrText xml:space="preserve"> SEQ level0 \*arabic </w:instrText>
      </w:r>
      <w:r w:rsidRPr="00DC0D10">
        <w:rPr>
          <w:rFonts w:eastAsia="Times New Roman"/>
        </w:rPr>
        <w:fldChar w:fldCharType="separate"/>
      </w:r>
      <w:bookmarkStart w:id="14" w:name="paragraph00020"/>
      <w:r w:rsidR="00DC0D10" w:rsidRPr="00DC0D10">
        <w:rPr>
          <w:rFonts w:eastAsia="Times New Roman"/>
        </w:rPr>
        <w:t>20</w:t>
      </w:r>
      <w:bookmarkEnd w:id="14"/>
      <w:r w:rsidRPr="00DC0D10">
        <w:rPr>
          <w:rFonts w:eastAsia="Times New Roman"/>
        </w:rPr>
        <w:fldChar w:fldCharType="end"/>
      </w:r>
      <w:r>
        <w:t xml:space="preserve">.  În speță, măsura interzicerii intrării pe teritoriu pentru o durată de 15 ani fusese dispusă la cererea SRI și motivele de fapt pe care se baza cererea erau prezentate într-un „înscris clasificat“. Curtea de Apel a mai reținut că prezentarea motivelor cuprindea informații a căror divulgare era de natură a aduce atingere securității naționale și că, în consecință, documentul nu putea fi comunicat decât în condițiile prevăzute de Legea nr. 182/2002 privind protecția informațiilor clasificate (infra, pct. </w:t>
      </w:r>
      <w:r w:rsidRPr="00DC0D10">
        <w:rPr>
          <w:rFonts w:eastAsia="Times New Roman"/>
        </w:rPr>
        <w:fldChar w:fldCharType="begin"/>
      </w:r>
      <w:r w:rsidRPr="00DC0D10">
        <w:rPr>
          <w:rFonts w:eastAsia="Times New Roman"/>
        </w:rPr>
        <w:instrText xml:space="preserve"> REF paragraph00028 \h  \* CharFormat </w:instrText>
      </w:r>
      <w:r w:rsidRPr="00DC0D10">
        <w:rPr>
          <w:rFonts w:eastAsia="Times New Roman"/>
        </w:rPr>
      </w:r>
      <w:r w:rsidRPr="00DC0D10">
        <w:rPr>
          <w:rFonts w:eastAsia="Times New Roman"/>
        </w:rPr>
        <w:fldChar w:fldCharType="separate"/>
      </w:r>
      <w:r w:rsidR="00DC0D10" w:rsidRPr="00DC0D10">
        <w:rPr>
          <w:rFonts w:eastAsia="Times New Roman"/>
        </w:rPr>
        <w:t>29</w:t>
      </w:r>
      <w:r w:rsidRPr="00DC0D10">
        <w:rPr>
          <w:rFonts w:eastAsia="Times New Roman"/>
        </w:rPr>
        <w:fldChar w:fldCharType="end"/>
      </w:r>
      <w:r>
        <w:t>).</w:t>
      </w:r>
    </w:p>
    <w:p w14:paraId="7AA32C6C" w14:textId="77777777" w:rsidR="008B56A0" w:rsidRPr="00DC0D10" w:rsidRDefault="008B56A0" w:rsidP="00DC0D10">
      <w:pPr>
        <w:pStyle w:val="JuPara"/>
        <w:rPr>
          <w:rFonts w:eastAsia="Times New Roman"/>
        </w:rPr>
      </w:pPr>
      <w:r w:rsidRPr="00DC0D10">
        <w:rPr>
          <w:rFonts w:eastAsia="Times New Roman"/>
        </w:rPr>
        <w:fldChar w:fldCharType="begin"/>
      </w:r>
      <w:r w:rsidRPr="00DC0D10">
        <w:rPr>
          <w:rFonts w:eastAsia="Times New Roman"/>
        </w:rPr>
        <w:instrText xml:space="preserve"> SEQ level0 \*arabic </w:instrText>
      </w:r>
      <w:r w:rsidRPr="00DC0D10">
        <w:rPr>
          <w:rFonts w:eastAsia="Times New Roman"/>
        </w:rPr>
        <w:fldChar w:fldCharType="separate"/>
      </w:r>
      <w:bookmarkStart w:id="15" w:name="paragraph00021"/>
      <w:r w:rsidR="00DC0D10" w:rsidRPr="00DC0D10">
        <w:rPr>
          <w:rFonts w:eastAsia="Times New Roman"/>
        </w:rPr>
        <w:t>21</w:t>
      </w:r>
      <w:bookmarkEnd w:id="15"/>
      <w:r w:rsidRPr="00DC0D10">
        <w:rPr>
          <w:rFonts w:eastAsia="Times New Roman"/>
        </w:rPr>
        <w:fldChar w:fldCharType="end"/>
      </w:r>
      <w:r>
        <w:t xml:space="preserve">.  Curtea de Apel a continuat prin a arăta că o „instanță independentă”, în sensul art. 6 din Convenție, avusese acces la documentele care prezintă motivele de fapt concrete care au stat la baza măsurii de nepermitere a intrării (supra, pct. </w:t>
      </w:r>
      <w:r w:rsidRPr="00DC0D10">
        <w:rPr>
          <w:rFonts w:eastAsia="Times New Roman"/>
        </w:rPr>
        <w:fldChar w:fldCharType="begin"/>
      </w:r>
      <w:r w:rsidRPr="00DC0D10">
        <w:rPr>
          <w:rFonts w:eastAsia="Times New Roman"/>
        </w:rPr>
        <w:instrText xml:space="preserve"> REF paragraph00017 \h  \* CharFormat </w:instrText>
      </w:r>
      <w:r w:rsidRPr="00DC0D10">
        <w:rPr>
          <w:rFonts w:eastAsia="Times New Roman"/>
        </w:rPr>
      </w:r>
      <w:r w:rsidRPr="00DC0D10">
        <w:rPr>
          <w:rFonts w:eastAsia="Times New Roman"/>
        </w:rPr>
        <w:fldChar w:fldCharType="separate"/>
      </w:r>
      <w:r w:rsidR="00DC0D10" w:rsidRPr="00DC0D10">
        <w:rPr>
          <w:rFonts w:eastAsia="Times New Roman"/>
        </w:rPr>
        <w:t>18</w:t>
      </w:r>
      <w:r w:rsidRPr="00DC0D10">
        <w:rPr>
          <w:rFonts w:eastAsia="Times New Roman"/>
        </w:rPr>
        <w:fldChar w:fldCharType="end"/>
      </w:r>
      <w:r>
        <w:t>). Aceasta a adăugat că dreptul la apărare al reclamantului fusese restrâns prin faptul că persoana în cauză nu fusese informată decât despre motivul general al măsurii – adică o semnalare provenind de la o organizație internațională la care România este parte, precum și de la o instituție specializată în combaterea terorismului că finanțează, pregătește, sprijină în orice mod sau comite acte de terorism –, restrângere justificată de interesul public care consta în protecția informațiilor clasificate.</w:t>
      </w:r>
    </w:p>
    <w:p w14:paraId="60EC17E1" w14:textId="4EB8D28A" w:rsidR="008B56A0" w:rsidRPr="00DC0D10" w:rsidRDefault="008B56A0" w:rsidP="00DC0D10">
      <w:pPr>
        <w:pStyle w:val="JuPara"/>
        <w:rPr>
          <w:rFonts w:eastAsia="Times New Roman"/>
        </w:rPr>
      </w:pPr>
      <w:r w:rsidRPr="00DC0D10">
        <w:rPr>
          <w:rFonts w:eastAsia="Times New Roman"/>
        </w:rPr>
        <w:fldChar w:fldCharType="begin"/>
      </w:r>
      <w:r w:rsidRPr="00DC0D10">
        <w:rPr>
          <w:rFonts w:eastAsia="Times New Roman"/>
        </w:rPr>
        <w:instrText xml:space="preserve"> SEQ level0 \*arabic </w:instrText>
      </w:r>
      <w:r w:rsidRPr="00DC0D10">
        <w:rPr>
          <w:rFonts w:eastAsia="Times New Roman"/>
        </w:rPr>
        <w:fldChar w:fldCharType="separate"/>
      </w:r>
      <w:bookmarkStart w:id="16" w:name="paragraph00022"/>
      <w:r w:rsidR="00DC0D10" w:rsidRPr="00DC0D10">
        <w:rPr>
          <w:rFonts w:eastAsia="Times New Roman"/>
        </w:rPr>
        <w:t>22</w:t>
      </w:r>
      <w:bookmarkEnd w:id="16"/>
      <w:r w:rsidRPr="00DC0D10">
        <w:rPr>
          <w:rFonts w:eastAsia="Times New Roman"/>
        </w:rPr>
        <w:fldChar w:fldCharType="end"/>
      </w:r>
      <w:r>
        <w:t>.  Curtea de Apel a hotărât în cele din urmă, în baza probelor administrate (documente în care erau descrise „</w:t>
      </w:r>
      <w:r w:rsidR="001D5161" w:rsidRPr="001D5161">
        <w:t>fapte concrete și concludente privind comportamente care intră sub incidența art. 8 alin. (1) lit. b) din OUG nr. 194/2002</w:t>
      </w:r>
      <w:r>
        <w:t>”) și a dispozițiilor legale arătate mai sus, că art. 8 din Convenție fusese respectat. A explicat în această privință că „având în vedere gravitatea faptelor semnalate, nici condiția privind necesitatea ingerinței, nici principiul proporționalității nu au fost încălcate”. [</w:t>
      </w:r>
      <w:r>
        <w:rPr>
          <w:i/>
          <w:iCs/>
        </w:rPr>
        <w:t>traducere neoficială</w:t>
      </w:r>
      <w:r>
        <w:t>]</w:t>
      </w:r>
    </w:p>
    <w:p w14:paraId="5C5CFB43" w14:textId="77777777" w:rsidR="008B56A0" w:rsidRPr="00DC0D10" w:rsidRDefault="008B56A0" w:rsidP="00DC0D10">
      <w:pPr>
        <w:pStyle w:val="JuPara"/>
      </w:pPr>
      <w:fldSimple w:instr=" SEQ level0 \*arabic ">
        <w:r w:rsidR="00DC0D10" w:rsidRPr="00DC0D10">
          <w:t>23</w:t>
        </w:r>
      </w:fldSimple>
      <w:r>
        <w:t>.  În dispozitiv se arăta că decizia era irevocabilă.</w:t>
      </w:r>
    </w:p>
    <w:p w14:paraId="76202216" w14:textId="77777777" w:rsidR="008B56A0" w:rsidRPr="00DC0D10" w:rsidRDefault="008B56A0" w:rsidP="00DC0D10">
      <w:pPr>
        <w:pStyle w:val="JuPara"/>
        <w:rPr>
          <w:rFonts w:eastAsia="Times New Roman"/>
        </w:rPr>
      </w:pPr>
      <w:r w:rsidRPr="00DC0D10">
        <w:rPr>
          <w:rFonts w:eastAsia="Times New Roman"/>
        </w:rPr>
        <w:lastRenderedPageBreak/>
        <w:fldChar w:fldCharType="begin"/>
      </w:r>
      <w:r w:rsidRPr="00DC0D10">
        <w:rPr>
          <w:rFonts w:eastAsia="Times New Roman"/>
        </w:rPr>
        <w:instrText xml:space="preserve"> SEQ level0 \*arabic \* MERGEFORMAT </w:instrText>
      </w:r>
      <w:r w:rsidRPr="00DC0D10">
        <w:rPr>
          <w:rFonts w:eastAsia="Times New Roman"/>
        </w:rPr>
        <w:fldChar w:fldCharType="separate"/>
      </w:r>
      <w:r w:rsidR="00DC0D10" w:rsidRPr="00DC0D10">
        <w:rPr>
          <w:rFonts w:eastAsia="Times New Roman"/>
        </w:rPr>
        <w:t>24</w:t>
      </w:r>
      <w:r w:rsidRPr="00DC0D10">
        <w:rPr>
          <w:rFonts w:eastAsia="Times New Roman"/>
        </w:rPr>
        <w:fldChar w:fldCharType="end"/>
      </w:r>
      <w:r>
        <w:t>.  Reclamantul trăiește în prezent în Tunisia. A urmat acolo cursuri pentru a obține echivalarea diplomei sale de licență în medicină. Anterior, încercase să-și urmeze studiile în Germania, dar cererea sa de permis de ședere pentru studii a fost respinsă de autoritățile germane pe motive ce țin de securitatea națională.</w:t>
      </w:r>
    </w:p>
    <w:p w14:paraId="49C8A3A6" w14:textId="77777777" w:rsidR="008B56A0" w:rsidRPr="00DC0D10" w:rsidRDefault="008B56A0" w:rsidP="00DC0D10">
      <w:pPr>
        <w:pStyle w:val="JuPara"/>
        <w:rPr>
          <w:rFonts w:ascii="Times New Roman" w:eastAsia="Times New Roman" w:hAnsi="Times New Roman" w:cs="Times New Roman"/>
          <w:szCs w:val="20"/>
        </w:rPr>
      </w:pPr>
      <w:r w:rsidRPr="00DC0D10">
        <w:rPr>
          <w:rFonts w:ascii="Times New Roman" w:eastAsia="Times New Roman" w:hAnsi="Times New Roman" w:cs="Times New Roman"/>
        </w:rPr>
        <w:fldChar w:fldCharType="begin"/>
      </w:r>
      <w:r w:rsidRPr="00DC0D10">
        <w:rPr>
          <w:rFonts w:ascii="Times New Roman" w:eastAsia="Times New Roman" w:hAnsi="Times New Roman" w:cs="Times New Roman"/>
        </w:rPr>
        <w:instrText xml:space="preserve"> SEQ level0 \*arabic </w:instrText>
      </w:r>
      <w:r w:rsidRPr="00DC0D10">
        <w:rPr>
          <w:rFonts w:ascii="Times New Roman" w:eastAsia="Times New Roman" w:hAnsi="Times New Roman" w:cs="Times New Roman"/>
        </w:rPr>
        <w:fldChar w:fldCharType="separate"/>
      </w:r>
      <w:r w:rsidR="00DC0D10" w:rsidRPr="00DC0D10">
        <w:rPr>
          <w:rFonts w:ascii="Times New Roman" w:eastAsia="Times New Roman" w:hAnsi="Times New Roman" w:cs="Times New Roman"/>
        </w:rPr>
        <w:t>25</w:t>
      </w:r>
      <w:r w:rsidRPr="00DC0D10">
        <w:rPr>
          <w:rFonts w:ascii="Times New Roman" w:eastAsia="Times New Roman" w:hAnsi="Times New Roman" w:cs="Times New Roman"/>
        </w:rPr>
        <w:fldChar w:fldCharType="end"/>
      </w:r>
      <w:r>
        <w:rPr>
          <w:rFonts w:ascii="Times New Roman" w:hAnsi="Times New Roman"/>
        </w:rPr>
        <w:t>.  Soția reclamantului nu a părăsit România. A urmat aici studiile facultății de farmacie. Reclamantul arată că, din când în când, aceasta i-a făcut scurte vizite în Tunisia.</w:t>
      </w:r>
    </w:p>
    <w:p w14:paraId="313AE24F" w14:textId="77777777" w:rsidR="008B56A0" w:rsidRPr="00DC0D10" w:rsidRDefault="008B56A0" w:rsidP="00DC0D10">
      <w:pPr>
        <w:pStyle w:val="JuPara"/>
      </w:pPr>
      <w:r w:rsidRPr="00DC0D10">
        <w:rPr>
          <w:rFonts w:ascii="Times New Roman" w:eastAsia="Times New Roman" w:hAnsi="Times New Roman" w:cs="Times New Roman"/>
        </w:rPr>
        <w:fldChar w:fldCharType="begin"/>
      </w:r>
      <w:r w:rsidRPr="00DC0D10">
        <w:rPr>
          <w:rFonts w:ascii="Times New Roman" w:eastAsia="Times New Roman" w:hAnsi="Times New Roman" w:cs="Times New Roman"/>
        </w:rPr>
        <w:instrText xml:space="preserve"> SEQ level0 \*arabic </w:instrText>
      </w:r>
      <w:r w:rsidRPr="00DC0D10">
        <w:rPr>
          <w:rFonts w:ascii="Times New Roman" w:eastAsia="Times New Roman" w:hAnsi="Times New Roman" w:cs="Times New Roman"/>
        </w:rPr>
        <w:fldChar w:fldCharType="separate"/>
      </w:r>
      <w:r w:rsidR="00DC0D10" w:rsidRPr="00DC0D10">
        <w:rPr>
          <w:rFonts w:ascii="Times New Roman" w:eastAsia="Times New Roman" w:hAnsi="Times New Roman" w:cs="Times New Roman"/>
        </w:rPr>
        <w:t>26</w:t>
      </w:r>
      <w:r w:rsidRPr="00DC0D10">
        <w:rPr>
          <w:rFonts w:ascii="Times New Roman" w:eastAsia="Times New Roman" w:hAnsi="Times New Roman" w:cs="Times New Roman"/>
        </w:rPr>
        <w:fldChar w:fldCharType="end"/>
      </w:r>
      <w:r>
        <w:rPr>
          <w:rFonts w:ascii="Times New Roman" w:hAnsi="Times New Roman"/>
        </w:rPr>
        <w:t>.  Prin scrisoarea din mai 2018, reclamantul a informat Curtea că a divorțat recent de soția sa, subliniind că aveau un copil împreună. A explicat în scrisoarea sa că proiectul lor de viață comună era în România, dar că măsurile luate împotriva sa duseseră la separarea cuplului.</w:t>
      </w:r>
    </w:p>
    <w:p w14:paraId="3B08C3B8" w14:textId="77777777" w:rsidR="008B56A0" w:rsidRPr="00DC0D10" w:rsidRDefault="008B56A0" w:rsidP="00DC0D10">
      <w:pPr>
        <w:pStyle w:val="JuHA"/>
      </w:pPr>
      <w:r>
        <w:t>Dreptul și practica interne relevante</w:t>
      </w:r>
    </w:p>
    <w:p w14:paraId="5A494D92" w14:textId="77777777" w:rsidR="008B56A0" w:rsidRPr="00DC0D10" w:rsidRDefault="0053564F" w:rsidP="00DC0D10">
      <w:pPr>
        <w:pStyle w:val="JuPara"/>
        <w:rPr>
          <w:rFonts w:ascii="Times New Roman" w:eastAsia="Times New Roman" w:hAnsi="Times New Roman" w:cs="Times New Roman"/>
          <w:szCs w:val="20"/>
        </w:rPr>
      </w:pPr>
      <w:fldSimple w:instr=" SEQ level0 \*arabic \* MERGEFORMAT ">
        <w:bookmarkStart w:id="17" w:name="paragraph00026"/>
        <w:r w:rsidR="00DC0D10" w:rsidRPr="00DC0D10">
          <w:t>27</w:t>
        </w:r>
        <w:bookmarkEnd w:id="17"/>
      </w:fldSimple>
      <w:r>
        <w:t>.  Dispozițiile relevante în speță ale OUG nr. 194/2002 erau astfel redactate la momentul faptelor:</w:t>
      </w:r>
    </w:p>
    <w:p w14:paraId="4931D12D" w14:textId="77777777" w:rsidR="008B56A0" w:rsidRPr="00DC0D10" w:rsidRDefault="008B56A0" w:rsidP="00DC0D10">
      <w:pPr>
        <w:pStyle w:val="JuHArticle"/>
        <w:rPr>
          <w:rFonts w:ascii="Times New Roman" w:eastAsia="Times New Roman" w:hAnsi="Times New Roman" w:cs="Times New Roman"/>
          <w:szCs w:val="20"/>
        </w:rPr>
      </w:pPr>
      <w:r>
        <w:t xml:space="preserve">Articolul 8 </w:t>
      </w:r>
      <w:r>
        <w:br/>
        <w:t>Nepermiterea intrării în România</w:t>
      </w:r>
    </w:p>
    <w:p w14:paraId="17327DD9" w14:textId="77777777" w:rsidR="008B56A0" w:rsidRPr="00DC0D10" w:rsidRDefault="008B56A0" w:rsidP="00DC0D10">
      <w:pPr>
        <w:pStyle w:val="JuQuot"/>
        <w:rPr>
          <w:rFonts w:eastAsia="Times New Roman"/>
        </w:rPr>
      </w:pPr>
      <w:r>
        <w:t>„(1) Străinilor nu li se permite intrarea pe teritoriul statului român dacă:</w:t>
      </w:r>
    </w:p>
    <w:p w14:paraId="0712A0C9" w14:textId="77777777" w:rsidR="008B56A0" w:rsidRPr="00DC0D10" w:rsidRDefault="008B56A0" w:rsidP="00DC0D10">
      <w:pPr>
        <w:pStyle w:val="JuQuot"/>
        <w:rPr>
          <w:rFonts w:eastAsia="Times New Roman"/>
        </w:rPr>
      </w:pPr>
      <w:r>
        <w:t>[...]</w:t>
      </w:r>
    </w:p>
    <w:p w14:paraId="70AF0646" w14:textId="77777777" w:rsidR="008B56A0" w:rsidRPr="00DC0D10" w:rsidRDefault="008B56A0" w:rsidP="00DC0D10">
      <w:pPr>
        <w:pStyle w:val="JuQuot"/>
        <w:rPr>
          <w:rFonts w:eastAsia="Times New Roman"/>
        </w:rPr>
      </w:pPr>
      <w:r>
        <w:t xml:space="preserve">b) sunt semnalați de organizații internaționale la care România este parte, precum </w:t>
      </w:r>
      <w:proofErr w:type="spellStart"/>
      <w:r>
        <w:t>şi</w:t>
      </w:r>
      <w:proofErr w:type="spellEnd"/>
      <w:r>
        <w:t xml:space="preserve"> de instituții specializate în combaterea terorismului că finanțează, pregătesc, sprijină în orice mod sau comit acte de terorism;</w:t>
      </w:r>
    </w:p>
    <w:p w14:paraId="0590A1AC" w14:textId="77777777" w:rsidR="008B56A0" w:rsidRPr="00DC0D10" w:rsidRDefault="008B56A0" w:rsidP="00DC0D10">
      <w:pPr>
        <w:pStyle w:val="JuQuot"/>
        <w:rPr>
          <w:rFonts w:eastAsia="Times New Roman"/>
        </w:rPr>
      </w:pPr>
      <w:r>
        <w:t>[...]</w:t>
      </w:r>
    </w:p>
    <w:p w14:paraId="1896E8E0" w14:textId="77777777" w:rsidR="008B56A0" w:rsidRPr="00DC0D10" w:rsidRDefault="008B56A0" w:rsidP="00DC0D10">
      <w:pPr>
        <w:pStyle w:val="JuQuot"/>
        <w:rPr>
          <w:rFonts w:eastAsia="Times New Roman"/>
        </w:rPr>
      </w:pPr>
      <w:r>
        <w:t xml:space="preserve">(3) Organele </w:t>
      </w:r>
      <w:proofErr w:type="spellStart"/>
      <w:r>
        <w:t>şi</w:t>
      </w:r>
      <w:proofErr w:type="spellEnd"/>
      <w:r>
        <w:t xml:space="preserve"> instituțiile care dețin date </w:t>
      </w:r>
      <w:proofErr w:type="spellStart"/>
      <w:r>
        <w:t>şi</w:t>
      </w:r>
      <w:proofErr w:type="spellEnd"/>
      <w:r>
        <w:t xml:space="preserve"> informații cu privire la existența unor situații de natura celor prevăzute la alin. (1) </w:t>
      </w:r>
      <w:proofErr w:type="spellStart"/>
      <w:r>
        <w:t>şi</w:t>
      </w:r>
      <w:proofErr w:type="spellEnd"/>
      <w:r>
        <w:t xml:space="preserve"> (2) pot solicita Inspectoratului General al Poliției de Frontieră sau Oficiului Român pentru Imigrări dispunerea măsurii de nepermitere a intrării în România, în condițiile prezentei ordonanțe de urgență.</w:t>
      </w:r>
    </w:p>
    <w:p w14:paraId="7070A55A" w14:textId="77777777" w:rsidR="008B56A0" w:rsidRPr="00DC0D10" w:rsidRDefault="008B56A0" w:rsidP="00DC0D10">
      <w:pPr>
        <w:pStyle w:val="JuQuot"/>
        <w:rPr>
          <w:rFonts w:eastAsia="Times New Roman"/>
        </w:rPr>
      </w:pPr>
      <w:r>
        <w:t xml:space="preserve">(4) Măsura nepermiterii intrării în România se motivează de organele poliției de frontieră </w:t>
      </w:r>
      <w:proofErr w:type="spellStart"/>
      <w:r>
        <w:t>şi</w:t>
      </w:r>
      <w:proofErr w:type="spellEnd"/>
      <w:r>
        <w:t xml:space="preserve"> se comunică imediat persoanei în cauză, utilizând formularul prevăzut în partea B din anexa V la Regulamentul (CE) nr. 562/2006 al Parlamentului European </w:t>
      </w:r>
      <w:proofErr w:type="spellStart"/>
      <w:r>
        <w:t>şi</w:t>
      </w:r>
      <w:proofErr w:type="spellEnd"/>
      <w:r>
        <w:t xml:space="preserve"> al Consiliului din 15 martie 2006 de instituire a unui Cod comunitar privind regimul de trecere a frontierelor de către persoane (Codul frontierelor Schengen), publicat în Jurnalul Oficial al Uniunii Europene (JOUE) nr. L105 din 13 aprilie 2006 [...], precum </w:t>
      </w:r>
      <w:proofErr w:type="spellStart"/>
      <w:r>
        <w:t>şi</w:t>
      </w:r>
      <w:proofErr w:type="spellEnd"/>
      <w:r>
        <w:t xml:space="preserve"> a Departamentului Consular din cadrul Ministerului Afacerilor Externe. ”</w:t>
      </w:r>
    </w:p>
    <w:p w14:paraId="2C844E94" w14:textId="77777777" w:rsidR="008B56A0" w:rsidRPr="00DC0D10" w:rsidRDefault="008B56A0" w:rsidP="00DC0D10">
      <w:pPr>
        <w:pStyle w:val="JuHArticle"/>
        <w:rPr>
          <w:rFonts w:eastAsia="Times New Roman"/>
        </w:rPr>
      </w:pPr>
      <w:r>
        <w:t>Articolul 105</w:t>
      </w:r>
      <w:r>
        <w:br/>
        <w:t>Dispunerea măsurii de interzicere a intrării în România</w:t>
      </w:r>
    </w:p>
    <w:p w14:paraId="6AC7585B" w14:textId="77777777" w:rsidR="008B56A0" w:rsidRPr="00DC0D10" w:rsidRDefault="008B56A0" w:rsidP="00DC0D10">
      <w:pPr>
        <w:pStyle w:val="JuQuot"/>
      </w:pPr>
      <w:r>
        <w:t>„[...]</w:t>
      </w:r>
    </w:p>
    <w:p w14:paraId="7C959E08" w14:textId="77777777" w:rsidR="008B56A0" w:rsidRPr="00DC0D10" w:rsidRDefault="008B56A0" w:rsidP="00DC0D10">
      <w:pPr>
        <w:pStyle w:val="JuQuot"/>
      </w:pPr>
      <w:r>
        <w:t xml:space="preserve">(2) Măsura [...] poate fi dispusă de Oficiul Român pentru Imigrări sau de Inspectoratul General al Poliției de Frontieră, în condițiile legii, [...] împotriva străinilor prevăzuți la art. 8 alin. (1) lit. b)-d) [...]. </w:t>
      </w:r>
    </w:p>
    <w:p w14:paraId="12DC863B" w14:textId="77777777" w:rsidR="008B56A0" w:rsidRPr="00DC0D10" w:rsidRDefault="008B56A0" w:rsidP="00DC0D10">
      <w:pPr>
        <w:pStyle w:val="JuQuot"/>
      </w:pPr>
      <w:r>
        <w:t>[...]</w:t>
      </w:r>
    </w:p>
    <w:p w14:paraId="31163983" w14:textId="275589D7" w:rsidR="008B56A0" w:rsidRPr="00DC0D10" w:rsidRDefault="008B56A0" w:rsidP="00DC0D10">
      <w:pPr>
        <w:pStyle w:val="JuQuot"/>
      </w:pPr>
      <w:r>
        <w:lastRenderedPageBreak/>
        <w:t xml:space="preserve">(4) Instituirea măsurii interzicerii intrării în România se comunică străinilor, în scris, de către organul care a luat măsura </w:t>
      </w:r>
      <w:r w:rsidR="00705A40">
        <w:t>și</w:t>
      </w:r>
      <w:r>
        <w:t xml:space="preserve"> conține motivarea în fapt </w:t>
      </w:r>
      <w:r w:rsidR="00705A40">
        <w:t>și</w:t>
      </w:r>
      <w:r>
        <w:t xml:space="preserve"> în drept, precum </w:t>
      </w:r>
      <w:r w:rsidR="00705A40">
        <w:t>și</w:t>
      </w:r>
      <w:r>
        <w:t xml:space="preserve"> informațiile privind căile de atac posibile. </w:t>
      </w:r>
    </w:p>
    <w:p w14:paraId="3CA91348" w14:textId="77777777" w:rsidR="008B56A0" w:rsidRPr="00DC0D10" w:rsidRDefault="008B56A0" w:rsidP="00DC0D10">
      <w:pPr>
        <w:pStyle w:val="JuQuot"/>
      </w:pPr>
      <w:r>
        <w:t>(5) Interzicerea intrării în România poate fi contestată de către străin în termen de 10 zile de la comunicare la curtea de apel în a cărei rază de competență se află formațiunea care a dispus această măsură.  Contestația nu suspendă executarea măsurilor de îndepărtare.  Hotărârea instanței este irevocabilă. ”</w:t>
      </w:r>
    </w:p>
    <w:p w14:paraId="3D558FF1" w14:textId="77777777" w:rsidR="008B56A0" w:rsidRPr="00DC0D10" w:rsidRDefault="008B56A0" w:rsidP="00DC0D10">
      <w:pPr>
        <w:pStyle w:val="JuHArticle"/>
      </w:pPr>
      <w:r>
        <w:t>Articolul 106</w:t>
      </w:r>
    </w:p>
    <w:p w14:paraId="167FE1C7" w14:textId="77777777" w:rsidR="008B56A0" w:rsidRPr="00DC0D10" w:rsidRDefault="008B56A0" w:rsidP="00DC0D10">
      <w:pPr>
        <w:pStyle w:val="JuHArticle"/>
      </w:pPr>
      <w:r>
        <w:t>Stabilirea duratei interdicției de intrare în România</w:t>
      </w:r>
    </w:p>
    <w:p w14:paraId="43053EDF" w14:textId="77777777" w:rsidR="008B56A0" w:rsidRPr="00DC0D10" w:rsidRDefault="008B56A0" w:rsidP="00DC0D10">
      <w:pPr>
        <w:pStyle w:val="JuQuot"/>
      </w:pPr>
      <w:r>
        <w:t>„[...]</w:t>
      </w:r>
    </w:p>
    <w:p w14:paraId="3B49D7F7" w14:textId="77777777" w:rsidR="008B56A0" w:rsidRPr="00DC0D10" w:rsidRDefault="008B56A0" w:rsidP="00DC0D10">
      <w:pPr>
        <w:pStyle w:val="JuQuot"/>
      </w:pPr>
      <w:r>
        <w:t>(5) Împotriva străinilor prevăzuți la art. 105 alin. (2) durata interdicției va fi după cum urmează:</w:t>
      </w:r>
    </w:p>
    <w:p w14:paraId="1AEEE83D" w14:textId="77777777" w:rsidR="008B56A0" w:rsidRPr="00DC0D10" w:rsidRDefault="008B56A0" w:rsidP="00DC0D10">
      <w:pPr>
        <w:pStyle w:val="JuQuot"/>
      </w:pPr>
      <w:r>
        <w:t>a) 15 ani - pentru străinii prevăzuți la art. 8 alin. (1) lit. b)-d);</w:t>
      </w:r>
    </w:p>
    <w:p w14:paraId="5A5026E7" w14:textId="77777777" w:rsidR="008B56A0" w:rsidRPr="00DC0D10" w:rsidRDefault="008B56A0" w:rsidP="00DC0D10">
      <w:pPr>
        <w:pStyle w:val="JuQuot"/>
      </w:pPr>
      <w:r>
        <w:t>[...] ”</w:t>
      </w:r>
    </w:p>
    <w:p w14:paraId="4FF15557" w14:textId="0C6A09A0" w:rsidR="008B56A0" w:rsidRPr="00DC0D10" w:rsidRDefault="008B56A0" w:rsidP="00DC0D10">
      <w:pPr>
        <w:pStyle w:val="JuPara"/>
      </w:pPr>
      <w:fldSimple w:instr=" SEQ level0 \*arabic ">
        <w:r w:rsidR="00DC0D10" w:rsidRPr="00DC0D10">
          <w:t>28</w:t>
        </w:r>
      </w:fldSimple>
      <w:r>
        <w:t>.  Guvernul a depus la dosar copii ale hotărârilor pronunțate de instanțele naționale în proceduri care priveau contestarea măsurilor de declarare ca indezirabili a străinilor, precum și copia unei decizii definitive din 3 februarie 2017 (dosarul nr. 5343/2/2014) pronunțate de Înalta Curte de Casație și Justiție („Înalta Curte”) într-un recurs care avea ca obiect contestarea de către un străin a măsurilor de nepermitere a intrării și de interzicere a intrării pe teritoriu luate împotriva lui de către IGPF în temeiul art. 8 alin. (1) lit. b) coroborat cu art. 105 alin. (2) și art. 106 alin. (5) lit. a) din OUG nr. 194/2002. În această decizie, Înalta Curte a declarat inadmisibil recursul străinului în ceea ce privește măsura de interzicere a intrării pe teritoriu. A explicat în această privință că OUG nr. 194/2002 era o lege specială în raport cu legea generală care reglementa contenciosul administrativ și că trebuia dată prioritate în speță art. 105 alin. (5) din OUG nr. 194/2002, în baza căruia decizia pronunțată de Curtea de Apel cu privire la măsura interzicerii intrării pe teritoriu era definitivă. A examinat pe fond recursul formulat împotriva măsurii de nepermitere a intrării pe teritoriu și l</w:t>
      </w:r>
      <w:r w:rsidR="00705A40">
        <w:noBreakHyphen/>
      </w:r>
      <w:r>
        <w:t>a respins ca fiind vădit nefondat.</w:t>
      </w:r>
    </w:p>
    <w:p w14:paraId="7863DA3F" w14:textId="300BBA3C" w:rsidR="008B56A0" w:rsidRPr="00DC0D10" w:rsidRDefault="008B56A0" w:rsidP="00DC0D10">
      <w:pPr>
        <w:pStyle w:val="JuPara"/>
      </w:pPr>
      <w:fldSimple w:instr=" SEQ level0 \*arabic ">
        <w:bookmarkStart w:id="18" w:name="paragraph00028"/>
        <w:r w:rsidR="00DC0D10" w:rsidRPr="00DC0D10">
          <w:t>29</w:t>
        </w:r>
        <w:bookmarkEnd w:id="18"/>
      </w:fldSimple>
      <w:r>
        <w:t xml:space="preserve">.  Dispozițiile relevante ale textelor aplicabile în materie – Legea nr. 182/2002 privind protecția informațiilor clasificate și Standardele naționale de protecție a informațiilor clasificate în România, aprobate prin Hotărârea de Guvern nr. 585/2002 – sunt descrise în </w:t>
      </w:r>
      <w:hyperlink r:id="rId11" w:history="1">
        <w:r>
          <w:rPr>
            <w:i/>
          </w:rPr>
          <w:t>Muhammad și Muhammad împotriva României</w:t>
        </w:r>
      </w:hyperlink>
      <w:r>
        <w:t xml:space="preserve"> [(MC), nr. 80982/12, pct. 51 și 53, 15 octombrie 2020] și </w:t>
      </w:r>
      <w:hyperlink r:id="rId12" w:history="1">
        <w:proofErr w:type="spellStart"/>
        <w:r>
          <w:rPr>
            <w:i/>
          </w:rPr>
          <w:t>Corneschi</w:t>
        </w:r>
        <w:proofErr w:type="spellEnd"/>
        <w:r>
          <w:rPr>
            <w:i/>
          </w:rPr>
          <w:t xml:space="preserve"> împotriva României</w:t>
        </w:r>
      </w:hyperlink>
      <w:r>
        <w:t xml:space="preserve"> (nr. 21609/16, pct. 53-55, 11 ianuarie 2022). În temeiul acestor dispoziții legale, accesul la informațiile clasificate nu este permis decât cu autorizația scrisă eliberată de conducătorul unității deținătoare de astfel de informații, după notificare prealabilă la Oficiul Registr</w:t>
      </w:r>
      <w:r w:rsidR="00FA3553">
        <w:t>ului Național al Informațiilor S</w:t>
      </w:r>
      <w:r>
        <w:t xml:space="preserve">ecrete de </w:t>
      </w:r>
      <w:r w:rsidR="00FA3553">
        <w:t>S</w:t>
      </w:r>
      <w:r>
        <w:t>tat („certificatul ORNISS</w:t>
      </w:r>
      <w:r w:rsidR="00FA3553">
        <w:t>”</w:t>
      </w:r>
      <w:r>
        <w:t>). Conform acelorași dispoziții, persoanele suspectate de acte teroriste nu pot obține accesul la informații secrete.</w:t>
      </w:r>
    </w:p>
    <w:p w14:paraId="29B89574" w14:textId="77777777" w:rsidR="008B56A0" w:rsidRPr="00DC0D10" w:rsidRDefault="008B56A0" w:rsidP="00DC0D10">
      <w:pPr>
        <w:pStyle w:val="JuPara"/>
      </w:pPr>
      <w:fldSimple w:instr=" SEQ level0 \*arabic ">
        <w:bookmarkStart w:id="19" w:name="paragraph00029"/>
        <w:r w:rsidR="00DC0D10" w:rsidRPr="00DC0D10">
          <w:t>30</w:t>
        </w:r>
        <w:bookmarkEnd w:id="19"/>
      </w:fldSimple>
      <w:r>
        <w:t xml:space="preserve">.  Procedura pentru obținerea de către un avocat a certificatului ORNISS, precum și jurisprudența internă relevantă în materie sunt descrise în </w:t>
      </w:r>
      <w:r>
        <w:rPr>
          <w:i/>
        </w:rPr>
        <w:t>Muhammad și Muhammad</w:t>
      </w:r>
      <w:r>
        <w:t xml:space="preserve"> (citată anterior, pct. 54-58 și 64-66). Durata procedurii de verificare desfășurate în cadrul unei cereri de acces la informații clasificate este de 60 de zile lucrătoare (art. 148 din Hotărârea de Guvern nr. 585/2002). În urma verificărilor, autoritatea competentă transmite concluziile sale către ORNISS. Acesta își exprimă opinia și o comunică Uniunii Naționale a Barourilor din România („UNBR”). Aceasta din urmă are apoi cinci zile la dispoziție pentru a emite decizia de acces la documentele clasificate.</w:t>
      </w:r>
    </w:p>
    <w:p w14:paraId="294A52A4" w14:textId="77777777" w:rsidR="008B56A0" w:rsidRPr="00DC0D10" w:rsidRDefault="008B56A0" w:rsidP="00DC0D10">
      <w:pPr>
        <w:pStyle w:val="JuPara"/>
      </w:pPr>
      <w:fldSimple w:instr=" SEQ level0 \*arabic ">
        <w:bookmarkStart w:id="20" w:name="paragraph00031"/>
        <w:r w:rsidR="00DC0D10" w:rsidRPr="00DC0D10">
          <w:t>31</w:t>
        </w:r>
        <w:bookmarkEnd w:id="20"/>
      </w:fldSimple>
      <w:r>
        <w:t>.  Guvernul a depus la dosar copii ale încheierilor pronunțate în 2017 într-o cauză legată de imigrație care a fost amânată de trei ori pentru a permite avocatului ales de străin să obțină un certificat ORNISS (dosarul nr. 7428/2/2014, încheieri ale Înaltei Curți din 19 mai, 16 iunie și 22 septembrie 2017).</w:t>
      </w:r>
    </w:p>
    <w:p w14:paraId="23512CB4" w14:textId="77777777" w:rsidR="008B56A0" w:rsidRPr="00DC0D10" w:rsidRDefault="008B56A0" w:rsidP="00DC0D10">
      <w:pPr>
        <w:pStyle w:val="JuHHead"/>
      </w:pPr>
      <w:r>
        <w:t>CAPETE DE CERERE</w:t>
      </w:r>
    </w:p>
    <w:p w14:paraId="7C2CC808" w14:textId="77777777" w:rsidR="008B56A0" w:rsidRPr="00DC0D10" w:rsidRDefault="008B56A0" w:rsidP="00DC0D10">
      <w:pPr>
        <w:pStyle w:val="JuPara"/>
      </w:pPr>
      <w:fldSimple w:instr=" SEQ level0 \*arabic ">
        <w:bookmarkStart w:id="21" w:name="paragraph00032"/>
        <w:r w:rsidR="00DC0D10" w:rsidRPr="00DC0D10">
          <w:t>32</w:t>
        </w:r>
        <w:bookmarkEnd w:id="21"/>
      </w:fldSimple>
      <w:r>
        <w:t>.  Invocând art. 8 din Convenție, reclamantul pretinde că măsurile de nepermitere a intrării și de interzicere a intrării pe teritoriu aplicate de autoritățile române au adus atingere dreptului său la respectarea vieții private și de familie și că nu a beneficiat de procedura contradictorie care i-ar fi permis să conteste măsurile luate împotriva lui.</w:t>
      </w:r>
    </w:p>
    <w:p w14:paraId="5D02E885" w14:textId="77777777" w:rsidR="008B56A0" w:rsidRPr="00DC0D10" w:rsidRDefault="008B56A0" w:rsidP="00DC0D10">
      <w:pPr>
        <w:pStyle w:val="JuPara"/>
      </w:pPr>
      <w:fldSimple w:instr=" SEQ level0 \*arabic ">
        <w:r w:rsidR="00DC0D10" w:rsidRPr="00DC0D10">
          <w:t>33</w:t>
        </w:r>
      </w:fldSimple>
      <w:r>
        <w:t>.  El susține de asemenea că garanțiile unui proces echitabil nu au fost respectate în cadrul procedurii desfășurate în fața Curții de Apel. În opinia sa, acest fapt constituie o încălcare a art. 6 § 1 din Convenție.</w:t>
      </w:r>
    </w:p>
    <w:p w14:paraId="539F1BD8" w14:textId="77777777" w:rsidR="008B56A0" w:rsidRPr="00DC0D10" w:rsidRDefault="008B56A0" w:rsidP="00DC0D10">
      <w:pPr>
        <w:pStyle w:val="JuHHead"/>
      </w:pPr>
      <w:r>
        <w:t>ÎN DREPT</w:t>
      </w:r>
    </w:p>
    <w:p w14:paraId="19FC0C08" w14:textId="77777777" w:rsidR="008B56A0" w:rsidRPr="00DC0D10" w:rsidRDefault="008B56A0" w:rsidP="00DC0D10">
      <w:pPr>
        <w:pStyle w:val="JuHA"/>
      </w:pPr>
      <w:r>
        <w:t>Capătul de cerere întemeiat pe art. 8 din Convenție</w:t>
      </w:r>
    </w:p>
    <w:p w14:paraId="75664B38" w14:textId="77777777" w:rsidR="008B56A0" w:rsidRPr="00DC0D10" w:rsidRDefault="008B56A0" w:rsidP="00DC0D10">
      <w:pPr>
        <w:pStyle w:val="JuPara"/>
      </w:pPr>
      <w:fldSimple w:instr=" SEQ level0 \*arabic ">
        <w:r w:rsidR="00DC0D10" w:rsidRPr="00DC0D10">
          <w:t>34</w:t>
        </w:r>
      </w:fldSimple>
      <w:r>
        <w:t>.  Reclamantul se plânge de măsurile de nepermitere a intrării și de interzicere a intrării pe teritoriu pronunțate împotriva sa. Acesta invocă dreptul său la respectarea vieții private și de familie, garantat la art. 8 din Convenție. Părțile relevante în speță ale acestui articol sunt redactate astfel:</w:t>
      </w:r>
    </w:p>
    <w:p w14:paraId="7060AC03" w14:textId="77777777" w:rsidR="008B56A0" w:rsidRPr="00DC0D10" w:rsidRDefault="008B56A0" w:rsidP="00DC0D10">
      <w:pPr>
        <w:pStyle w:val="JuQuot"/>
      </w:pPr>
      <w:r>
        <w:t>„(1)  Orice persoană are dreptul la respectarea vieții sale private și de familie [...]</w:t>
      </w:r>
    </w:p>
    <w:p w14:paraId="47B3D4EB" w14:textId="77777777" w:rsidR="008B56A0" w:rsidRPr="00DC0D10" w:rsidRDefault="008B56A0" w:rsidP="00DC0D10">
      <w:pPr>
        <w:pStyle w:val="JuQuot"/>
      </w:pPr>
      <w:r>
        <w:t>(2)  Nu este admis amestecul unei autorități publice în exercitarea acestui drept decât în măsura în care acest amestec este prevăzut de lege și dacă constituie o măsură care, într-o societate democratică, este necesară pentru securitatea națională, siguranța publică, bunăstarea economică a țării, apărarea ordinii și prevenirea faptelor penale, protejarea sănătății sau a moralei, ori protejarea drepturilor și libertăților altora. ”</w:t>
      </w:r>
    </w:p>
    <w:p w14:paraId="58FC0F84" w14:textId="77777777" w:rsidR="008B56A0" w:rsidRPr="00DC0D10" w:rsidRDefault="008B56A0" w:rsidP="00DC0D10">
      <w:pPr>
        <w:pStyle w:val="JuH1"/>
        <w:rPr>
          <w:rFonts w:eastAsiaTheme="minorHAnsi"/>
        </w:rPr>
      </w:pPr>
      <w:r>
        <w:lastRenderedPageBreak/>
        <w:t>Argumentele părților</w:t>
      </w:r>
    </w:p>
    <w:p w14:paraId="58EC141E" w14:textId="77777777" w:rsidR="008B56A0" w:rsidRPr="00DC0D10" w:rsidRDefault="008B56A0" w:rsidP="00DC0D10">
      <w:pPr>
        <w:pStyle w:val="JuHa0"/>
        <w:rPr>
          <w:rFonts w:eastAsiaTheme="minorHAnsi"/>
        </w:rPr>
      </w:pPr>
      <w:r>
        <w:t>Guvernul</w:t>
      </w:r>
    </w:p>
    <w:p w14:paraId="73CCA294" w14:textId="77777777" w:rsidR="008B56A0" w:rsidRPr="00DC0D10" w:rsidRDefault="008B56A0" w:rsidP="00DC0D10">
      <w:pPr>
        <w:pStyle w:val="JuPara"/>
        <w:rPr>
          <w:rFonts w:eastAsia="Times New Roman"/>
        </w:rPr>
      </w:pPr>
      <w:r w:rsidRPr="00DC0D10">
        <w:rPr>
          <w:rFonts w:eastAsia="Times New Roman"/>
        </w:rPr>
        <w:fldChar w:fldCharType="begin"/>
      </w:r>
      <w:r w:rsidRPr="00DC0D10">
        <w:rPr>
          <w:rFonts w:eastAsia="Times New Roman"/>
        </w:rPr>
        <w:instrText xml:space="preserve"> SEQ level0 \*arabic </w:instrText>
      </w:r>
      <w:r w:rsidRPr="00DC0D10">
        <w:rPr>
          <w:rFonts w:eastAsia="Times New Roman"/>
        </w:rPr>
        <w:fldChar w:fldCharType="separate"/>
      </w:r>
      <w:bookmarkStart w:id="22" w:name="paragraph00035"/>
      <w:r w:rsidR="00DC0D10" w:rsidRPr="00DC0D10">
        <w:rPr>
          <w:rFonts w:eastAsia="Times New Roman"/>
        </w:rPr>
        <w:t>35</w:t>
      </w:r>
      <w:bookmarkEnd w:id="22"/>
      <w:r w:rsidRPr="00DC0D10">
        <w:rPr>
          <w:rFonts w:eastAsia="Times New Roman"/>
        </w:rPr>
        <w:fldChar w:fldCharType="end"/>
      </w:r>
      <w:r>
        <w:t>.  În observațiile sale asupra admisibilității și temeiniciei cauzei din 14 octombrie 2013, Guvernul consideră că în speță nu a existat o ingerință în viața de familie a reclamantului. În observațiile sale suplimentare cu privire la temeinicia cauzei din 12 martie 2018, Guvernul susține că reclamantul ar fi putut contesta decizia Curții de Apel în fața Înaltei Curți, fără mai multe detalii.</w:t>
      </w:r>
    </w:p>
    <w:p w14:paraId="0C86063F" w14:textId="77777777" w:rsidR="008B56A0" w:rsidRPr="00DC0D10" w:rsidRDefault="0053564F" w:rsidP="00DC0D10">
      <w:pPr>
        <w:pStyle w:val="JuPara"/>
        <w:rPr>
          <w:rFonts w:eastAsia="Times New Roman"/>
        </w:rPr>
      </w:pPr>
      <w:fldSimple w:instr=" SEQ level0 \*arabic \* MERGEFORMAT ">
        <w:r w:rsidR="00DC0D10" w:rsidRPr="00DC0D10">
          <w:t>36</w:t>
        </w:r>
      </w:fldSimple>
      <w:r>
        <w:t>.  Guvernul consideră că măsurile luate autoritățile române față de reclamant erau prevăzute de o lege accesibilă și previzibilă și urmăreau scopul legitim de a proteja securitatea națională. Apreciază că, având în vedere gravitatea faptelor de care era suspectat reclamantul, interzicerea intrării pe teritoriu răspundea unei nevoi sociale imperioase și, în plus, constituia singura măsură posibilă. Arată că, desigur, respectivul nu a putut lua cunoștință de conținutul dosarului, dar că, după ce a examinat toate probele, Curtea de Apel a efectuat un control aprofundat cu privire la temeinicia măsurii luate în cauză. Adaugă faptul că reclamantul a ales să apeleze la serviciile unui avocat care nu deținea un certificat ORNISS și care nu a făcut demersurile necesare pentru a obține unul.</w:t>
      </w:r>
    </w:p>
    <w:p w14:paraId="0CAA69BE" w14:textId="77777777" w:rsidR="008B56A0" w:rsidRPr="00DC0D10" w:rsidRDefault="008B56A0" w:rsidP="00DC0D10">
      <w:pPr>
        <w:pStyle w:val="JuHa0"/>
        <w:rPr>
          <w:rFonts w:eastAsiaTheme="minorHAnsi"/>
        </w:rPr>
      </w:pPr>
      <w:r>
        <w:t>Reclamantul</w:t>
      </w:r>
    </w:p>
    <w:p w14:paraId="00A7631D" w14:textId="7519A3F4" w:rsidR="008B56A0" w:rsidRPr="00DC0D10" w:rsidRDefault="008B56A0" w:rsidP="00DC0D10">
      <w:pPr>
        <w:pStyle w:val="JuPara"/>
        <w:rPr>
          <w:rFonts w:eastAsia="Times New Roman"/>
        </w:rPr>
      </w:pPr>
      <w:r w:rsidRPr="00DC0D10">
        <w:rPr>
          <w:rFonts w:eastAsia="Times New Roman"/>
        </w:rPr>
        <w:fldChar w:fldCharType="begin"/>
      </w:r>
      <w:r w:rsidRPr="00DC0D10">
        <w:rPr>
          <w:rFonts w:eastAsia="Times New Roman"/>
        </w:rPr>
        <w:instrText xml:space="preserve"> SEQ level0 \*arabic </w:instrText>
      </w:r>
      <w:r w:rsidRPr="00DC0D10">
        <w:rPr>
          <w:rFonts w:eastAsia="Times New Roman"/>
        </w:rPr>
        <w:fldChar w:fldCharType="separate"/>
      </w:r>
      <w:bookmarkStart w:id="23" w:name="paragraph00037"/>
      <w:r w:rsidR="00DC0D10" w:rsidRPr="00DC0D10">
        <w:rPr>
          <w:rFonts w:eastAsia="Times New Roman"/>
        </w:rPr>
        <w:t>37</w:t>
      </w:r>
      <w:bookmarkEnd w:id="23"/>
      <w:r w:rsidRPr="00DC0D10">
        <w:rPr>
          <w:rFonts w:eastAsia="Times New Roman"/>
        </w:rPr>
        <w:fldChar w:fldCharType="end"/>
      </w:r>
      <w:r>
        <w:t xml:space="preserve">.  Reclamantul susține că măsura în litigiu constituie o ingerință în viața sa privată </w:t>
      </w:r>
      <w:r w:rsidR="00112B74">
        <w:t>și</w:t>
      </w:r>
      <w:r>
        <w:t xml:space="preserve"> de familie. Consideră că în fața organului de control nu a beneficiat de o procedură contradictorie care i-ar fi permis să se apere efectiv împotriva deciziei, în opinia sa arbitrare, a autorităților și că astfel ingerința produsă în viața sa privată a fost lipsită de temei legal. Explică mai exact că, deși judecătorii au avut acces la toate înscrisurile din dosar, nici el și nici avocatul său nu au fost informați despre faptele de care era acuzat. Consideră că instanțele naționale ar fi trebuit, pentru a garanta caracterul contradictoriu al dezbaterilor, să ia măsurile necesare pentru a-l ajuta să găsească un avocat care deținea un certificat ORNISS, sau cel puțin să-l informeze pe avocat cu privire la procedura de urmat pentru a obține acest certificat, și aceasta cu atât mai mult cu cât însăși persoana în cauză era împiedicată să participe la procedură. În sfârșit, adaugă faptul că nu făcuse niciodată obiectul unei urmăriri penale din partea autorităților române.</w:t>
      </w:r>
    </w:p>
    <w:p w14:paraId="3091EEC8" w14:textId="77777777" w:rsidR="008B56A0" w:rsidRPr="00DC0D10" w:rsidRDefault="008B56A0" w:rsidP="00DC0D10">
      <w:pPr>
        <w:pStyle w:val="JuH1"/>
        <w:rPr>
          <w:rFonts w:eastAsiaTheme="minorHAnsi"/>
        </w:rPr>
      </w:pPr>
      <w:r>
        <w:t>Motivarea Curții</w:t>
      </w:r>
    </w:p>
    <w:p w14:paraId="69823EAE" w14:textId="7E568AE4" w:rsidR="008B56A0" w:rsidRPr="00DC0D10" w:rsidRDefault="0053564F" w:rsidP="00DC0D10">
      <w:pPr>
        <w:pStyle w:val="JuPara"/>
        <w:rPr>
          <w:rFonts w:ascii="Times New Roman" w:eastAsia="Times New Roman" w:hAnsi="Times New Roman" w:cs="Times New Roman"/>
        </w:rPr>
      </w:pPr>
      <w:fldSimple w:instr=" SEQ level0 \*arabic \* MERGEFORMAT ">
        <w:r w:rsidR="00DC0D10" w:rsidRPr="00DC0D10">
          <w:t>38</w:t>
        </w:r>
      </w:fldSimple>
      <w:r>
        <w:t xml:space="preserve">.  În opinia Curții, argumentele Guvernului, având în esență scopul de a susține că art. 8 din Convenție nu se poate aplica în speță, echivalează cu o excepție de incompatibilitate </w:t>
      </w:r>
      <w:proofErr w:type="spellStart"/>
      <w:r>
        <w:rPr>
          <w:i/>
        </w:rPr>
        <w:t>ratione</w:t>
      </w:r>
      <w:proofErr w:type="spellEnd"/>
      <w:r>
        <w:rPr>
          <w:i/>
        </w:rPr>
        <w:t xml:space="preserve"> </w:t>
      </w:r>
      <w:proofErr w:type="spellStart"/>
      <w:r>
        <w:rPr>
          <w:i/>
        </w:rPr>
        <w:t>materiae</w:t>
      </w:r>
      <w:proofErr w:type="spellEnd"/>
      <w:r>
        <w:t>.</w:t>
      </w:r>
      <w:r>
        <w:rPr>
          <w:i/>
        </w:rPr>
        <w:t xml:space="preserve"> </w:t>
      </w:r>
      <w:r>
        <w:rPr>
          <w:rFonts w:ascii="Times New Roman" w:hAnsi="Times New Roman"/>
        </w:rPr>
        <w:t xml:space="preserve">Curtea observă, de asemenea, că argumentul Guvernului menționat în observațiile sale din 12 martie 2018 (supra, pct. </w:t>
      </w:r>
      <w:r w:rsidR="008B56A0" w:rsidRPr="00DC0D10">
        <w:rPr>
          <w:rFonts w:ascii="Times New Roman" w:eastAsia="Times New Roman" w:hAnsi="Times New Roman" w:cs="Times New Roman"/>
        </w:rPr>
        <w:fldChar w:fldCharType="begin"/>
      </w:r>
      <w:r w:rsidR="008B56A0" w:rsidRPr="00DC0D10">
        <w:rPr>
          <w:rFonts w:ascii="Times New Roman" w:eastAsia="Times New Roman" w:hAnsi="Times New Roman" w:cs="Times New Roman"/>
        </w:rPr>
        <w:instrText xml:space="preserve"> REF paragraph00035 \h  \* CharFormat  \* MERGEFORMAT </w:instrText>
      </w:r>
      <w:r w:rsidR="008B56A0" w:rsidRPr="00DC0D10">
        <w:rPr>
          <w:rFonts w:ascii="Times New Roman" w:eastAsia="Times New Roman" w:hAnsi="Times New Roman" w:cs="Times New Roman"/>
        </w:rPr>
      </w:r>
      <w:r w:rsidR="008B56A0" w:rsidRPr="00DC0D10">
        <w:rPr>
          <w:rFonts w:ascii="Times New Roman" w:eastAsia="Times New Roman" w:hAnsi="Times New Roman" w:cs="Times New Roman"/>
        </w:rPr>
        <w:fldChar w:fldCharType="separate"/>
      </w:r>
      <w:r w:rsidR="00DC0D10" w:rsidRPr="00DC0D10">
        <w:rPr>
          <w:rFonts w:ascii="Times New Roman" w:eastAsia="Times New Roman" w:hAnsi="Times New Roman" w:cs="Times New Roman"/>
        </w:rPr>
        <w:t>35</w:t>
      </w:r>
      <w:r w:rsidR="008B56A0" w:rsidRPr="00DC0D10">
        <w:rPr>
          <w:rFonts w:ascii="Times New Roman" w:eastAsia="Times New Roman" w:hAnsi="Times New Roman" w:cs="Times New Roman"/>
        </w:rPr>
        <w:fldChar w:fldCharType="end"/>
      </w:r>
      <w:r>
        <w:rPr>
          <w:rFonts w:ascii="Times New Roman" w:hAnsi="Times New Roman"/>
        </w:rPr>
        <w:t xml:space="preserve">) este similar unei excepții de neepuizare a căilor de atac interne. Nu consideră, totuși, necesar să examineze aceste excepții, având în </w:t>
      </w:r>
      <w:r>
        <w:rPr>
          <w:rFonts w:ascii="Times New Roman" w:hAnsi="Times New Roman"/>
        </w:rPr>
        <w:lastRenderedPageBreak/>
        <w:t>vedere că, ținând seama de înscrisurile aflate la dosar și de observațiile părților, cererea este inadmisibilă din motivele expuse infra.</w:t>
      </w:r>
    </w:p>
    <w:p w14:paraId="44AB7E40" w14:textId="77777777" w:rsidR="008B56A0" w:rsidRPr="00DC0D10" w:rsidRDefault="008B56A0" w:rsidP="00DC0D10">
      <w:pPr>
        <w:pStyle w:val="JuHa0"/>
      </w:pPr>
      <w:r>
        <w:t>Principii generale</w:t>
      </w:r>
    </w:p>
    <w:p w14:paraId="0217481A" w14:textId="77777777" w:rsidR="008B56A0" w:rsidRPr="00DC0D10" w:rsidRDefault="0053564F" w:rsidP="00DC0D10">
      <w:pPr>
        <w:pStyle w:val="JuPara"/>
      </w:pPr>
      <w:fldSimple w:instr=" SEQ level0 \*arabic \* MERGEFORMAT ">
        <w:r w:rsidR="00DC0D10" w:rsidRPr="00DC0D10">
          <w:t>39</w:t>
        </w:r>
      </w:fldSimple>
      <w:r>
        <w:t>.  Curtea reamintește de la început că, atunci când autoritățile naționale au hotărât că într-o cauză dată exista un pericol pentru securitatea națională, nu este în măsură să reexamineze această concluzie. Conștientă de rolul său subsidiar și de marja de apreciere largă lăsată statelor în materie de securitate națională, aceasta recunoaște că revine fiecărui stat, în calitate de gardian al securității populației sale, să facă o evaluare proprie a chestiunilor de securitate națională, bazându-se pe faptele pe care le cunoaște [</w:t>
      </w:r>
      <w:r>
        <w:rPr>
          <w:i/>
        </w:rPr>
        <w:t>Gaspar împotriva Rusiei</w:t>
      </w:r>
      <w:r>
        <w:t xml:space="preserve">, nr. 23038/15, pct. 43, 12 iunie 2018, și </w:t>
      </w:r>
      <w:proofErr w:type="spellStart"/>
      <w:r>
        <w:rPr>
          <w:rStyle w:val="JuParaChar"/>
          <w:i/>
        </w:rPr>
        <w:t>Liu</w:t>
      </w:r>
      <w:proofErr w:type="spellEnd"/>
      <w:r>
        <w:rPr>
          <w:rStyle w:val="JuParaChar"/>
          <w:i/>
        </w:rPr>
        <w:t xml:space="preserve"> împotriva Rusiei (nr. 2)</w:t>
      </w:r>
      <w:r>
        <w:t>, nr. 29157/09, pct. 85, 26 iulie 2011].</w:t>
      </w:r>
    </w:p>
    <w:p w14:paraId="5235C1AB" w14:textId="3BA76C85" w:rsidR="008B56A0" w:rsidRPr="00DC0D10" w:rsidRDefault="008B56A0" w:rsidP="00DC0D10">
      <w:pPr>
        <w:pStyle w:val="JuPara"/>
        <w:rPr>
          <w:bCs/>
        </w:rPr>
      </w:pPr>
      <w:fldSimple w:instr=" SEQ level0 \*arabic ">
        <w:bookmarkStart w:id="24" w:name="paragraph00046"/>
        <w:r w:rsidR="00DC0D10" w:rsidRPr="00DC0D10">
          <w:t>40</w:t>
        </w:r>
        <w:bookmarkEnd w:id="24"/>
      </w:fldSimple>
      <w:r>
        <w:t xml:space="preserve">.  În întreaga sa jurisprudență, Curtea a consolidat ideea că garanțiile procedurale sunt necesare și fac parte integrantă din legalitatea deciziei de expulzare în sensul art. 8 din Convenție și mai precis al noțiunii de „calitate a legii” (a se vedea, în acest sens, </w:t>
      </w:r>
      <w:r>
        <w:rPr>
          <w:i/>
        </w:rPr>
        <w:t>Al</w:t>
      </w:r>
      <w:r>
        <w:rPr>
          <w:i/>
        </w:rPr>
        <w:noBreakHyphen/>
      </w:r>
      <w:proofErr w:type="spellStart"/>
      <w:r>
        <w:rPr>
          <w:i/>
        </w:rPr>
        <w:t>Nashif</w:t>
      </w:r>
      <w:proofErr w:type="spellEnd"/>
      <w:r>
        <w:rPr>
          <w:i/>
        </w:rPr>
        <w:t xml:space="preserve"> împotriva Bulgariei</w:t>
      </w:r>
      <w:r>
        <w:t xml:space="preserve">, nr. 50963/99, pct. 119-128, 20 iunie 2002, </w:t>
      </w:r>
      <w:r>
        <w:rPr>
          <w:i/>
          <w:iCs/>
        </w:rPr>
        <w:t>Lupșa împotriva României</w:t>
      </w:r>
      <w:r>
        <w:t>, nr. 10337/04, pct. 42, CEDO 2006</w:t>
      </w:r>
      <w:r>
        <w:noBreakHyphen/>
        <w:t xml:space="preserve">VII, </w:t>
      </w:r>
      <w:proofErr w:type="spellStart"/>
      <w:r>
        <w:rPr>
          <w:i/>
        </w:rPr>
        <w:t>Kaya</w:t>
      </w:r>
      <w:proofErr w:type="spellEnd"/>
      <w:r>
        <w:rPr>
          <w:i/>
        </w:rPr>
        <w:t xml:space="preserve"> </w:t>
      </w:r>
      <w:r>
        <w:rPr>
          <w:i/>
          <w:iCs/>
        </w:rPr>
        <w:t>împotriva României</w:t>
      </w:r>
      <w:r>
        <w:t xml:space="preserve">, nr. 33970/05, pct. 43, 12 octombrie 2006, </w:t>
      </w:r>
      <w:r>
        <w:rPr>
          <w:i/>
        </w:rPr>
        <w:t>C.G. și alții împotriva Bulgariei</w:t>
      </w:r>
      <w:r>
        <w:t xml:space="preserve">, nr. 1365/07, pct. 49, 24 aprilie 2008, </w:t>
      </w:r>
      <w:proofErr w:type="spellStart"/>
      <w:r>
        <w:rPr>
          <w:i/>
        </w:rPr>
        <w:t>Geleri</w:t>
      </w:r>
      <w:proofErr w:type="spellEnd"/>
      <w:r>
        <w:rPr>
          <w:i/>
        </w:rPr>
        <w:t xml:space="preserve"> </w:t>
      </w:r>
      <w:r>
        <w:rPr>
          <w:i/>
          <w:iCs/>
        </w:rPr>
        <w:t>împotriva României</w:t>
      </w:r>
      <w:r>
        <w:t xml:space="preserve">, nr. 33118/05, pct. 36, 15 februarie 2011, </w:t>
      </w:r>
      <w:r>
        <w:rPr>
          <w:i/>
        </w:rPr>
        <w:t xml:space="preserve">Abou </w:t>
      </w:r>
      <w:proofErr w:type="spellStart"/>
      <w:r>
        <w:rPr>
          <w:i/>
        </w:rPr>
        <w:t>Amer</w:t>
      </w:r>
      <w:proofErr w:type="spellEnd"/>
      <w:r>
        <w:rPr>
          <w:i/>
        </w:rPr>
        <w:t xml:space="preserve"> </w:t>
      </w:r>
      <w:r>
        <w:rPr>
          <w:i/>
          <w:iCs/>
        </w:rPr>
        <w:t>împotriva României</w:t>
      </w:r>
      <w:r>
        <w:t xml:space="preserve">, nr. 14521/03, pct. 59, 24 mai 2011, </w:t>
      </w:r>
      <w:proofErr w:type="spellStart"/>
      <w:r>
        <w:rPr>
          <w:i/>
        </w:rPr>
        <w:t>Baltaji</w:t>
      </w:r>
      <w:proofErr w:type="spellEnd"/>
      <w:r>
        <w:rPr>
          <w:i/>
        </w:rPr>
        <w:t xml:space="preserve"> împotriva Bulgariei</w:t>
      </w:r>
      <w:r>
        <w:t xml:space="preserve">, nr. 12919/04, pct. 38, 12 iulie 2011, </w:t>
      </w:r>
      <w:proofErr w:type="spellStart"/>
      <w:r>
        <w:rPr>
          <w:i/>
        </w:rPr>
        <w:t>Amie</w:t>
      </w:r>
      <w:proofErr w:type="spellEnd"/>
      <w:r>
        <w:rPr>
          <w:i/>
        </w:rPr>
        <w:t xml:space="preserve"> și alții împotriva Bulgariei</w:t>
      </w:r>
      <w:r>
        <w:t xml:space="preserve">, nr. 58149/08, pct. 100, 12 februarie 2013, și </w:t>
      </w:r>
      <w:proofErr w:type="spellStart"/>
      <w:r>
        <w:rPr>
          <w:i/>
        </w:rPr>
        <w:t>Ozdil</w:t>
      </w:r>
      <w:proofErr w:type="spellEnd"/>
      <w:r>
        <w:rPr>
          <w:i/>
        </w:rPr>
        <w:t xml:space="preserve"> și alții împotriva Republicii Moldova</w:t>
      </w:r>
      <w:r>
        <w:t>, nr. 42305/18, pct. 71, 11 iunie 2019). În alte cauze, Curtea a luat act de faptul că problema protecției împotriva atingerilor arbitrare aduse drepturilor de către puterea publică, inclusiv garanțiile procedurale împotriva unor asemenea abuzuri, se suprapune peste alte probleme similare pe care le examinează în lumina criteriului proporționalității măsurii în litigiu în raport cu scopul legitim urmărit în sensul art. 8 § 2 din Convenție. În aceste din urmă cauze, a considerat că putea renunța să se pronunțe asupra cerințelor de „calitate a legii” și putea examina direct dacă măsura în litigiu luată față de reclamant era necesară, într-o societate democratică [</w:t>
      </w:r>
      <w:proofErr w:type="spellStart"/>
      <w:r>
        <w:rPr>
          <w:i/>
        </w:rPr>
        <w:t>Liu</w:t>
      </w:r>
      <w:proofErr w:type="spellEnd"/>
      <w:r>
        <w:rPr>
          <w:i/>
        </w:rPr>
        <w:t xml:space="preserve"> (nr. 2)</w:t>
      </w:r>
      <w:r>
        <w:t xml:space="preserve">, citată anterior, pct. 79 și 86, și </w:t>
      </w:r>
      <w:r>
        <w:rPr>
          <w:i/>
        </w:rPr>
        <w:t>Gaspar</w:t>
      </w:r>
      <w:r w:rsidR="000F2082">
        <w:t>, citată anterior, pct. 41]</w:t>
      </w:r>
      <w:r>
        <w:t>.</w:t>
      </w:r>
    </w:p>
    <w:p w14:paraId="7353AE1D" w14:textId="77777777" w:rsidR="008B56A0" w:rsidRPr="00DC0D10" w:rsidRDefault="0053564F" w:rsidP="00DC0D10">
      <w:pPr>
        <w:pStyle w:val="JuPara"/>
      </w:pPr>
      <w:fldSimple w:instr=" SEQ level0 \*arabic \* MERGEFORMAT ">
        <w:r w:rsidR="00DC0D10" w:rsidRPr="00DC0D10">
          <w:t>41</w:t>
        </w:r>
      </w:fldSimple>
      <w:r>
        <w:t>.  Curtea admite că măsuri precum cea dispusă față de reclamant urmăreau scopul legitim de protejare a securității naționale. Cu toate acestea, trebuie să se stabilească dacă ingerința era proporțională cu scopul legitim urmărit, în special dacă autoritățile interne au asigurat un echilibru just între interesele în cauză, și anume protejarea securității naționale, pe de o parte, și dreptul reclamantului la respectarea vieții sale de familie, pe de altă parte [</w:t>
      </w:r>
      <w:proofErr w:type="spellStart"/>
      <w:r>
        <w:rPr>
          <w:i/>
        </w:rPr>
        <w:t>Liu</w:t>
      </w:r>
      <w:proofErr w:type="spellEnd"/>
      <w:r>
        <w:rPr>
          <w:i/>
        </w:rPr>
        <w:t xml:space="preserve"> (nr. 2)</w:t>
      </w:r>
      <w:r>
        <w:t>, citată anterior, pct. 80].</w:t>
      </w:r>
    </w:p>
    <w:p w14:paraId="6C4B7C14" w14:textId="77777777" w:rsidR="008B56A0" w:rsidRPr="00DC0D10" w:rsidRDefault="008B56A0" w:rsidP="00DC0D10">
      <w:pPr>
        <w:pStyle w:val="JuPara"/>
        <w:rPr>
          <w:b/>
        </w:rPr>
      </w:pPr>
      <w:fldSimple w:instr=" SEQ level0 \*arabic ">
        <w:bookmarkStart w:id="25" w:name="paragraph00047"/>
        <w:r w:rsidR="00DC0D10" w:rsidRPr="00DC0D10">
          <w:t>42</w:t>
        </w:r>
        <w:bookmarkEnd w:id="25"/>
      </w:fldSimple>
      <w:r>
        <w:t xml:space="preserve">.  În cauza </w:t>
      </w:r>
      <w:r>
        <w:rPr>
          <w:i/>
          <w:iCs/>
        </w:rPr>
        <w:t>I.R. și G.T. împotriva Regatului Unit</w:t>
      </w:r>
      <w:r>
        <w:t xml:space="preserve"> [(dec.), nr. 14876/12 și 63339/12, pct. 59-60, 28 ianuarie 2014], în care reclamanții s-au plâns, </w:t>
      </w:r>
      <w:r>
        <w:lastRenderedPageBreak/>
        <w:t xml:space="preserve">precum reclamantul din prezenta cauză, că nu fuseseră informați asupra motivelor pe care se întemeia interdicția de intrare pe teritoriu, Curtea a precizat că acest aspect nu era decât unul dintre numeroșii factori luați în considerare în cauzele examinate anterior pentru a stabili dacă persoanele în cauză beneficiaseră de garanții procedurale suficiente. A considerat că le revenea statelor, în temeiul art. 8 din Convenție, obligația să instituie pentru cauzele care ridică probleme de securitate națională o procedură care să asigure un echilibru între necesitatea de a limita accesul la informații clasificate și necesitatea de a asigura persoanei în cauză o anumită formă de procedură contradictorie. A precizat că puteau exista mai multe moduri de a îndeplini acest obiectiv. A considerat, prin urmare, că trebuia să examineze în ansamblu sistemul procedural instituit de statul pârât pentru a verifica dacă garanțiile procedurale prevăzute la art. 8 din Convenție fuseseră respectate în circumstanțele cauzei. Un viciu procedural existent într-o anumită privință ar putea foarte bine să fie atenuat de o garanție procedurală prezentă în altă parte [a se vedea, de asemenea, </w:t>
      </w:r>
      <w:proofErr w:type="spellStart"/>
      <w:r>
        <w:rPr>
          <w:i/>
        </w:rPr>
        <w:t>Saeed</w:t>
      </w:r>
      <w:proofErr w:type="spellEnd"/>
      <w:r>
        <w:rPr>
          <w:i/>
        </w:rPr>
        <w:t xml:space="preserve"> împotriva Danemarcei</w:t>
      </w:r>
      <w:r>
        <w:t xml:space="preserve"> (dec.), nr. 53/12, pct. 35, 24 iunie 2014].</w:t>
      </w:r>
    </w:p>
    <w:p w14:paraId="26E3FAB0" w14:textId="7C65F8B7" w:rsidR="008B56A0" w:rsidRPr="00DC0D10" w:rsidRDefault="008B56A0" w:rsidP="00DC0D10">
      <w:pPr>
        <w:pStyle w:val="JuPara"/>
      </w:pPr>
      <w:fldSimple w:instr=" SEQ level0 \*arabic ">
        <w:bookmarkStart w:id="26" w:name="paragraph00048"/>
        <w:r w:rsidR="00DC0D10" w:rsidRPr="00DC0D10">
          <w:t>43</w:t>
        </w:r>
        <w:bookmarkEnd w:id="26"/>
      </w:fldSimple>
      <w:r>
        <w:t>.  Curtea a explicat și că în cauzele privind expulzarea străinilor din motive de securitate națională, garanția unei căi de atac efective în sensul art. 13 coroborat cu art. 8 din Convenție impune cel puțin ca autoritatea de recurs independentă și competentă să fie informată despre motivele care stau la baza deciziei de expulzare, dar nu merge până la a impune comunicarea acestor informații persoanei în cauză (</w:t>
      </w:r>
      <w:r>
        <w:rPr>
          <w:i/>
        </w:rPr>
        <w:t xml:space="preserve">I.R. și G.T. împotriva Regatului Unit </w:t>
      </w:r>
      <w:r>
        <w:t>, citată anterior, pct. 62), contrar a ceea ce impune principiul general care se aplică în cazurile care intră sub incidența art. 5 și 6 din Convenție (</w:t>
      </w:r>
      <w:r>
        <w:rPr>
          <w:i/>
        </w:rPr>
        <w:t>ibidem</w:t>
      </w:r>
      <w:r>
        <w:t>, pct. 61). Aceasta a reamintit și că autoritatea de recurs trebuia să fie competentă pentru a respinge afirmația autorităților că exista o amenințare pentru securitatea națională atunci când considera că afirmația aceasta era arbitrară sau nerezonabilă, că trebuia să existe o formă de procedură contradictorie, trecând la nevoie prin intermediul unui reprezentant special titular al unui certificat de securitate, și, în sfârșit, că era necesar a cerceta dacă măsura aducea atingere dreptului la respectarea vieții de familie și, în caz afirmativ, dacă se asigurase un echilibru just între interesul public vizat și drepturile individului (</w:t>
      </w:r>
      <w:r>
        <w:rPr>
          <w:i/>
        </w:rPr>
        <w:t>ibidem</w:t>
      </w:r>
      <w:r>
        <w:t>, pct. 62).</w:t>
      </w:r>
    </w:p>
    <w:p w14:paraId="1314E950" w14:textId="77777777" w:rsidR="008B56A0" w:rsidRPr="00DC0D10" w:rsidRDefault="008B56A0" w:rsidP="00DC0D10">
      <w:pPr>
        <w:pStyle w:val="JuHa0"/>
      </w:pPr>
      <w:r>
        <w:t>Aplicarea acestor principii în prezenta cauză</w:t>
      </w:r>
    </w:p>
    <w:p w14:paraId="24475E75" w14:textId="77777777" w:rsidR="008B56A0" w:rsidRPr="00DC0D10" w:rsidRDefault="0053564F" w:rsidP="00DC0D10">
      <w:pPr>
        <w:pStyle w:val="JuPara"/>
      </w:pPr>
      <w:fldSimple w:instr=" SEQ level0 \*arabic \* MERGEFORMAT ">
        <w:r w:rsidR="00DC0D10" w:rsidRPr="00DC0D10">
          <w:t>44</w:t>
        </w:r>
      </w:fldSimple>
      <w:r>
        <w:t xml:space="preserve">.  Curtea observă că în fața sa reclamantul se plânge în special că nu a beneficiat de o procedură contradictorie în fața Curții de Apel care i-ar fi permis să conteste măsurile luate împotriva sa, întrucât nici el și nici avocatul său nu au avut acces la informațiile clasificate din dosar (supra, pct. </w:t>
      </w:r>
      <w:r w:rsidR="008B56A0" w:rsidRPr="00DC0D10">
        <w:fldChar w:fldCharType="begin"/>
      </w:r>
      <w:r w:rsidR="008B56A0" w:rsidRPr="00DC0D10">
        <w:instrText xml:space="preserve"> REF paragraph00032 \h  \* CharFormat  \* MERGEFORMAT </w:instrText>
      </w:r>
      <w:r w:rsidR="008B56A0" w:rsidRPr="00DC0D10">
        <w:fldChar w:fldCharType="separate"/>
      </w:r>
      <w:r w:rsidR="00DC0D10" w:rsidRPr="00DC0D10">
        <w:t>32</w:t>
      </w:r>
      <w:r w:rsidR="008B56A0" w:rsidRPr="00DC0D10">
        <w:fldChar w:fldCharType="end"/>
      </w:r>
      <w:r>
        <w:t xml:space="preserve"> și </w:t>
      </w:r>
      <w:r w:rsidR="008B56A0" w:rsidRPr="00DC0D10">
        <w:fldChar w:fldCharType="begin"/>
      </w:r>
      <w:r w:rsidR="008B56A0" w:rsidRPr="00DC0D10">
        <w:instrText xml:space="preserve"> REF paragraph00037 \h  \* CharFormat  \* MERGEFORMAT </w:instrText>
      </w:r>
      <w:r w:rsidR="008B56A0" w:rsidRPr="00DC0D10">
        <w:fldChar w:fldCharType="separate"/>
      </w:r>
      <w:r w:rsidR="00DC0D10" w:rsidRPr="00DC0D10">
        <w:t>37</w:t>
      </w:r>
      <w:r w:rsidR="008B56A0" w:rsidRPr="00DC0D10">
        <w:fldChar w:fldCharType="end"/>
      </w:r>
      <w:r>
        <w:t>).</w:t>
      </w:r>
    </w:p>
    <w:p w14:paraId="60FF716A" w14:textId="77777777" w:rsidR="008B56A0" w:rsidRPr="00DC0D10" w:rsidRDefault="0053564F" w:rsidP="00DC0D10">
      <w:pPr>
        <w:pStyle w:val="JuPara"/>
      </w:pPr>
      <w:fldSimple w:instr=" SEQ level0 \*arabic \* MERGEFORMAT ">
        <w:r w:rsidR="00DC0D10" w:rsidRPr="00DC0D10">
          <w:t>45</w:t>
        </w:r>
      </w:fldSimple>
      <w:r>
        <w:t xml:space="preserve">.  Curtea observă, mai întâi, că reclamantul a fost informat doar în termeni foarte generali cu privire la faptele de care era acuzat: a fost informat despre faptul că numele său era înscris în registrul național în scopul nepermiterii intrării pe teritoriu </w:t>
      </w:r>
      <w:r>
        <w:rPr>
          <w:rFonts w:ascii="Times New Roman" w:hAnsi="Times New Roman"/>
        </w:rPr>
        <w:t xml:space="preserve">(supra, pct. </w:t>
      </w:r>
      <w:r w:rsidR="008B56A0" w:rsidRPr="00DC0D10">
        <w:rPr>
          <w:rFonts w:ascii="Times New Roman" w:eastAsia="Times New Roman" w:hAnsi="Times New Roman" w:cs="Times New Roman"/>
        </w:rPr>
        <w:fldChar w:fldCharType="begin"/>
      </w:r>
      <w:r w:rsidR="008B56A0" w:rsidRPr="00DC0D10">
        <w:rPr>
          <w:rFonts w:ascii="Times New Roman" w:eastAsia="Times New Roman" w:hAnsi="Times New Roman" w:cs="Times New Roman"/>
        </w:rPr>
        <w:instrText xml:space="preserve"> REF paragraph00006 \h  \* CharFormat </w:instrText>
      </w:r>
      <w:r w:rsidR="008B56A0" w:rsidRPr="00DC0D10">
        <w:rPr>
          <w:rFonts w:ascii="Times New Roman" w:eastAsia="Times New Roman" w:hAnsi="Times New Roman" w:cs="Times New Roman"/>
        </w:rPr>
      </w:r>
      <w:r w:rsidR="008B56A0" w:rsidRPr="00DC0D10">
        <w:rPr>
          <w:rFonts w:ascii="Times New Roman" w:eastAsia="Times New Roman" w:hAnsi="Times New Roman" w:cs="Times New Roman"/>
        </w:rPr>
        <w:fldChar w:fldCharType="separate"/>
      </w:r>
      <w:r w:rsidR="00DC0D10" w:rsidRPr="00DC0D10">
        <w:rPr>
          <w:rFonts w:ascii="Times New Roman" w:eastAsia="Times New Roman" w:hAnsi="Times New Roman" w:cs="Times New Roman"/>
        </w:rPr>
        <w:t>6</w:t>
      </w:r>
      <w:r w:rsidR="008B56A0" w:rsidRPr="00DC0D10">
        <w:rPr>
          <w:rFonts w:ascii="Times New Roman" w:eastAsia="Times New Roman" w:hAnsi="Times New Roman" w:cs="Times New Roman"/>
        </w:rPr>
        <w:fldChar w:fldCharType="end"/>
      </w:r>
      <w:r>
        <w:rPr>
          <w:rFonts w:ascii="Times New Roman" w:hAnsi="Times New Roman"/>
        </w:rPr>
        <w:t xml:space="preserve">), iar în cursul procedurii </w:t>
      </w:r>
      <w:r>
        <w:t xml:space="preserve">aflase </w:t>
      </w:r>
      <w:r>
        <w:lastRenderedPageBreak/>
        <w:t xml:space="preserve">că făcea obiectul unei măsuri de interzicere a intrării în România pentru o durată de 15 ani (supra, pct. </w:t>
      </w:r>
      <w:r w:rsidR="008B56A0" w:rsidRPr="00DC0D10">
        <w:fldChar w:fldCharType="begin"/>
      </w:r>
      <w:r w:rsidR="008B56A0" w:rsidRPr="00DC0D10">
        <w:instrText xml:space="preserve"> REF paragraph00012 \h  \* CharFormat  \* MERGEFORMAT </w:instrText>
      </w:r>
      <w:r w:rsidR="008B56A0" w:rsidRPr="00DC0D10">
        <w:fldChar w:fldCharType="separate"/>
      </w:r>
      <w:r w:rsidR="00DC0D10" w:rsidRPr="00DC0D10">
        <w:t>11</w:t>
      </w:r>
      <w:r w:rsidR="008B56A0" w:rsidRPr="00DC0D10">
        <w:fldChar w:fldCharType="end"/>
      </w:r>
      <w:r>
        <w:t xml:space="preserve">). Dacă textul art. 8 alin. (1) lit. b) din OUG nr. 194/2002 (supra, pct. </w:t>
      </w:r>
      <w:r w:rsidR="008B56A0" w:rsidRPr="00DC0D10">
        <w:fldChar w:fldCharType="begin"/>
      </w:r>
      <w:r w:rsidR="008B56A0" w:rsidRPr="00DC0D10">
        <w:instrText xml:space="preserve"> REF paragraph00026 \h  \* CharFormat </w:instrText>
      </w:r>
      <w:r w:rsidR="008B56A0" w:rsidRPr="00DC0D10">
        <w:fldChar w:fldCharType="separate"/>
      </w:r>
      <w:r w:rsidR="00DC0D10" w:rsidRPr="00DC0D10">
        <w:t>27</w:t>
      </w:r>
      <w:r w:rsidR="008B56A0" w:rsidRPr="00DC0D10">
        <w:fldChar w:fldCharType="end"/>
      </w:r>
      <w:r>
        <w:t>) oferea indicații generale privind faptele care justificaseră măsura luată împotriva reclamantului – adică o semnalare că finanțează, pregătește, sprijină în orice mod sau comite acte de terorism –, nu este totuși mai puțin adevărat că nu îi fusese comunicat niciun fapt concret de care era acuzat.</w:t>
      </w:r>
    </w:p>
    <w:p w14:paraId="42AED137" w14:textId="77777777" w:rsidR="008B56A0" w:rsidRPr="00DC0D10" w:rsidRDefault="0053564F" w:rsidP="00DC0D10">
      <w:pPr>
        <w:pStyle w:val="JuPara"/>
        <w:rPr>
          <w:bCs/>
        </w:rPr>
      </w:pPr>
      <w:fldSimple w:instr=" SEQ level0 \*arabic \* MERGEFORMAT ">
        <w:r w:rsidR="00DC0D10" w:rsidRPr="00DC0D10">
          <w:t>46</w:t>
        </w:r>
      </w:fldSimple>
      <w:r>
        <w:t xml:space="preserve">.  În plus, conform dispozițiilor legale relevante (supra, pct. </w:t>
      </w:r>
      <w:r w:rsidR="008B56A0" w:rsidRPr="00DC0D10">
        <w:fldChar w:fldCharType="begin"/>
      </w:r>
      <w:r w:rsidR="008B56A0" w:rsidRPr="00DC0D10">
        <w:instrText xml:space="preserve"> REF paragraph00028 \h  \* CharFormat </w:instrText>
      </w:r>
      <w:r w:rsidR="008B56A0" w:rsidRPr="00DC0D10">
        <w:fldChar w:fldCharType="separate"/>
      </w:r>
      <w:r w:rsidR="00DC0D10" w:rsidRPr="00DC0D10">
        <w:t>29</w:t>
      </w:r>
      <w:r w:rsidR="008B56A0" w:rsidRPr="00DC0D10">
        <w:fldChar w:fldCharType="end"/>
      </w:r>
      <w:r>
        <w:t xml:space="preserve">), Curtea de Apel a considerat că, </w:t>
      </w:r>
      <w:r>
        <w:rPr>
          <w:rFonts w:ascii="Times New Roman" w:hAnsi="Times New Roman"/>
        </w:rPr>
        <w:t xml:space="preserve">din cauza caracterului secret al documentelor depuse la dosar, legea impunea restrângerea drepturilor procedurale ale reclamantului justificată de interesul public care consta în protejarea informațiilor clasificate (supra, pct. </w:t>
      </w:r>
      <w:r w:rsidR="008B56A0" w:rsidRPr="00DC0D10">
        <w:rPr>
          <w:rFonts w:ascii="Times New Roman" w:hAnsi="Times New Roman"/>
        </w:rPr>
        <w:fldChar w:fldCharType="begin"/>
      </w:r>
      <w:r w:rsidR="008B56A0" w:rsidRPr="00DC0D10">
        <w:rPr>
          <w:rFonts w:ascii="Times New Roman" w:hAnsi="Times New Roman"/>
        </w:rPr>
        <w:instrText xml:space="preserve"> REF paragraph00020 \h  \* CharFormat </w:instrText>
      </w:r>
      <w:r w:rsidR="008B56A0" w:rsidRPr="00DC0D10">
        <w:rPr>
          <w:rFonts w:ascii="Times New Roman" w:hAnsi="Times New Roman"/>
        </w:rPr>
      </w:r>
      <w:r w:rsidR="008B56A0" w:rsidRPr="00DC0D10">
        <w:rPr>
          <w:rFonts w:ascii="Times New Roman" w:hAnsi="Times New Roman"/>
        </w:rPr>
        <w:fldChar w:fldCharType="separate"/>
      </w:r>
      <w:r w:rsidR="00DC0D10" w:rsidRPr="00DC0D10">
        <w:rPr>
          <w:rFonts w:ascii="Times New Roman" w:hAnsi="Times New Roman"/>
        </w:rPr>
        <w:t>20</w:t>
      </w:r>
      <w:r w:rsidR="008B56A0" w:rsidRPr="00DC0D10">
        <w:rPr>
          <w:rFonts w:ascii="Times New Roman" w:hAnsi="Times New Roman"/>
        </w:rPr>
        <w:fldChar w:fldCharType="end"/>
      </w:r>
      <w:r>
        <w:rPr>
          <w:rFonts w:ascii="Times New Roman" w:hAnsi="Times New Roman"/>
        </w:rPr>
        <w:t xml:space="preserve"> și </w:t>
      </w:r>
      <w:r w:rsidR="008B56A0" w:rsidRPr="00DC0D10">
        <w:rPr>
          <w:rFonts w:ascii="Times New Roman" w:hAnsi="Times New Roman"/>
        </w:rPr>
        <w:fldChar w:fldCharType="begin"/>
      </w:r>
      <w:r w:rsidR="008B56A0" w:rsidRPr="00DC0D10">
        <w:rPr>
          <w:rFonts w:ascii="Times New Roman" w:hAnsi="Times New Roman"/>
        </w:rPr>
        <w:instrText xml:space="preserve"> REF paragraph00021 \h  \* CharFormat </w:instrText>
      </w:r>
      <w:r w:rsidR="008B56A0" w:rsidRPr="00DC0D10">
        <w:rPr>
          <w:rFonts w:ascii="Times New Roman" w:hAnsi="Times New Roman"/>
        </w:rPr>
      </w:r>
      <w:r w:rsidR="008B56A0" w:rsidRPr="00DC0D10">
        <w:rPr>
          <w:rFonts w:ascii="Times New Roman" w:hAnsi="Times New Roman"/>
        </w:rPr>
        <w:fldChar w:fldCharType="separate"/>
      </w:r>
      <w:r w:rsidR="00DC0D10" w:rsidRPr="00DC0D10">
        <w:rPr>
          <w:rFonts w:ascii="Times New Roman" w:hAnsi="Times New Roman"/>
        </w:rPr>
        <w:t>21</w:t>
      </w:r>
      <w:r w:rsidR="008B56A0" w:rsidRPr="00DC0D10">
        <w:rPr>
          <w:rFonts w:ascii="Times New Roman" w:hAnsi="Times New Roman"/>
        </w:rPr>
        <w:fldChar w:fldCharType="end"/>
      </w:r>
      <w:r>
        <w:rPr>
          <w:rFonts w:ascii="Times New Roman" w:hAnsi="Times New Roman"/>
        </w:rPr>
        <w:t>).</w:t>
      </w:r>
    </w:p>
    <w:bookmarkStart w:id="27" w:name="P54"/>
    <w:p w14:paraId="479CFF6D" w14:textId="77777777" w:rsidR="008B56A0" w:rsidRPr="00DC0D10" w:rsidRDefault="008B56A0" w:rsidP="00DC0D10">
      <w:pPr>
        <w:pStyle w:val="JuPara"/>
      </w:pPr>
      <w:r w:rsidRPr="00DC0D10">
        <w:fldChar w:fldCharType="begin"/>
      </w:r>
      <w:r w:rsidRPr="00DC0D10">
        <w:instrText xml:space="preserve"> SEQ level0 \*arabic \* MERGEFORMAT </w:instrText>
      </w:r>
      <w:r w:rsidRPr="00DC0D10">
        <w:fldChar w:fldCharType="separate"/>
      </w:r>
      <w:r w:rsidR="00DC0D10" w:rsidRPr="00DC0D10">
        <w:t>47</w:t>
      </w:r>
      <w:r w:rsidRPr="00DC0D10">
        <w:fldChar w:fldCharType="end"/>
      </w:r>
      <w:bookmarkEnd w:id="27"/>
      <w:r>
        <w:t>.  În acest context, Curtea reamintește că garanțiile procedurale impuse la art. 8 din Convenție nu conferă străinului însuși un drept absolut de a fi informat asupra motivelor care au stat la baza deciziei de interzicere a intrării pe teritoriu, nici de a avea acces la informațiile și la înscrisurile clasificate din dosarul său (a se vedea jurisprudența citată supra, pct. </w:t>
      </w:r>
      <w:r w:rsidRPr="00DC0D10">
        <w:fldChar w:fldCharType="begin"/>
      </w:r>
      <w:r w:rsidRPr="00DC0D10">
        <w:instrText xml:space="preserve"> REF paragraph00048 \h  \* CharFormat </w:instrText>
      </w:r>
      <w:r w:rsidRPr="00DC0D10">
        <w:fldChar w:fldCharType="separate"/>
      </w:r>
      <w:r w:rsidR="00DC0D10" w:rsidRPr="00DC0D10">
        <w:t>43</w:t>
      </w:r>
      <w:r w:rsidRPr="00DC0D10">
        <w:fldChar w:fldCharType="end"/>
      </w:r>
      <w:r>
        <w:t xml:space="preserve">). Cu toate acestea, trebuie să existe un </w:t>
      </w:r>
      <w:r>
        <w:rPr>
          <w:rFonts w:ascii="Times New Roman" w:hAnsi="Times New Roman"/>
        </w:rPr>
        <w:t>control</w:t>
      </w:r>
      <w:r>
        <w:t xml:space="preserve">, al autorității de recurs independente, cu privire la lipsa arbitrarului în aprecierea amenințării pentru securitatea națională, precum și la proporționalitatea măsurii, coroborate cu o formă de procedură contradictorie, trecând la nevoie prin intermediul unui reprezentant special care este titular al unui certificat de securitate (supra, pct. </w:t>
      </w:r>
      <w:r w:rsidRPr="00DC0D10">
        <w:fldChar w:fldCharType="begin"/>
      </w:r>
      <w:r w:rsidRPr="00DC0D10">
        <w:instrText xml:space="preserve"> REF paragraph00047 \h  \* CharFormat </w:instrText>
      </w:r>
      <w:r w:rsidRPr="00DC0D10">
        <w:fldChar w:fldCharType="separate"/>
      </w:r>
      <w:r w:rsidR="00DC0D10" w:rsidRPr="00DC0D10">
        <w:t>42</w:t>
      </w:r>
      <w:r w:rsidRPr="00DC0D10">
        <w:fldChar w:fldCharType="end"/>
      </w:r>
      <w:r>
        <w:t xml:space="preserve"> și </w:t>
      </w:r>
      <w:r w:rsidRPr="00DC0D10">
        <w:fldChar w:fldCharType="begin"/>
      </w:r>
      <w:r w:rsidRPr="00DC0D10">
        <w:instrText xml:space="preserve"> REF paragraph00048 \h  \* CharFormat </w:instrText>
      </w:r>
      <w:r w:rsidRPr="00DC0D10">
        <w:fldChar w:fldCharType="separate"/>
      </w:r>
      <w:r w:rsidR="00DC0D10" w:rsidRPr="00DC0D10">
        <w:t>43</w:t>
      </w:r>
      <w:r w:rsidRPr="00DC0D10">
        <w:fldChar w:fldCharType="end"/>
      </w:r>
      <w:r>
        <w:t>).</w:t>
      </w:r>
    </w:p>
    <w:p w14:paraId="6CFFC745" w14:textId="7977C6E6" w:rsidR="008B56A0" w:rsidRPr="00DC0D10" w:rsidRDefault="008B56A0" w:rsidP="00DC0D10">
      <w:pPr>
        <w:pStyle w:val="JuPara"/>
        <w:rPr>
          <w:bCs/>
        </w:rPr>
      </w:pPr>
      <w:fldSimple w:instr=" SEQ level0 \*arabic \* MERGEFORMAT ">
        <w:r w:rsidR="00DC0D10" w:rsidRPr="00DC0D10">
          <w:t>48</w:t>
        </w:r>
      </w:fldSimple>
      <w:r>
        <w:t>.  Curtea observă că în speță reclamantul a putut contesta măsura interzicerii intrării în România în fața Curții de Apel, care se bucură de independența cerută în sensul jurisprudenței organelor Convenției (</w:t>
      </w:r>
      <w:r>
        <w:rPr>
          <w:i/>
        </w:rPr>
        <w:t>S.C. împotriva României</w:t>
      </w:r>
      <w:r>
        <w:t>, nr. 9356/11, pct. 73, 10 februarie 2015). Curtea observă în continuare că instanța de apel a avut acces la toate înscrisurile aflate la dosar, inclusiv la documentele clasificate care prezintă motivele</w:t>
      </w:r>
      <w:r>
        <w:rPr>
          <w:rFonts w:ascii="Times New Roman" w:hAnsi="Times New Roman"/>
        </w:rPr>
        <w:t xml:space="preserve"> de fapt care au stat la baza măsurii</w:t>
      </w:r>
      <w:r>
        <w:t xml:space="preserve"> (supra, pct. </w:t>
      </w:r>
      <w:r w:rsidRPr="00DC0D10">
        <w:fldChar w:fldCharType="begin"/>
      </w:r>
      <w:r w:rsidRPr="00DC0D10">
        <w:instrText xml:space="preserve"> REF paragraph00013 \h  \* CharFormat  \* MERGEFORMAT </w:instrText>
      </w:r>
      <w:r w:rsidRPr="00DC0D10">
        <w:fldChar w:fldCharType="separate"/>
      </w:r>
      <w:r w:rsidR="00DC0D10" w:rsidRPr="00DC0D10">
        <w:t>14</w:t>
      </w:r>
      <w:r w:rsidRPr="00DC0D10">
        <w:fldChar w:fldCharType="end"/>
      </w:r>
      <w:r>
        <w:t xml:space="preserve"> și </w:t>
      </w:r>
      <w:r w:rsidRPr="00DC0D10">
        <w:fldChar w:fldCharType="begin"/>
      </w:r>
      <w:r w:rsidRPr="00DC0D10">
        <w:instrText xml:space="preserve"> REF paragraph00017 \h  \* CharFormat  \* MERGEFORMAT </w:instrText>
      </w:r>
      <w:r w:rsidRPr="00DC0D10">
        <w:fldChar w:fldCharType="separate"/>
      </w:r>
      <w:r w:rsidR="00DC0D10" w:rsidRPr="00DC0D10">
        <w:t>18</w:t>
      </w:r>
      <w:r w:rsidRPr="00DC0D10">
        <w:fldChar w:fldCharType="end"/>
      </w:r>
      <w:r>
        <w:t>). Din formularea deciziei sale nu reiese că a con</w:t>
      </w:r>
      <w:r w:rsidR="00C31B3A">
        <w:t xml:space="preserve">siderat irefutabile acuzațiile </w:t>
      </w:r>
      <w:r>
        <w:t xml:space="preserve">formulate de autoritățile administrative împotriva reclamantului, nici că a considerat că nu avea competența de a repune în discuție faptele susținute în fața sa [a se vedea, </w:t>
      </w:r>
      <w:r>
        <w:rPr>
          <w:i/>
        </w:rPr>
        <w:t>a contrario</w:t>
      </w:r>
      <w:r>
        <w:t xml:space="preserve">, </w:t>
      </w:r>
      <w:proofErr w:type="spellStart"/>
      <w:r>
        <w:rPr>
          <w:i/>
        </w:rPr>
        <w:t>Liu</w:t>
      </w:r>
      <w:proofErr w:type="spellEnd"/>
      <w:r>
        <w:rPr>
          <w:i/>
        </w:rPr>
        <w:t xml:space="preserve"> (nr. 2)</w:t>
      </w:r>
      <w:r>
        <w:t xml:space="preserve">, citată anterior, pct. 89 și 91]. Din contră, aceasta a ținut seama, deși foarte pe scurt, de susținerile reclamantului cu privire la existența unei ingerințe în exercitarea dreptului la respectarea vieții sale private și de familie, și a statuat că art. 8 din Convenție nu fusese încălcat și că din probe reieșea că măsura era necesară și proporțională (supra, pct. </w:t>
      </w:r>
      <w:r w:rsidRPr="00DC0D10">
        <w:fldChar w:fldCharType="begin"/>
      </w:r>
      <w:r w:rsidRPr="00DC0D10">
        <w:instrText xml:space="preserve"> REF paragraph00022 \h  \* CharFormat  \* MERGEFORMAT </w:instrText>
      </w:r>
      <w:r w:rsidRPr="00DC0D10">
        <w:fldChar w:fldCharType="separate"/>
      </w:r>
      <w:r w:rsidR="00DC0D10" w:rsidRPr="00DC0D10">
        <w:t>22</w:t>
      </w:r>
      <w:r w:rsidRPr="00DC0D10">
        <w:fldChar w:fldCharType="end"/>
      </w:r>
      <w:r>
        <w:t xml:space="preserve">). Prin urmare, reiese că a pus în balanță interesele în cauză [a se vedea, </w:t>
      </w:r>
      <w:r>
        <w:rPr>
          <w:i/>
        </w:rPr>
        <w:t>a contrario</w:t>
      </w:r>
      <w:r>
        <w:t xml:space="preserve">, </w:t>
      </w:r>
      <w:proofErr w:type="spellStart"/>
      <w:r>
        <w:rPr>
          <w:i/>
        </w:rPr>
        <w:t>Liu</w:t>
      </w:r>
      <w:proofErr w:type="spellEnd"/>
      <w:r>
        <w:rPr>
          <w:i/>
        </w:rPr>
        <w:t xml:space="preserve"> (nr. 2)</w:t>
      </w:r>
      <w:r>
        <w:t>, citată anterior, pct. 81 și 95, caz în care instanțele naționale au considerat că interesul public avea prioritate absolută asupra interesului privat al reclamantului].</w:t>
      </w:r>
    </w:p>
    <w:p w14:paraId="2B8C97A1" w14:textId="77777777" w:rsidR="008B56A0" w:rsidRPr="00DC0D10" w:rsidRDefault="0053564F" w:rsidP="00DC0D10">
      <w:pPr>
        <w:pStyle w:val="JuPara"/>
      </w:pPr>
      <w:fldSimple w:instr=" SEQ level0 \*arabic \* MERGEFORMAT ">
        <w:r w:rsidR="00DC0D10" w:rsidRPr="00DC0D10">
          <w:t>49</w:t>
        </w:r>
      </w:fldSimple>
      <w:r>
        <w:t xml:space="preserve">.  În ceea ce privește posibilitatea prevăzută în dreptul intern de a beneficia de o formă de procedură contradictorie (supra, pct. </w:t>
      </w:r>
      <w:r w:rsidR="008B56A0" w:rsidRPr="00DC0D10">
        <w:fldChar w:fldCharType="begin"/>
      </w:r>
      <w:r w:rsidR="008B56A0" w:rsidRPr="00DC0D10">
        <w:instrText xml:space="preserve"> REF P54 \h </w:instrText>
      </w:r>
      <w:r w:rsidR="008B56A0" w:rsidRPr="00DC0D10">
        <w:fldChar w:fldCharType="separate"/>
      </w:r>
      <w:r w:rsidR="00DC0D10" w:rsidRPr="00DC0D10">
        <w:t>47</w:t>
      </w:r>
      <w:r w:rsidR="008B56A0" w:rsidRPr="00DC0D10">
        <w:fldChar w:fldCharType="end"/>
      </w:r>
      <w:r>
        <w:t xml:space="preserve"> </w:t>
      </w:r>
      <w:r>
        <w:rPr>
          <w:i/>
        </w:rPr>
        <w:t>in fine</w:t>
      </w:r>
      <w:r>
        <w:t xml:space="preserve">), element al plângerii formulate de reclamant, Curtea observă că persoana care </w:t>
      </w:r>
      <w:r>
        <w:lastRenderedPageBreak/>
        <w:t xml:space="preserve">făcea obiectul unor suspiciuni de acte de terorism, precum reclamantul din speță, nu putea avea acces la documentele clasificate pe care se întemeia decizia de interzicere a intrării pe teritoriu (supra, pct. </w:t>
      </w:r>
      <w:r w:rsidR="008B56A0" w:rsidRPr="00DC0D10">
        <w:fldChar w:fldCharType="begin"/>
      </w:r>
      <w:r w:rsidR="008B56A0" w:rsidRPr="00DC0D10">
        <w:instrText xml:space="preserve"> REF paragraph00028 \h  \* CharFormat </w:instrText>
      </w:r>
      <w:r w:rsidR="008B56A0" w:rsidRPr="00DC0D10">
        <w:fldChar w:fldCharType="separate"/>
      </w:r>
      <w:r w:rsidR="00DC0D10" w:rsidRPr="00DC0D10">
        <w:t>29</w:t>
      </w:r>
      <w:r w:rsidR="008B56A0" w:rsidRPr="00DC0D10">
        <w:fldChar w:fldCharType="end"/>
      </w:r>
      <w:r>
        <w:t xml:space="preserve"> </w:t>
      </w:r>
      <w:r>
        <w:rPr>
          <w:i/>
        </w:rPr>
        <w:t>in fine</w:t>
      </w:r>
      <w:r>
        <w:t xml:space="preserve">). Totuși, conform Legii nr. 182/2002, persoanele titulare ale unui certificat ORNISS puteau avea acces la informațiile clasificate. Legea nr. 182/2002 permitea avocaților să obțină un certificat ORNISS și prevedea o procedură specială în acest scop (supra, pct. </w:t>
      </w:r>
      <w:r w:rsidR="008B56A0" w:rsidRPr="00DC0D10">
        <w:fldChar w:fldCharType="begin"/>
      </w:r>
      <w:r w:rsidR="008B56A0" w:rsidRPr="00DC0D10">
        <w:instrText xml:space="preserve"> REF paragraph00029 \h  \* CharFormat </w:instrText>
      </w:r>
      <w:r w:rsidR="008B56A0" w:rsidRPr="00DC0D10">
        <w:fldChar w:fldCharType="separate"/>
      </w:r>
      <w:r w:rsidR="00DC0D10" w:rsidRPr="00DC0D10">
        <w:t>30</w:t>
      </w:r>
      <w:r w:rsidR="008B56A0" w:rsidRPr="00DC0D10">
        <w:fldChar w:fldCharType="end"/>
      </w:r>
      <w:r>
        <w:t>). După obținerea certificatului, avocatul putea avea acces la documentele clasificate depuse la dosarul cauzei persoanei pe care o reprezenta, fără a putea, cu toate acestea, să divulge acesteia din urmă informațiile „clasificate” (</w:t>
      </w:r>
      <w:proofErr w:type="spellStart"/>
      <w:r>
        <w:rPr>
          <w:i/>
        </w:rPr>
        <w:t>Corneschi</w:t>
      </w:r>
      <w:proofErr w:type="spellEnd"/>
      <w:r>
        <w:rPr>
          <w:i/>
        </w:rPr>
        <w:t xml:space="preserve"> împotriva României</w:t>
      </w:r>
      <w:r>
        <w:t xml:space="preserve">, nr. 21609/16, pct. 53, 11 ianuarie 2022). Chiar dacă străinul suspectat de acte teroriste nu putea avea el însuși acces la astfel de informații, avocatul care îl reprezenta și deținea un certificat ORNISS, deși obligat să respecte caracterul secret al acestor informații, putea, după ce luase cunoștință de conținutul dosarului, să pregătească apărarea persoanei în cauză. Astfel, străinul vizat, reprezentat de un avocat care deținea un certificat ORNISS, putea să beneficieze în fața instanței de apel de o „formă de procedură contradictorie” (supra, pct. </w:t>
      </w:r>
      <w:r w:rsidR="008B56A0" w:rsidRPr="00DC0D10">
        <w:fldChar w:fldCharType="begin"/>
      </w:r>
      <w:r w:rsidR="008B56A0" w:rsidRPr="00DC0D10">
        <w:instrText xml:space="preserve"> REF paragraph00048 \h  \* CharFormat  \* MERGEFORMAT </w:instrText>
      </w:r>
      <w:r w:rsidR="008B56A0" w:rsidRPr="00DC0D10">
        <w:fldChar w:fldCharType="separate"/>
      </w:r>
      <w:r w:rsidR="00DC0D10" w:rsidRPr="00DC0D10">
        <w:t>43</w:t>
      </w:r>
      <w:r w:rsidR="008B56A0" w:rsidRPr="00DC0D10">
        <w:fldChar w:fldCharType="end"/>
      </w:r>
      <w:r>
        <w:t>) și să-și pregătească apărarea, prin intermediul avocatului său, față de faptele de care era acuzat.</w:t>
      </w:r>
    </w:p>
    <w:p w14:paraId="4BA1D52D" w14:textId="77777777" w:rsidR="008B56A0" w:rsidRPr="00DC0D10" w:rsidRDefault="0053564F" w:rsidP="00DC0D10">
      <w:pPr>
        <w:pStyle w:val="JuPara"/>
      </w:pPr>
      <w:fldSimple w:instr=" SEQ level0 \*arabic \* MERGEFORMAT ">
        <w:r w:rsidR="00DC0D10" w:rsidRPr="00DC0D10">
          <w:t>50</w:t>
        </w:r>
      </w:fldSimple>
      <w:r>
        <w:t xml:space="preserve">.  În speță, Curtea constată că reclamantul și-a ales în mod liber un avocat pentru a-i apăra interesele [supra, pct. </w:t>
      </w:r>
      <w:r w:rsidR="008B56A0" w:rsidRPr="00DC0D10">
        <w:fldChar w:fldCharType="begin"/>
      </w:r>
      <w:r w:rsidR="008B56A0" w:rsidRPr="00DC0D10">
        <w:instrText xml:space="preserve"> REF paragraph00008 \h  \* CharFormat  \* MERGEFORMAT </w:instrText>
      </w:r>
      <w:r w:rsidR="008B56A0" w:rsidRPr="00DC0D10">
        <w:fldChar w:fldCharType="separate"/>
      </w:r>
      <w:r w:rsidR="00DC0D10" w:rsidRPr="00DC0D10">
        <w:t>8</w:t>
      </w:r>
      <w:r w:rsidR="008B56A0" w:rsidRPr="00DC0D10">
        <w:fldChar w:fldCharType="end"/>
      </w:r>
      <w:r>
        <w:t xml:space="preserve">; a se vedea, pentru o situație diferită și </w:t>
      </w:r>
      <w:r>
        <w:rPr>
          <w:i/>
        </w:rPr>
        <w:t>mutatis mutandis</w:t>
      </w:r>
      <w:r>
        <w:t xml:space="preserve">, </w:t>
      </w:r>
      <w:proofErr w:type="spellStart"/>
      <w:r>
        <w:rPr>
          <w:i/>
        </w:rPr>
        <w:t>Dvorski</w:t>
      </w:r>
      <w:proofErr w:type="spellEnd"/>
      <w:r>
        <w:rPr>
          <w:i/>
        </w:rPr>
        <w:t xml:space="preserve"> împotriva Croației</w:t>
      </w:r>
      <w:r>
        <w:t xml:space="preserve"> (MC), nr. 25703/11, pct. 90-93, CEDO 2015].</w:t>
      </w:r>
    </w:p>
    <w:p w14:paraId="1A7C0973" w14:textId="77777777" w:rsidR="008B56A0" w:rsidRPr="00DC0D10" w:rsidRDefault="0053564F" w:rsidP="00DC0D10">
      <w:pPr>
        <w:pStyle w:val="JuPara"/>
      </w:pPr>
      <w:fldSimple w:instr=" SEQ level0 \*arabic \* MERGEFORMAT ">
        <w:r w:rsidR="00DC0D10" w:rsidRPr="00DC0D10">
          <w:t>51</w:t>
        </w:r>
      </w:fldSimple>
      <w:r>
        <w:t xml:space="preserve">.  În conformitate cu dreptul național, un avocat împuternicit de clientul său pentru a-l reprezenta într-o anumită procedură putea face o cerere de obținere a unui certificat ORNISS care îi dă dreptul să aibă acces la documentele din dosar clasificate (supra, pct. </w:t>
      </w:r>
      <w:r w:rsidR="008B56A0" w:rsidRPr="00DC0D10">
        <w:fldChar w:fldCharType="begin"/>
      </w:r>
      <w:r w:rsidR="008B56A0" w:rsidRPr="00DC0D10">
        <w:instrText xml:space="preserve"> REF paragraph00029 \h  \* CharFormat </w:instrText>
      </w:r>
      <w:r w:rsidR="008B56A0" w:rsidRPr="00DC0D10">
        <w:fldChar w:fldCharType="separate"/>
      </w:r>
      <w:r w:rsidR="00DC0D10" w:rsidRPr="00DC0D10">
        <w:t>30</w:t>
      </w:r>
      <w:r w:rsidR="008B56A0" w:rsidRPr="00DC0D10">
        <w:fldChar w:fldCharType="end"/>
      </w:r>
      <w:r>
        <w:t xml:space="preserve">). Cu toate acestea, în speță, după ce a constatat că decizia luată împotriva clientului său se întemeia pe documente clasificate, avocatul împuternicit de reclamant nu a solicitat Curții de Apel amânarea procesului pentru a-i permite să facă demersurile necesare în vederea obținerii certificatului ORNISS (supra, pct. </w:t>
      </w:r>
      <w:r w:rsidR="008B56A0" w:rsidRPr="00DC0D10">
        <w:fldChar w:fldCharType="begin"/>
      </w:r>
      <w:r w:rsidR="008B56A0" w:rsidRPr="00DC0D10">
        <w:instrText xml:space="preserve"> REF paragraph00016 \h  \* CharFormat </w:instrText>
      </w:r>
      <w:r w:rsidR="008B56A0" w:rsidRPr="00DC0D10">
        <w:fldChar w:fldCharType="separate"/>
      </w:r>
      <w:r w:rsidR="00DC0D10" w:rsidRPr="00DC0D10">
        <w:t>15</w:t>
      </w:r>
      <w:r w:rsidR="008B56A0" w:rsidRPr="00DC0D10">
        <w:fldChar w:fldCharType="end"/>
      </w:r>
      <w:r>
        <w:t>).</w:t>
      </w:r>
    </w:p>
    <w:p w14:paraId="23833C0C" w14:textId="77777777" w:rsidR="008B56A0" w:rsidRPr="00DC0D10" w:rsidRDefault="008B56A0" w:rsidP="00DC0D10">
      <w:pPr>
        <w:pStyle w:val="JuPara"/>
      </w:pPr>
      <w:fldSimple w:instr=" SEQ level0 \*arabic ">
        <w:r w:rsidR="00DC0D10" w:rsidRPr="00DC0D10">
          <w:t>52</w:t>
        </w:r>
      </w:fldSimple>
      <w:r>
        <w:t xml:space="preserve">.  Curtea observă și că legea nu impunea Curții de Apel niciun termen pentru a se pronunța asupra recursului introdus de către reclamant împotriva măsurii de interzicere a intrării pe teritoriu care îl viza (supra, pct. </w:t>
      </w:r>
      <w:r w:rsidRPr="00DC0D10">
        <w:fldChar w:fldCharType="begin"/>
      </w:r>
      <w:r w:rsidRPr="00DC0D10">
        <w:instrText xml:space="preserve"> REF paragraph00026 \h  \* CharFormat </w:instrText>
      </w:r>
      <w:r w:rsidRPr="00DC0D10">
        <w:fldChar w:fldCharType="separate"/>
      </w:r>
      <w:r w:rsidR="00DC0D10" w:rsidRPr="00DC0D10">
        <w:t>27</w:t>
      </w:r>
      <w:r w:rsidRPr="00DC0D10">
        <w:fldChar w:fldCharType="end"/>
      </w:r>
      <w:r>
        <w:t xml:space="preserve">; a se vedea, pentru o situație diferită, hotărârea </w:t>
      </w:r>
      <w:r>
        <w:rPr>
          <w:i/>
        </w:rPr>
        <w:t>Muhammad și Muhammad</w:t>
      </w:r>
      <w:r>
        <w:t xml:space="preserve">, citată anterior, pct. 189-190, în care Curtea a luat în considerare urgența contestației împotriva măsurii de declarare ca indezirabil a unui străin și termenele foarte scurte impuse de lege pentru soluționare). În prezenta cauză, procedura inițiată de reclamant a durat mai mult de 6 luni (de la 18 august 2011 până la 28 februarie 2012 – supra, pct. </w:t>
      </w:r>
      <w:r w:rsidRPr="00DC0D10">
        <w:fldChar w:fldCharType="begin"/>
      </w:r>
      <w:r w:rsidRPr="00DC0D10">
        <w:instrText xml:space="preserve"> REF paragraph00009 \h  \* CharFormat </w:instrText>
      </w:r>
      <w:r w:rsidRPr="00DC0D10">
        <w:fldChar w:fldCharType="separate"/>
      </w:r>
      <w:r w:rsidR="00DC0D10" w:rsidRPr="00DC0D10">
        <w:t>9</w:t>
      </w:r>
      <w:r w:rsidRPr="00DC0D10">
        <w:fldChar w:fldCharType="end"/>
      </w:r>
      <w:r>
        <w:t xml:space="preserve"> și </w:t>
      </w:r>
      <w:r w:rsidRPr="00DC0D10">
        <w:fldChar w:fldCharType="begin"/>
      </w:r>
      <w:r w:rsidRPr="00DC0D10">
        <w:instrText xml:space="preserve"> REF paragraph00017 \h  \* CharFormat </w:instrText>
      </w:r>
      <w:r w:rsidRPr="00DC0D10">
        <w:fldChar w:fldCharType="separate"/>
      </w:r>
      <w:r w:rsidR="00DC0D10" w:rsidRPr="00DC0D10">
        <w:t>18</w:t>
      </w:r>
      <w:r w:rsidRPr="00DC0D10">
        <w:fldChar w:fldCharType="end"/>
      </w:r>
      <w:r>
        <w:t xml:space="preserve">) și au fost acordate mai multe amânări (supra, pct. </w:t>
      </w:r>
      <w:r w:rsidRPr="00DC0D10">
        <w:fldChar w:fldCharType="begin"/>
      </w:r>
      <w:r w:rsidRPr="00DC0D10">
        <w:instrText xml:space="preserve"> REF P12 \h  \* MERGEFORMAT </w:instrText>
      </w:r>
      <w:r w:rsidRPr="00DC0D10">
        <w:fldChar w:fldCharType="separate"/>
      </w:r>
      <w:r w:rsidR="00DC0D10" w:rsidRPr="00DC0D10">
        <w:rPr>
          <w:rFonts w:eastAsia="Times New Roman"/>
        </w:rPr>
        <w:t>12</w:t>
      </w:r>
      <w:r w:rsidRPr="00DC0D10">
        <w:fldChar w:fldCharType="end"/>
      </w:r>
      <w:r>
        <w:t xml:space="preserve">, </w:t>
      </w:r>
      <w:r w:rsidRPr="00DC0D10">
        <w:fldChar w:fldCharType="begin"/>
      </w:r>
      <w:r w:rsidRPr="00DC0D10">
        <w:instrText xml:space="preserve"> REF P13 \h  \* MERGEFORMAT </w:instrText>
      </w:r>
      <w:r w:rsidRPr="00DC0D10">
        <w:fldChar w:fldCharType="separate"/>
      </w:r>
      <w:r w:rsidR="00DC0D10" w:rsidRPr="00DC0D10">
        <w:rPr>
          <w:rFonts w:eastAsia="Times New Roman"/>
        </w:rPr>
        <w:t>13</w:t>
      </w:r>
      <w:r w:rsidRPr="00DC0D10">
        <w:fldChar w:fldCharType="end"/>
      </w:r>
      <w:r>
        <w:t>,</w:t>
      </w:r>
      <w:r>
        <w:rPr>
          <w:b/>
        </w:rPr>
        <w:t xml:space="preserve"> </w:t>
      </w:r>
      <w:r w:rsidRPr="00DC0D10">
        <w:fldChar w:fldCharType="begin"/>
      </w:r>
      <w:r w:rsidRPr="00DC0D10">
        <w:instrText xml:space="preserve"> REF paragraph00013 \h  \* CharFormat  \* MERGEFORMAT </w:instrText>
      </w:r>
      <w:r w:rsidRPr="00DC0D10">
        <w:fldChar w:fldCharType="separate"/>
      </w:r>
      <w:r w:rsidR="00DC0D10" w:rsidRPr="00DC0D10">
        <w:t>14</w:t>
      </w:r>
      <w:r w:rsidRPr="00DC0D10">
        <w:fldChar w:fldCharType="end"/>
      </w:r>
      <w:r>
        <w:t xml:space="preserve"> și </w:t>
      </w:r>
      <w:r w:rsidRPr="00DC0D10">
        <w:fldChar w:fldCharType="begin"/>
      </w:r>
      <w:r w:rsidRPr="00DC0D10">
        <w:instrText xml:space="preserve"> REF P17 \h </w:instrText>
      </w:r>
      <w:r w:rsidRPr="00DC0D10">
        <w:fldChar w:fldCharType="separate"/>
      </w:r>
      <w:r w:rsidR="00DC0D10" w:rsidRPr="00DC0D10">
        <w:rPr>
          <w:rFonts w:eastAsia="Times New Roman"/>
        </w:rPr>
        <w:t>17</w:t>
      </w:r>
      <w:r w:rsidRPr="00DC0D10">
        <w:fldChar w:fldCharType="end"/>
      </w:r>
      <w:r>
        <w:t xml:space="preserve">). Având în vedere durata procedurii de acordare a unui certificat ORNISS, care era în condițiile dispozițiilor legale de 60 de zile lucrătoare (supra, pct. </w:t>
      </w:r>
      <w:r w:rsidRPr="00DC0D10">
        <w:fldChar w:fldCharType="begin"/>
      </w:r>
      <w:r w:rsidRPr="00DC0D10">
        <w:instrText xml:space="preserve"> REF paragraph00029 \h  \* CharFormat </w:instrText>
      </w:r>
      <w:r w:rsidRPr="00DC0D10">
        <w:fldChar w:fldCharType="separate"/>
      </w:r>
      <w:r w:rsidR="00DC0D10" w:rsidRPr="00DC0D10">
        <w:t>30</w:t>
      </w:r>
      <w:r w:rsidRPr="00DC0D10">
        <w:fldChar w:fldCharType="end"/>
      </w:r>
      <w:r>
        <w:t xml:space="preserve">), Curtea consideră că avocatul reclamantului ar fi putut în mod legitim formula o cerere de amânare pentru a face demersurile </w:t>
      </w:r>
      <w:r>
        <w:lastRenderedPageBreak/>
        <w:t>necesare obținerii certificatului. De altfel, din jurisprudența internă – ulterioară desigur faptelor din speță – reiese că instanțele naționale puteau acorda amânări atunci când avocatul intenționa să facă demersurile necesare pentru a obține un certificat ORNISS (supra, pct. </w:t>
      </w:r>
      <w:r w:rsidRPr="00DC0D10">
        <w:fldChar w:fldCharType="begin"/>
      </w:r>
      <w:r w:rsidRPr="00DC0D10">
        <w:instrText xml:space="preserve"> REF paragraph00031 \h  \* CharFormat </w:instrText>
      </w:r>
      <w:r w:rsidRPr="00DC0D10">
        <w:fldChar w:fldCharType="separate"/>
      </w:r>
      <w:r w:rsidR="00DC0D10" w:rsidRPr="00DC0D10">
        <w:t>31</w:t>
      </w:r>
      <w:r w:rsidRPr="00DC0D10">
        <w:fldChar w:fldCharType="end"/>
      </w:r>
      <w:r>
        <w:t>).</w:t>
      </w:r>
    </w:p>
    <w:p w14:paraId="7CA365D5" w14:textId="5B81C21D" w:rsidR="008B56A0" w:rsidRPr="00DC0D10" w:rsidRDefault="008B56A0" w:rsidP="00DC0D10">
      <w:pPr>
        <w:pStyle w:val="JuPara"/>
        <w:rPr>
          <w:bCs/>
        </w:rPr>
      </w:pPr>
      <w:fldSimple w:instr=" SEQ level0 \*arabic ">
        <w:r w:rsidR="00DC0D10" w:rsidRPr="00DC0D10">
          <w:t>53</w:t>
        </w:r>
      </w:fldSimple>
      <w:r>
        <w:t xml:space="preserve">.  În fine, Curtea ia act de argumentul reclamantului conform căruia instanțele naționale ar fi trebuit, pentru a garanta caracterul contradictoriu al dezbaterilor, să ia măsurile necesare pentru a-l ajuta să găsească un avocat care deținea un certificat ORNISS, sau cel puțin să-l informeze pe avocatul acestuia cu privire la procedura de urmat pentru a obține acest certificat (supra, pct. </w:t>
      </w:r>
      <w:r w:rsidRPr="00DC0D10">
        <w:fldChar w:fldCharType="begin"/>
      </w:r>
      <w:r w:rsidRPr="00DC0D10">
        <w:instrText xml:space="preserve"> REF paragraph00037 \h  \* CharFormat </w:instrText>
      </w:r>
      <w:r w:rsidRPr="00DC0D10">
        <w:fldChar w:fldCharType="separate"/>
      </w:r>
      <w:r w:rsidR="00DC0D10" w:rsidRPr="00DC0D10">
        <w:t>37</w:t>
      </w:r>
      <w:r w:rsidRPr="00DC0D10">
        <w:fldChar w:fldCharType="end"/>
      </w:r>
      <w:r>
        <w:t>).</w:t>
      </w:r>
      <w:r>
        <w:rPr>
          <w:b/>
        </w:rPr>
        <w:t xml:space="preserve"> </w:t>
      </w:r>
      <w:r>
        <w:t>În această privință, consideră că ar fi cu adevărat util ca autoritățile interne să furnizeze persoanelor în cauză informații minime dar suficiente asupra posibilităților de acces la informații confidențiale</w:t>
      </w:r>
      <w:r w:rsidR="00C31B3A">
        <w:t xml:space="preserve"> </w:t>
      </w:r>
      <w:r w:rsidR="00C31B3A">
        <w:t>existente</w:t>
      </w:r>
      <w:r w:rsidR="00C31B3A">
        <w:t xml:space="preserve"> </w:t>
      </w:r>
      <w:r w:rsidR="00C31B3A">
        <w:t>în dreptul intern</w:t>
      </w:r>
      <w:r>
        <w:t xml:space="preserve">, în special atunci când persoana nu este reprezentată, iar procedura se desfășoară cu celeritate (a se vedea, </w:t>
      </w:r>
      <w:r>
        <w:rPr>
          <w:i/>
        </w:rPr>
        <w:t>mutatis mutandis</w:t>
      </w:r>
      <w:r>
        <w:t xml:space="preserve">, </w:t>
      </w:r>
      <w:r>
        <w:rPr>
          <w:i/>
        </w:rPr>
        <w:t>Muhammad și Muhammad</w:t>
      </w:r>
      <w:r>
        <w:t xml:space="preserve">, citată anterior, pct. 153). Curtea consideră totuși că atunci când, precum în prezenta speță, persoana în cauză a împuternicit un avocat pentru a o reprezenta de la începutul unei proceduri care nu are termene scurte (supra, pct. </w:t>
      </w:r>
      <w:r w:rsidRPr="00DC0D10">
        <w:fldChar w:fldCharType="begin"/>
      </w:r>
      <w:r w:rsidRPr="00DC0D10">
        <w:instrText xml:space="preserve"> REF paragraph00008 \h  \* CharFormat </w:instrText>
      </w:r>
      <w:r w:rsidRPr="00DC0D10">
        <w:fldChar w:fldCharType="separate"/>
      </w:r>
      <w:r w:rsidR="00DC0D10" w:rsidRPr="00DC0D10">
        <w:t>8</w:t>
      </w:r>
      <w:r w:rsidRPr="00DC0D10">
        <w:fldChar w:fldCharType="end"/>
      </w:r>
      <w:r>
        <w:t>), nu este nerezonabil să aștepte de la acest profesionist al dreptului să cunoască dispozițiile legale aplicabile în materie și să-și informeze clientul despre garanțiile prevăzute de dreptul național. Este adevărat că în cazul în speță reclamantul nu a fost prezent din punct de vedere fizic la audieri din cauza interdicției de intrare în România care îl viza. Totuși, doar acest element nu putea determina Curtea de Apel să se îndoiască de caracterul efectiv al apărării asigurate de avocatul împuternicit de clientul său.</w:t>
      </w:r>
    </w:p>
    <w:p w14:paraId="2386958A" w14:textId="77777777" w:rsidR="008B56A0" w:rsidRPr="00DC0D10" w:rsidRDefault="008B56A0" w:rsidP="00DC0D10">
      <w:pPr>
        <w:pStyle w:val="JuPara"/>
      </w:pPr>
      <w:fldSimple w:instr=" SEQ level0 \*arabic ">
        <w:r w:rsidR="00DC0D10" w:rsidRPr="00DC0D10">
          <w:t>54</w:t>
        </w:r>
      </w:fldSimple>
      <w:r>
        <w:t>.  Astfel, deși reclamantul nu a putut beneficia de o anumită formă de procedură contradictorie, Curtea constată că este vorba despre o neîndeplinire cauzată de modul în care reprezentantul său decisese să asigure apărarea și nu de absența garanțiilor procedurale instituite în dreptul intern. Consideră că persoana în cauză nu a utilizat pe deplin aceste garanții.</w:t>
      </w:r>
    </w:p>
    <w:p w14:paraId="7D239E07" w14:textId="77777777" w:rsidR="008B56A0" w:rsidRPr="00DC0D10" w:rsidRDefault="008B56A0" w:rsidP="00DC0D10">
      <w:pPr>
        <w:pStyle w:val="JuPara"/>
      </w:pPr>
      <w:fldSimple w:instr=" SEQ level0 \*arabic ">
        <w:r w:rsidR="00DC0D10" w:rsidRPr="00DC0D10">
          <w:t>55</w:t>
        </w:r>
      </w:fldSimple>
      <w:r>
        <w:t xml:space="preserve">.  Având în vedere cele de mai sus, Curtea apreciază că </w:t>
      </w:r>
      <w:r>
        <w:rPr>
          <w:snapToGrid w:val="0"/>
        </w:rPr>
        <w:t>acest capăt de cerere este în mod vădit nefondat și trebuie respins în temeiul art. 35 § 3 </w:t>
      </w:r>
      <w:r>
        <w:t xml:space="preserve">lit. a) </w:t>
      </w:r>
      <w:r>
        <w:rPr>
          <w:snapToGrid w:val="0"/>
        </w:rPr>
        <w:t>și § 4 din Convenție.</w:t>
      </w:r>
    </w:p>
    <w:p w14:paraId="5A727D02" w14:textId="77777777" w:rsidR="008B56A0" w:rsidRPr="00DC0D10" w:rsidRDefault="008B56A0" w:rsidP="00DC0D10">
      <w:pPr>
        <w:pStyle w:val="JuHA"/>
        <w:rPr>
          <w:rFonts w:eastAsiaTheme="minorHAnsi"/>
        </w:rPr>
      </w:pPr>
      <w:r>
        <w:t>Capătul de cerere întemeiat pe art. 6 din Convenție</w:t>
      </w:r>
    </w:p>
    <w:p w14:paraId="7532A957" w14:textId="77777777" w:rsidR="008B56A0" w:rsidRPr="00DC0D10" w:rsidRDefault="008B56A0" w:rsidP="00DC0D10">
      <w:pPr>
        <w:pStyle w:val="JuPara"/>
      </w:pPr>
      <w:fldSimple w:instr=" SEQ level0 \*arabic ">
        <w:r w:rsidR="00DC0D10" w:rsidRPr="00DC0D10">
          <w:t>56</w:t>
        </w:r>
      </w:fldSimple>
      <w:r>
        <w:t>.  Invocând art. 6 § 1 din Convenție, reclamantul se plânge că nu fusese informat asupra faptelor care îi erau imputate și susține că, în consecință, garanțiile unui proces echitabil nu au fost respectate în cadrul procedurii desfășurate în fața Curții de Apel.</w:t>
      </w:r>
    </w:p>
    <w:p w14:paraId="339752DC" w14:textId="0D5E17B3" w:rsidR="008B56A0" w:rsidRPr="00DC0D10" w:rsidRDefault="008B56A0" w:rsidP="00DC0D10">
      <w:pPr>
        <w:pStyle w:val="JuPara"/>
      </w:pPr>
      <w:fldSimple w:instr=" SEQ level0 \*arabic ">
        <w:r w:rsidR="00DC0D10" w:rsidRPr="00DC0D10">
          <w:t>57</w:t>
        </w:r>
      </w:fldSimple>
      <w:r>
        <w:t xml:space="preserve">.  Curtea reamintește că deciziile privind refuzul de a lăsa un străin să intre pe teritoriul național nu presupun contestarea drepturilor sau obligațiilor cu caracter civil </w:t>
      </w:r>
      <w:r w:rsidR="00AB0CB4">
        <w:t>și</w:t>
      </w:r>
      <w:r>
        <w:t xml:space="preserve"> nu au legătură nici cu temeinicia unei acuzații în materie penală în sensul art. 6 § 1 din </w:t>
      </w:r>
      <w:r w:rsidR="00AB0CB4">
        <w:t>Convenție</w:t>
      </w:r>
      <w:r>
        <w:t xml:space="preserve"> [</w:t>
      </w:r>
      <w:proofErr w:type="spellStart"/>
      <w:r>
        <w:rPr>
          <w:i/>
        </w:rPr>
        <w:t>Maaouia</w:t>
      </w:r>
      <w:proofErr w:type="spellEnd"/>
      <w:r>
        <w:rPr>
          <w:i/>
        </w:rPr>
        <w:t xml:space="preserve"> împotriva</w:t>
      </w:r>
      <w:r>
        <w:t xml:space="preserve"> </w:t>
      </w:r>
      <w:r>
        <w:rPr>
          <w:i/>
          <w:iCs/>
        </w:rPr>
        <w:t>Franței</w:t>
      </w:r>
      <w:r>
        <w:t xml:space="preserve"> (MC), </w:t>
      </w:r>
      <w:r>
        <w:lastRenderedPageBreak/>
        <w:t>nr. 39652/98, pct. 40, CEDO 2000</w:t>
      </w:r>
      <w:r>
        <w:noBreakHyphen/>
        <w:t xml:space="preserve">X]. Rezultă că acest capăt de cerere este incompatibil </w:t>
      </w:r>
      <w:proofErr w:type="spellStart"/>
      <w:r>
        <w:rPr>
          <w:i/>
          <w:iCs/>
        </w:rPr>
        <w:t>ratione</w:t>
      </w:r>
      <w:proofErr w:type="spellEnd"/>
      <w:r>
        <w:rPr>
          <w:i/>
          <w:iCs/>
        </w:rPr>
        <w:t xml:space="preserve"> </w:t>
      </w:r>
      <w:proofErr w:type="spellStart"/>
      <w:r>
        <w:rPr>
          <w:i/>
          <w:iCs/>
        </w:rPr>
        <w:t>materiae</w:t>
      </w:r>
      <w:proofErr w:type="spellEnd"/>
      <w:r>
        <w:t xml:space="preserve"> cu dispozițiile Convenției în sensul art. 35 § 3 lit. a) </w:t>
      </w:r>
      <w:r w:rsidR="00AB0CB4">
        <w:t>și</w:t>
      </w:r>
      <w:bookmarkStart w:id="28" w:name="_GoBack"/>
      <w:bookmarkEnd w:id="28"/>
      <w:r>
        <w:t xml:space="preserve"> că trebuie respins în conformitate cu art. 35 § 4.</w:t>
      </w:r>
    </w:p>
    <w:p w14:paraId="4F529D42" w14:textId="77777777" w:rsidR="008B56A0" w:rsidRPr="00DC0D10" w:rsidRDefault="008B56A0" w:rsidP="00DC0D10">
      <w:pPr>
        <w:pStyle w:val="JuParaLast"/>
      </w:pPr>
      <w:r>
        <w:t>Pentru aceste motive, în unanimitate, Curtea</w:t>
      </w:r>
    </w:p>
    <w:p w14:paraId="2F67D6ED" w14:textId="77777777" w:rsidR="008B56A0" w:rsidRPr="00DC0D10" w:rsidRDefault="008B56A0" w:rsidP="00DC0D10">
      <w:pPr>
        <w:pStyle w:val="JuParaLast"/>
      </w:pPr>
      <w:r>
        <w:rPr>
          <w:i/>
          <w:iCs/>
        </w:rPr>
        <w:t>declară</w:t>
      </w:r>
      <w:r>
        <w:t xml:space="preserve"> cererea inadmisibilă.</w:t>
      </w:r>
    </w:p>
    <w:p w14:paraId="3DAD15CB" w14:textId="77777777" w:rsidR="00050A32" w:rsidRPr="00DC0D10" w:rsidRDefault="00F40988" w:rsidP="00DC0D10">
      <w:pPr>
        <w:pStyle w:val="JuParaLast"/>
      </w:pPr>
      <w:r>
        <w:t>Redactată în limba franceză, apoi comunicată în scris, la 20 decembrie 2022.</w:t>
      </w:r>
    </w:p>
    <w:p w14:paraId="3429E277" w14:textId="77777777" w:rsidR="00C64EBF" w:rsidRPr="00DC0D10" w:rsidRDefault="001B2A94" w:rsidP="00DC0D10">
      <w:pPr>
        <w:pStyle w:val="ECHRPlaceholder"/>
      </w:pPr>
      <w:r>
        <w:tab/>
      </w:r>
    </w:p>
    <w:p w14:paraId="45E1C147" w14:textId="77777777" w:rsidR="00A1102F" w:rsidRPr="00DC0D10" w:rsidRDefault="00050A32" w:rsidP="00DC0D10">
      <w:pPr>
        <w:pStyle w:val="JuSigned"/>
      </w:pPr>
      <w:r>
        <w:tab/>
        <w:t xml:space="preserve">Ilse </w:t>
      </w:r>
      <w:proofErr w:type="spellStart"/>
      <w:r>
        <w:t>Freiwirth</w:t>
      </w:r>
      <w:proofErr w:type="spellEnd"/>
      <w:r>
        <w:tab/>
        <w:t xml:space="preserve">Gabriele </w:t>
      </w:r>
      <w:proofErr w:type="spellStart"/>
      <w:r>
        <w:t>Kucsko-Stadlmayer</w:t>
      </w:r>
      <w:proofErr w:type="spellEnd"/>
      <w:r>
        <w:br/>
      </w:r>
      <w:r>
        <w:tab/>
        <w:t>Grefier adjunct</w:t>
      </w:r>
      <w:r>
        <w:tab/>
        <w:t>Președinte</w:t>
      </w:r>
    </w:p>
    <w:sectPr w:rsidR="00A1102F" w:rsidRPr="00DC0D10" w:rsidSect="00AF7102">
      <w:headerReference w:type="even" r:id="rId13"/>
      <w:headerReference w:type="default" r:id="rId14"/>
      <w:footerReference w:type="even" r:id="rId15"/>
      <w:footerReference w:type="default" r:id="rId16"/>
      <w:headerReference w:type="first" r:id="rId17"/>
      <w:footerReference w:type="first" r:id="rId18"/>
      <w:footnotePr>
        <w:numRestart w:val="eachPage"/>
      </w:footnotePr>
      <w:endnotePr>
        <w:numFmt w:val="decimal"/>
      </w:endnotePr>
      <w:pgSz w:w="11906" w:h="16838" w:code="9"/>
      <w:pgMar w:top="2274" w:right="2274" w:bottom="2274" w:left="2274" w:header="1701"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06AC82" w14:textId="77777777" w:rsidR="00784B2E" w:rsidRPr="008B56A0" w:rsidRDefault="00784B2E" w:rsidP="006544C4">
      <w:r w:rsidRPr="008B56A0">
        <w:separator/>
      </w:r>
    </w:p>
  </w:endnote>
  <w:endnote w:type="continuationSeparator" w:id="0">
    <w:p w14:paraId="0110C221" w14:textId="77777777" w:rsidR="00784B2E" w:rsidRPr="008B56A0" w:rsidRDefault="00784B2E" w:rsidP="006544C4">
      <w:r w:rsidRPr="008B56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5ED441" w14:textId="64E05A11" w:rsidR="00AF7102" w:rsidRPr="008B56A0" w:rsidRDefault="008B56A0" w:rsidP="00FB64E0">
    <w:pPr>
      <w:pStyle w:val="JuHeader"/>
    </w:pPr>
    <w:r>
      <w:rPr>
        <w:rStyle w:val="PageNumber"/>
      </w:rPr>
      <w:fldChar w:fldCharType="begin"/>
    </w:r>
    <w:r>
      <w:rPr>
        <w:rStyle w:val="PageNumber"/>
      </w:rPr>
      <w:instrText xml:space="preserve"> PAGE </w:instrText>
    </w:r>
    <w:r>
      <w:rPr>
        <w:rStyle w:val="PageNumber"/>
      </w:rPr>
      <w:fldChar w:fldCharType="separate"/>
    </w:r>
    <w:r w:rsidR="00AB0CB4">
      <w:rPr>
        <w:rStyle w:val="PageNumber"/>
        <w:noProof/>
      </w:rPr>
      <w:t>14</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90A707" w14:textId="4FEF0931" w:rsidR="00AF7102" w:rsidRPr="008B56A0" w:rsidRDefault="008B56A0" w:rsidP="00FB64E0">
    <w:pPr>
      <w:pStyle w:val="JuHeader"/>
    </w:pPr>
    <w:r>
      <w:rPr>
        <w:rStyle w:val="PageNumber"/>
      </w:rPr>
      <w:fldChar w:fldCharType="begin"/>
    </w:r>
    <w:r>
      <w:rPr>
        <w:rStyle w:val="PageNumber"/>
      </w:rPr>
      <w:instrText xml:space="preserve"> PAGE </w:instrText>
    </w:r>
    <w:r>
      <w:rPr>
        <w:rStyle w:val="PageNumber"/>
      </w:rPr>
      <w:fldChar w:fldCharType="separate"/>
    </w:r>
    <w:r w:rsidR="00AB0CB4">
      <w:rPr>
        <w:rStyle w:val="PageNumber"/>
        <w:noProof/>
      </w:rPr>
      <w:t>13</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1CFA11" w14:textId="77777777" w:rsidR="00112D62" w:rsidRPr="008B56A0" w:rsidRDefault="008B56A0" w:rsidP="003146E4">
    <w:pPr>
      <w:jc w:val="center"/>
      <w:rPr>
        <w:szCs w:val="18"/>
      </w:rPr>
    </w:pPr>
    <w:r>
      <w:rPr>
        <w:noProof/>
        <w:lang w:eastAsia="ro-RO"/>
      </w:rPr>
      <w:drawing>
        <wp:inline distT="0" distB="0" distL="0" distR="0" wp14:anchorId="38914F3C" wp14:editId="3999731C">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777D35" w14:textId="77777777" w:rsidR="00784B2E" w:rsidRPr="008B56A0" w:rsidRDefault="00784B2E" w:rsidP="006544C4">
      <w:r w:rsidRPr="008B56A0">
        <w:separator/>
      </w:r>
    </w:p>
  </w:footnote>
  <w:footnote w:type="continuationSeparator" w:id="0">
    <w:p w14:paraId="544F4F9D" w14:textId="77777777" w:rsidR="00784B2E" w:rsidRPr="008B56A0" w:rsidRDefault="00784B2E" w:rsidP="006544C4">
      <w:r w:rsidRPr="008B56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3F609D" w14:textId="77777777" w:rsidR="00112D62" w:rsidRPr="008B56A0" w:rsidRDefault="00334EC5" w:rsidP="003312A3">
    <w:pPr>
      <w:pStyle w:val="JuHeader"/>
    </w:pPr>
    <w:r>
      <w:t>DECIZIA S.L. ÎMPOTRIVA ROMÂNIEI</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67161E" w14:textId="77777777" w:rsidR="00112D62" w:rsidRPr="008B56A0" w:rsidRDefault="00334EC5" w:rsidP="006544C4">
    <w:pPr>
      <w:pStyle w:val="JuHeader"/>
    </w:pPr>
    <w:r>
      <w:t>DECIZIA S.L. ÎMPOTRIVA ROMÂNIEI</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BCBCE" w14:textId="77777777" w:rsidR="00994159" w:rsidRPr="007B6E0D" w:rsidRDefault="00994159" w:rsidP="00994159">
    <w:pPr>
      <w:jc w:val="right"/>
      <w:rPr>
        <w:i/>
        <w:noProof/>
      </w:rPr>
    </w:pPr>
    <w:r>
      <w:rPr>
        <w:i/>
      </w:rPr>
      <w:t>Tradus și revizuit de IER (http://ier.gov.ro/)</w:t>
    </w:r>
  </w:p>
  <w:p w14:paraId="4A1A67AB" w14:textId="77777777" w:rsidR="00994159" w:rsidRDefault="00994159" w:rsidP="00A45145">
    <w:pPr>
      <w:jc w:val="center"/>
      <w:rPr>
        <w:noProof/>
        <w:lang w:eastAsia="ro-RO"/>
      </w:rPr>
    </w:pPr>
  </w:p>
  <w:p w14:paraId="3CD1EBD5" w14:textId="4BD87557" w:rsidR="008B56A0" w:rsidRPr="00A45145" w:rsidRDefault="008B56A0" w:rsidP="00A45145">
    <w:pPr>
      <w:jc w:val="center"/>
    </w:pPr>
    <w:r>
      <w:rPr>
        <w:noProof/>
        <w:lang w:eastAsia="ro-RO"/>
      </w:rPr>
      <w:drawing>
        <wp:inline distT="0" distB="0" distL="0" distR="0" wp14:anchorId="49E7D10C" wp14:editId="5D4B9B4A">
          <wp:extent cx="2962275" cy="1219200"/>
          <wp:effectExtent l="0" t="0" r="9525" b="0"/>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5C5128DD" w14:textId="77777777" w:rsidR="00112D62" w:rsidRPr="008B56A0" w:rsidRDefault="00784B2E" w:rsidP="003146E4">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C0F5BFC"/>
    <w:multiLevelType w:val="multilevel"/>
    <w:tmpl w:val="EE20E2DE"/>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0"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D5546B"/>
    <w:multiLevelType w:val="multilevel"/>
    <w:tmpl w:val="7222064C"/>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907" w:hanging="22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5"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6" w15:restartNumberingAfterBreak="0">
    <w:nsid w:val="56B9429C"/>
    <w:multiLevelType w:val="multilevel"/>
    <w:tmpl w:val="4CD28D7E"/>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abstractNum w:abstractNumId="17"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num w:numId="1">
    <w:abstractNumId w:val="16"/>
  </w:num>
  <w:num w:numId="2">
    <w:abstractNumId w:val="13"/>
  </w:num>
  <w:num w:numId="3">
    <w:abstractNumId w:val="11"/>
  </w:num>
  <w:num w:numId="4">
    <w:abstractNumId w:val="10"/>
  </w:num>
  <w:num w:numId="5">
    <w:abstractNumId w:val="17"/>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9"/>
  </w:num>
  <w:num w:numId="16">
    <w:abstractNumId w:val="14"/>
  </w:num>
  <w:num w:numId="17">
    <w:abstractNumId w:val="12"/>
  </w:num>
  <w:num w:numId="18">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EMM" w:val="0"/>
    <w:docVar w:name="NBEMMDOC" w:val="0"/>
    <w:docVar w:name="Plural" w:val="0"/>
  </w:docVars>
  <w:rsids>
    <w:rsidRoot w:val="008B56A0"/>
    <w:rsid w:val="000041F8"/>
    <w:rsid w:val="000042A8"/>
    <w:rsid w:val="00004308"/>
    <w:rsid w:val="00005BF0"/>
    <w:rsid w:val="00007154"/>
    <w:rsid w:val="0001025C"/>
    <w:rsid w:val="000103AE"/>
    <w:rsid w:val="00011D69"/>
    <w:rsid w:val="00012AD3"/>
    <w:rsid w:val="00015C2D"/>
    <w:rsid w:val="00015F00"/>
    <w:rsid w:val="00022C1D"/>
    <w:rsid w:val="000279B8"/>
    <w:rsid w:val="00034987"/>
    <w:rsid w:val="00050A32"/>
    <w:rsid w:val="000602DF"/>
    <w:rsid w:val="00061B05"/>
    <w:rsid w:val="000632D5"/>
    <w:rsid w:val="000644EE"/>
    <w:rsid w:val="00065D78"/>
    <w:rsid w:val="000925AD"/>
    <w:rsid w:val="000A24EB"/>
    <w:rsid w:val="000B6923"/>
    <w:rsid w:val="000C5F3C"/>
    <w:rsid w:val="000C6DCC"/>
    <w:rsid w:val="000D47AA"/>
    <w:rsid w:val="000D721F"/>
    <w:rsid w:val="000E069B"/>
    <w:rsid w:val="000E0E82"/>
    <w:rsid w:val="000E1DC5"/>
    <w:rsid w:val="000E223F"/>
    <w:rsid w:val="000E7D45"/>
    <w:rsid w:val="000F2082"/>
    <w:rsid w:val="000F7851"/>
    <w:rsid w:val="00104E23"/>
    <w:rsid w:val="00111B0C"/>
    <w:rsid w:val="00112B74"/>
    <w:rsid w:val="00120D6C"/>
    <w:rsid w:val="001257EC"/>
    <w:rsid w:val="00133D33"/>
    <w:rsid w:val="00134D64"/>
    <w:rsid w:val="00135A30"/>
    <w:rsid w:val="0013612C"/>
    <w:rsid w:val="00137FF6"/>
    <w:rsid w:val="00141650"/>
    <w:rsid w:val="00162A12"/>
    <w:rsid w:val="001641A2"/>
    <w:rsid w:val="00166234"/>
    <w:rsid w:val="00166530"/>
    <w:rsid w:val="0016678F"/>
    <w:rsid w:val="001832BD"/>
    <w:rsid w:val="001943B5"/>
    <w:rsid w:val="00195134"/>
    <w:rsid w:val="001A145B"/>
    <w:rsid w:val="001A674C"/>
    <w:rsid w:val="001B2A94"/>
    <w:rsid w:val="001B3B24"/>
    <w:rsid w:val="001C0F98"/>
    <w:rsid w:val="001C2A42"/>
    <w:rsid w:val="001D4B94"/>
    <w:rsid w:val="001D5161"/>
    <w:rsid w:val="001D63ED"/>
    <w:rsid w:val="001D7348"/>
    <w:rsid w:val="001E035B"/>
    <w:rsid w:val="001E0961"/>
    <w:rsid w:val="001E30E6"/>
    <w:rsid w:val="001E3EAE"/>
    <w:rsid w:val="001E6F32"/>
    <w:rsid w:val="001F2145"/>
    <w:rsid w:val="001F6262"/>
    <w:rsid w:val="001F67B0"/>
    <w:rsid w:val="001F7B3D"/>
    <w:rsid w:val="00205F9F"/>
    <w:rsid w:val="00210338"/>
    <w:rsid w:val="002115FC"/>
    <w:rsid w:val="0021423C"/>
    <w:rsid w:val="00230D00"/>
    <w:rsid w:val="00231DF7"/>
    <w:rsid w:val="00231FD1"/>
    <w:rsid w:val="002339E0"/>
    <w:rsid w:val="00233CF8"/>
    <w:rsid w:val="00234E8A"/>
    <w:rsid w:val="0023575D"/>
    <w:rsid w:val="00237148"/>
    <w:rsid w:val="0024222D"/>
    <w:rsid w:val="00244B0E"/>
    <w:rsid w:val="00244F6C"/>
    <w:rsid w:val="002532C5"/>
    <w:rsid w:val="00260C03"/>
    <w:rsid w:val="0026540E"/>
    <w:rsid w:val="00275123"/>
    <w:rsid w:val="00282240"/>
    <w:rsid w:val="002948AD"/>
    <w:rsid w:val="0029729E"/>
    <w:rsid w:val="002A01CC"/>
    <w:rsid w:val="002A61B1"/>
    <w:rsid w:val="002A663C"/>
    <w:rsid w:val="002B444B"/>
    <w:rsid w:val="002B5887"/>
    <w:rsid w:val="002C0E27"/>
    <w:rsid w:val="002C3040"/>
    <w:rsid w:val="002D022D"/>
    <w:rsid w:val="002D24BB"/>
    <w:rsid w:val="002D609F"/>
    <w:rsid w:val="002F2AF7"/>
    <w:rsid w:val="002F7E1C"/>
    <w:rsid w:val="00301A75"/>
    <w:rsid w:val="00302F70"/>
    <w:rsid w:val="0030336F"/>
    <w:rsid w:val="0030375E"/>
    <w:rsid w:val="00312A30"/>
    <w:rsid w:val="00320F72"/>
    <w:rsid w:val="0032463E"/>
    <w:rsid w:val="00324B68"/>
    <w:rsid w:val="00326224"/>
    <w:rsid w:val="003312A3"/>
    <w:rsid w:val="00334EC5"/>
    <w:rsid w:val="00337EE4"/>
    <w:rsid w:val="00340FFD"/>
    <w:rsid w:val="003506B1"/>
    <w:rsid w:val="0035621E"/>
    <w:rsid w:val="00356AC7"/>
    <w:rsid w:val="003609FA"/>
    <w:rsid w:val="003710C8"/>
    <w:rsid w:val="003750BE"/>
    <w:rsid w:val="00381AF0"/>
    <w:rsid w:val="00387B9D"/>
    <w:rsid w:val="0039055E"/>
    <w:rsid w:val="0039364F"/>
    <w:rsid w:val="00396686"/>
    <w:rsid w:val="0039778E"/>
    <w:rsid w:val="003B4941"/>
    <w:rsid w:val="003C5714"/>
    <w:rsid w:val="003C6B9F"/>
    <w:rsid w:val="003C6E2A"/>
    <w:rsid w:val="003D0299"/>
    <w:rsid w:val="003D1A95"/>
    <w:rsid w:val="003E6D80"/>
    <w:rsid w:val="003E747B"/>
    <w:rsid w:val="003F05FA"/>
    <w:rsid w:val="003F20D9"/>
    <w:rsid w:val="003F244A"/>
    <w:rsid w:val="003F30B8"/>
    <w:rsid w:val="003F4C45"/>
    <w:rsid w:val="003F5F7B"/>
    <w:rsid w:val="003F7D64"/>
    <w:rsid w:val="0040093C"/>
    <w:rsid w:val="004047FE"/>
    <w:rsid w:val="00414300"/>
    <w:rsid w:val="00425C67"/>
    <w:rsid w:val="00425DCA"/>
    <w:rsid w:val="00427E7A"/>
    <w:rsid w:val="00436C49"/>
    <w:rsid w:val="00445366"/>
    <w:rsid w:val="00447F5B"/>
    <w:rsid w:val="00461DB0"/>
    <w:rsid w:val="00463926"/>
    <w:rsid w:val="00464C9A"/>
    <w:rsid w:val="00474F3D"/>
    <w:rsid w:val="00474FDF"/>
    <w:rsid w:val="00477E3A"/>
    <w:rsid w:val="00483E5F"/>
    <w:rsid w:val="0048496D"/>
    <w:rsid w:val="00485FF9"/>
    <w:rsid w:val="004907F0"/>
    <w:rsid w:val="0049140B"/>
    <w:rsid w:val="004923A5"/>
    <w:rsid w:val="00496BFB"/>
    <w:rsid w:val="004A15C7"/>
    <w:rsid w:val="004B013B"/>
    <w:rsid w:val="004B112B"/>
    <w:rsid w:val="004C01E4"/>
    <w:rsid w:val="004C086C"/>
    <w:rsid w:val="004C1F56"/>
    <w:rsid w:val="004C27BC"/>
    <w:rsid w:val="004D15F3"/>
    <w:rsid w:val="004D5311"/>
    <w:rsid w:val="004D5DCC"/>
    <w:rsid w:val="004F10AF"/>
    <w:rsid w:val="004F11A4"/>
    <w:rsid w:val="004F2389"/>
    <w:rsid w:val="004F304D"/>
    <w:rsid w:val="004F61BE"/>
    <w:rsid w:val="004F66B1"/>
    <w:rsid w:val="00511C07"/>
    <w:rsid w:val="005173A6"/>
    <w:rsid w:val="00520BAA"/>
    <w:rsid w:val="00525208"/>
    <w:rsid w:val="005257A5"/>
    <w:rsid w:val="005264C0"/>
    <w:rsid w:val="00526A8A"/>
    <w:rsid w:val="00531DF2"/>
    <w:rsid w:val="0053564F"/>
    <w:rsid w:val="005442EE"/>
    <w:rsid w:val="00547353"/>
    <w:rsid w:val="005474E7"/>
    <w:rsid w:val="005512A3"/>
    <w:rsid w:val="005578CE"/>
    <w:rsid w:val="00560C6F"/>
    <w:rsid w:val="00562781"/>
    <w:rsid w:val="0057271C"/>
    <w:rsid w:val="00572845"/>
    <w:rsid w:val="0058193F"/>
    <w:rsid w:val="00592772"/>
    <w:rsid w:val="0059574A"/>
    <w:rsid w:val="005A1B9B"/>
    <w:rsid w:val="005A6751"/>
    <w:rsid w:val="005B092E"/>
    <w:rsid w:val="005B152C"/>
    <w:rsid w:val="005B1EE0"/>
    <w:rsid w:val="005B284C"/>
    <w:rsid w:val="005B2B24"/>
    <w:rsid w:val="005B4425"/>
    <w:rsid w:val="005B4B94"/>
    <w:rsid w:val="005C3EE8"/>
    <w:rsid w:val="005D34F9"/>
    <w:rsid w:val="005D4190"/>
    <w:rsid w:val="005D67A3"/>
    <w:rsid w:val="005E2254"/>
    <w:rsid w:val="005E2988"/>
    <w:rsid w:val="005E3085"/>
    <w:rsid w:val="005E5FC7"/>
    <w:rsid w:val="005E7DAA"/>
    <w:rsid w:val="005F51E1"/>
    <w:rsid w:val="005F675D"/>
    <w:rsid w:val="00611C80"/>
    <w:rsid w:val="00620692"/>
    <w:rsid w:val="006242CA"/>
    <w:rsid w:val="00627507"/>
    <w:rsid w:val="00633717"/>
    <w:rsid w:val="006344E1"/>
    <w:rsid w:val="006544C4"/>
    <w:rsid w:val="006545C4"/>
    <w:rsid w:val="00661971"/>
    <w:rsid w:val="00661CE8"/>
    <w:rsid w:val="006623D9"/>
    <w:rsid w:val="0066550C"/>
    <w:rsid w:val="006716F2"/>
    <w:rsid w:val="00682BF2"/>
    <w:rsid w:val="006859CE"/>
    <w:rsid w:val="00691270"/>
    <w:rsid w:val="00694BA8"/>
    <w:rsid w:val="006A037C"/>
    <w:rsid w:val="006A36F4"/>
    <w:rsid w:val="006A406F"/>
    <w:rsid w:val="006A5D3A"/>
    <w:rsid w:val="006B7E08"/>
    <w:rsid w:val="006C23D4"/>
    <w:rsid w:val="006C3473"/>
    <w:rsid w:val="006C73EF"/>
    <w:rsid w:val="006C7BB0"/>
    <w:rsid w:val="006D3237"/>
    <w:rsid w:val="006E2E37"/>
    <w:rsid w:val="006E3CF1"/>
    <w:rsid w:val="006E7E80"/>
    <w:rsid w:val="006F19B0"/>
    <w:rsid w:val="006F48CA"/>
    <w:rsid w:val="006F64DD"/>
    <w:rsid w:val="00705A40"/>
    <w:rsid w:val="00715127"/>
    <w:rsid w:val="00715E8E"/>
    <w:rsid w:val="0071796B"/>
    <w:rsid w:val="00723580"/>
    <w:rsid w:val="00723755"/>
    <w:rsid w:val="0073136C"/>
    <w:rsid w:val="00731F0F"/>
    <w:rsid w:val="00733250"/>
    <w:rsid w:val="00741404"/>
    <w:rsid w:val="007449E5"/>
    <w:rsid w:val="00747FF0"/>
    <w:rsid w:val="00764D4E"/>
    <w:rsid w:val="00765A1F"/>
    <w:rsid w:val="00775B6D"/>
    <w:rsid w:val="00776D68"/>
    <w:rsid w:val="00784B2E"/>
    <w:rsid w:val="007850EE"/>
    <w:rsid w:val="00785B95"/>
    <w:rsid w:val="00790E96"/>
    <w:rsid w:val="00793366"/>
    <w:rsid w:val="007A6280"/>
    <w:rsid w:val="007A716F"/>
    <w:rsid w:val="007B270A"/>
    <w:rsid w:val="007C0695"/>
    <w:rsid w:val="007C419A"/>
    <w:rsid w:val="007C4CC8"/>
    <w:rsid w:val="007C5426"/>
    <w:rsid w:val="007C5798"/>
    <w:rsid w:val="007D4832"/>
    <w:rsid w:val="007D7219"/>
    <w:rsid w:val="007E21B2"/>
    <w:rsid w:val="007E2C4E"/>
    <w:rsid w:val="007E3991"/>
    <w:rsid w:val="007F1905"/>
    <w:rsid w:val="00801300"/>
    <w:rsid w:val="00802C64"/>
    <w:rsid w:val="00805E52"/>
    <w:rsid w:val="008061D0"/>
    <w:rsid w:val="00810B38"/>
    <w:rsid w:val="008204C7"/>
    <w:rsid w:val="00820992"/>
    <w:rsid w:val="00823602"/>
    <w:rsid w:val="008255F5"/>
    <w:rsid w:val="0083014E"/>
    <w:rsid w:val="0083214A"/>
    <w:rsid w:val="00834220"/>
    <w:rsid w:val="00845723"/>
    <w:rsid w:val="00851EF9"/>
    <w:rsid w:val="008577FD"/>
    <w:rsid w:val="00860B03"/>
    <w:rsid w:val="0086497A"/>
    <w:rsid w:val="008713A1"/>
    <w:rsid w:val="008754AB"/>
    <w:rsid w:val="0088060C"/>
    <w:rsid w:val="00893576"/>
    <w:rsid w:val="00893E73"/>
    <w:rsid w:val="008B02DC"/>
    <w:rsid w:val="008B0BD9"/>
    <w:rsid w:val="008B56A0"/>
    <w:rsid w:val="008B57CE"/>
    <w:rsid w:val="008C26DE"/>
    <w:rsid w:val="008C4AA6"/>
    <w:rsid w:val="008D2225"/>
    <w:rsid w:val="008D4752"/>
    <w:rsid w:val="008E271C"/>
    <w:rsid w:val="008E418E"/>
    <w:rsid w:val="008E5BC6"/>
    <w:rsid w:val="008E6A25"/>
    <w:rsid w:val="008F5193"/>
    <w:rsid w:val="009013A7"/>
    <w:rsid w:val="009017FB"/>
    <w:rsid w:val="009017FC"/>
    <w:rsid w:val="0090506B"/>
    <w:rsid w:val="009050C9"/>
    <w:rsid w:val="009066FC"/>
    <w:rsid w:val="009140A3"/>
    <w:rsid w:val="009144A2"/>
    <w:rsid w:val="0091478F"/>
    <w:rsid w:val="0091510C"/>
    <w:rsid w:val="00924E78"/>
    <w:rsid w:val="009259AC"/>
    <w:rsid w:val="00926F38"/>
    <w:rsid w:val="00934301"/>
    <w:rsid w:val="00934A97"/>
    <w:rsid w:val="00936CD1"/>
    <w:rsid w:val="00941747"/>
    <w:rsid w:val="0094178F"/>
    <w:rsid w:val="00941EFB"/>
    <w:rsid w:val="00943A7B"/>
    <w:rsid w:val="00947AFB"/>
    <w:rsid w:val="00951744"/>
    <w:rsid w:val="00951D7D"/>
    <w:rsid w:val="009532BC"/>
    <w:rsid w:val="009630C7"/>
    <w:rsid w:val="00972B55"/>
    <w:rsid w:val="009743B7"/>
    <w:rsid w:val="00977DA8"/>
    <w:rsid w:val="0098228B"/>
    <w:rsid w:val="009828DA"/>
    <w:rsid w:val="00985BAB"/>
    <w:rsid w:val="00994159"/>
    <w:rsid w:val="009B1B5F"/>
    <w:rsid w:val="009B6673"/>
    <w:rsid w:val="009C191B"/>
    <w:rsid w:val="009C2BD6"/>
    <w:rsid w:val="009E1F32"/>
    <w:rsid w:val="009E776C"/>
    <w:rsid w:val="009F1D6B"/>
    <w:rsid w:val="00A1102F"/>
    <w:rsid w:val="00A1726E"/>
    <w:rsid w:val="00A204CF"/>
    <w:rsid w:val="00A23D49"/>
    <w:rsid w:val="00A27004"/>
    <w:rsid w:val="00A30C29"/>
    <w:rsid w:val="00A34DD6"/>
    <w:rsid w:val="00A36819"/>
    <w:rsid w:val="00A36989"/>
    <w:rsid w:val="00A43628"/>
    <w:rsid w:val="00A54192"/>
    <w:rsid w:val="00A55CE9"/>
    <w:rsid w:val="00A6035E"/>
    <w:rsid w:val="00A6144C"/>
    <w:rsid w:val="00A66617"/>
    <w:rsid w:val="00A671F8"/>
    <w:rsid w:val="00A673A4"/>
    <w:rsid w:val="00A70468"/>
    <w:rsid w:val="00A724AE"/>
    <w:rsid w:val="00A73329"/>
    <w:rsid w:val="00A82359"/>
    <w:rsid w:val="00A865D2"/>
    <w:rsid w:val="00A907F3"/>
    <w:rsid w:val="00A94C20"/>
    <w:rsid w:val="00AA227F"/>
    <w:rsid w:val="00AA3BC7"/>
    <w:rsid w:val="00AA754A"/>
    <w:rsid w:val="00AB099E"/>
    <w:rsid w:val="00AB0CB4"/>
    <w:rsid w:val="00AB4328"/>
    <w:rsid w:val="00AC6FC1"/>
    <w:rsid w:val="00AD4F05"/>
    <w:rsid w:val="00AE0A2E"/>
    <w:rsid w:val="00AE354C"/>
    <w:rsid w:val="00AE5520"/>
    <w:rsid w:val="00AF4B07"/>
    <w:rsid w:val="00AF6186"/>
    <w:rsid w:val="00AF7102"/>
    <w:rsid w:val="00AF7A3A"/>
    <w:rsid w:val="00B01FB0"/>
    <w:rsid w:val="00B160DB"/>
    <w:rsid w:val="00B20836"/>
    <w:rsid w:val="00B235BB"/>
    <w:rsid w:val="00B27A44"/>
    <w:rsid w:val="00B30BBF"/>
    <w:rsid w:val="00B33C03"/>
    <w:rsid w:val="00B44E56"/>
    <w:rsid w:val="00B46543"/>
    <w:rsid w:val="00B47D33"/>
    <w:rsid w:val="00B52BE0"/>
    <w:rsid w:val="00B54133"/>
    <w:rsid w:val="00B615B9"/>
    <w:rsid w:val="00B701ED"/>
    <w:rsid w:val="00B8086C"/>
    <w:rsid w:val="00B83A72"/>
    <w:rsid w:val="00B861B4"/>
    <w:rsid w:val="00B86DFE"/>
    <w:rsid w:val="00B87FB1"/>
    <w:rsid w:val="00B90990"/>
    <w:rsid w:val="00B922FF"/>
    <w:rsid w:val="00B9281E"/>
    <w:rsid w:val="00B93925"/>
    <w:rsid w:val="00B95187"/>
    <w:rsid w:val="00BA1CA3"/>
    <w:rsid w:val="00BA2D55"/>
    <w:rsid w:val="00BA71B1"/>
    <w:rsid w:val="00BB0637"/>
    <w:rsid w:val="00BB312C"/>
    <w:rsid w:val="00BB345F"/>
    <w:rsid w:val="00BB68EA"/>
    <w:rsid w:val="00BC1C27"/>
    <w:rsid w:val="00BC6BBF"/>
    <w:rsid w:val="00BD1572"/>
    <w:rsid w:val="00BE14E3"/>
    <w:rsid w:val="00BE3774"/>
    <w:rsid w:val="00BE41E5"/>
    <w:rsid w:val="00BE4DFE"/>
    <w:rsid w:val="00BF4109"/>
    <w:rsid w:val="00BF4CC3"/>
    <w:rsid w:val="00C054C7"/>
    <w:rsid w:val="00C057B5"/>
    <w:rsid w:val="00C22687"/>
    <w:rsid w:val="00C31B3A"/>
    <w:rsid w:val="00C32E4D"/>
    <w:rsid w:val="00C333A0"/>
    <w:rsid w:val="00C36210"/>
    <w:rsid w:val="00C36408"/>
    <w:rsid w:val="00C36A81"/>
    <w:rsid w:val="00C41974"/>
    <w:rsid w:val="00C53F4A"/>
    <w:rsid w:val="00C54125"/>
    <w:rsid w:val="00C559CB"/>
    <w:rsid w:val="00C55B54"/>
    <w:rsid w:val="00C6098E"/>
    <w:rsid w:val="00C6152C"/>
    <w:rsid w:val="00C64EBF"/>
    <w:rsid w:val="00C74810"/>
    <w:rsid w:val="00C90D68"/>
    <w:rsid w:val="00C939FE"/>
    <w:rsid w:val="00CA4BDA"/>
    <w:rsid w:val="00CB1F66"/>
    <w:rsid w:val="00CB2951"/>
    <w:rsid w:val="00CD282B"/>
    <w:rsid w:val="00CD4C35"/>
    <w:rsid w:val="00CD7369"/>
    <w:rsid w:val="00CE0B0E"/>
    <w:rsid w:val="00CE3831"/>
    <w:rsid w:val="00CE6ED9"/>
    <w:rsid w:val="00D00ABB"/>
    <w:rsid w:val="00D02EEC"/>
    <w:rsid w:val="00D03551"/>
    <w:rsid w:val="00D06A63"/>
    <w:rsid w:val="00D07E0E"/>
    <w:rsid w:val="00D11478"/>
    <w:rsid w:val="00D15ED0"/>
    <w:rsid w:val="00D21B3E"/>
    <w:rsid w:val="00D21FED"/>
    <w:rsid w:val="00D24251"/>
    <w:rsid w:val="00D343E2"/>
    <w:rsid w:val="00D361A2"/>
    <w:rsid w:val="00D43F5E"/>
    <w:rsid w:val="00D44C2E"/>
    <w:rsid w:val="00D45414"/>
    <w:rsid w:val="00D520E5"/>
    <w:rsid w:val="00D566BD"/>
    <w:rsid w:val="00D57A4D"/>
    <w:rsid w:val="00D60AA7"/>
    <w:rsid w:val="00D6435F"/>
    <w:rsid w:val="00D75E28"/>
    <w:rsid w:val="00D772C2"/>
    <w:rsid w:val="00D8008E"/>
    <w:rsid w:val="00D82C45"/>
    <w:rsid w:val="00D8386C"/>
    <w:rsid w:val="00D908A8"/>
    <w:rsid w:val="00D90EB3"/>
    <w:rsid w:val="00D91EA0"/>
    <w:rsid w:val="00D977B6"/>
    <w:rsid w:val="00DA4A31"/>
    <w:rsid w:val="00DA7B04"/>
    <w:rsid w:val="00DB36C2"/>
    <w:rsid w:val="00DB7D62"/>
    <w:rsid w:val="00DC0D10"/>
    <w:rsid w:val="00DC169B"/>
    <w:rsid w:val="00DC2AB9"/>
    <w:rsid w:val="00DC63F0"/>
    <w:rsid w:val="00DD6EE5"/>
    <w:rsid w:val="00DE386C"/>
    <w:rsid w:val="00DE4D35"/>
    <w:rsid w:val="00DF098B"/>
    <w:rsid w:val="00DF1114"/>
    <w:rsid w:val="00DF11C4"/>
    <w:rsid w:val="00DF18CB"/>
    <w:rsid w:val="00DF210C"/>
    <w:rsid w:val="00DF4B6A"/>
    <w:rsid w:val="00E02897"/>
    <w:rsid w:val="00E02C09"/>
    <w:rsid w:val="00E04D59"/>
    <w:rsid w:val="00E07DA1"/>
    <w:rsid w:val="00E123CB"/>
    <w:rsid w:val="00E17227"/>
    <w:rsid w:val="00E20E13"/>
    <w:rsid w:val="00E21DB2"/>
    <w:rsid w:val="00E21DBC"/>
    <w:rsid w:val="00E275D7"/>
    <w:rsid w:val="00E27DBE"/>
    <w:rsid w:val="00E32AB1"/>
    <w:rsid w:val="00E36C71"/>
    <w:rsid w:val="00E40404"/>
    <w:rsid w:val="00E459C6"/>
    <w:rsid w:val="00E47589"/>
    <w:rsid w:val="00E64915"/>
    <w:rsid w:val="00E661D4"/>
    <w:rsid w:val="00E70091"/>
    <w:rsid w:val="00E720F5"/>
    <w:rsid w:val="00E76D47"/>
    <w:rsid w:val="00E849F7"/>
    <w:rsid w:val="00E8668A"/>
    <w:rsid w:val="00E90302"/>
    <w:rsid w:val="00E97396"/>
    <w:rsid w:val="00EA185E"/>
    <w:rsid w:val="00EA592A"/>
    <w:rsid w:val="00EB14E4"/>
    <w:rsid w:val="00EB32A5"/>
    <w:rsid w:val="00EB34ED"/>
    <w:rsid w:val="00EB7BE0"/>
    <w:rsid w:val="00EC2784"/>
    <w:rsid w:val="00EC315E"/>
    <w:rsid w:val="00EC78A3"/>
    <w:rsid w:val="00ED077C"/>
    <w:rsid w:val="00ED1190"/>
    <w:rsid w:val="00ED6544"/>
    <w:rsid w:val="00EE0277"/>
    <w:rsid w:val="00EE3E00"/>
    <w:rsid w:val="00EE45C0"/>
    <w:rsid w:val="00EE5DD2"/>
    <w:rsid w:val="00F00A79"/>
    <w:rsid w:val="00F00E86"/>
    <w:rsid w:val="00F07C1E"/>
    <w:rsid w:val="00F105DB"/>
    <w:rsid w:val="00F132BC"/>
    <w:rsid w:val="00F13D80"/>
    <w:rsid w:val="00F16AAA"/>
    <w:rsid w:val="00F21161"/>
    <w:rsid w:val="00F218EF"/>
    <w:rsid w:val="00F21BC7"/>
    <w:rsid w:val="00F266A2"/>
    <w:rsid w:val="00F32269"/>
    <w:rsid w:val="00F3521B"/>
    <w:rsid w:val="00F40988"/>
    <w:rsid w:val="00F428BC"/>
    <w:rsid w:val="00F56A6F"/>
    <w:rsid w:val="00F5709C"/>
    <w:rsid w:val="00F61956"/>
    <w:rsid w:val="00F64EF1"/>
    <w:rsid w:val="00F844DD"/>
    <w:rsid w:val="00F8765F"/>
    <w:rsid w:val="00F90767"/>
    <w:rsid w:val="00F9130D"/>
    <w:rsid w:val="00FA3553"/>
    <w:rsid w:val="00FA685B"/>
    <w:rsid w:val="00FB0C01"/>
    <w:rsid w:val="00FB3713"/>
    <w:rsid w:val="00FB64E0"/>
    <w:rsid w:val="00FC18F2"/>
    <w:rsid w:val="00FC39E5"/>
    <w:rsid w:val="00FC3A78"/>
    <w:rsid w:val="00FD1005"/>
    <w:rsid w:val="00FD6C75"/>
    <w:rsid w:val="00FD7561"/>
    <w:rsid w:val="00FE71B3"/>
    <w:rsid w:val="00FF42C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FBD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3F20D9"/>
    <w:rPr>
      <w:sz w:val="24"/>
      <w:szCs w:val="24"/>
    </w:rPr>
  </w:style>
  <w:style w:type="paragraph" w:styleId="Heading1">
    <w:name w:val="heading 1"/>
    <w:basedOn w:val="Normal"/>
    <w:next w:val="Normal"/>
    <w:link w:val="Heading1Char"/>
    <w:uiPriority w:val="98"/>
    <w:semiHidden/>
    <w:rsid w:val="003F20D9"/>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3F20D9"/>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3F20D9"/>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3F20D9"/>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3F20D9"/>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3F20D9"/>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3F20D9"/>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3F20D9"/>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3F20D9"/>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3F20D9"/>
    <w:rPr>
      <w:rFonts w:ascii="Tahoma" w:hAnsi="Tahoma" w:cs="Tahoma"/>
      <w:sz w:val="16"/>
      <w:szCs w:val="16"/>
    </w:rPr>
  </w:style>
  <w:style w:type="character" w:customStyle="1" w:styleId="BalloonTextChar">
    <w:name w:val="Balloon Text Char"/>
    <w:basedOn w:val="DefaultParagraphFont"/>
    <w:link w:val="BalloonText"/>
    <w:uiPriority w:val="98"/>
    <w:semiHidden/>
    <w:rsid w:val="003F20D9"/>
    <w:rPr>
      <w:rFonts w:ascii="Tahoma" w:hAnsi="Tahoma" w:cs="Tahoma"/>
      <w:sz w:val="16"/>
      <w:szCs w:val="16"/>
      <w:lang w:val="ro-RO"/>
    </w:rPr>
  </w:style>
  <w:style w:type="character" w:styleId="BookTitle">
    <w:name w:val="Book Title"/>
    <w:uiPriority w:val="98"/>
    <w:semiHidden/>
    <w:qFormat/>
    <w:rsid w:val="003F20D9"/>
    <w:rPr>
      <w:i/>
      <w:iCs/>
      <w:smallCaps/>
      <w:spacing w:val="5"/>
    </w:rPr>
  </w:style>
  <w:style w:type="paragraph" w:customStyle="1" w:styleId="JuHeader">
    <w:name w:val="Ju_Header"/>
    <w:aliases w:val="_Header"/>
    <w:basedOn w:val="Header"/>
    <w:uiPriority w:val="29"/>
    <w:qFormat/>
    <w:rsid w:val="003F20D9"/>
    <w:pPr>
      <w:tabs>
        <w:tab w:val="clear" w:pos="4536"/>
        <w:tab w:val="clear" w:pos="9072"/>
      </w:tabs>
      <w:jc w:val="center"/>
    </w:pPr>
    <w:rPr>
      <w:sz w:val="18"/>
    </w:rPr>
  </w:style>
  <w:style w:type="paragraph" w:customStyle="1" w:styleId="NormalJustified">
    <w:name w:val="Normal_Justified"/>
    <w:basedOn w:val="Normal"/>
    <w:semiHidden/>
    <w:rsid w:val="003F20D9"/>
    <w:pPr>
      <w:jc w:val="both"/>
    </w:pPr>
  </w:style>
  <w:style w:type="character" w:styleId="Strong">
    <w:name w:val="Strong"/>
    <w:uiPriority w:val="98"/>
    <w:semiHidden/>
    <w:qFormat/>
    <w:rsid w:val="003F20D9"/>
    <w:rPr>
      <w:b/>
      <w:bCs/>
    </w:rPr>
  </w:style>
  <w:style w:type="paragraph" w:styleId="NoSpacing">
    <w:name w:val="No Spacing"/>
    <w:basedOn w:val="Normal"/>
    <w:link w:val="NoSpacingChar"/>
    <w:uiPriority w:val="98"/>
    <w:semiHidden/>
    <w:qFormat/>
    <w:rsid w:val="003F20D9"/>
  </w:style>
  <w:style w:type="character" w:customStyle="1" w:styleId="NoSpacingChar">
    <w:name w:val="No Spacing Char"/>
    <w:basedOn w:val="DefaultParagraphFont"/>
    <w:link w:val="NoSpacing"/>
    <w:uiPriority w:val="98"/>
    <w:semiHidden/>
    <w:rsid w:val="003F20D9"/>
    <w:rPr>
      <w:sz w:val="24"/>
      <w:szCs w:val="24"/>
      <w:lang w:val="ro-RO"/>
    </w:rPr>
  </w:style>
  <w:style w:type="paragraph" w:customStyle="1" w:styleId="ECHRBullet1">
    <w:name w:val="ECHR_Bullet_1"/>
    <w:aliases w:val="_Bul_1"/>
    <w:basedOn w:val="NormalJustified"/>
    <w:uiPriority w:val="23"/>
    <w:semiHidden/>
    <w:qFormat/>
    <w:rsid w:val="003F20D9"/>
    <w:pPr>
      <w:numPr>
        <w:numId w:val="16"/>
      </w:numPr>
      <w:spacing w:before="60" w:after="60"/>
    </w:pPr>
  </w:style>
  <w:style w:type="paragraph" w:customStyle="1" w:styleId="JuQuot">
    <w:name w:val="Ju_Quot"/>
    <w:aliases w:val="_Quote"/>
    <w:basedOn w:val="NormalJustified"/>
    <w:uiPriority w:val="20"/>
    <w:qFormat/>
    <w:rsid w:val="003F20D9"/>
    <w:pPr>
      <w:spacing w:before="120" w:after="120"/>
      <w:ind w:left="425" w:firstLine="142"/>
    </w:pPr>
    <w:rPr>
      <w:sz w:val="20"/>
    </w:rPr>
  </w:style>
  <w:style w:type="paragraph" w:customStyle="1" w:styleId="JuList">
    <w:name w:val="Ju_List"/>
    <w:aliases w:val="_List_1"/>
    <w:basedOn w:val="NormalJustified"/>
    <w:uiPriority w:val="23"/>
    <w:qFormat/>
    <w:rsid w:val="003F20D9"/>
    <w:pPr>
      <w:numPr>
        <w:numId w:val="17"/>
      </w:numPr>
      <w:spacing w:before="280" w:after="60"/>
    </w:pPr>
  </w:style>
  <w:style w:type="paragraph" w:customStyle="1" w:styleId="JuLista">
    <w:name w:val="Ju_List_a"/>
    <w:aliases w:val="_List_2"/>
    <w:basedOn w:val="NormalJustified"/>
    <w:uiPriority w:val="23"/>
    <w:rsid w:val="003F20D9"/>
    <w:pPr>
      <w:numPr>
        <w:ilvl w:val="1"/>
        <w:numId w:val="17"/>
      </w:numPr>
    </w:pPr>
  </w:style>
  <w:style w:type="paragraph" w:customStyle="1" w:styleId="JuListi">
    <w:name w:val="Ju_List_i"/>
    <w:aliases w:val="_List_3"/>
    <w:basedOn w:val="NormalJustified"/>
    <w:uiPriority w:val="23"/>
    <w:rsid w:val="003F20D9"/>
    <w:pPr>
      <w:numPr>
        <w:ilvl w:val="2"/>
        <w:numId w:val="17"/>
      </w:numPr>
    </w:pPr>
  </w:style>
  <w:style w:type="paragraph" w:customStyle="1" w:styleId="ECHRCoverTitle4">
    <w:name w:val="ECHR_Cover_Title_4"/>
    <w:aliases w:val="_Title_4"/>
    <w:basedOn w:val="JuPara"/>
    <w:next w:val="JuPara"/>
    <w:uiPriority w:val="38"/>
    <w:qFormat/>
    <w:rsid w:val="003F20D9"/>
    <w:pPr>
      <w:keepNext/>
      <w:keepLines/>
      <w:tabs>
        <w:tab w:val="right" w:pos="7938"/>
      </w:tabs>
      <w:ind w:firstLine="0"/>
      <w:jc w:val="center"/>
    </w:pPr>
    <w:rPr>
      <w:i/>
    </w:rPr>
  </w:style>
  <w:style w:type="paragraph" w:customStyle="1" w:styleId="JuHArticle">
    <w:name w:val="Ju_H_Article"/>
    <w:aliases w:val="_Title_Quote"/>
    <w:basedOn w:val="Normal"/>
    <w:next w:val="JuQuot"/>
    <w:uiPriority w:val="19"/>
    <w:qFormat/>
    <w:rsid w:val="003F20D9"/>
    <w:pPr>
      <w:keepNext/>
      <w:spacing w:before="100" w:beforeAutospacing="1" w:after="120"/>
      <w:contextualSpacing/>
      <w:jc w:val="center"/>
    </w:pPr>
    <w:rPr>
      <w:b/>
      <w:sz w:val="20"/>
    </w:rPr>
  </w:style>
  <w:style w:type="numbering" w:customStyle="1" w:styleId="ECHRA1StyleBulletedSquare">
    <w:name w:val="ECHR_A1_Style_Bulleted_Square"/>
    <w:basedOn w:val="NoList"/>
    <w:rsid w:val="003F20D9"/>
    <w:pPr>
      <w:numPr>
        <w:numId w:val="16"/>
      </w:numPr>
    </w:pPr>
  </w:style>
  <w:style w:type="numbering" w:customStyle="1" w:styleId="ECHRA1StyleList">
    <w:name w:val="ECHR_A1_Style_List"/>
    <w:basedOn w:val="NoList"/>
    <w:uiPriority w:val="99"/>
    <w:rsid w:val="003F20D9"/>
    <w:pPr>
      <w:numPr>
        <w:numId w:val="17"/>
      </w:numPr>
    </w:pPr>
  </w:style>
  <w:style w:type="paragraph" w:customStyle="1" w:styleId="JuHHead">
    <w:name w:val="Ju_H_Head"/>
    <w:aliases w:val="_Head_1"/>
    <w:basedOn w:val="Heading1"/>
    <w:next w:val="JuPara"/>
    <w:uiPriority w:val="17"/>
    <w:qFormat/>
    <w:rsid w:val="003F20D9"/>
    <w:pPr>
      <w:keepNext/>
      <w:keepLines/>
      <w:numPr>
        <w:numId w:val="15"/>
      </w:numPr>
      <w:spacing w:before="100" w:beforeAutospacing="1" w:after="240"/>
      <w:contextualSpacing w:val="0"/>
      <w:jc w:val="both"/>
    </w:pPr>
    <w:rPr>
      <w:b w:val="0"/>
      <w:caps/>
      <w:color w:val="auto"/>
    </w:rPr>
  </w:style>
  <w:style w:type="numbering" w:customStyle="1" w:styleId="ECHRA1StyleNumberedList">
    <w:name w:val="ECHR_A1_Style_Numbered_List"/>
    <w:basedOn w:val="NoList"/>
    <w:rsid w:val="003F20D9"/>
    <w:pPr>
      <w:numPr>
        <w:numId w:val="18"/>
      </w:numPr>
    </w:pPr>
  </w:style>
  <w:style w:type="paragraph" w:styleId="Title">
    <w:name w:val="Title"/>
    <w:basedOn w:val="Normal"/>
    <w:next w:val="Normal"/>
    <w:link w:val="TitleChar"/>
    <w:uiPriority w:val="98"/>
    <w:semiHidden/>
    <w:qFormat/>
    <w:rsid w:val="003F20D9"/>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3F20D9"/>
    <w:rPr>
      <w:rFonts w:asciiTheme="majorHAnsi" w:eastAsiaTheme="majorEastAsia" w:hAnsiTheme="majorHAnsi" w:cstheme="majorBidi"/>
      <w:spacing w:val="5"/>
      <w:sz w:val="52"/>
      <w:szCs w:val="52"/>
      <w:lang w:val="ro-RO" w:bidi="en-US"/>
    </w:rPr>
  </w:style>
  <w:style w:type="table" w:customStyle="1" w:styleId="ECHRTable2019">
    <w:name w:val="ECHR_Table_2019"/>
    <w:basedOn w:val="TableNormal"/>
    <w:uiPriority w:val="99"/>
    <w:rsid w:val="003F20D9"/>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2D609F"/>
    <w:rPr>
      <w:sz w:val="8"/>
    </w:rPr>
  </w:style>
  <w:style w:type="paragraph" w:customStyle="1" w:styleId="JuCase">
    <w:name w:val="Ju_Case"/>
    <w:aliases w:val="_Case_Name"/>
    <w:basedOn w:val="NormalJustified"/>
    <w:next w:val="JuPara"/>
    <w:uiPriority w:val="32"/>
    <w:rsid w:val="003F20D9"/>
    <w:pPr>
      <w:ind w:firstLine="284"/>
    </w:pPr>
    <w:rPr>
      <w:b/>
    </w:rPr>
  </w:style>
  <w:style w:type="paragraph" w:customStyle="1" w:styleId="JuCourt">
    <w:name w:val="Ju_Court"/>
    <w:aliases w:val="_Court_Names"/>
    <w:basedOn w:val="Normal"/>
    <w:next w:val="Normal"/>
    <w:uiPriority w:val="32"/>
    <w:qFormat/>
    <w:rsid w:val="003F20D9"/>
    <w:pPr>
      <w:tabs>
        <w:tab w:val="left" w:pos="907"/>
        <w:tab w:val="left" w:pos="1701"/>
        <w:tab w:val="right" w:pos="7371"/>
      </w:tabs>
      <w:spacing w:before="240"/>
      <w:ind w:left="397" w:hanging="397"/>
    </w:pPr>
    <w:rPr>
      <w:lang w:bidi="en-US"/>
    </w:rPr>
  </w:style>
  <w:style w:type="paragraph" w:customStyle="1" w:styleId="JuInitialled">
    <w:name w:val="Ju_Initialled"/>
    <w:aliases w:val="_Right"/>
    <w:basedOn w:val="Normal"/>
    <w:uiPriority w:val="30"/>
    <w:qFormat/>
    <w:rsid w:val="003F20D9"/>
    <w:pPr>
      <w:tabs>
        <w:tab w:val="center" w:pos="6407"/>
      </w:tabs>
      <w:spacing w:before="720"/>
      <w:jc w:val="right"/>
    </w:pPr>
  </w:style>
  <w:style w:type="paragraph" w:customStyle="1" w:styleId="JuHIRoman">
    <w:name w:val="Ju_H_I_Roman"/>
    <w:aliases w:val="_Head_2"/>
    <w:basedOn w:val="Heading2"/>
    <w:next w:val="JuPara"/>
    <w:uiPriority w:val="17"/>
    <w:qFormat/>
    <w:rsid w:val="003F20D9"/>
    <w:pPr>
      <w:keepNext/>
      <w:keepLines/>
      <w:numPr>
        <w:ilvl w:val="1"/>
        <w:numId w:val="15"/>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3F20D9"/>
    <w:pPr>
      <w:keepNext/>
      <w:keepLines/>
      <w:numPr>
        <w:ilvl w:val="2"/>
        <w:numId w:val="15"/>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3F20D9"/>
    <w:pPr>
      <w:keepNext/>
      <w:keepLines/>
      <w:numPr>
        <w:ilvl w:val="3"/>
        <w:numId w:val="15"/>
      </w:numPr>
      <w:spacing w:before="100" w:beforeAutospacing="1" w:after="120"/>
      <w:jc w:val="both"/>
    </w:pPr>
    <w:rPr>
      <w:b w:val="0"/>
      <w:color w:val="auto"/>
      <w:sz w:val="24"/>
    </w:rPr>
  </w:style>
  <w:style w:type="paragraph" w:styleId="Header">
    <w:name w:val="header"/>
    <w:basedOn w:val="Normal"/>
    <w:link w:val="HeaderChar"/>
    <w:uiPriority w:val="98"/>
    <w:semiHidden/>
    <w:rsid w:val="003F20D9"/>
    <w:pPr>
      <w:tabs>
        <w:tab w:val="center" w:pos="4536"/>
        <w:tab w:val="right" w:pos="9072"/>
      </w:tabs>
    </w:pPr>
  </w:style>
  <w:style w:type="character" w:customStyle="1" w:styleId="HeaderChar">
    <w:name w:val="Header Char"/>
    <w:basedOn w:val="DefaultParagraphFont"/>
    <w:link w:val="Header"/>
    <w:uiPriority w:val="98"/>
    <w:semiHidden/>
    <w:rsid w:val="003F20D9"/>
    <w:rPr>
      <w:sz w:val="24"/>
      <w:szCs w:val="24"/>
      <w:lang w:val="ro-RO"/>
    </w:rPr>
  </w:style>
  <w:style w:type="character" w:customStyle="1" w:styleId="Heading1Char">
    <w:name w:val="Heading 1 Char"/>
    <w:basedOn w:val="DefaultParagraphFont"/>
    <w:link w:val="Heading1"/>
    <w:uiPriority w:val="98"/>
    <w:semiHidden/>
    <w:rsid w:val="003F20D9"/>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3F20D9"/>
    <w:pPr>
      <w:keepNext/>
      <w:keepLines/>
      <w:numPr>
        <w:ilvl w:val="4"/>
        <w:numId w:val="15"/>
      </w:numPr>
      <w:spacing w:before="100" w:beforeAutospacing="1" w:after="120"/>
      <w:jc w:val="both"/>
    </w:pPr>
    <w:rPr>
      <w:color w:val="auto"/>
      <w:sz w:val="20"/>
    </w:rPr>
  </w:style>
  <w:style w:type="paragraph" w:customStyle="1" w:styleId="JuHi">
    <w:name w:val="Ju_H_i"/>
    <w:aliases w:val="_Head_6"/>
    <w:basedOn w:val="Heading6"/>
    <w:next w:val="JuPara"/>
    <w:uiPriority w:val="17"/>
    <w:rsid w:val="003F20D9"/>
    <w:pPr>
      <w:keepNext/>
      <w:keepLines/>
      <w:numPr>
        <w:ilvl w:val="5"/>
        <w:numId w:val="15"/>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3F20D9"/>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3F20D9"/>
    <w:pPr>
      <w:keepNext/>
      <w:keepLines/>
      <w:numPr>
        <w:ilvl w:val="6"/>
        <w:numId w:val="15"/>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3F20D9"/>
    <w:pPr>
      <w:keepNext/>
      <w:keepLines/>
      <w:numPr>
        <w:ilvl w:val="7"/>
        <w:numId w:val="15"/>
      </w:numPr>
      <w:spacing w:before="100" w:beforeAutospacing="1" w:after="120"/>
      <w:jc w:val="both"/>
    </w:pPr>
    <w:rPr>
      <w:i/>
    </w:rPr>
  </w:style>
  <w:style w:type="character" w:customStyle="1" w:styleId="Heading3Char">
    <w:name w:val="Heading 3 Char"/>
    <w:basedOn w:val="DefaultParagraphFont"/>
    <w:link w:val="Heading3"/>
    <w:uiPriority w:val="98"/>
    <w:semiHidden/>
    <w:rsid w:val="003F20D9"/>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3F20D9"/>
    <w:pPr>
      <w:keepNext/>
      <w:keepLines/>
      <w:spacing w:before="240" w:after="240"/>
      <w:ind w:firstLine="284"/>
    </w:pPr>
  </w:style>
  <w:style w:type="character" w:customStyle="1" w:styleId="JuITMark">
    <w:name w:val="Ju_ITMark"/>
    <w:aliases w:val="_ITMark"/>
    <w:basedOn w:val="DefaultParagraphFont"/>
    <w:uiPriority w:val="54"/>
    <w:qFormat/>
    <w:rsid w:val="003F20D9"/>
    <w:rPr>
      <w:vanish w:val="0"/>
      <w:color w:val="auto"/>
      <w:sz w:val="14"/>
      <w:bdr w:val="none" w:sz="0" w:space="0" w:color="auto"/>
      <w:shd w:val="clear" w:color="auto" w:fill="BEE5FF" w:themeFill="background1" w:themeFillTint="33"/>
    </w:rPr>
  </w:style>
  <w:style w:type="character" w:customStyle="1" w:styleId="Heading4Char">
    <w:name w:val="Heading 4 Char"/>
    <w:basedOn w:val="DefaultParagraphFont"/>
    <w:link w:val="Heading4"/>
    <w:uiPriority w:val="98"/>
    <w:semiHidden/>
    <w:rsid w:val="003F20D9"/>
    <w:rPr>
      <w:rFonts w:asciiTheme="majorHAnsi" w:eastAsiaTheme="majorEastAsia" w:hAnsiTheme="majorHAnsi" w:cstheme="majorBidi"/>
      <w:b/>
      <w:bCs/>
      <w:i/>
      <w:iCs/>
      <w:color w:val="777777"/>
      <w:lang w:val="ro-RO"/>
    </w:rPr>
  </w:style>
  <w:style w:type="paragraph" w:customStyle="1" w:styleId="JuJudges">
    <w:name w:val="Ju_Judges"/>
    <w:aliases w:val="_Judges"/>
    <w:basedOn w:val="Normal"/>
    <w:uiPriority w:val="32"/>
    <w:qFormat/>
    <w:rsid w:val="003F20D9"/>
    <w:pPr>
      <w:tabs>
        <w:tab w:val="left" w:pos="567"/>
        <w:tab w:val="left" w:pos="1134"/>
      </w:tabs>
    </w:pPr>
  </w:style>
  <w:style w:type="character" w:customStyle="1" w:styleId="Heading5Char">
    <w:name w:val="Heading 5 Char"/>
    <w:basedOn w:val="DefaultParagraphFont"/>
    <w:link w:val="Heading5"/>
    <w:uiPriority w:val="98"/>
    <w:semiHidden/>
    <w:rsid w:val="003F20D9"/>
    <w:rPr>
      <w:rFonts w:asciiTheme="majorHAnsi" w:eastAsiaTheme="majorEastAsia" w:hAnsiTheme="majorHAnsi" w:cstheme="majorBidi"/>
      <w:b/>
      <w:bCs/>
      <w:color w:val="808080"/>
      <w:lang w:val="ro-RO"/>
    </w:rPr>
  </w:style>
  <w:style w:type="character" w:customStyle="1" w:styleId="JUNAMES">
    <w:name w:val="JU_NAMES"/>
    <w:aliases w:val="_Ju_Names"/>
    <w:uiPriority w:val="33"/>
    <w:qFormat/>
    <w:rsid w:val="003F20D9"/>
    <w:rPr>
      <w:caps w:val="0"/>
      <w:smallCaps/>
    </w:rPr>
  </w:style>
  <w:style w:type="character" w:styleId="SubtleEmphasis">
    <w:name w:val="Subtle Emphasis"/>
    <w:uiPriority w:val="98"/>
    <w:semiHidden/>
    <w:qFormat/>
    <w:rsid w:val="003F20D9"/>
    <w:rPr>
      <w:i/>
      <w:iCs/>
    </w:rPr>
  </w:style>
  <w:style w:type="table" w:customStyle="1" w:styleId="ECHRTable">
    <w:name w:val="ECHR_Table"/>
    <w:basedOn w:val="TableNormal"/>
    <w:rsid w:val="003F20D9"/>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3F20D9"/>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DecHCase">
    <w:name w:val="Dec_H_Case"/>
    <w:aliases w:val="_Title_3"/>
    <w:basedOn w:val="JuPara"/>
    <w:next w:val="JuPara"/>
    <w:uiPriority w:val="38"/>
    <w:qFormat/>
    <w:rsid w:val="003F20D9"/>
    <w:pPr>
      <w:keepNext/>
      <w:keepLines/>
      <w:spacing w:after="280"/>
      <w:ind w:firstLine="0"/>
      <w:jc w:val="center"/>
    </w:pPr>
    <w:rPr>
      <w:rFonts w:asciiTheme="majorHAnsi" w:hAnsiTheme="majorHAnsi"/>
    </w:rPr>
  </w:style>
  <w:style w:type="character" w:styleId="Emphasis">
    <w:name w:val="Emphasis"/>
    <w:uiPriority w:val="98"/>
    <w:semiHidden/>
    <w:qFormat/>
    <w:rsid w:val="003F20D9"/>
    <w:rPr>
      <w:b/>
      <w:bCs/>
      <w:i/>
      <w:iCs/>
      <w:spacing w:val="10"/>
      <w:bdr w:val="none" w:sz="0" w:space="0" w:color="auto"/>
      <w:shd w:val="clear" w:color="auto" w:fill="auto"/>
    </w:rPr>
  </w:style>
  <w:style w:type="paragraph" w:styleId="Footer0">
    <w:name w:val="footer"/>
    <w:basedOn w:val="Normal"/>
    <w:link w:val="FooterChar"/>
    <w:uiPriority w:val="98"/>
    <w:semiHidden/>
    <w:rsid w:val="003F20D9"/>
    <w:pPr>
      <w:tabs>
        <w:tab w:val="center" w:pos="3686"/>
        <w:tab w:val="right" w:pos="7371"/>
      </w:tabs>
    </w:pPr>
  </w:style>
  <w:style w:type="character" w:customStyle="1" w:styleId="FooterChar">
    <w:name w:val="Footer Char"/>
    <w:basedOn w:val="DefaultParagraphFont"/>
    <w:link w:val="Footer0"/>
    <w:uiPriority w:val="98"/>
    <w:semiHidden/>
    <w:rsid w:val="003F20D9"/>
    <w:rPr>
      <w:sz w:val="24"/>
      <w:szCs w:val="24"/>
      <w:lang w:val="ro-RO"/>
    </w:rPr>
  </w:style>
  <w:style w:type="character" w:styleId="FootnoteReference">
    <w:name w:val="footnote reference"/>
    <w:basedOn w:val="DefaultParagraphFont"/>
    <w:uiPriority w:val="98"/>
    <w:semiHidden/>
    <w:rsid w:val="003F20D9"/>
    <w:rPr>
      <w:vertAlign w:val="superscript"/>
    </w:rPr>
  </w:style>
  <w:style w:type="paragraph" w:styleId="FootnoteText">
    <w:name w:val="footnote text"/>
    <w:basedOn w:val="NormalJustified"/>
    <w:link w:val="FootnoteTextChar"/>
    <w:uiPriority w:val="98"/>
    <w:semiHidden/>
    <w:rsid w:val="003F20D9"/>
    <w:rPr>
      <w:sz w:val="20"/>
      <w:szCs w:val="20"/>
    </w:rPr>
  </w:style>
  <w:style w:type="character" w:customStyle="1" w:styleId="FootnoteTextChar">
    <w:name w:val="Footnote Text Char"/>
    <w:basedOn w:val="DefaultParagraphFont"/>
    <w:link w:val="FootnoteText"/>
    <w:uiPriority w:val="98"/>
    <w:semiHidden/>
    <w:rsid w:val="003F20D9"/>
    <w:rPr>
      <w:sz w:val="20"/>
      <w:szCs w:val="20"/>
      <w:lang w:val="ro-RO"/>
    </w:rPr>
  </w:style>
  <w:style w:type="character" w:customStyle="1" w:styleId="Heading6Char">
    <w:name w:val="Heading 6 Char"/>
    <w:basedOn w:val="DefaultParagraphFont"/>
    <w:link w:val="Heading6"/>
    <w:uiPriority w:val="98"/>
    <w:semiHidden/>
    <w:rsid w:val="003F20D9"/>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3F20D9"/>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3F20D9"/>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3F20D9"/>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3F20D9"/>
    <w:rPr>
      <w:color w:val="0072BC" w:themeColor="hyperlink"/>
      <w:u w:val="single"/>
    </w:rPr>
  </w:style>
  <w:style w:type="character" w:styleId="IntenseEmphasis">
    <w:name w:val="Intense Emphasis"/>
    <w:uiPriority w:val="98"/>
    <w:semiHidden/>
    <w:qFormat/>
    <w:rsid w:val="003F20D9"/>
    <w:rPr>
      <w:b/>
      <w:bCs/>
    </w:rPr>
  </w:style>
  <w:style w:type="paragraph" w:styleId="IntenseQuote">
    <w:name w:val="Intense Quote"/>
    <w:basedOn w:val="Normal"/>
    <w:next w:val="Normal"/>
    <w:link w:val="IntenseQuoteChar"/>
    <w:uiPriority w:val="98"/>
    <w:semiHidden/>
    <w:qFormat/>
    <w:rsid w:val="003F20D9"/>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3F20D9"/>
    <w:rPr>
      <w:b/>
      <w:bCs/>
      <w:i/>
      <w:iCs/>
      <w:sz w:val="24"/>
      <w:szCs w:val="24"/>
      <w:lang w:val="ro-RO" w:bidi="en-US"/>
    </w:rPr>
  </w:style>
  <w:style w:type="character" w:styleId="IntenseReference">
    <w:name w:val="Intense Reference"/>
    <w:uiPriority w:val="98"/>
    <w:semiHidden/>
    <w:qFormat/>
    <w:rsid w:val="003F20D9"/>
    <w:rPr>
      <w:smallCaps/>
      <w:spacing w:val="5"/>
      <w:u w:val="single"/>
    </w:rPr>
  </w:style>
  <w:style w:type="paragraph" w:styleId="ListParagraph">
    <w:name w:val="List Paragraph"/>
    <w:basedOn w:val="Normal"/>
    <w:uiPriority w:val="98"/>
    <w:semiHidden/>
    <w:qFormat/>
    <w:rsid w:val="003F20D9"/>
    <w:pPr>
      <w:ind w:left="720"/>
      <w:contextualSpacing/>
    </w:pPr>
  </w:style>
  <w:style w:type="table" w:customStyle="1" w:styleId="LtrTableAddress">
    <w:name w:val="Ltr_Table_Address"/>
    <w:aliases w:val="ECHR_Ltr_Table_Address"/>
    <w:basedOn w:val="TableNormal"/>
    <w:uiPriority w:val="99"/>
    <w:rsid w:val="003F20D9"/>
    <w:rPr>
      <w:sz w:val="24"/>
      <w:szCs w:val="24"/>
    </w:rPr>
    <w:tblPr>
      <w:tblInd w:w="5103" w:type="dxa"/>
    </w:tblPr>
  </w:style>
  <w:style w:type="paragraph" w:styleId="Quote">
    <w:name w:val="Quote"/>
    <w:basedOn w:val="Normal"/>
    <w:next w:val="Normal"/>
    <w:link w:val="QuoteChar"/>
    <w:uiPriority w:val="98"/>
    <w:semiHidden/>
    <w:qFormat/>
    <w:rsid w:val="003F20D9"/>
    <w:pPr>
      <w:spacing w:before="200"/>
      <w:ind w:left="360" w:right="360"/>
    </w:pPr>
    <w:rPr>
      <w:i/>
      <w:iCs/>
      <w:lang w:bidi="en-US"/>
    </w:rPr>
  </w:style>
  <w:style w:type="character" w:customStyle="1" w:styleId="QuoteChar">
    <w:name w:val="Quote Char"/>
    <w:basedOn w:val="DefaultParagraphFont"/>
    <w:link w:val="Quote"/>
    <w:uiPriority w:val="98"/>
    <w:semiHidden/>
    <w:rsid w:val="003F20D9"/>
    <w:rPr>
      <w:i/>
      <w:iCs/>
      <w:sz w:val="24"/>
      <w:szCs w:val="24"/>
      <w:lang w:val="ro-RO" w:bidi="en-US"/>
    </w:rPr>
  </w:style>
  <w:style w:type="character" w:styleId="SubtleReference">
    <w:name w:val="Subtle Reference"/>
    <w:uiPriority w:val="98"/>
    <w:semiHidden/>
    <w:qFormat/>
    <w:rsid w:val="003F20D9"/>
    <w:rPr>
      <w:smallCaps/>
    </w:rPr>
  </w:style>
  <w:style w:type="table" w:styleId="TableGrid">
    <w:name w:val="Table Grid"/>
    <w:basedOn w:val="TableNormal"/>
    <w:uiPriority w:val="59"/>
    <w:semiHidden/>
    <w:rsid w:val="003F20D9"/>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3F20D9"/>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3F20D9"/>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3F20D9"/>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3F20D9"/>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3F20D9"/>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3F20D9"/>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3F20D9"/>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3F20D9"/>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3F20D9"/>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3F20D9"/>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3F20D9"/>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3F20D9"/>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3F20D9"/>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3F20D9"/>
    <w:pPr>
      <w:spacing w:after="600"/>
    </w:pPr>
    <w:rPr>
      <w:rFonts w:asciiTheme="majorHAnsi" w:eastAsiaTheme="majorEastAsia" w:hAnsiTheme="majorHAnsi" w:cstheme="majorBidi"/>
      <w:i/>
      <w:iCs/>
      <w:spacing w:val="13"/>
      <w:lang w:bidi="en-US"/>
    </w:rPr>
  </w:style>
  <w:style w:type="paragraph" w:customStyle="1" w:styleId="JuPara">
    <w:name w:val="Ju_Para"/>
    <w:aliases w:val="_Para"/>
    <w:basedOn w:val="NormalJustified"/>
    <w:link w:val="JuParaChar"/>
    <w:uiPriority w:val="4"/>
    <w:qFormat/>
    <w:rsid w:val="003F20D9"/>
    <w:pPr>
      <w:ind w:firstLine="284"/>
    </w:pPr>
  </w:style>
  <w:style w:type="character" w:customStyle="1" w:styleId="SubtitleChar">
    <w:name w:val="Subtitle Char"/>
    <w:basedOn w:val="DefaultParagraphFont"/>
    <w:link w:val="Subtitle"/>
    <w:uiPriority w:val="98"/>
    <w:semiHidden/>
    <w:rsid w:val="003F20D9"/>
    <w:rPr>
      <w:rFonts w:asciiTheme="majorHAnsi" w:eastAsiaTheme="majorEastAsia" w:hAnsiTheme="majorHAnsi" w:cstheme="majorBidi"/>
      <w:i/>
      <w:iCs/>
      <w:spacing w:val="13"/>
      <w:sz w:val="24"/>
      <w:szCs w:val="24"/>
      <w:lang w:val="ro-RO" w:bidi="en-US"/>
    </w:rPr>
  </w:style>
  <w:style w:type="table" w:customStyle="1" w:styleId="ECHRTableSimpleBox">
    <w:name w:val="ECHR_Table_Simple_Box"/>
    <w:basedOn w:val="TableNormal"/>
    <w:uiPriority w:val="99"/>
    <w:rsid w:val="003F20D9"/>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3F20D9"/>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111111">
    <w:name w:val="Outline List 2"/>
    <w:basedOn w:val="NoList"/>
    <w:uiPriority w:val="99"/>
    <w:semiHidden/>
    <w:unhideWhenUsed/>
    <w:rsid w:val="003F20D9"/>
    <w:pPr>
      <w:numPr>
        <w:numId w:val="2"/>
      </w:numPr>
    </w:pPr>
  </w:style>
  <w:style w:type="table" w:customStyle="1" w:styleId="ECHRTableForInternalUse">
    <w:name w:val="ECHR_Table_For_Internal_Use"/>
    <w:basedOn w:val="TableNormal"/>
    <w:uiPriority w:val="99"/>
    <w:rsid w:val="003F20D9"/>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3F20D9"/>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numbering" w:styleId="1ai">
    <w:name w:val="Outline List 1"/>
    <w:basedOn w:val="NoList"/>
    <w:uiPriority w:val="99"/>
    <w:semiHidden/>
    <w:unhideWhenUsed/>
    <w:rsid w:val="003F20D9"/>
    <w:pPr>
      <w:numPr>
        <w:numId w:val="3"/>
      </w:numPr>
    </w:pPr>
  </w:style>
  <w:style w:type="numbering" w:styleId="ArticleSection">
    <w:name w:val="Outline List 3"/>
    <w:basedOn w:val="NoList"/>
    <w:uiPriority w:val="99"/>
    <w:semiHidden/>
    <w:unhideWhenUsed/>
    <w:rsid w:val="003F20D9"/>
    <w:pPr>
      <w:numPr>
        <w:numId w:val="4"/>
      </w:numPr>
    </w:pPr>
  </w:style>
  <w:style w:type="table" w:customStyle="1" w:styleId="ECHRHeaderTable">
    <w:name w:val="ECHR_Header_Table"/>
    <w:basedOn w:val="TableNormal"/>
    <w:uiPriority w:val="99"/>
    <w:rsid w:val="003F20D9"/>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ibliography">
    <w:name w:val="Bibliography"/>
    <w:basedOn w:val="Normal"/>
    <w:next w:val="Normal"/>
    <w:uiPriority w:val="98"/>
    <w:semiHidden/>
    <w:rsid w:val="003F20D9"/>
  </w:style>
  <w:style w:type="paragraph" w:styleId="BlockText">
    <w:name w:val="Block Text"/>
    <w:basedOn w:val="Normal"/>
    <w:uiPriority w:val="98"/>
    <w:semiHidden/>
    <w:rsid w:val="003F20D9"/>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TableOddBanded">
    <w:name w:val="ECHR_Table_Odd_Banded"/>
    <w:basedOn w:val="TableNormal"/>
    <w:uiPriority w:val="99"/>
    <w:rsid w:val="003F20D9"/>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
    <w:name w:val="Body Text"/>
    <w:basedOn w:val="Normal"/>
    <w:link w:val="BodyTextChar"/>
    <w:uiPriority w:val="98"/>
    <w:semiHidden/>
    <w:rsid w:val="003F20D9"/>
    <w:pPr>
      <w:spacing w:after="120"/>
    </w:pPr>
  </w:style>
  <w:style w:type="table" w:customStyle="1" w:styleId="ECHRHeaderTableReduced">
    <w:name w:val="ECHR_Header_Table_Reduced"/>
    <w:basedOn w:val="TableNormal"/>
    <w:uiPriority w:val="99"/>
    <w:rsid w:val="003F20D9"/>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character" w:styleId="PageNumber">
    <w:name w:val="page number"/>
    <w:uiPriority w:val="98"/>
    <w:semiHidden/>
    <w:rsid w:val="003F20D9"/>
    <w:rPr>
      <w:sz w:val="18"/>
    </w:rPr>
  </w:style>
  <w:style w:type="character" w:styleId="CommentReference">
    <w:name w:val="annotation reference"/>
    <w:basedOn w:val="DefaultParagraphFont"/>
    <w:uiPriority w:val="98"/>
    <w:semiHidden/>
    <w:rsid w:val="003F20D9"/>
    <w:rPr>
      <w:sz w:val="16"/>
      <w:szCs w:val="16"/>
    </w:rPr>
  </w:style>
  <w:style w:type="paragraph" w:styleId="CommentText">
    <w:name w:val="annotation text"/>
    <w:basedOn w:val="Normal"/>
    <w:link w:val="CommentTextChar"/>
    <w:uiPriority w:val="98"/>
    <w:semiHidden/>
    <w:rsid w:val="003F20D9"/>
    <w:rPr>
      <w:sz w:val="20"/>
      <w:szCs w:val="20"/>
    </w:rPr>
  </w:style>
  <w:style w:type="character" w:customStyle="1" w:styleId="CommentTextChar">
    <w:name w:val="Comment Text Char"/>
    <w:basedOn w:val="DefaultParagraphFont"/>
    <w:link w:val="CommentText"/>
    <w:uiPriority w:val="98"/>
    <w:semiHidden/>
    <w:rsid w:val="003F20D9"/>
    <w:rPr>
      <w:sz w:val="20"/>
      <w:szCs w:val="20"/>
      <w:lang w:val="ro-RO"/>
    </w:rPr>
  </w:style>
  <w:style w:type="paragraph" w:customStyle="1" w:styleId="JuSigned">
    <w:name w:val="Ju_Signed"/>
    <w:aliases w:val="_Signature"/>
    <w:basedOn w:val="Normal"/>
    <w:next w:val="JuPara"/>
    <w:uiPriority w:val="31"/>
    <w:qFormat/>
    <w:rsid w:val="003F20D9"/>
    <w:pPr>
      <w:tabs>
        <w:tab w:val="center" w:pos="1418"/>
        <w:tab w:val="center" w:pos="5954"/>
      </w:tabs>
      <w:spacing w:before="720"/>
    </w:pPr>
  </w:style>
  <w:style w:type="paragraph" w:customStyle="1" w:styleId="JuTitle">
    <w:name w:val="Ju_Title"/>
    <w:aliases w:val="_Title_2"/>
    <w:basedOn w:val="Normal"/>
    <w:next w:val="JuPara"/>
    <w:uiPriority w:val="38"/>
    <w:qFormat/>
    <w:rsid w:val="003F20D9"/>
    <w:pPr>
      <w:keepNext/>
      <w:keepLines/>
      <w:spacing w:before="1320" w:after="280"/>
      <w:contextualSpacing/>
      <w:jc w:val="center"/>
    </w:pPr>
    <w:rPr>
      <w:b/>
    </w:rPr>
  </w:style>
  <w:style w:type="paragraph" w:customStyle="1" w:styleId="DecHTitle">
    <w:name w:val="Dec_H_Title"/>
    <w:aliases w:val="_Title_1"/>
    <w:basedOn w:val="JuPara"/>
    <w:next w:val="JuPara"/>
    <w:uiPriority w:val="38"/>
    <w:qFormat/>
    <w:rsid w:val="003F20D9"/>
    <w:pPr>
      <w:keepNext/>
      <w:keepLines/>
      <w:spacing w:after="240"/>
      <w:ind w:firstLine="0"/>
      <w:jc w:val="center"/>
      <w:outlineLvl w:val="0"/>
    </w:pPr>
    <w:rPr>
      <w:rFonts w:asciiTheme="majorHAnsi" w:hAnsiTheme="majorHAnsi"/>
      <w:sz w:val="28"/>
    </w:rPr>
  </w:style>
  <w:style w:type="paragraph" w:styleId="ListBullet2">
    <w:name w:val="List Bullet 2"/>
    <w:basedOn w:val="Normal"/>
    <w:uiPriority w:val="98"/>
    <w:semiHidden/>
    <w:rsid w:val="003F20D9"/>
    <w:pPr>
      <w:numPr>
        <w:numId w:val="6"/>
      </w:numPr>
      <w:contextualSpacing/>
    </w:pPr>
  </w:style>
  <w:style w:type="paragraph" w:styleId="ListBullet3">
    <w:name w:val="List Bullet 3"/>
    <w:basedOn w:val="Normal"/>
    <w:uiPriority w:val="98"/>
    <w:semiHidden/>
    <w:rsid w:val="003F20D9"/>
    <w:pPr>
      <w:numPr>
        <w:numId w:val="7"/>
      </w:numPr>
      <w:contextualSpacing/>
    </w:pPr>
  </w:style>
  <w:style w:type="character" w:customStyle="1" w:styleId="BodyTextChar">
    <w:name w:val="Body Text Char"/>
    <w:basedOn w:val="DefaultParagraphFont"/>
    <w:link w:val="BodyText"/>
    <w:uiPriority w:val="98"/>
    <w:semiHidden/>
    <w:rsid w:val="003F20D9"/>
    <w:rPr>
      <w:sz w:val="24"/>
      <w:szCs w:val="24"/>
      <w:lang w:val="ro-RO"/>
    </w:rPr>
  </w:style>
  <w:style w:type="paragraph" w:styleId="BodyText2">
    <w:name w:val="Body Text 2"/>
    <w:basedOn w:val="Normal"/>
    <w:link w:val="BodyText2Char"/>
    <w:uiPriority w:val="98"/>
    <w:semiHidden/>
    <w:rsid w:val="003F20D9"/>
    <w:pPr>
      <w:spacing w:after="120" w:line="480" w:lineRule="auto"/>
    </w:pPr>
  </w:style>
  <w:style w:type="character" w:customStyle="1" w:styleId="BodyText2Char">
    <w:name w:val="Body Text 2 Char"/>
    <w:basedOn w:val="DefaultParagraphFont"/>
    <w:link w:val="BodyText2"/>
    <w:uiPriority w:val="98"/>
    <w:semiHidden/>
    <w:rsid w:val="003F20D9"/>
    <w:rPr>
      <w:sz w:val="24"/>
      <w:szCs w:val="24"/>
      <w:lang w:val="ro-RO"/>
    </w:rPr>
  </w:style>
  <w:style w:type="paragraph" w:styleId="BodyText3">
    <w:name w:val="Body Text 3"/>
    <w:basedOn w:val="Normal"/>
    <w:link w:val="BodyText3Char"/>
    <w:uiPriority w:val="98"/>
    <w:semiHidden/>
    <w:rsid w:val="003F20D9"/>
    <w:pPr>
      <w:spacing w:after="120"/>
    </w:pPr>
    <w:rPr>
      <w:sz w:val="16"/>
      <w:szCs w:val="16"/>
    </w:rPr>
  </w:style>
  <w:style w:type="character" w:customStyle="1" w:styleId="BodyText3Char">
    <w:name w:val="Body Text 3 Char"/>
    <w:basedOn w:val="DefaultParagraphFont"/>
    <w:link w:val="BodyText3"/>
    <w:uiPriority w:val="98"/>
    <w:semiHidden/>
    <w:rsid w:val="003F20D9"/>
    <w:rPr>
      <w:sz w:val="16"/>
      <w:szCs w:val="16"/>
      <w:lang w:val="ro-RO"/>
    </w:rPr>
  </w:style>
  <w:style w:type="paragraph" w:styleId="BodyTextFirstIndent">
    <w:name w:val="Body Text First Indent"/>
    <w:basedOn w:val="BodyText"/>
    <w:link w:val="BodyTextFirstIndentChar"/>
    <w:uiPriority w:val="98"/>
    <w:semiHidden/>
    <w:rsid w:val="003F20D9"/>
    <w:pPr>
      <w:spacing w:after="0"/>
      <w:ind w:firstLine="360"/>
    </w:pPr>
  </w:style>
  <w:style w:type="character" w:customStyle="1" w:styleId="BodyTextFirstIndentChar">
    <w:name w:val="Body Text First Indent Char"/>
    <w:basedOn w:val="BodyTextChar"/>
    <w:link w:val="BodyTextFirstIndent"/>
    <w:uiPriority w:val="98"/>
    <w:semiHidden/>
    <w:rsid w:val="003F20D9"/>
    <w:rPr>
      <w:sz w:val="24"/>
      <w:szCs w:val="24"/>
      <w:lang w:val="ro-RO"/>
    </w:rPr>
  </w:style>
  <w:style w:type="paragraph" w:styleId="BodyTextIndent">
    <w:name w:val="Body Text Indent"/>
    <w:basedOn w:val="Normal"/>
    <w:link w:val="BodyTextIndentChar"/>
    <w:uiPriority w:val="98"/>
    <w:semiHidden/>
    <w:rsid w:val="003F20D9"/>
    <w:pPr>
      <w:spacing w:after="120"/>
      <w:ind w:left="283"/>
    </w:pPr>
  </w:style>
  <w:style w:type="character" w:customStyle="1" w:styleId="BodyTextIndentChar">
    <w:name w:val="Body Text Indent Char"/>
    <w:basedOn w:val="DefaultParagraphFont"/>
    <w:link w:val="BodyTextIndent"/>
    <w:uiPriority w:val="98"/>
    <w:semiHidden/>
    <w:rsid w:val="003F20D9"/>
    <w:rPr>
      <w:sz w:val="24"/>
      <w:szCs w:val="24"/>
      <w:lang w:val="ro-RO"/>
    </w:rPr>
  </w:style>
  <w:style w:type="paragraph" w:styleId="BodyTextFirstIndent2">
    <w:name w:val="Body Text First Indent 2"/>
    <w:basedOn w:val="BodyTextIndent"/>
    <w:link w:val="BodyTextFirstIndent2Char"/>
    <w:uiPriority w:val="98"/>
    <w:semiHidden/>
    <w:rsid w:val="003F20D9"/>
    <w:pPr>
      <w:spacing w:after="0"/>
      <w:ind w:left="360" w:firstLine="360"/>
    </w:pPr>
  </w:style>
  <w:style w:type="character" w:customStyle="1" w:styleId="BodyTextFirstIndent2Char">
    <w:name w:val="Body Text First Indent 2 Char"/>
    <w:basedOn w:val="BodyTextIndentChar"/>
    <w:link w:val="BodyTextFirstIndent2"/>
    <w:uiPriority w:val="98"/>
    <w:semiHidden/>
    <w:rsid w:val="003F20D9"/>
    <w:rPr>
      <w:sz w:val="24"/>
      <w:szCs w:val="24"/>
      <w:lang w:val="ro-RO"/>
    </w:rPr>
  </w:style>
  <w:style w:type="paragraph" w:styleId="BodyTextIndent2">
    <w:name w:val="Body Text Indent 2"/>
    <w:basedOn w:val="Normal"/>
    <w:link w:val="BodyTextIndent2Char"/>
    <w:uiPriority w:val="98"/>
    <w:semiHidden/>
    <w:rsid w:val="003F20D9"/>
    <w:pPr>
      <w:spacing w:after="120" w:line="480" w:lineRule="auto"/>
      <w:ind w:left="283"/>
    </w:pPr>
  </w:style>
  <w:style w:type="character" w:customStyle="1" w:styleId="BodyTextIndent2Char">
    <w:name w:val="Body Text Indent 2 Char"/>
    <w:basedOn w:val="DefaultParagraphFont"/>
    <w:link w:val="BodyTextIndent2"/>
    <w:uiPriority w:val="98"/>
    <w:semiHidden/>
    <w:rsid w:val="003F20D9"/>
    <w:rPr>
      <w:sz w:val="24"/>
      <w:szCs w:val="24"/>
      <w:lang w:val="ro-RO"/>
    </w:rPr>
  </w:style>
  <w:style w:type="paragraph" w:styleId="BodyTextIndent3">
    <w:name w:val="Body Text Indent 3"/>
    <w:basedOn w:val="Normal"/>
    <w:link w:val="BodyTextIndent3Char"/>
    <w:uiPriority w:val="98"/>
    <w:semiHidden/>
    <w:rsid w:val="003F20D9"/>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3F20D9"/>
    <w:rPr>
      <w:sz w:val="16"/>
      <w:szCs w:val="16"/>
      <w:lang w:val="ro-RO"/>
    </w:rPr>
  </w:style>
  <w:style w:type="paragraph" w:styleId="Caption">
    <w:name w:val="caption"/>
    <w:basedOn w:val="Normal"/>
    <w:next w:val="Normal"/>
    <w:uiPriority w:val="98"/>
    <w:semiHidden/>
    <w:qFormat/>
    <w:rsid w:val="003F20D9"/>
    <w:pPr>
      <w:spacing w:after="200"/>
    </w:pPr>
    <w:rPr>
      <w:b/>
      <w:bCs/>
      <w:color w:val="0072BC" w:themeColor="accent1"/>
      <w:sz w:val="18"/>
      <w:szCs w:val="18"/>
    </w:rPr>
  </w:style>
  <w:style w:type="paragraph" w:styleId="Closing">
    <w:name w:val="Closing"/>
    <w:basedOn w:val="Normal"/>
    <w:link w:val="ClosingChar"/>
    <w:uiPriority w:val="98"/>
    <w:semiHidden/>
    <w:rsid w:val="003F20D9"/>
    <w:pPr>
      <w:ind w:left="4252"/>
    </w:pPr>
  </w:style>
  <w:style w:type="character" w:customStyle="1" w:styleId="ClosingChar">
    <w:name w:val="Closing Char"/>
    <w:basedOn w:val="DefaultParagraphFont"/>
    <w:link w:val="Closing"/>
    <w:uiPriority w:val="98"/>
    <w:semiHidden/>
    <w:rsid w:val="003F20D9"/>
    <w:rPr>
      <w:sz w:val="24"/>
      <w:szCs w:val="24"/>
      <w:lang w:val="ro-RO"/>
    </w:rPr>
  </w:style>
  <w:style w:type="table" w:styleId="ColorfulGrid">
    <w:name w:val="Colorful Grid"/>
    <w:basedOn w:val="TableNormal"/>
    <w:uiPriority w:val="73"/>
    <w:semiHidden/>
    <w:rsid w:val="003F20D9"/>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3F20D9"/>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3F20D9"/>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3F20D9"/>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3F20D9"/>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3F20D9"/>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3F20D9"/>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3F20D9"/>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3F20D9"/>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3F20D9"/>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3F20D9"/>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3F20D9"/>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3F20D9"/>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3F20D9"/>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3F20D9"/>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3F20D9"/>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3F20D9"/>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3F20D9"/>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3F20D9"/>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3F20D9"/>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3F20D9"/>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paragraph" w:styleId="CommentSubject">
    <w:name w:val="annotation subject"/>
    <w:basedOn w:val="CommentText"/>
    <w:next w:val="CommentText"/>
    <w:link w:val="CommentSubjectChar"/>
    <w:uiPriority w:val="98"/>
    <w:semiHidden/>
    <w:rsid w:val="003F20D9"/>
    <w:rPr>
      <w:b/>
      <w:bCs/>
    </w:rPr>
  </w:style>
  <w:style w:type="character" w:customStyle="1" w:styleId="CommentSubjectChar">
    <w:name w:val="Comment Subject Char"/>
    <w:basedOn w:val="CommentTextChar"/>
    <w:link w:val="CommentSubject"/>
    <w:uiPriority w:val="98"/>
    <w:semiHidden/>
    <w:rsid w:val="003F20D9"/>
    <w:rPr>
      <w:b/>
      <w:bCs/>
      <w:sz w:val="20"/>
      <w:szCs w:val="20"/>
      <w:lang w:val="ro-RO"/>
    </w:rPr>
  </w:style>
  <w:style w:type="table" w:styleId="DarkList">
    <w:name w:val="Dark List"/>
    <w:basedOn w:val="TableNormal"/>
    <w:uiPriority w:val="70"/>
    <w:semiHidden/>
    <w:rsid w:val="003F20D9"/>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3F20D9"/>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3F20D9"/>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3F20D9"/>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3F20D9"/>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3F20D9"/>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3F20D9"/>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3F20D9"/>
  </w:style>
  <w:style w:type="character" w:customStyle="1" w:styleId="DateChar">
    <w:name w:val="Date Char"/>
    <w:basedOn w:val="DefaultParagraphFont"/>
    <w:link w:val="Date"/>
    <w:uiPriority w:val="98"/>
    <w:semiHidden/>
    <w:rsid w:val="003F20D9"/>
    <w:rPr>
      <w:sz w:val="24"/>
      <w:szCs w:val="24"/>
      <w:lang w:val="ro-RO"/>
    </w:rPr>
  </w:style>
  <w:style w:type="paragraph" w:styleId="DocumentMap">
    <w:name w:val="Document Map"/>
    <w:basedOn w:val="Normal"/>
    <w:link w:val="DocumentMapChar"/>
    <w:uiPriority w:val="98"/>
    <w:semiHidden/>
    <w:rsid w:val="003F20D9"/>
    <w:rPr>
      <w:rFonts w:ascii="Tahoma" w:hAnsi="Tahoma" w:cs="Tahoma"/>
      <w:sz w:val="16"/>
      <w:szCs w:val="16"/>
    </w:rPr>
  </w:style>
  <w:style w:type="character" w:customStyle="1" w:styleId="DocumentMapChar">
    <w:name w:val="Document Map Char"/>
    <w:basedOn w:val="DefaultParagraphFont"/>
    <w:link w:val="DocumentMap"/>
    <w:uiPriority w:val="98"/>
    <w:semiHidden/>
    <w:rsid w:val="003F20D9"/>
    <w:rPr>
      <w:rFonts w:ascii="Tahoma" w:hAnsi="Tahoma" w:cs="Tahoma"/>
      <w:sz w:val="16"/>
      <w:szCs w:val="16"/>
      <w:lang w:val="ro-RO"/>
    </w:rPr>
  </w:style>
  <w:style w:type="paragraph" w:styleId="E-mailSignature">
    <w:name w:val="E-mail Signature"/>
    <w:basedOn w:val="Normal"/>
    <w:link w:val="E-mailSignatureChar"/>
    <w:uiPriority w:val="98"/>
    <w:semiHidden/>
    <w:rsid w:val="003F20D9"/>
  </w:style>
  <w:style w:type="character" w:customStyle="1" w:styleId="E-mailSignatureChar">
    <w:name w:val="E-mail Signature Char"/>
    <w:basedOn w:val="DefaultParagraphFont"/>
    <w:link w:val="E-mailSignature"/>
    <w:uiPriority w:val="98"/>
    <w:semiHidden/>
    <w:rsid w:val="003F20D9"/>
    <w:rPr>
      <w:sz w:val="24"/>
      <w:szCs w:val="24"/>
      <w:lang w:val="ro-RO"/>
    </w:rPr>
  </w:style>
  <w:style w:type="character" w:styleId="EndnoteReference">
    <w:name w:val="endnote reference"/>
    <w:basedOn w:val="DefaultParagraphFont"/>
    <w:uiPriority w:val="98"/>
    <w:semiHidden/>
    <w:rsid w:val="003F20D9"/>
    <w:rPr>
      <w:vertAlign w:val="superscript"/>
    </w:rPr>
  </w:style>
  <w:style w:type="paragraph" w:styleId="EndnoteText">
    <w:name w:val="endnote text"/>
    <w:basedOn w:val="Normal"/>
    <w:link w:val="EndnoteTextChar"/>
    <w:uiPriority w:val="98"/>
    <w:semiHidden/>
    <w:rsid w:val="003F20D9"/>
    <w:rPr>
      <w:sz w:val="20"/>
      <w:szCs w:val="20"/>
    </w:rPr>
  </w:style>
  <w:style w:type="character" w:customStyle="1" w:styleId="EndnoteTextChar">
    <w:name w:val="Endnote Text Char"/>
    <w:basedOn w:val="DefaultParagraphFont"/>
    <w:link w:val="EndnoteText"/>
    <w:uiPriority w:val="98"/>
    <w:semiHidden/>
    <w:rsid w:val="003F20D9"/>
    <w:rPr>
      <w:sz w:val="20"/>
      <w:szCs w:val="20"/>
      <w:lang w:val="ro-RO"/>
    </w:rPr>
  </w:style>
  <w:style w:type="paragraph" w:styleId="EnvelopeAddress">
    <w:name w:val="envelope address"/>
    <w:basedOn w:val="Normal"/>
    <w:uiPriority w:val="98"/>
    <w:semiHidden/>
    <w:rsid w:val="003F20D9"/>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3F20D9"/>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3F20D9"/>
    <w:rPr>
      <w:color w:val="7030A0" w:themeColor="followedHyperlink"/>
      <w:u w:val="single"/>
    </w:rPr>
  </w:style>
  <w:style w:type="character" w:styleId="HTMLAcronym">
    <w:name w:val="HTML Acronym"/>
    <w:basedOn w:val="DefaultParagraphFont"/>
    <w:uiPriority w:val="98"/>
    <w:semiHidden/>
    <w:rsid w:val="003F20D9"/>
  </w:style>
  <w:style w:type="paragraph" w:styleId="HTMLAddress">
    <w:name w:val="HTML Address"/>
    <w:basedOn w:val="Normal"/>
    <w:link w:val="HTMLAddressChar"/>
    <w:uiPriority w:val="98"/>
    <w:semiHidden/>
    <w:rsid w:val="003F20D9"/>
    <w:rPr>
      <w:i/>
      <w:iCs/>
    </w:rPr>
  </w:style>
  <w:style w:type="character" w:customStyle="1" w:styleId="HTMLAddressChar">
    <w:name w:val="HTML Address Char"/>
    <w:basedOn w:val="DefaultParagraphFont"/>
    <w:link w:val="HTMLAddress"/>
    <w:uiPriority w:val="98"/>
    <w:semiHidden/>
    <w:rsid w:val="003F20D9"/>
    <w:rPr>
      <w:i/>
      <w:iCs/>
      <w:sz w:val="24"/>
      <w:szCs w:val="24"/>
      <w:lang w:val="ro-RO"/>
    </w:rPr>
  </w:style>
  <w:style w:type="character" w:styleId="HTMLCite">
    <w:name w:val="HTML Cite"/>
    <w:basedOn w:val="DefaultParagraphFont"/>
    <w:uiPriority w:val="98"/>
    <w:semiHidden/>
    <w:rsid w:val="003F20D9"/>
    <w:rPr>
      <w:i/>
      <w:iCs/>
    </w:rPr>
  </w:style>
  <w:style w:type="character" w:styleId="HTMLCode">
    <w:name w:val="HTML Code"/>
    <w:basedOn w:val="DefaultParagraphFont"/>
    <w:uiPriority w:val="98"/>
    <w:semiHidden/>
    <w:rsid w:val="003F20D9"/>
    <w:rPr>
      <w:rFonts w:ascii="Consolas" w:hAnsi="Consolas" w:cs="Consolas"/>
      <w:sz w:val="20"/>
      <w:szCs w:val="20"/>
    </w:rPr>
  </w:style>
  <w:style w:type="character" w:styleId="HTMLDefinition">
    <w:name w:val="HTML Definition"/>
    <w:basedOn w:val="DefaultParagraphFont"/>
    <w:uiPriority w:val="98"/>
    <w:semiHidden/>
    <w:rsid w:val="003F20D9"/>
    <w:rPr>
      <w:i/>
      <w:iCs/>
    </w:rPr>
  </w:style>
  <w:style w:type="character" w:styleId="HTMLKeyboard">
    <w:name w:val="HTML Keyboard"/>
    <w:basedOn w:val="DefaultParagraphFont"/>
    <w:uiPriority w:val="98"/>
    <w:semiHidden/>
    <w:rsid w:val="003F20D9"/>
    <w:rPr>
      <w:rFonts w:ascii="Consolas" w:hAnsi="Consolas" w:cs="Consolas"/>
      <w:sz w:val="20"/>
      <w:szCs w:val="20"/>
    </w:rPr>
  </w:style>
  <w:style w:type="paragraph" w:styleId="HTMLPreformatted">
    <w:name w:val="HTML Preformatted"/>
    <w:basedOn w:val="Normal"/>
    <w:link w:val="HTMLPreformattedChar"/>
    <w:uiPriority w:val="98"/>
    <w:semiHidden/>
    <w:rsid w:val="003F20D9"/>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3F20D9"/>
    <w:rPr>
      <w:rFonts w:ascii="Consolas" w:hAnsi="Consolas" w:cs="Consolas"/>
      <w:sz w:val="20"/>
      <w:szCs w:val="20"/>
      <w:lang w:val="ro-RO"/>
    </w:rPr>
  </w:style>
  <w:style w:type="character" w:styleId="HTMLSample">
    <w:name w:val="HTML Sample"/>
    <w:basedOn w:val="DefaultParagraphFont"/>
    <w:uiPriority w:val="98"/>
    <w:semiHidden/>
    <w:rsid w:val="003F20D9"/>
    <w:rPr>
      <w:rFonts w:ascii="Consolas" w:hAnsi="Consolas" w:cs="Consolas"/>
      <w:sz w:val="24"/>
      <w:szCs w:val="24"/>
    </w:rPr>
  </w:style>
  <w:style w:type="character" w:styleId="HTMLTypewriter">
    <w:name w:val="HTML Typewriter"/>
    <w:basedOn w:val="DefaultParagraphFont"/>
    <w:uiPriority w:val="98"/>
    <w:semiHidden/>
    <w:rsid w:val="003F20D9"/>
    <w:rPr>
      <w:rFonts w:ascii="Consolas" w:hAnsi="Consolas" w:cs="Consolas"/>
      <w:sz w:val="20"/>
      <w:szCs w:val="20"/>
    </w:rPr>
  </w:style>
  <w:style w:type="character" w:styleId="HTMLVariable">
    <w:name w:val="HTML Variable"/>
    <w:basedOn w:val="DefaultParagraphFont"/>
    <w:uiPriority w:val="98"/>
    <w:semiHidden/>
    <w:rsid w:val="003F20D9"/>
    <w:rPr>
      <w:i/>
      <w:iCs/>
    </w:rPr>
  </w:style>
  <w:style w:type="paragraph" w:styleId="Index1">
    <w:name w:val="index 1"/>
    <w:basedOn w:val="Normal"/>
    <w:next w:val="Normal"/>
    <w:autoRedefine/>
    <w:uiPriority w:val="98"/>
    <w:semiHidden/>
    <w:rsid w:val="003F20D9"/>
    <w:pPr>
      <w:ind w:left="240" w:hanging="240"/>
    </w:pPr>
  </w:style>
  <w:style w:type="paragraph" w:styleId="Index2">
    <w:name w:val="index 2"/>
    <w:basedOn w:val="Normal"/>
    <w:next w:val="Normal"/>
    <w:autoRedefine/>
    <w:uiPriority w:val="98"/>
    <w:semiHidden/>
    <w:rsid w:val="003F20D9"/>
    <w:pPr>
      <w:ind w:left="480" w:hanging="240"/>
    </w:pPr>
  </w:style>
  <w:style w:type="paragraph" w:styleId="Index3">
    <w:name w:val="index 3"/>
    <w:basedOn w:val="Normal"/>
    <w:next w:val="Normal"/>
    <w:autoRedefine/>
    <w:uiPriority w:val="98"/>
    <w:semiHidden/>
    <w:rsid w:val="003F20D9"/>
    <w:pPr>
      <w:ind w:left="720" w:hanging="240"/>
    </w:pPr>
  </w:style>
  <w:style w:type="paragraph" w:styleId="Index4">
    <w:name w:val="index 4"/>
    <w:basedOn w:val="Normal"/>
    <w:next w:val="Normal"/>
    <w:autoRedefine/>
    <w:uiPriority w:val="98"/>
    <w:semiHidden/>
    <w:rsid w:val="003F20D9"/>
    <w:pPr>
      <w:ind w:left="960" w:hanging="240"/>
    </w:pPr>
  </w:style>
  <w:style w:type="paragraph" w:styleId="Index5">
    <w:name w:val="index 5"/>
    <w:basedOn w:val="Normal"/>
    <w:next w:val="Normal"/>
    <w:autoRedefine/>
    <w:uiPriority w:val="98"/>
    <w:semiHidden/>
    <w:rsid w:val="003F20D9"/>
    <w:pPr>
      <w:ind w:left="1200" w:hanging="240"/>
    </w:pPr>
  </w:style>
  <w:style w:type="paragraph" w:styleId="Index6">
    <w:name w:val="index 6"/>
    <w:basedOn w:val="Normal"/>
    <w:next w:val="Normal"/>
    <w:autoRedefine/>
    <w:uiPriority w:val="98"/>
    <w:semiHidden/>
    <w:rsid w:val="003F20D9"/>
    <w:pPr>
      <w:ind w:left="1440" w:hanging="240"/>
    </w:pPr>
  </w:style>
  <w:style w:type="paragraph" w:styleId="Index7">
    <w:name w:val="index 7"/>
    <w:basedOn w:val="Normal"/>
    <w:next w:val="Normal"/>
    <w:autoRedefine/>
    <w:uiPriority w:val="98"/>
    <w:semiHidden/>
    <w:rsid w:val="003F20D9"/>
    <w:pPr>
      <w:ind w:left="1680" w:hanging="240"/>
    </w:pPr>
  </w:style>
  <w:style w:type="paragraph" w:styleId="Index8">
    <w:name w:val="index 8"/>
    <w:basedOn w:val="Normal"/>
    <w:next w:val="Normal"/>
    <w:autoRedefine/>
    <w:uiPriority w:val="98"/>
    <w:semiHidden/>
    <w:rsid w:val="003F20D9"/>
    <w:pPr>
      <w:ind w:left="1920" w:hanging="240"/>
    </w:pPr>
  </w:style>
  <w:style w:type="paragraph" w:styleId="Index9">
    <w:name w:val="index 9"/>
    <w:basedOn w:val="Normal"/>
    <w:next w:val="Normal"/>
    <w:autoRedefine/>
    <w:uiPriority w:val="98"/>
    <w:semiHidden/>
    <w:rsid w:val="003F20D9"/>
    <w:pPr>
      <w:ind w:left="2160" w:hanging="240"/>
    </w:pPr>
  </w:style>
  <w:style w:type="paragraph" w:styleId="IndexHeading">
    <w:name w:val="index heading"/>
    <w:basedOn w:val="Normal"/>
    <w:next w:val="Index1"/>
    <w:uiPriority w:val="98"/>
    <w:semiHidden/>
    <w:rsid w:val="003F20D9"/>
    <w:rPr>
      <w:rFonts w:asciiTheme="majorHAnsi" w:eastAsiaTheme="majorEastAsia" w:hAnsiTheme="majorHAnsi" w:cstheme="majorBidi"/>
      <w:b/>
      <w:bCs/>
    </w:rPr>
  </w:style>
  <w:style w:type="table" w:styleId="LightGrid">
    <w:name w:val="Light Grid"/>
    <w:basedOn w:val="TableNormal"/>
    <w:uiPriority w:val="62"/>
    <w:semiHidden/>
    <w:rsid w:val="003F20D9"/>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3F20D9"/>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3F20D9"/>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3F20D9"/>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3F20D9"/>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3F20D9"/>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3F20D9"/>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3F20D9"/>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3F20D9"/>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3F20D9"/>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3F20D9"/>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3F20D9"/>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3F20D9"/>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3F20D9"/>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3F20D9"/>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3F20D9"/>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3F20D9"/>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3F20D9"/>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3F20D9"/>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3F20D9"/>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3F20D9"/>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3F20D9"/>
  </w:style>
  <w:style w:type="paragraph" w:styleId="List">
    <w:name w:val="List"/>
    <w:basedOn w:val="Normal"/>
    <w:uiPriority w:val="98"/>
    <w:semiHidden/>
    <w:rsid w:val="003F20D9"/>
    <w:pPr>
      <w:ind w:left="283" w:hanging="283"/>
      <w:contextualSpacing/>
    </w:pPr>
  </w:style>
  <w:style w:type="paragraph" w:styleId="List2">
    <w:name w:val="List 2"/>
    <w:basedOn w:val="Normal"/>
    <w:uiPriority w:val="98"/>
    <w:semiHidden/>
    <w:rsid w:val="003F20D9"/>
    <w:pPr>
      <w:ind w:left="566" w:hanging="283"/>
      <w:contextualSpacing/>
    </w:pPr>
  </w:style>
  <w:style w:type="paragraph" w:styleId="List3">
    <w:name w:val="List 3"/>
    <w:basedOn w:val="Normal"/>
    <w:uiPriority w:val="98"/>
    <w:semiHidden/>
    <w:rsid w:val="003F20D9"/>
    <w:pPr>
      <w:ind w:left="849" w:hanging="283"/>
      <w:contextualSpacing/>
    </w:pPr>
  </w:style>
  <w:style w:type="paragraph" w:styleId="List4">
    <w:name w:val="List 4"/>
    <w:basedOn w:val="Normal"/>
    <w:uiPriority w:val="98"/>
    <w:semiHidden/>
    <w:rsid w:val="003F20D9"/>
    <w:pPr>
      <w:ind w:left="1132" w:hanging="283"/>
      <w:contextualSpacing/>
    </w:pPr>
  </w:style>
  <w:style w:type="paragraph" w:styleId="List5">
    <w:name w:val="List 5"/>
    <w:basedOn w:val="Normal"/>
    <w:uiPriority w:val="98"/>
    <w:semiHidden/>
    <w:rsid w:val="003F20D9"/>
    <w:pPr>
      <w:ind w:left="1415" w:hanging="283"/>
      <w:contextualSpacing/>
    </w:pPr>
  </w:style>
  <w:style w:type="paragraph" w:styleId="ListBullet">
    <w:name w:val="List Bullet"/>
    <w:basedOn w:val="Normal"/>
    <w:uiPriority w:val="98"/>
    <w:semiHidden/>
    <w:rsid w:val="003F20D9"/>
    <w:pPr>
      <w:numPr>
        <w:numId w:val="5"/>
      </w:numPr>
    </w:pPr>
  </w:style>
  <w:style w:type="paragraph" w:styleId="ListBullet4">
    <w:name w:val="List Bullet 4"/>
    <w:basedOn w:val="Normal"/>
    <w:uiPriority w:val="98"/>
    <w:semiHidden/>
    <w:rsid w:val="003F20D9"/>
    <w:pPr>
      <w:numPr>
        <w:numId w:val="8"/>
      </w:numPr>
      <w:contextualSpacing/>
    </w:pPr>
  </w:style>
  <w:style w:type="paragraph" w:styleId="ListBullet5">
    <w:name w:val="List Bullet 5"/>
    <w:basedOn w:val="Normal"/>
    <w:uiPriority w:val="98"/>
    <w:semiHidden/>
    <w:rsid w:val="003F20D9"/>
    <w:pPr>
      <w:numPr>
        <w:numId w:val="9"/>
      </w:numPr>
      <w:contextualSpacing/>
    </w:pPr>
  </w:style>
  <w:style w:type="paragraph" w:styleId="ListContinue">
    <w:name w:val="List Continue"/>
    <w:basedOn w:val="Normal"/>
    <w:uiPriority w:val="98"/>
    <w:semiHidden/>
    <w:rsid w:val="003F20D9"/>
    <w:pPr>
      <w:spacing w:after="120"/>
      <w:ind w:left="283"/>
      <w:contextualSpacing/>
    </w:pPr>
  </w:style>
  <w:style w:type="paragraph" w:styleId="ListContinue2">
    <w:name w:val="List Continue 2"/>
    <w:basedOn w:val="Normal"/>
    <w:uiPriority w:val="98"/>
    <w:semiHidden/>
    <w:rsid w:val="003F20D9"/>
    <w:pPr>
      <w:spacing w:after="120"/>
      <w:ind w:left="566"/>
      <w:contextualSpacing/>
    </w:pPr>
  </w:style>
  <w:style w:type="paragraph" w:styleId="ListContinue3">
    <w:name w:val="List Continue 3"/>
    <w:basedOn w:val="Normal"/>
    <w:uiPriority w:val="98"/>
    <w:semiHidden/>
    <w:rsid w:val="003F20D9"/>
    <w:pPr>
      <w:spacing w:after="120"/>
      <w:ind w:left="849"/>
      <w:contextualSpacing/>
    </w:pPr>
  </w:style>
  <w:style w:type="paragraph" w:styleId="ListContinue4">
    <w:name w:val="List Continue 4"/>
    <w:basedOn w:val="Normal"/>
    <w:uiPriority w:val="98"/>
    <w:semiHidden/>
    <w:rsid w:val="003F20D9"/>
    <w:pPr>
      <w:spacing w:after="120"/>
      <w:ind w:left="1132"/>
      <w:contextualSpacing/>
    </w:pPr>
  </w:style>
  <w:style w:type="paragraph" w:styleId="ListContinue5">
    <w:name w:val="List Continue 5"/>
    <w:basedOn w:val="Normal"/>
    <w:uiPriority w:val="98"/>
    <w:semiHidden/>
    <w:rsid w:val="003F20D9"/>
    <w:pPr>
      <w:spacing w:after="120"/>
      <w:ind w:left="1415"/>
      <w:contextualSpacing/>
    </w:pPr>
  </w:style>
  <w:style w:type="paragraph" w:styleId="ListNumber">
    <w:name w:val="List Number"/>
    <w:basedOn w:val="Normal"/>
    <w:uiPriority w:val="98"/>
    <w:semiHidden/>
    <w:rsid w:val="003F20D9"/>
    <w:pPr>
      <w:numPr>
        <w:numId w:val="10"/>
      </w:numPr>
      <w:contextualSpacing/>
    </w:pPr>
  </w:style>
  <w:style w:type="paragraph" w:styleId="ListNumber2">
    <w:name w:val="List Number 2"/>
    <w:basedOn w:val="Normal"/>
    <w:uiPriority w:val="98"/>
    <w:semiHidden/>
    <w:rsid w:val="003F20D9"/>
    <w:pPr>
      <w:numPr>
        <w:numId w:val="11"/>
      </w:numPr>
      <w:contextualSpacing/>
    </w:pPr>
  </w:style>
  <w:style w:type="paragraph" w:styleId="ListNumber3">
    <w:name w:val="List Number 3"/>
    <w:basedOn w:val="Normal"/>
    <w:uiPriority w:val="98"/>
    <w:semiHidden/>
    <w:rsid w:val="003F20D9"/>
    <w:pPr>
      <w:numPr>
        <w:numId w:val="12"/>
      </w:numPr>
      <w:contextualSpacing/>
    </w:pPr>
  </w:style>
  <w:style w:type="paragraph" w:styleId="ListNumber4">
    <w:name w:val="List Number 4"/>
    <w:basedOn w:val="Normal"/>
    <w:uiPriority w:val="98"/>
    <w:semiHidden/>
    <w:rsid w:val="003F20D9"/>
    <w:pPr>
      <w:numPr>
        <w:numId w:val="13"/>
      </w:numPr>
      <w:contextualSpacing/>
    </w:pPr>
  </w:style>
  <w:style w:type="paragraph" w:styleId="ListNumber5">
    <w:name w:val="List Number 5"/>
    <w:basedOn w:val="Normal"/>
    <w:uiPriority w:val="98"/>
    <w:semiHidden/>
    <w:rsid w:val="003F20D9"/>
    <w:pPr>
      <w:numPr>
        <w:numId w:val="14"/>
      </w:numPr>
      <w:contextualSpacing/>
    </w:pPr>
  </w:style>
  <w:style w:type="paragraph" w:styleId="MacroText">
    <w:name w:val="macro"/>
    <w:link w:val="MacroTextChar"/>
    <w:uiPriority w:val="98"/>
    <w:semiHidden/>
    <w:rsid w:val="003F20D9"/>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3F20D9"/>
    <w:rPr>
      <w:rFonts w:ascii="Consolas" w:eastAsiaTheme="minorEastAsia" w:hAnsi="Consolas" w:cs="Consolas"/>
      <w:sz w:val="20"/>
      <w:szCs w:val="20"/>
    </w:rPr>
  </w:style>
  <w:style w:type="table" w:styleId="MediumGrid1">
    <w:name w:val="Medium Grid 1"/>
    <w:basedOn w:val="TableNormal"/>
    <w:uiPriority w:val="67"/>
    <w:semiHidden/>
    <w:rsid w:val="003F20D9"/>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3F20D9"/>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3F20D9"/>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3F20D9"/>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3F20D9"/>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3F20D9"/>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3F20D9"/>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3F20D9"/>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3F20D9"/>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3F20D9"/>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3F20D9"/>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3F20D9"/>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3F20D9"/>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3F20D9"/>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3F20D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3F20D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3F20D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3F20D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3F20D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3F20D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3F20D9"/>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3F20D9"/>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3F20D9"/>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3F20D9"/>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3F20D9"/>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3F20D9"/>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3F20D9"/>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3F20D9"/>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3F20D9"/>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3F20D9"/>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3F20D9"/>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3F20D9"/>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3F20D9"/>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3F20D9"/>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3F20D9"/>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3F20D9"/>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3F20D9"/>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3F20D9"/>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3F20D9"/>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3F20D9"/>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3F20D9"/>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3F20D9"/>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3F20D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3F20D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3F20D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3F20D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3F20D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3F20D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3F20D9"/>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3F20D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3F20D9"/>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3F20D9"/>
    <w:rPr>
      <w:rFonts w:ascii="Times New Roman" w:hAnsi="Times New Roman" w:cs="Times New Roman"/>
    </w:rPr>
  </w:style>
  <w:style w:type="paragraph" w:styleId="NormalIndent">
    <w:name w:val="Normal Indent"/>
    <w:basedOn w:val="Normal"/>
    <w:uiPriority w:val="98"/>
    <w:semiHidden/>
    <w:rsid w:val="003F20D9"/>
    <w:pPr>
      <w:ind w:left="720"/>
    </w:pPr>
  </w:style>
  <w:style w:type="paragraph" w:styleId="NoteHeading">
    <w:name w:val="Note Heading"/>
    <w:basedOn w:val="Normal"/>
    <w:next w:val="Normal"/>
    <w:link w:val="NoteHeadingChar"/>
    <w:uiPriority w:val="98"/>
    <w:semiHidden/>
    <w:rsid w:val="003F20D9"/>
  </w:style>
  <w:style w:type="character" w:customStyle="1" w:styleId="NoteHeadingChar">
    <w:name w:val="Note Heading Char"/>
    <w:basedOn w:val="DefaultParagraphFont"/>
    <w:link w:val="NoteHeading"/>
    <w:uiPriority w:val="98"/>
    <w:semiHidden/>
    <w:rsid w:val="003F20D9"/>
    <w:rPr>
      <w:sz w:val="24"/>
      <w:szCs w:val="24"/>
      <w:lang w:val="ro-RO"/>
    </w:rPr>
  </w:style>
  <w:style w:type="character" w:styleId="PlaceholderText">
    <w:name w:val="Placeholder Text"/>
    <w:basedOn w:val="DefaultParagraphFont"/>
    <w:uiPriority w:val="98"/>
    <w:semiHidden/>
    <w:rsid w:val="003F20D9"/>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3F20D9"/>
    <w:rPr>
      <w:rFonts w:ascii="Consolas" w:hAnsi="Consolas" w:cs="Consolas"/>
      <w:sz w:val="21"/>
      <w:szCs w:val="21"/>
    </w:rPr>
  </w:style>
  <w:style w:type="character" w:customStyle="1" w:styleId="PlainTextChar">
    <w:name w:val="Plain Text Char"/>
    <w:basedOn w:val="DefaultParagraphFont"/>
    <w:link w:val="PlainText"/>
    <w:uiPriority w:val="98"/>
    <w:semiHidden/>
    <w:rsid w:val="003F20D9"/>
    <w:rPr>
      <w:rFonts w:ascii="Consolas" w:hAnsi="Consolas" w:cs="Consolas"/>
      <w:sz w:val="21"/>
      <w:szCs w:val="21"/>
      <w:lang w:val="ro-RO"/>
    </w:rPr>
  </w:style>
  <w:style w:type="paragraph" w:styleId="Salutation">
    <w:name w:val="Salutation"/>
    <w:basedOn w:val="Normal"/>
    <w:next w:val="Normal"/>
    <w:link w:val="SalutationChar"/>
    <w:uiPriority w:val="98"/>
    <w:semiHidden/>
    <w:rsid w:val="003F20D9"/>
  </w:style>
  <w:style w:type="character" w:customStyle="1" w:styleId="SalutationChar">
    <w:name w:val="Salutation Char"/>
    <w:basedOn w:val="DefaultParagraphFont"/>
    <w:link w:val="Salutation"/>
    <w:uiPriority w:val="98"/>
    <w:semiHidden/>
    <w:rsid w:val="003F20D9"/>
    <w:rPr>
      <w:sz w:val="24"/>
      <w:szCs w:val="24"/>
      <w:lang w:val="ro-RO"/>
    </w:rPr>
  </w:style>
  <w:style w:type="paragraph" w:styleId="Signature">
    <w:name w:val="Signature"/>
    <w:basedOn w:val="Normal"/>
    <w:link w:val="SignatureChar"/>
    <w:uiPriority w:val="98"/>
    <w:semiHidden/>
    <w:rsid w:val="003F20D9"/>
    <w:pPr>
      <w:ind w:left="4252"/>
    </w:pPr>
  </w:style>
  <w:style w:type="character" w:customStyle="1" w:styleId="SignatureChar">
    <w:name w:val="Signature Char"/>
    <w:basedOn w:val="DefaultParagraphFont"/>
    <w:link w:val="Signature"/>
    <w:uiPriority w:val="98"/>
    <w:semiHidden/>
    <w:rsid w:val="003F20D9"/>
    <w:rPr>
      <w:sz w:val="24"/>
      <w:szCs w:val="24"/>
      <w:lang w:val="ro-RO"/>
    </w:rPr>
  </w:style>
  <w:style w:type="table" w:styleId="Table3Deffects1">
    <w:name w:val="Table 3D effects 1"/>
    <w:basedOn w:val="TableNormal"/>
    <w:uiPriority w:val="99"/>
    <w:semiHidden/>
    <w:unhideWhenUsed/>
    <w:rsid w:val="003F20D9"/>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F20D9"/>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F20D9"/>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F20D9"/>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F20D9"/>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F20D9"/>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F20D9"/>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F20D9"/>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F20D9"/>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F20D9"/>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F20D9"/>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F20D9"/>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F20D9"/>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F20D9"/>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F20D9"/>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F20D9"/>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F20D9"/>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F20D9"/>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F20D9"/>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F20D9"/>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F20D9"/>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F20D9"/>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F20D9"/>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F20D9"/>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F20D9"/>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F20D9"/>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F20D9"/>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F20D9"/>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F20D9"/>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F20D9"/>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F20D9"/>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F20D9"/>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F20D9"/>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3F20D9"/>
    <w:pPr>
      <w:ind w:left="240" w:hanging="240"/>
    </w:pPr>
  </w:style>
  <w:style w:type="paragraph" w:styleId="TableofFigures">
    <w:name w:val="table of figures"/>
    <w:basedOn w:val="Normal"/>
    <w:next w:val="Normal"/>
    <w:uiPriority w:val="98"/>
    <w:semiHidden/>
    <w:rsid w:val="003F20D9"/>
  </w:style>
  <w:style w:type="table" w:styleId="TableProfessional">
    <w:name w:val="Table Professional"/>
    <w:basedOn w:val="TableNormal"/>
    <w:uiPriority w:val="99"/>
    <w:semiHidden/>
    <w:unhideWhenUsed/>
    <w:rsid w:val="003F20D9"/>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F20D9"/>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F20D9"/>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F20D9"/>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F20D9"/>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F20D9"/>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F20D9"/>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F20D9"/>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F20D9"/>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F20D9"/>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3F20D9"/>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3F20D9"/>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3F20D9"/>
    <w:pPr>
      <w:spacing w:after="100"/>
      <w:ind w:left="1680"/>
    </w:pPr>
  </w:style>
  <w:style w:type="paragraph" w:styleId="TOC9">
    <w:name w:val="toc 9"/>
    <w:basedOn w:val="Normal"/>
    <w:next w:val="Normal"/>
    <w:autoRedefine/>
    <w:uiPriority w:val="98"/>
    <w:semiHidden/>
    <w:rsid w:val="003F20D9"/>
    <w:pPr>
      <w:spacing w:after="100"/>
      <w:ind w:left="1920"/>
    </w:pPr>
  </w:style>
  <w:style w:type="paragraph" w:customStyle="1" w:styleId="ECHRFooter">
    <w:name w:val="ECHR_Footer"/>
    <w:aliases w:val="Footer_ECHR"/>
    <w:basedOn w:val="Footer0"/>
    <w:uiPriority w:val="57"/>
    <w:semiHidden/>
    <w:rsid w:val="00F9130D"/>
    <w:rPr>
      <w:sz w:val="8"/>
    </w:rPr>
  </w:style>
  <w:style w:type="paragraph" w:customStyle="1" w:styleId="ECHRFooterLine">
    <w:name w:val="ECHR_Footer_Line"/>
    <w:aliases w:val="_Footer_Line"/>
    <w:basedOn w:val="Normal"/>
    <w:next w:val="Normal"/>
    <w:uiPriority w:val="29"/>
    <w:semiHidden/>
    <w:rsid w:val="003F20D9"/>
    <w:pPr>
      <w:pBdr>
        <w:top w:val="single" w:sz="6" w:space="1" w:color="5F5F5F"/>
      </w:pBdr>
      <w:tabs>
        <w:tab w:val="center" w:pos="3686"/>
        <w:tab w:val="right" w:pos="7371"/>
      </w:tabs>
      <w:ind w:left="-1474" w:right="-1474"/>
    </w:pPr>
    <w:rPr>
      <w:color w:val="5F5F5F"/>
    </w:rPr>
  </w:style>
  <w:style w:type="paragraph" w:customStyle="1" w:styleId="ECHRBullet2">
    <w:name w:val="ECHR_Bullet_2"/>
    <w:aliases w:val="_Bul_2"/>
    <w:basedOn w:val="ECHRBullet1"/>
    <w:uiPriority w:val="23"/>
    <w:semiHidden/>
    <w:rsid w:val="003F20D9"/>
    <w:pPr>
      <w:numPr>
        <w:ilvl w:val="1"/>
      </w:numPr>
    </w:pPr>
  </w:style>
  <w:style w:type="paragraph" w:customStyle="1" w:styleId="ECHRBullet3">
    <w:name w:val="ECHR_Bullet_3"/>
    <w:aliases w:val="_Bul_3"/>
    <w:basedOn w:val="ECHRBullet2"/>
    <w:uiPriority w:val="23"/>
    <w:semiHidden/>
    <w:rsid w:val="003F20D9"/>
    <w:pPr>
      <w:numPr>
        <w:ilvl w:val="2"/>
      </w:numPr>
    </w:pPr>
  </w:style>
  <w:style w:type="paragraph" w:customStyle="1" w:styleId="ECHRBullet4">
    <w:name w:val="ECHR_Bullet_4"/>
    <w:aliases w:val="_Bul_4"/>
    <w:basedOn w:val="ECHRBullet3"/>
    <w:uiPriority w:val="23"/>
    <w:semiHidden/>
    <w:rsid w:val="003F20D9"/>
    <w:pPr>
      <w:numPr>
        <w:ilvl w:val="3"/>
      </w:numPr>
    </w:pPr>
  </w:style>
  <w:style w:type="paragraph" w:customStyle="1" w:styleId="ECHRConfidential">
    <w:name w:val="ECHR_Confidential"/>
    <w:aliases w:val="_Confidential"/>
    <w:basedOn w:val="Normal"/>
    <w:next w:val="Normal"/>
    <w:uiPriority w:val="42"/>
    <w:semiHidden/>
    <w:qFormat/>
    <w:rsid w:val="003F20D9"/>
    <w:pPr>
      <w:jc w:val="right"/>
    </w:pPr>
    <w:rPr>
      <w:color w:val="C00000"/>
      <w:sz w:val="20"/>
    </w:rPr>
  </w:style>
  <w:style w:type="paragraph" w:customStyle="1" w:styleId="ECHRDecisionBody">
    <w:name w:val="ECHR_Decision_Body"/>
    <w:aliases w:val="_Decision_Body"/>
    <w:basedOn w:val="NormalJustified"/>
    <w:uiPriority w:val="54"/>
    <w:semiHidden/>
    <w:rsid w:val="003F20D9"/>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3F20D9"/>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3F20D9"/>
    <w:rPr>
      <w:rFonts w:ascii="Arial" w:hAnsi="Arial"/>
      <w:i/>
      <w:color w:val="002856"/>
      <w:sz w:val="32"/>
      <w:szCs w:val="24"/>
      <w:lang w:val="ro-RO"/>
    </w:rPr>
  </w:style>
  <w:style w:type="paragraph" w:customStyle="1" w:styleId="DummyStyle">
    <w:name w:val="Dummy_Style"/>
    <w:aliases w:val="_Dummy"/>
    <w:basedOn w:val="Normal"/>
    <w:semiHidden/>
    <w:qFormat/>
    <w:rsid w:val="003F20D9"/>
    <w:rPr>
      <w:color w:val="00B050"/>
      <w:sz w:val="22"/>
    </w:rPr>
  </w:style>
  <w:style w:type="paragraph" w:customStyle="1" w:styleId="ECHRFooterLineLandscape">
    <w:name w:val="ECHR_Footer_Line_Landscape"/>
    <w:aliases w:val="_Footer_Line_Landscape"/>
    <w:basedOn w:val="Normal"/>
    <w:uiPriority w:val="29"/>
    <w:semiHidden/>
    <w:rsid w:val="003F20D9"/>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ParaHanging">
    <w:name w:val="ECHR_Para_Hanging"/>
    <w:aliases w:val="_Hanging"/>
    <w:basedOn w:val="NormalJustified"/>
    <w:uiPriority w:val="8"/>
    <w:semiHidden/>
    <w:qFormat/>
    <w:rsid w:val="003F20D9"/>
    <w:pPr>
      <w:ind w:left="567" w:hanging="567"/>
    </w:pPr>
  </w:style>
  <w:style w:type="paragraph" w:customStyle="1" w:styleId="ECHRHeading9">
    <w:name w:val="ECHR_Heading_9"/>
    <w:aliases w:val="_Head_9"/>
    <w:basedOn w:val="Heading9"/>
    <w:uiPriority w:val="17"/>
    <w:semiHidden/>
    <w:rsid w:val="003F20D9"/>
    <w:pPr>
      <w:keepNext/>
      <w:keepLines/>
      <w:numPr>
        <w:ilvl w:val="8"/>
        <w:numId w:val="15"/>
      </w:numPr>
      <w:spacing w:before="100" w:beforeAutospacing="1"/>
      <w:contextualSpacing/>
      <w:jc w:val="both"/>
    </w:pPr>
    <w:rPr>
      <w:i w:val="0"/>
      <w:sz w:val="18"/>
    </w:rPr>
  </w:style>
  <w:style w:type="paragraph" w:customStyle="1" w:styleId="ECHRHeaderLandscape">
    <w:name w:val="ECHR_Header_Landscape"/>
    <w:aliases w:val="_Header_Landscape"/>
    <w:basedOn w:val="JuHeader"/>
    <w:uiPriority w:val="29"/>
    <w:semiHidden/>
    <w:rsid w:val="003F20D9"/>
    <w:pPr>
      <w:tabs>
        <w:tab w:val="center" w:pos="6146"/>
        <w:tab w:val="right" w:pos="13778"/>
      </w:tabs>
      <w:ind w:left="-1474" w:right="-1474"/>
    </w:pPr>
  </w:style>
  <w:style w:type="paragraph" w:customStyle="1" w:styleId="ECHRParaIndent">
    <w:name w:val="ECHR_Para_Indent"/>
    <w:aliases w:val="_Indent"/>
    <w:basedOn w:val="NormalJustified"/>
    <w:uiPriority w:val="7"/>
    <w:semiHidden/>
    <w:qFormat/>
    <w:rsid w:val="003F20D9"/>
    <w:pPr>
      <w:spacing w:before="120" w:after="120"/>
      <w:ind w:left="567"/>
    </w:pPr>
  </w:style>
  <w:style w:type="paragraph" w:customStyle="1" w:styleId="ECHRLine">
    <w:name w:val="ECHR_Line"/>
    <w:aliases w:val="_Line"/>
    <w:basedOn w:val="NormalJustified"/>
    <w:next w:val="Normal"/>
    <w:uiPriority w:val="46"/>
    <w:semiHidden/>
    <w:rsid w:val="003F20D9"/>
    <w:pPr>
      <w:pBdr>
        <w:bottom w:val="single" w:sz="12" w:space="1" w:color="949494" w:themeColor="text2" w:themeShade="BF"/>
      </w:pBdr>
      <w:spacing w:after="120"/>
    </w:pPr>
    <w:rPr>
      <w:sz w:val="12"/>
    </w:rPr>
  </w:style>
  <w:style w:type="paragraph" w:customStyle="1" w:styleId="DecList">
    <w:name w:val="Dec_List"/>
    <w:aliases w:val="_List"/>
    <w:basedOn w:val="JuList"/>
    <w:uiPriority w:val="22"/>
    <w:rsid w:val="003F20D9"/>
    <w:pPr>
      <w:numPr>
        <w:numId w:val="0"/>
      </w:numPr>
      <w:ind w:left="284"/>
    </w:pPr>
  </w:style>
  <w:style w:type="paragraph" w:customStyle="1" w:styleId="ECHRNumberedList1">
    <w:name w:val="ECHR_Numbered_List_1"/>
    <w:aliases w:val="_Num_1"/>
    <w:basedOn w:val="NormalJustified"/>
    <w:uiPriority w:val="23"/>
    <w:semiHidden/>
    <w:qFormat/>
    <w:rsid w:val="003F20D9"/>
    <w:pPr>
      <w:numPr>
        <w:numId w:val="18"/>
      </w:numPr>
      <w:spacing w:before="60" w:after="60"/>
    </w:pPr>
  </w:style>
  <w:style w:type="paragraph" w:customStyle="1" w:styleId="ECHRNumberedList2">
    <w:name w:val="ECHR_Numbered_List_2"/>
    <w:aliases w:val="_Num_2"/>
    <w:basedOn w:val="ECHRNumberedList1"/>
    <w:uiPriority w:val="23"/>
    <w:semiHidden/>
    <w:rsid w:val="003F20D9"/>
    <w:pPr>
      <w:numPr>
        <w:ilvl w:val="1"/>
      </w:numPr>
    </w:pPr>
  </w:style>
  <w:style w:type="paragraph" w:customStyle="1" w:styleId="ECHRNumberedList3">
    <w:name w:val="ECHR_Numbered_List_3"/>
    <w:aliases w:val="_Num_3"/>
    <w:basedOn w:val="ECHRNumberedList2"/>
    <w:uiPriority w:val="23"/>
    <w:semiHidden/>
    <w:rsid w:val="003F20D9"/>
    <w:pPr>
      <w:numPr>
        <w:ilvl w:val="2"/>
      </w:numPr>
    </w:pPr>
  </w:style>
  <w:style w:type="paragraph" w:customStyle="1" w:styleId="ECHRPlaceholder">
    <w:name w:val="ECHR_Placeholder"/>
    <w:aliases w:val="_Placeholder"/>
    <w:basedOn w:val="JuSigned"/>
    <w:uiPriority w:val="31"/>
    <w:rsid w:val="003F20D9"/>
    <w:rPr>
      <w:color w:val="FFFFFF"/>
    </w:rPr>
  </w:style>
  <w:style w:type="character" w:customStyle="1" w:styleId="ECHRRed">
    <w:name w:val="ECHR_Red"/>
    <w:aliases w:val="_Red"/>
    <w:basedOn w:val="DefaultParagraphFont"/>
    <w:uiPriority w:val="15"/>
    <w:semiHidden/>
    <w:qFormat/>
    <w:rsid w:val="003F20D9"/>
    <w:rPr>
      <w:color w:val="C00000" w:themeColor="accent2"/>
    </w:rPr>
  </w:style>
  <w:style w:type="paragraph" w:customStyle="1" w:styleId="ECHRHeaderDate">
    <w:name w:val="ECHR_Header_Date"/>
    <w:aliases w:val="_Ref_Date"/>
    <w:basedOn w:val="Normal"/>
    <w:uiPriority w:val="44"/>
    <w:semiHidden/>
    <w:qFormat/>
    <w:rsid w:val="003F20D9"/>
    <w:pPr>
      <w:jc w:val="right"/>
    </w:pPr>
    <w:rPr>
      <w:sz w:val="20"/>
    </w:rPr>
  </w:style>
  <w:style w:type="paragraph" w:customStyle="1" w:styleId="ECHRHeaderRefIt">
    <w:name w:val="ECHR_Header_Ref_It"/>
    <w:aliases w:val="_Ref_Ital"/>
    <w:basedOn w:val="Normal"/>
    <w:next w:val="ECHRHeaderDate"/>
    <w:uiPriority w:val="43"/>
    <w:semiHidden/>
    <w:qFormat/>
    <w:rsid w:val="003F20D9"/>
    <w:pPr>
      <w:jc w:val="right"/>
    </w:pPr>
    <w:rPr>
      <w:i/>
      <w:sz w:val="20"/>
    </w:rPr>
  </w:style>
  <w:style w:type="paragraph" w:customStyle="1" w:styleId="ECHRSpacer">
    <w:name w:val="ECHR_Spacer"/>
    <w:aliases w:val="_Spacer"/>
    <w:basedOn w:val="Normal"/>
    <w:uiPriority w:val="45"/>
    <w:semiHidden/>
    <w:rsid w:val="003F20D9"/>
    <w:rPr>
      <w:sz w:val="4"/>
    </w:rPr>
  </w:style>
  <w:style w:type="paragraph" w:customStyle="1" w:styleId="ECHRTitleCentre1">
    <w:name w:val="ECHR_Title_Centre_1"/>
    <w:aliases w:val="_Title_C_1"/>
    <w:basedOn w:val="Normal"/>
    <w:next w:val="Normal"/>
    <w:uiPriority w:val="26"/>
    <w:semiHidden/>
    <w:qFormat/>
    <w:rsid w:val="003F20D9"/>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3F20D9"/>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3F20D9"/>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3F20D9"/>
    <w:pPr>
      <w:outlineLvl w:val="0"/>
    </w:pPr>
  </w:style>
  <w:style w:type="paragraph" w:customStyle="1" w:styleId="ECHRTitle1">
    <w:name w:val="ECHR_Title_1"/>
    <w:aliases w:val="_Title_L_1"/>
    <w:basedOn w:val="Normal"/>
    <w:next w:val="Normal"/>
    <w:uiPriority w:val="28"/>
    <w:semiHidden/>
    <w:qFormat/>
    <w:rsid w:val="003F20D9"/>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3F20D9"/>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3F20D9"/>
    <w:pPr>
      <w:keepNext/>
      <w:keepLines/>
      <w:spacing w:before="240"/>
      <w:contextualSpacing/>
    </w:pPr>
    <w:rPr>
      <w:rFonts w:asciiTheme="majorHAnsi" w:hAnsiTheme="majorHAnsi"/>
      <w:b/>
      <w:color w:val="474747" w:themeColor="accent3" w:themeShade="BF"/>
    </w:rPr>
  </w:style>
  <w:style w:type="paragraph" w:customStyle="1" w:styleId="ECHRTitleTOC1">
    <w:name w:val="ECHR_Title_TOC_1"/>
    <w:aliases w:val="_Title_L_TOC"/>
    <w:basedOn w:val="ECHRTitle1"/>
    <w:next w:val="Normal"/>
    <w:uiPriority w:val="27"/>
    <w:semiHidden/>
    <w:qFormat/>
    <w:rsid w:val="003F20D9"/>
    <w:pPr>
      <w:outlineLvl w:val="0"/>
    </w:pPr>
  </w:style>
  <w:style w:type="table" w:customStyle="1" w:styleId="ECHRTable2">
    <w:name w:val="ECHR_Table_2"/>
    <w:basedOn w:val="TableNormal"/>
    <w:uiPriority w:val="99"/>
    <w:rsid w:val="003F20D9"/>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3F20D9"/>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table" w:customStyle="1" w:styleId="ECHRTableGrey">
    <w:name w:val="ECHR_Table_Grey"/>
    <w:basedOn w:val="TableNormal"/>
    <w:uiPriority w:val="99"/>
    <w:rsid w:val="003F20D9"/>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JuParaChar">
    <w:name w:val="Ju_Para Char"/>
    <w:aliases w:val="_Para Char"/>
    <w:link w:val="JuPara"/>
    <w:uiPriority w:val="4"/>
    <w:rsid w:val="008B56A0"/>
    <w:rPr>
      <w:sz w:val="24"/>
      <w:szCs w:val="24"/>
      <w:lang w:val="ro-RO"/>
    </w:rPr>
  </w:style>
  <w:style w:type="table" w:styleId="GridTable1Light">
    <w:name w:val="Grid Table 1 Light"/>
    <w:basedOn w:val="TableNormal"/>
    <w:uiPriority w:val="46"/>
    <w:semiHidden/>
    <w:rsid w:val="00A907F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A907F3"/>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8B56A0"/>
    <w:rPr>
      <w:sz w:val="24"/>
      <w:szCs w:val="24"/>
    </w:rPr>
  </w:style>
  <w:style w:type="table" w:styleId="GridTable1Light-Accent2">
    <w:name w:val="Grid Table 1 Light Accent 2"/>
    <w:basedOn w:val="TableNormal"/>
    <w:uiPriority w:val="46"/>
    <w:semiHidden/>
    <w:rsid w:val="00A907F3"/>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A907F3"/>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A907F3"/>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8B56A0"/>
    <w:rPr>
      <w:color w:val="605E5C"/>
      <w:shd w:val="clear" w:color="auto" w:fill="E1DFDD"/>
    </w:rPr>
  </w:style>
  <w:style w:type="numbering" w:customStyle="1" w:styleId="ECHRA1StyleNumberedList1">
    <w:name w:val="ECHR_A1_Style_Numbered_List1"/>
    <w:basedOn w:val="NoList"/>
    <w:rsid w:val="008B56A0"/>
  </w:style>
  <w:style w:type="table" w:styleId="GridTable1Light-Accent5">
    <w:name w:val="Grid Table 1 Light Accent 5"/>
    <w:basedOn w:val="TableNormal"/>
    <w:uiPriority w:val="46"/>
    <w:semiHidden/>
    <w:rsid w:val="00A907F3"/>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A907F3"/>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A907F3"/>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A907F3"/>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A907F3"/>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A907F3"/>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semiHidden/>
    <w:rsid w:val="00A907F3"/>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A907F3"/>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A907F3"/>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A907F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A907F3"/>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A907F3"/>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A907F3"/>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semiHidden/>
    <w:rsid w:val="00A907F3"/>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A907F3"/>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A907F3"/>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A907F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A907F3"/>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A907F3"/>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A907F3"/>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semiHidden/>
    <w:rsid w:val="00A907F3"/>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A907F3"/>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A907F3"/>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A907F3"/>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A907F3"/>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A907F3"/>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A907F3"/>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semiHidden/>
    <w:rsid w:val="00A907F3"/>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A907F3"/>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A907F3"/>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A907F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A907F3"/>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A907F3"/>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A907F3"/>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semiHidden/>
    <w:rsid w:val="00A907F3"/>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A907F3"/>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A907F3"/>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A907F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A907F3"/>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A907F3"/>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A907F3"/>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semiHidden/>
    <w:rsid w:val="00A907F3"/>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A907F3"/>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A907F3"/>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unhideWhenUsed/>
    <w:rsid w:val="00A907F3"/>
    <w:rPr>
      <w:color w:val="2B579A"/>
      <w:shd w:val="clear" w:color="auto" w:fill="E1DFDD"/>
    </w:rPr>
  </w:style>
  <w:style w:type="table" w:styleId="ListTable1Light">
    <w:name w:val="List Table 1 Light"/>
    <w:basedOn w:val="TableNormal"/>
    <w:uiPriority w:val="46"/>
    <w:semiHidden/>
    <w:rsid w:val="00A907F3"/>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A907F3"/>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A907F3"/>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A907F3"/>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semiHidden/>
    <w:rsid w:val="00A907F3"/>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A907F3"/>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A907F3"/>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A907F3"/>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A907F3"/>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A907F3"/>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A907F3"/>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semiHidden/>
    <w:rsid w:val="00A907F3"/>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A907F3"/>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A907F3"/>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A907F3"/>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A907F3"/>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A907F3"/>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A907F3"/>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semiHidden/>
    <w:rsid w:val="00A907F3"/>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A907F3"/>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A907F3"/>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A907F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A907F3"/>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A907F3"/>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A907F3"/>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semiHidden/>
    <w:rsid w:val="00A907F3"/>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A907F3"/>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A907F3"/>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A907F3"/>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A907F3"/>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A907F3"/>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A907F3"/>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A907F3"/>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A907F3"/>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A907F3"/>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A907F3"/>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A907F3"/>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A907F3"/>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A907F3"/>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semiHidden/>
    <w:rsid w:val="00A907F3"/>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A907F3"/>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A907F3"/>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A907F3"/>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A907F3"/>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A907F3"/>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A907F3"/>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A907F3"/>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A907F3"/>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A907F3"/>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A907F3"/>
    <w:rPr>
      <w:color w:val="2B579A"/>
      <w:shd w:val="clear" w:color="auto" w:fill="E1DFDD"/>
    </w:rPr>
  </w:style>
  <w:style w:type="table" w:styleId="PlainTable1">
    <w:name w:val="Plain Table 1"/>
    <w:basedOn w:val="TableNormal"/>
    <w:uiPriority w:val="41"/>
    <w:semiHidden/>
    <w:rsid w:val="00A907F3"/>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semiHidden/>
    <w:rsid w:val="00A907F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A907F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A907F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semiHidden/>
    <w:rsid w:val="00A907F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A907F3"/>
    <w:rPr>
      <w:u w:val="dotted"/>
    </w:rPr>
  </w:style>
  <w:style w:type="character" w:customStyle="1" w:styleId="SmartLink1">
    <w:name w:val="SmartLink1"/>
    <w:basedOn w:val="DefaultParagraphFont"/>
    <w:uiPriority w:val="99"/>
    <w:semiHidden/>
    <w:unhideWhenUsed/>
    <w:rsid w:val="00A907F3"/>
    <w:rPr>
      <w:color w:val="0000FF"/>
      <w:u w:val="single"/>
      <w:shd w:val="clear" w:color="auto" w:fill="F3F2F1"/>
    </w:rPr>
  </w:style>
  <w:style w:type="table" w:styleId="TableGridLight">
    <w:name w:val="Grid Table Light"/>
    <w:basedOn w:val="TableNormal"/>
    <w:uiPriority w:val="40"/>
    <w:semiHidden/>
    <w:rsid w:val="00A907F3"/>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458085">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hudoc.echr.coe.int/fre?i=001-215190"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hudoc.echr.coe.int/fre?i=001-205510"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DD0DDB-F205-47D8-B6AA-399485A9ACD0}">
  <ds:schemaRefs>
    <ds:schemaRef ds:uri="http://schemas.microsoft.com/sharepoint/v3/contenttype/forms"/>
  </ds:schemaRefs>
</ds:datastoreItem>
</file>

<file path=customXml/itemProps2.xml><?xml version="1.0" encoding="utf-8"?>
<ds:datastoreItem xmlns:ds="http://schemas.openxmlformats.org/officeDocument/2006/customXml" ds:itemID="{507584D8-F494-41BC-941C-F2922BE9CF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F78E974-8998-42CC-9AC1-82EE027EE61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B00E0F7-26D3-426B-9FFD-2026039F9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6042</Words>
  <Characters>35047</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41007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DCF</dc:subject>
  <dc:creator/>
  <cp:lastModifiedBy/>
  <cp:revision>1</cp:revision>
  <dcterms:created xsi:type="dcterms:W3CDTF">2023-01-17T09:27:00Z</dcterms:created>
  <dcterms:modified xsi:type="dcterms:W3CDTF">2023-02-14T11:11:00Z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1036</vt:i4>
  </property>
  <property fmtid="{D5CDD505-2E9C-101B-9397-08002B2CF9AE}" pid="3" name="RegisteredNo">
    <vt:lpwstr>52693/12</vt:lpwstr>
  </property>
  <property fmtid="{D5CDD505-2E9C-101B-9397-08002B2CF9AE}" pid="4" name="CASEID">
    <vt:lpwstr>821253</vt:lpwstr>
  </property>
  <property fmtid="{D5CDD505-2E9C-101B-9397-08002B2CF9AE}" pid="5" name="ContentTypeId">
    <vt:lpwstr>0x010100558EB02BDB9E204AB350EDD385B68E10</vt:lpwstr>
  </property>
</Properties>
</file>